
<file path=[Content_Types].xml><?xml version="1.0" encoding="utf-8"?>
<Types xmlns="http://schemas.openxmlformats.org/package/2006/content-types">
  <Default Extension="png" ContentType="image/png"/>
  <Default Extension="bin" ContentType="application/vnd.openxmlformats-officedocument.oleObject"/>
  <Default Extension="svg" ContentType="image/svg"/>
  <Default Extension="jpeg" ContentType="image/jpeg"/>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theme/themeOverride1.xml" ContentType="application/vnd.openxmlformats-officedocument.themeOverride+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5AFEEA" w14:textId="77777777" w:rsidR="002449C2" w:rsidRDefault="00123961">
      <w:pPr>
        <w:tabs>
          <w:tab w:val="left" w:pos="142"/>
        </w:tabs>
        <w:spacing w:after="0" w:line="240" w:lineRule="auto"/>
        <w:ind w:firstLine="567"/>
        <w:jc w:val="center"/>
        <w:rPr>
          <w:rFonts w:ascii="Times New Roman" w:eastAsia="Times New Roman" w:hAnsi="Times New Roman"/>
          <w:b/>
          <w:color w:val="FFFFFF"/>
          <w:sz w:val="28"/>
          <w:szCs w:val="28"/>
          <w:lang w:eastAsia="ru-RU"/>
        </w:rPr>
      </w:pPr>
      <w:bookmarkStart w:id="0" w:name="_Toc511807215"/>
      <w:r>
        <w:rPr>
          <w:rFonts w:ascii="Times New Roman" w:eastAsia="Times New Roman" w:hAnsi="Times New Roman"/>
          <w:b/>
          <w:color w:val="FFFFFF"/>
          <w:sz w:val="28"/>
          <w:szCs w:val="28"/>
          <w:lang w:eastAsia="ru-RU"/>
        </w:rPr>
        <w:t>ФКгончаров291МРСК ЮГА – ЭНЕРГИЯ НОВЫХ ДОСТИЖЕНИЙ</w:t>
      </w:r>
    </w:p>
    <w:p w14:paraId="6FF244A0" w14:textId="77777777" w:rsidR="002449C2" w:rsidRDefault="00123961">
      <w:pPr>
        <w:spacing w:after="0" w:line="240" w:lineRule="auto"/>
        <w:jc w:val="right"/>
        <w:rPr>
          <w:rFonts w:ascii="Times New Roman" w:hAnsi="Times New Roman"/>
          <w:b/>
          <w:sz w:val="24"/>
          <w:szCs w:val="24"/>
          <w:lang w:eastAsia="ru-RU"/>
        </w:rPr>
      </w:pPr>
      <w:r>
        <w:rPr>
          <w:rFonts w:ascii="Times New Roman" w:hAnsi="Times New Roman"/>
          <w:b/>
          <w:sz w:val="24"/>
          <w:szCs w:val="24"/>
          <w:lang w:eastAsia="ru-RU"/>
        </w:rPr>
        <w:t xml:space="preserve">Утвержден: </w:t>
      </w:r>
    </w:p>
    <w:p w14:paraId="3C3FA45D" w14:textId="77777777" w:rsidR="002449C2" w:rsidRDefault="00123961">
      <w:pPr>
        <w:spacing w:after="0" w:line="240" w:lineRule="auto"/>
        <w:jc w:val="right"/>
        <w:rPr>
          <w:rFonts w:ascii="Times New Roman" w:hAnsi="Times New Roman"/>
          <w:sz w:val="24"/>
          <w:szCs w:val="24"/>
          <w:lang w:eastAsia="ru-RU"/>
        </w:rPr>
      </w:pPr>
      <w:r>
        <w:rPr>
          <w:rFonts w:ascii="Times New Roman" w:hAnsi="Times New Roman"/>
          <w:sz w:val="24"/>
          <w:szCs w:val="24"/>
          <w:lang w:eastAsia="ru-RU"/>
        </w:rPr>
        <w:t xml:space="preserve">решением годового Общего собрания </w:t>
      </w:r>
    </w:p>
    <w:p w14:paraId="70914F89" w14:textId="77777777" w:rsidR="002449C2" w:rsidRDefault="00123961">
      <w:pPr>
        <w:spacing w:after="0" w:line="240" w:lineRule="auto"/>
        <w:jc w:val="right"/>
        <w:rPr>
          <w:rFonts w:ascii="Times New Roman" w:hAnsi="Times New Roman"/>
          <w:sz w:val="24"/>
          <w:szCs w:val="24"/>
          <w:lang w:eastAsia="ru-RU"/>
        </w:rPr>
      </w:pPr>
      <w:r>
        <w:rPr>
          <w:rFonts w:ascii="Times New Roman" w:hAnsi="Times New Roman"/>
          <w:sz w:val="24"/>
          <w:szCs w:val="24"/>
          <w:lang w:eastAsia="ru-RU"/>
        </w:rPr>
        <w:t>акционеров ПАО «_________» _</w:t>
      </w:r>
      <w:proofErr w:type="gramStart"/>
      <w:r>
        <w:rPr>
          <w:rFonts w:ascii="Times New Roman" w:hAnsi="Times New Roman"/>
          <w:sz w:val="24"/>
          <w:szCs w:val="24"/>
          <w:lang w:eastAsia="ru-RU"/>
        </w:rPr>
        <w:t>_._</w:t>
      </w:r>
      <w:proofErr w:type="gramEnd"/>
      <w:r>
        <w:rPr>
          <w:rFonts w:ascii="Times New Roman" w:hAnsi="Times New Roman"/>
          <w:sz w:val="24"/>
          <w:szCs w:val="24"/>
          <w:lang w:eastAsia="ru-RU"/>
        </w:rPr>
        <w:t>_.2025</w:t>
      </w:r>
    </w:p>
    <w:p w14:paraId="11A52D1D" w14:textId="77777777" w:rsidR="002449C2" w:rsidRDefault="00123961">
      <w:pPr>
        <w:spacing w:after="0" w:line="240" w:lineRule="auto"/>
        <w:jc w:val="right"/>
        <w:rPr>
          <w:rFonts w:ascii="Times New Roman" w:hAnsi="Times New Roman"/>
          <w:sz w:val="24"/>
          <w:szCs w:val="24"/>
          <w:lang w:eastAsia="ru-RU"/>
        </w:rPr>
      </w:pPr>
      <w:r>
        <w:rPr>
          <w:rFonts w:ascii="Times New Roman" w:hAnsi="Times New Roman"/>
          <w:sz w:val="24"/>
          <w:szCs w:val="24"/>
          <w:lang w:eastAsia="ru-RU"/>
        </w:rPr>
        <w:t xml:space="preserve"> (протокол от _</w:t>
      </w:r>
      <w:proofErr w:type="gramStart"/>
      <w:r>
        <w:rPr>
          <w:rFonts w:ascii="Times New Roman" w:hAnsi="Times New Roman"/>
          <w:sz w:val="24"/>
          <w:szCs w:val="24"/>
          <w:lang w:eastAsia="ru-RU"/>
        </w:rPr>
        <w:t>_._</w:t>
      </w:r>
      <w:proofErr w:type="gramEnd"/>
      <w:r>
        <w:rPr>
          <w:rFonts w:ascii="Times New Roman" w:hAnsi="Times New Roman"/>
          <w:sz w:val="24"/>
          <w:szCs w:val="24"/>
          <w:lang w:eastAsia="ru-RU"/>
        </w:rPr>
        <w:t xml:space="preserve">_.2025 № </w:t>
      </w:r>
      <w:r>
        <w:rPr>
          <w:rFonts w:ascii="Times New Roman" w:hAnsi="Times New Roman"/>
          <w:b/>
          <w:sz w:val="24"/>
          <w:szCs w:val="24"/>
          <w:lang w:eastAsia="ru-RU"/>
        </w:rPr>
        <w:t>____</w:t>
      </w:r>
      <w:r>
        <w:rPr>
          <w:rFonts w:ascii="Times New Roman" w:hAnsi="Times New Roman"/>
          <w:sz w:val="24"/>
          <w:szCs w:val="24"/>
          <w:lang w:eastAsia="ru-RU"/>
        </w:rPr>
        <w:t>)</w:t>
      </w:r>
    </w:p>
    <w:p w14:paraId="08C06C35" w14:textId="77777777" w:rsidR="002449C2" w:rsidRDefault="002449C2">
      <w:pPr>
        <w:spacing w:after="0" w:line="240" w:lineRule="auto"/>
        <w:jc w:val="right"/>
        <w:rPr>
          <w:rFonts w:ascii="Times New Roman" w:hAnsi="Times New Roman"/>
          <w:sz w:val="24"/>
          <w:szCs w:val="24"/>
          <w:lang w:eastAsia="ru-RU"/>
        </w:rPr>
      </w:pPr>
    </w:p>
    <w:p w14:paraId="5903E958" w14:textId="77777777" w:rsidR="002449C2" w:rsidRDefault="00123961">
      <w:pPr>
        <w:spacing w:after="0" w:line="240" w:lineRule="auto"/>
        <w:jc w:val="right"/>
        <w:rPr>
          <w:rFonts w:ascii="Times New Roman" w:hAnsi="Times New Roman"/>
          <w:b/>
          <w:sz w:val="24"/>
          <w:szCs w:val="24"/>
          <w:lang w:eastAsia="ru-RU"/>
        </w:rPr>
      </w:pPr>
      <w:r>
        <w:rPr>
          <w:rFonts w:ascii="Times New Roman" w:hAnsi="Times New Roman"/>
          <w:b/>
          <w:sz w:val="24"/>
          <w:szCs w:val="24"/>
          <w:lang w:eastAsia="ru-RU"/>
        </w:rPr>
        <w:t xml:space="preserve">Предварительно утвержден: </w:t>
      </w:r>
    </w:p>
    <w:p w14:paraId="061BC8BD" w14:textId="77777777" w:rsidR="002449C2" w:rsidRDefault="00123961">
      <w:pPr>
        <w:spacing w:after="0" w:line="240" w:lineRule="auto"/>
        <w:jc w:val="right"/>
        <w:rPr>
          <w:rFonts w:ascii="Times New Roman" w:hAnsi="Times New Roman"/>
          <w:sz w:val="24"/>
          <w:szCs w:val="24"/>
          <w:lang w:eastAsia="ru-RU"/>
        </w:rPr>
      </w:pPr>
      <w:r>
        <w:rPr>
          <w:rFonts w:ascii="Times New Roman" w:hAnsi="Times New Roman"/>
          <w:sz w:val="24"/>
          <w:szCs w:val="24"/>
          <w:lang w:eastAsia="ru-RU"/>
        </w:rPr>
        <w:t xml:space="preserve">решением Совета директоров </w:t>
      </w:r>
    </w:p>
    <w:p w14:paraId="72F0A01F" w14:textId="77777777" w:rsidR="002449C2" w:rsidRDefault="00123961">
      <w:pPr>
        <w:spacing w:after="0" w:line="240" w:lineRule="auto"/>
        <w:jc w:val="right"/>
        <w:rPr>
          <w:rFonts w:ascii="Times New Roman" w:hAnsi="Times New Roman"/>
          <w:sz w:val="24"/>
          <w:szCs w:val="24"/>
          <w:lang w:eastAsia="ru-RU"/>
        </w:rPr>
      </w:pPr>
      <w:r>
        <w:rPr>
          <w:rFonts w:ascii="Times New Roman" w:hAnsi="Times New Roman"/>
          <w:sz w:val="24"/>
          <w:szCs w:val="24"/>
          <w:lang w:eastAsia="ru-RU"/>
        </w:rPr>
        <w:t>ПАО «__________» _</w:t>
      </w:r>
      <w:proofErr w:type="gramStart"/>
      <w:r>
        <w:rPr>
          <w:rFonts w:ascii="Times New Roman" w:hAnsi="Times New Roman"/>
          <w:sz w:val="24"/>
          <w:szCs w:val="24"/>
          <w:lang w:eastAsia="ru-RU"/>
        </w:rPr>
        <w:t>_._</w:t>
      </w:r>
      <w:proofErr w:type="gramEnd"/>
      <w:r>
        <w:rPr>
          <w:rFonts w:ascii="Times New Roman" w:hAnsi="Times New Roman"/>
          <w:sz w:val="24"/>
          <w:szCs w:val="24"/>
          <w:lang w:eastAsia="ru-RU"/>
        </w:rPr>
        <w:t>_.2025</w:t>
      </w:r>
    </w:p>
    <w:p w14:paraId="143BBE93" w14:textId="77777777" w:rsidR="002449C2" w:rsidRDefault="00123961">
      <w:pPr>
        <w:spacing w:after="0" w:line="240" w:lineRule="auto"/>
        <w:jc w:val="right"/>
        <w:rPr>
          <w:rFonts w:ascii="Times New Roman" w:hAnsi="Times New Roman"/>
          <w:sz w:val="24"/>
          <w:szCs w:val="24"/>
          <w:lang w:eastAsia="ru-RU"/>
        </w:rPr>
      </w:pPr>
      <w:r>
        <w:rPr>
          <w:rFonts w:ascii="Times New Roman" w:hAnsi="Times New Roman"/>
          <w:sz w:val="24"/>
          <w:szCs w:val="24"/>
          <w:lang w:eastAsia="ru-RU"/>
        </w:rPr>
        <w:t>(протокол от _</w:t>
      </w:r>
      <w:proofErr w:type="gramStart"/>
      <w:r>
        <w:rPr>
          <w:rFonts w:ascii="Times New Roman" w:hAnsi="Times New Roman"/>
          <w:sz w:val="24"/>
          <w:szCs w:val="24"/>
          <w:lang w:eastAsia="ru-RU"/>
        </w:rPr>
        <w:t>_._</w:t>
      </w:r>
      <w:proofErr w:type="gramEnd"/>
      <w:r>
        <w:rPr>
          <w:rFonts w:ascii="Times New Roman" w:hAnsi="Times New Roman"/>
          <w:sz w:val="24"/>
          <w:szCs w:val="24"/>
          <w:lang w:eastAsia="ru-RU"/>
        </w:rPr>
        <w:t>_.2025 № ______)</w:t>
      </w:r>
    </w:p>
    <w:p w14:paraId="530AC3E0" w14:textId="77777777" w:rsidR="002449C2" w:rsidRDefault="002449C2">
      <w:pPr>
        <w:spacing w:after="0" w:line="240" w:lineRule="auto"/>
        <w:jc w:val="right"/>
        <w:rPr>
          <w:rFonts w:ascii="Times New Roman" w:hAnsi="Times New Roman"/>
          <w:sz w:val="24"/>
          <w:szCs w:val="24"/>
          <w:lang w:eastAsia="ru-RU"/>
        </w:rPr>
      </w:pPr>
    </w:p>
    <w:p w14:paraId="5F09443C" w14:textId="77777777" w:rsidR="002449C2" w:rsidRDefault="00123961">
      <w:pPr>
        <w:spacing w:after="0" w:line="240" w:lineRule="auto"/>
        <w:jc w:val="right"/>
        <w:rPr>
          <w:rFonts w:ascii="Times New Roman" w:hAnsi="Times New Roman"/>
          <w:b/>
          <w:sz w:val="24"/>
          <w:szCs w:val="24"/>
          <w:lang w:eastAsia="ru-RU"/>
        </w:rPr>
      </w:pPr>
      <w:r>
        <w:rPr>
          <w:rFonts w:ascii="Times New Roman" w:hAnsi="Times New Roman"/>
          <w:b/>
          <w:sz w:val="24"/>
          <w:szCs w:val="24"/>
          <w:lang w:eastAsia="ru-RU"/>
        </w:rPr>
        <w:t>Достоверность данных, содержащихся в</w:t>
      </w:r>
    </w:p>
    <w:p w14:paraId="018BA62A" w14:textId="77777777" w:rsidR="002449C2" w:rsidRDefault="00123961">
      <w:pPr>
        <w:spacing w:after="0" w:line="240" w:lineRule="auto"/>
        <w:jc w:val="right"/>
        <w:rPr>
          <w:rFonts w:ascii="Times New Roman" w:hAnsi="Times New Roman"/>
          <w:sz w:val="24"/>
          <w:szCs w:val="24"/>
          <w:lang w:eastAsia="ru-RU"/>
        </w:rPr>
      </w:pPr>
      <w:r>
        <w:rPr>
          <w:rFonts w:ascii="Times New Roman" w:hAnsi="Times New Roman"/>
          <w:b/>
          <w:sz w:val="24"/>
          <w:szCs w:val="24"/>
          <w:lang w:eastAsia="ru-RU"/>
        </w:rPr>
        <w:t>годовом отчете, подтверждена:</w:t>
      </w:r>
    </w:p>
    <w:p w14:paraId="6572501A" w14:textId="77777777" w:rsidR="002449C2" w:rsidRDefault="00123961">
      <w:pPr>
        <w:spacing w:after="0" w:line="240" w:lineRule="auto"/>
        <w:jc w:val="right"/>
        <w:rPr>
          <w:rFonts w:ascii="Times New Roman" w:hAnsi="Times New Roman"/>
          <w:sz w:val="24"/>
          <w:szCs w:val="24"/>
          <w:lang w:eastAsia="ru-RU"/>
        </w:rPr>
      </w:pPr>
      <w:r>
        <w:rPr>
          <w:rFonts w:ascii="Times New Roman" w:hAnsi="Times New Roman"/>
          <w:sz w:val="24"/>
          <w:szCs w:val="24"/>
          <w:lang w:eastAsia="ru-RU"/>
        </w:rPr>
        <w:t>решением Ревизионной комиссии</w:t>
      </w:r>
    </w:p>
    <w:p w14:paraId="6D77F426" w14:textId="77777777" w:rsidR="002449C2" w:rsidRDefault="00123961">
      <w:pPr>
        <w:spacing w:after="0" w:line="240" w:lineRule="auto"/>
        <w:jc w:val="right"/>
        <w:rPr>
          <w:rFonts w:ascii="Times New Roman" w:hAnsi="Times New Roman"/>
          <w:sz w:val="24"/>
          <w:szCs w:val="24"/>
          <w:lang w:eastAsia="ru-RU"/>
        </w:rPr>
      </w:pPr>
      <w:r>
        <w:rPr>
          <w:rFonts w:ascii="Times New Roman" w:hAnsi="Times New Roman"/>
          <w:sz w:val="24"/>
          <w:szCs w:val="24"/>
          <w:lang w:eastAsia="ru-RU"/>
        </w:rPr>
        <w:t>ПАО «__________» _</w:t>
      </w:r>
      <w:proofErr w:type="gramStart"/>
      <w:r>
        <w:rPr>
          <w:rFonts w:ascii="Times New Roman" w:hAnsi="Times New Roman"/>
          <w:sz w:val="24"/>
          <w:szCs w:val="24"/>
          <w:lang w:eastAsia="ru-RU"/>
        </w:rPr>
        <w:t>_._</w:t>
      </w:r>
      <w:proofErr w:type="gramEnd"/>
      <w:r>
        <w:rPr>
          <w:rFonts w:ascii="Times New Roman" w:hAnsi="Times New Roman"/>
          <w:sz w:val="24"/>
          <w:szCs w:val="24"/>
          <w:lang w:eastAsia="ru-RU"/>
        </w:rPr>
        <w:t>_.2025</w:t>
      </w:r>
    </w:p>
    <w:p w14:paraId="2DDE4107" w14:textId="77777777" w:rsidR="002449C2" w:rsidRDefault="00123961">
      <w:pPr>
        <w:spacing w:after="0" w:line="240" w:lineRule="auto"/>
        <w:jc w:val="right"/>
        <w:rPr>
          <w:rFonts w:ascii="Times New Roman" w:hAnsi="Times New Roman"/>
          <w:sz w:val="24"/>
          <w:szCs w:val="24"/>
          <w:lang w:eastAsia="ru-RU"/>
        </w:rPr>
      </w:pPr>
      <w:r>
        <w:rPr>
          <w:rFonts w:ascii="Times New Roman" w:hAnsi="Times New Roman"/>
          <w:sz w:val="24"/>
          <w:szCs w:val="24"/>
          <w:lang w:eastAsia="ru-RU"/>
        </w:rPr>
        <w:t xml:space="preserve"> (протокол от _</w:t>
      </w:r>
      <w:proofErr w:type="gramStart"/>
      <w:r>
        <w:rPr>
          <w:rFonts w:ascii="Times New Roman" w:hAnsi="Times New Roman"/>
          <w:sz w:val="24"/>
          <w:szCs w:val="24"/>
          <w:lang w:eastAsia="ru-RU"/>
        </w:rPr>
        <w:t>_._</w:t>
      </w:r>
      <w:proofErr w:type="gramEnd"/>
      <w:r>
        <w:rPr>
          <w:rFonts w:ascii="Times New Roman" w:hAnsi="Times New Roman"/>
          <w:sz w:val="24"/>
          <w:szCs w:val="24"/>
          <w:lang w:eastAsia="ru-RU"/>
        </w:rPr>
        <w:t>_.2025 № __)</w:t>
      </w:r>
    </w:p>
    <w:p w14:paraId="427180AF" w14:textId="77777777" w:rsidR="002449C2" w:rsidRDefault="002449C2">
      <w:pPr>
        <w:spacing w:after="120" w:line="240" w:lineRule="auto"/>
        <w:jc w:val="both"/>
        <w:rPr>
          <w:rFonts w:ascii="Times New Roman" w:hAnsi="Times New Roman"/>
          <w:sz w:val="24"/>
          <w:szCs w:val="24"/>
          <w:lang w:eastAsia="ru-RU"/>
        </w:rPr>
      </w:pPr>
    </w:p>
    <w:p w14:paraId="17629CEF" w14:textId="77777777" w:rsidR="002449C2" w:rsidRDefault="002449C2">
      <w:pPr>
        <w:spacing w:after="120" w:line="240" w:lineRule="auto"/>
        <w:jc w:val="both"/>
        <w:rPr>
          <w:rFonts w:ascii="Times New Roman" w:hAnsi="Times New Roman"/>
          <w:sz w:val="24"/>
          <w:szCs w:val="24"/>
          <w:lang w:eastAsia="ru-RU"/>
        </w:rPr>
      </w:pPr>
    </w:p>
    <w:p w14:paraId="3D2B2AC1" w14:textId="77777777" w:rsidR="002449C2" w:rsidRDefault="002449C2">
      <w:pPr>
        <w:spacing w:after="120" w:line="240" w:lineRule="auto"/>
        <w:jc w:val="both"/>
        <w:rPr>
          <w:rFonts w:ascii="Times New Roman" w:hAnsi="Times New Roman"/>
          <w:sz w:val="24"/>
          <w:szCs w:val="24"/>
          <w:lang w:eastAsia="ru-RU"/>
        </w:rPr>
      </w:pPr>
    </w:p>
    <w:p w14:paraId="3C141537" w14:textId="77777777" w:rsidR="002449C2" w:rsidRDefault="002449C2">
      <w:pPr>
        <w:spacing w:after="120" w:line="240" w:lineRule="auto"/>
        <w:jc w:val="both"/>
        <w:rPr>
          <w:rFonts w:ascii="Times New Roman" w:hAnsi="Times New Roman"/>
          <w:sz w:val="24"/>
          <w:szCs w:val="24"/>
          <w:lang w:eastAsia="ru-RU"/>
        </w:rPr>
      </w:pPr>
    </w:p>
    <w:p w14:paraId="697EB66B" w14:textId="77777777" w:rsidR="002449C2" w:rsidRDefault="002449C2">
      <w:pPr>
        <w:spacing w:after="120" w:line="240" w:lineRule="auto"/>
        <w:jc w:val="both"/>
        <w:rPr>
          <w:rFonts w:ascii="Times New Roman" w:hAnsi="Times New Roman"/>
          <w:sz w:val="24"/>
          <w:szCs w:val="24"/>
          <w:lang w:eastAsia="ru-RU"/>
        </w:rPr>
      </w:pPr>
    </w:p>
    <w:p w14:paraId="3D29261A" w14:textId="77777777" w:rsidR="002449C2" w:rsidRDefault="00123961">
      <w:pPr>
        <w:spacing w:after="120" w:line="240" w:lineRule="auto"/>
        <w:jc w:val="center"/>
        <w:rPr>
          <w:rFonts w:ascii="Times New Roman" w:hAnsi="Times New Roman"/>
          <w:b/>
          <w:color w:val="1F3864"/>
          <w:sz w:val="56"/>
          <w:szCs w:val="24"/>
          <w:lang w:eastAsia="ru-RU"/>
        </w:rPr>
      </w:pPr>
      <w:r>
        <w:rPr>
          <w:rFonts w:ascii="Times New Roman" w:hAnsi="Times New Roman"/>
          <w:b/>
          <w:color w:val="1F3864"/>
          <w:sz w:val="56"/>
          <w:szCs w:val="24"/>
          <w:lang w:eastAsia="ru-RU"/>
        </w:rPr>
        <w:t>ГОДОВОЙ ОТЧЕТ</w:t>
      </w:r>
    </w:p>
    <w:p w14:paraId="6EA77741" w14:textId="77777777" w:rsidR="002449C2" w:rsidRDefault="00123961">
      <w:pPr>
        <w:spacing w:after="0" w:line="240" w:lineRule="auto"/>
        <w:jc w:val="center"/>
        <w:rPr>
          <w:rFonts w:ascii="Times New Roman" w:hAnsi="Times New Roman"/>
          <w:b/>
          <w:sz w:val="40"/>
          <w:szCs w:val="24"/>
          <w:lang w:eastAsia="ru-RU"/>
        </w:rPr>
      </w:pPr>
      <w:r>
        <w:rPr>
          <w:rFonts w:ascii="Times New Roman" w:hAnsi="Times New Roman"/>
          <w:b/>
          <w:sz w:val="40"/>
          <w:szCs w:val="24"/>
          <w:lang w:eastAsia="ru-RU"/>
        </w:rPr>
        <w:t xml:space="preserve">Публичного акционерного общества </w:t>
      </w:r>
    </w:p>
    <w:p w14:paraId="2996E137" w14:textId="77777777" w:rsidR="002449C2" w:rsidRDefault="00123961">
      <w:pPr>
        <w:tabs>
          <w:tab w:val="left" w:pos="142"/>
        </w:tabs>
        <w:spacing w:after="0" w:line="240" w:lineRule="auto"/>
        <w:ind w:firstLine="567"/>
        <w:jc w:val="center"/>
        <w:rPr>
          <w:rFonts w:ascii="Times New Roman" w:hAnsi="Times New Roman"/>
          <w:b/>
          <w:sz w:val="40"/>
          <w:szCs w:val="24"/>
          <w:lang w:eastAsia="ru-RU"/>
        </w:rPr>
      </w:pPr>
      <w:r>
        <w:rPr>
          <w:rFonts w:ascii="Cambria" w:eastAsia="Times New Roman" w:hAnsi="Cambria" w:cs="Calibri"/>
          <w:b/>
          <w:sz w:val="40"/>
          <w:szCs w:val="40"/>
          <w:lang w:eastAsia="ru-RU"/>
        </w:rPr>
        <w:t xml:space="preserve"> </w:t>
      </w:r>
      <w:r>
        <w:rPr>
          <w:rFonts w:ascii="Times New Roman" w:hAnsi="Times New Roman"/>
          <w:b/>
          <w:sz w:val="40"/>
          <w:szCs w:val="24"/>
          <w:lang w:eastAsia="ru-RU"/>
        </w:rPr>
        <w:t>«Россети Юг»</w:t>
      </w:r>
    </w:p>
    <w:p w14:paraId="1C4AC456" w14:textId="77777777" w:rsidR="002449C2" w:rsidRDefault="00123961">
      <w:pPr>
        <w:tabs>
          <w:tab w:val="left" w:pos="142"/>
        </w:tabs>
        <w:spacing w:after="0" w:line="240" w:lineRule="auto"/>
        <w:ind w:firstLine="567"/>
        <w:jc w:val="center"/>
        <w:rPr>
          <w:rFonts w:ascii="Times New Roman" w:hAnsi="Times New Roman"/>
          <w:b/>
          <w:sz w:val="40"/>
          <w:szCs w:val="24"/>
          <w:lang w:eastAsia="ru-RU"/>
        </w:rPr>
      </w:pPr>
      <w:r>
        <w:rPr>
          <w:rFonts w:ascii="Times New Roman" w:hAnsi="Times New Roman"/>
          <w:b/>
          <w:sz w:val="40"/>
          <w:szCs w:val="24"/>
          <w:lang w:eastAsia="ru-RU"/>
        </w:rPr>
        <w:t xml:space="preserve"> за 2024 год</w:t>
      </w:r>
    </w:p>
    <w:p w14:paraId="7B5AEA69" w14:textId="77777777" w:rsidR="002449C2" w:rsidRDefault="002449C2">
      <w:pPr>
        <w:tabs>
          <w:tab w:val="left" w:pos="142"/>
        </w:tabs>
        <w:spacing w:before="120" w:after="0" w:line="240" w:lineRule="auto"/>
        <w:ind w:firstLine="567"/>
        <w:jc w:val="center"/>
        <w:rPr>
          <w:rFonts w:ascii="Cambria" w:eastAsia="Times New Roman" w:hAnsi="Cambria" w:cs="Calibri"/>
          <w:b/>
          <w:sz w:val="40"/>
          <w:szCs w:val="40"/>
          <w:lang w:eastAsia="ru-RU"/>
        </w:rPr>
      </w:pPr>
    </w:p>
    <w:p w14:paraId="69DFAFCF" w14:textId="77777777" w:rsidR="002449C2" w:rsidRDefault="002449C2">
      <w:pPr>
        <w:tabs>
          <w:tab w:val="left" w:pos="142"/>
        </w:tabs>
        <w:spacing w:after="0" w:line="240" w:lineRule="auto"/>
        <w:ind w:firstLine="567"/>
        <w:rPr>
          <w:rFonts w:ascii="Cambria" w:eastAsia="Times New Roman" w:hAnsi="Cambria" w:cs="Calibri"/>
          <w:b/>
          <w:sz w:val="26"/>
          <w:szCs w:val="26"/>
          <w:lang w:eastAsia="ru-RU"/>
        </w:rPr>
      </w:pPr>
    </w:p>
    <w:tbl>
      <w:tblPr>
        <w:tblpPr w:leftFromText="180" w:rightFromText="180" w:vertAnchor="text" w:horzAnchor="margin" w:tblpY="94"/>
        <w:tblW w:w="9355" w:type="dxa"/>
        <w:tblLayout w:type="fixed"/>
        <w:tblLook w:val="04A0" w:firstRow="1" w:lastRow="0" w:firstColumn="1" w:lastColumn="0" w:noHBand="0" w:noVBand="1"/>
      </w:tblPr>
      <w:tblGrid>
        <w:gridCol w:w="3170"/>
        <w:gridCol w:w="3066"/>
        <w:gridCol w:w="3119"/>
      </w:tblGrid>
      <w:tr w:rsidR="002449C2" w14:paraId="53EF8044" w14:textId="77777777">
        <w:tc>
          <w:tcPr>
            <w:tcW w:w="3170" w:type="dxa"/>
          </w:tcPr>
          <w:p w14:paraId="4568872B" w14:textId="77777777" w:rsidR="002449C2" w:rsidRDefault="002449C2">
            <w:pPr>
              <w:spacing w:after="0" w:line="240" w:lineRule="auto"/>
              <w:jc w:val="both"/>
              <w:rPr>
                <w:rFonts w:ascii="Times New Roman" w:hAnsi="Times New Roman"/>
                <w:sz w:val="26"/>
                <w:szCs w:val="26"/>
                <w:lang w:eastAsia="ru-RU"/>
              </w:rPr>
            </w:pPr>
          </w:p>
          <w:p w14:paraId="561656D5" w14:textId="77777777" w:rsidR="002449C2" w:rsidRDefault="002449C2">
            <w:pPr>
              <w:spacing w:after="0" w:line="240" w:lineRule="auto"/>
              <w:jc w:val="both"/>
              <w:rPr>
                <w:rFonts w:ascii="Times New Roman" w:hAnsi="Times New Roman"/>
                <w:sz w:val="26"/>
                <w:szCs w:val="26"/>
                <w:lang w:eastAsia="ru-RU"/>
              </w:rPr>
            </w:pPr>
          </w:p>
          <w:p w14:paraId="320E1DE5" w14:textId="77777777" w:rsidR="002449C2" w:rsidRDefault="002449C2">
            <w:pPr>
              <w:spacing w:after="0" w:line="240" w:lineRule="auto"/>
              <w:jc w:val="both"/>
              <w:rPr>
                <w:rFonts w:ascii="Times New Roman" w:hAnsi="Times New Roman"/>
                <w:sz w:val="26"/>
                <w:szCs w:val="26"/>
                <w:lang w:eastAsia="ru-RU"/>
              </w:rPr>
            </w:pPr>
          </w:p>
          <w:p w14:paraId="629D9EF9" w14:textId="77777777" w:rsidR="002449C2" w:rsidRDefault="00123961">
            <w:pPr>
              <w:spacing w:after="0" w:line="240" w:lineRule="auto"/>
              <w:jc w:val="both"/>
              <w:rPr>
                <w:rFonts w:ascii="Times New Roman" w:hAnsi="Times New Roman"/>
                <w:sz w:val="26"/>
                <w:szCs w:val="26"/>
                <w:lang w:eastAsia="ru-RU"/>
              </w:rPr>
            </w:pPr>
            <w:r>
              <w:rPr>
                <w:rFonts w:ascii="Times New Roman" w:hAnsi="Times New Roman"/>
                <w:sz w:val="26"/>
                <w:szCs w:val="26"/>
                <w:lang w:eastAsia="ru-RU"/>
              </w:rPr>
              <w:t>Генеральный директор</w:t>
            </w:r>
          </w:p>
          <w:p w14:paraId="53E8ACEB" w14:textId="77777777" w:rsidR="002449C2" w:rsidRDefault="00123961">
            <w:pPr>
              <w:spacing w:after="0" w:line="240" w:lineRule="auto"/>
              <w:jc w:val="both"/>
              <w:rPr>
                <w:rFonts w:ascii="Times New Roman" w:hAnsi="Times New Roman"/>
                <w:sz w:val="26"/>
                <w:szCs w:val="26"/>
                <w:lang w:eastAsia="ru-RU"/>
              </w:rPr>
            </w:pPr>
            <w:r>
              <w:rPr>
                <w:rFonts w:ascii="Times New Roman" w:hAnsi="Times New Roman"/>
                <w:sz w:val="26"/>
                <w:szCs w:val="26"/>
                <w:lang w:eastAsia="ru-RU"/>
              </w:rPr>
              <w:t>ПАО «Россети Юг»</w:t>
            </w:r>
          </w:p>
        </w:tc>
        <w:tc>
          <w:tcPr>
            <w:tcW w:w="3066" w:type="dxa"/>
          </w:tcPr>
          <w:p w14:paraId="203E93E2" w14:textId="77777777" w:rsidR="002449C2" w:rsidRDefault="002449C2">
            <w:pPr>
              <w:spacing w:after="0" w:line="240" w:lineRule="auto"/>
              <w:jc w:val="both"/>
              <w:rPr>
                <w:rFonts w:ascii="Times New Roman" w:hAnsi="Times New Roman"/>
                <w:sz w:val="26"/>
                <w:szCs w:val="26"/>
                <w:lang w:eastAsia="ru-RU"/>
              </w:rPr>
            </w:pPr>
          </w:p>
        </w:tc>
        <w:tc>
          <w:tcPr>
            <w:tcW w:w="3119" w:type="dxa"/>
          </w:tcPr>
          <w:p w14:paraId="1BBBF6C8" w14:textId="77777777" w:rsidR="002449C2" w:rsidRDefault="002449C2">
            <w:pPr>
              <w:spacing w:after="0" w:line="240" w:lineRule="auto"/>
              <w:jc w:val="both"/>
              <w:rPr>
                <w:rFonts w:ascii="Times New Roman" w:hAnsi="Times New Roman"/>
                <w:sz w:val="26"/>
                <w:szCs w:val="26"/>
                <w:lang w:eastAsia="ru-RU"/>
              </w:rPr>
            </w:pPr>
          </w:p>
          <w:p w14:paraId="14F71A8B" w14:textId="77777777" w:rsidR="002449C2" w:rsidRDefault="002449C2">
            <w:pPr>
              <w:spacing w:after="0" w:line="240" w:lineRule="auto"/>
              <w:jc w:val="both"/>
              <w:rPr>
                <w:rFonts w:ascii="Times New Roman" w:hAnsi="Times New Roman"/>
                <w:sz w:val="26"/>
                <w:szCs w:val="26"/>
                <w:lang w:eastAsia="ru-RU"/>
              </w:rPr>
            </w:pPr>
          </w:p>
          <w:p w14:paraId="66C20FB3" w14:textId="77777777" w:rsidR="002449C2" w:rsidRDefault="002449C2">
            <w:pPr>
              <w:spacing w:after="0" w:line="240" w:lineRule="auto"/>
              <w:jc w:val="both"/>
              <w:rPr>
                <w:rFonts w:ascii="Times New Roman" w:hAnsi="Times New Roman"/>
                <w:sz w:val="26"/>
                <w:szCs w:val="26"/>
                <w:lang w:eastAsia="ru-RU"/>
              </w:rPr>
            </w:pPr>
          </w:p>
          <w:p w14:paraId="3DE131A0" w14:textId="77777777" w:rsidR="002449C2" w:rsidRDefault="002449C2">
            <w:pPr>
              <w:spacing w:after="0" w:line="240" w:lineRule="auto"/>
              <w:jc w:val="both"/>
              <w:rPr>
                <w:rFonts w:ascii="Times New Roman" w:hAnsi="Times New Roman"/>
                <w:sz w:val="26"/>
                <w:szCs w:val="26"/>
                <w:lang w:eastAsia="ru-RU"/>
              </w:rPr>
            </w:pPr>
          </w:p>
          <w:p w14:paraId="03399AAD" w14:textId="77777777" w:rsidR="002449C2" w:rsidRDefault="00123961">
            <w:pPr>
              <w:spacing w:after="0" w:line="240" w:lineRule="auto"/>
              <w:jc w:val="both"/>
              <w:rPr>
                <w:rFonts w:ascii="Times New Roman" w:hAnsi="Times New Roman"/>
                <w:sz w:val="26"/>
                <w:szCs w:val="26"/>
                <w:lang w:eastAsia="ru-RU"/>
              </w:rPr>
            </w:pPr>
            <w:r>
              <w:rPr>
                <w:rFonts w:ascii="Times New Roman" w:hAnsi="Times New Roman"/>
                <w:sz w:val="26"/>
                <w:szCs w:val="26"/>
                <w:lang w:eastAsia="ru-RU"/>
              </w:rPr>
              <w:t>А.А. Рыбин</w:t>
            </w:r>
          </w:p>
        </w:tc>
      </w:tr>
    </w:tbl>
    <w:p w14:paraId="26188AFF" w14:textId="77777777" w:rsidR="002449C2" w:rsidRDefault="002449C2">
      <w:pPr>
        <w:spacing w:after="0" w:line="240" w:lineRule="auto"/>
        <w:jc w:val="both"/>
        <w:rPr>
          <w:rFonts w:ascii="Times New Roman" w:hAnsi="Times New Roman"/>
          <w:sz w:val="26"/>
          <w:szCs w:val="26"/>
          <w:lang w:eastAsia="ru-RU"/>
        </w:rPr>
      </w:pPr>
    </w:p>
    <w:p w14:paraId="16991E66" w14:textId="77777777" w:rsidR="002449C2" w:rsidRDefault="002449C2">
      <w:pPr>
        <w:tabs>
          <w:tab w:val="left" w:pos="142"/>
        </w:tabs>
        <w:spacing w:after="0" w:line="240" w:lineRule="auto"/>
        <w:ind w:firstLine="567"/>
        <w:rPr>
          <w:rFonts w:ascii="Cambria" w:eastAsia="Times New Roman" w:hAnsi="Cambria" w:cs="Calibri"/>
          <w:b/>
          <w:sz w:val="24"/>
          <w:szCs w:val="24"/>
          <w:lang w:eastAsia="ru-RU"/>
        </w:rPr>
      </w:pPr>
    </w:p>
    <w:tbl>
      <w:tblPr>
        <w:tblpPr w:leftFromText="180" w:rightFromText="180" w:vertAnchor="text" w:horzAnchor="margin" w:tblpY="94"/>
        <w:tblW w:w="9355" w:type="dxa"/>
        <w:tblLayout w:type="fixed"/>
        <w:tblLook w:val="04A0" w:firstRow="1" w:lastRow="0" w:firstColumn="1" w:lastColumn="0" w:noHBand="0" w:noVBand="1"/>
      </w:tblPr>
      <w:tblGrid>
        <w:gridCol w:w="3118"/>
        <w:gridCol w:w="3118"/>
        <w:gridCol w:w="3119"/>
      </w:tblGrid>
      <w:tr w:rsidR="002449C2" w14:paraId="42942369" w14:textId="77777777">
        <w:tc>
          <w:tcPr>
            <w:tcW w:w="3118" w:type="dxa"/>
          </w:tcPr>
          <w:p w14:paraId="0B2FE6A8" w14:textId="77777777" w:rsidR="002449C2" w:rsidRDefault="002449C2">
            <w:pPr>
              <w:spacing w:after="0" w:line="240" w:lineRule="auto"/>
              <w:jc w:val="both"/>
              <w:rPr>
                <w:rFonts w:ascii="Times New Roman" w:hAnsi="Times New Roman"/>
                <w:sz w:val="26"/>
                <w:szCs w:val="26"/>
                <w:lang w:eastAsia="ru-RU"/>
              </w:rPr>
            </w:pPr>
          </w:p>
        </w:tc>
        <w:tc>
          <w:tcPr>
            <w:tcW w:w="3118" w:type="dxa"/>
          </w:tcPr>
          <w:p w14:paraId="47B065F7" w14:textId="77777777" w:rsidR="002449C2" w:rsidRDefault="002449C2">
            <w:pPr>
              <w:spacing w:after="0" w:line="240" w:lineRule="auto"/>
              <w:jc w:val="both"/>
              <w:rPr>
                <w:rFonts w:ascii="Times New Roman" w:hAnsi="Times New Roman"/>
                <w:sz w:val="26"/>
                <w:szCs w:val="26"/>
                <w:lang w:eastAsia="ru-RU"/>
              </w:rPr>
            </w:pPr>
          </w:p>
        </w:tc>
        <w:tc>
          <w:tcPr>
            <w:tcW w:w="3119" w:type="dxa"/>
          </w:tcPr>
          <w:p w14:paraId="554491A4" w14:textId="77777777" w:rsidR="002449C2" w:rsidRDefault="002449C2">
            <w:pPr>
              <w:spacing w:after="0" w:line="240" w:lineRule="auto"/>
              <w:jc w:val="both"/>
              <w:rPr>
                <w:rFonts w:ascii="Times New Roman" w:hAnsi="Times New Roman"/>
                <w:sz w:val="26"/>
                <w:szCs w:val="26"/>
                <w:lang w:eastAsia="ru-RU"/>
              </w:rPr>
            </w:pPr>
          </w:p>
        </w:tc>
      </w:tr>
    </w:tbl>
    <w:p w14:paraId="481F3D06" w14:textId="77777777" w:rsidR="002449C2" w:rsidRDefault="002449C2">
      <w:pPr>
        <w:tabs>
          <w:tab w:val="left" w:pos="142"/>
        </w:tabs>
        <w:spacing w:after="0" w:line="240" w:lineRule="auto"/>
        <w:ind w:firstLine="567"/>
        <w:rPr>
          <w:rFonts w:ascii="Cambria" w:eastAsia="Times New Roman" w:hAnsi="Cambria" w:cs="Calibri"/>
          <w:b/>
          <w:sz w:val="24"/>
          <w:szCs w:val="24"/>
          <w:lang w:eastAsia="ru-RU"/>
        </w:rPr>
      </w:pPr>
    </w:p>
    <w:p w14:paraId="7174ECC3" w14:textId="77777777" w:rsidR="002449C2" w:rsidRDefault="002449C2">
      <w:pPr>
        <w:tabs>
          <w:tab w:val="left" w:pos="142"/>
        </w:tabs>
        <w:spacing w:after="0" w:line="240" w:lineRule="auto"/>
        <w:ind w:firstLine="567"/>
        <w:jc w:val="center"/>
        <w:rPr>
          <w:rFonts w:ascii="Cambria" w:eastAsia="Times New Roman" w:hAnsi="Cambria" w:cs="Calibri"/>
          <w:sz w:val="24"/>
          <w:szCs w:val="24"/>
          <w:lang w:eastAsia="ru-RU"/>
        </w:rPr>
      </w:pPr>
    </w:p>
    <w:p w14:paraId="2DABF006" w14:textId="77777777" w:rsidR="002449C2" w:rsidRDefault="002449C2">
      <w:pPr>
        <w:tabs>
          <w:tab w:val="left" w:pos="142"/>
        </w:tabs>
        <w:spacing w:after="0" w:line="240" w:lineRule="auto"/>
        <w:ind w:firstLine="567"/>
        <w:jc w:val="center"/>
        <w:rPr>
          <w:rFonts w:ascii="Cambria" w:eastAsia="Times New Roman" w:hAnsi="Cambria" w:cs="Calibri"/>
          <w:sz w:val="24"/>
          <w:szCs w:val="24"/>
          <w:lang w:eastAsia="ru-RU"/>
        </w:rPr>
      </w:pPr>
    </w:p>
    <w:p w14:paraId="3823E155" w14:textId="77777777" w:rsidR="002449C2" w:rsidRDefault="002449C2">
      <w:pPr>
        <w:tabs>
          <w:tab w:val="left" w:pos="142"/>
        </w:tabs>
        <w:spacing w:after="0" w:line="240" w:lineRule="auto"/>
        <w:ind w:firstLine="567"/>
        <w:jc w:val="center"/>
        <w:rPr>
          <w:rFonts w:ascii="Cambria" w:eastAsia="Times New Roman" w:hAnsi="Cambria" w:cs="Calibri"/>
          <w:sz w:val="24"/>
          <w:szCs w:val="24"/>
          <w:lang w:eastAsia="ru-RU"/>
        </w:rPr>
      </w:pPr>
    </w:p>
    <w:p w14:paraId="53885AD6" w14:textId="77777777" w:rsidR="008560BD" w:rsidRDefault="008560BD">
      <w:pPr>
        <w:tabs>
          <w:tab w:val="left" w:pos="142"/>
        </w:tabs>
        <w:spacing w:after="0" w:line="240" w:lineRule="auto"/>
        <w:ind w:firstLine="567"/>
        <w:jc w:val="center"/>
        <w:rPr>
          <w:rFonts w:ascii="Cambria" w:eastAsia="Times New Roman" w:hAnsi="Cambria" w:cs="Calibri"/>
          <w:sz w:val="24"/>
          <w:szCs w:val="24"/>
          <w:lang w:eastAsia="ru-RU"/>
        </w:rPr>
      </w:pPr>
    </w:p>
    <w:p w14:paraId="31119F3B" w14:textId="77777777" w:rsidR="008560BD" w:rsidRDefault="008560BD">
      <w:pPr>
        <w:tabs>
          <w:tab w:val="left" w:pos="142"/>
        </w:tabs>
        <w:spacing w:after="0" w:line="240" w:lineRule="auto"/>
        <w:ind w:firstLine="567"/>
        <w:jc w:val="center"/>
        <w:rPr>
          <w:rFonts w:ascii="Cambria" w:eastAsia="Times New Roman" w:hAnsi="Cambria" w:cs="Calibri"/>
          <w:sz w:val="24"/>
          <w:szCs w:val="24"/>
          <w:lang w:eastAsia="ru-RU"/>
        </w:rPr>
      </w:pPr>
    </w:p>
    <w:p w14:paraId="0C166BF6" w14:textId="792A443A" w:rsidR="008560BD" w:rsidRPr="004B063C" w:rsidRDefault="004B063C">
      <w:pPr>
        <w:tabs>
          <w:tab w:val="left" w:pos="142"/>
        </w:tabs>
        <w:spacing w:after="0" w:line="240" w:lineRule="auto"/>
        <w:ind w:firstLine="567"/>
        <w:jc w:val="center"/>
        <w:rPr>
          <w:rFonts w:ascii="Times New Roman" w:hAnsi="Times New Roman"/>
          <w:sz w:val="26"/>
          <w:szCs w:val="26"/>
          <w:lang w:eastAsia="ru-RU"/>
        </w:rPr>
      </w:pPr>
      <w:r w:rsidRPr="004B063C">
        <w:rPr>
          <w:rFonts w:ascii="Times New Roman" w:hAnsi="Times New Roman"/>
          <w:sz w:val="26"/>
          <w:szCs w:val="26"/>
          <w:lang w:eastAsia="ru-RU"/>
        </w:rPr>
        <w:t>Ростов-на-дону</w:t>
      </w:r>
    </w:p>
    <w:sdt>
      <w:sdtPr>
        <w:rPr>
          <w:rFonts w:ascii="Calibri" w:eastAsia="Calibri" w:hAnsi="Calibri"/>
          <w:b w:val="0"/>
          <w:bCs w:val="0"/>
          <w:color w:val="auto"/>
          <w:sz w:val="22"/>
          <w:szCs w:val="22"/>
          <w:lang w:eastAsia="zh-CN"/>
        </w:rPr>
        <w:id w:val="1313443499"/>
        <w:docPartObj>
          <w:docPartGallery w:val="Table of Contents"/>
          <w:docPartUnique/>
        </w:docPartObj>
      </w:sdtPr>
      <w:sdtEndPr/>
      <w:sdtContent>
        <w:p w14:paraId="53386175" w14:textId="77777777" w:rsidR="002449C2" w:rsidRDefault="00123961">
          <w:pPr>
            <w:pStyle w:val="afffd"/>
            <w:spacing w:before="0"/>
            <w:jc w:val="center"/>
          </w:pPr>
          <w:r>
            <w:br w:type="page"/>
          </w:r>
          <w:r>
            <w:lastRenderedPageBreak/>
            <w:t>Оглавление</w:t>
          </w:r>
        </w:p>
        <w:p w14:paraId="15D373E5" w14:textId="7DCAA9AD" w:rsidR="00721EEB" w:rsidRDefault="00123961">
          <w:pPr>
            <w:pStyle w:val="1f3"/>
            <w:rPr>
              <w:rFonts w:asciiTheme="minorHAnsi" w:eastAsiaTheme="minorEastAsia" w:hAnsiTheme="minorHAnsi" w:cstheme="minorBidi"/>
              <w:b w:val="0"/>
              <w:noProof/>
              <w:sz w:val="22"/>
              <w:szCs w:val="22"/>
              <w:lang w:eastAsia="ru-RU"/>
            </w:rPr>
          </w:pPr>
          <w:r>
            <w:fldChar w:fldCharType="begin"/>
          </w:r>
          <w:r>
            <w:rPr>
              <w:rStyle w:val="afff9"/>
              <w:bCs/>
              <w:webHidden/>
              <w:lang w:eastAsia="ru-RU"/>
            </w:rPr>
            <w:instrText xml:space="preserve"> TOC \z \o "1-3" \u \h</w:instrText>
          </w:r>
          <w:r>
            <w:rPr>
              <w:rStyle w:val="afff9"/>
              <w:bCs/>
              <w:lang w:eastAsia="ru-RU"/>
            </w:rPr>
            <w:fldChar w:fldCharType="separate"/>
          </w:r>
          <w:hyperlink w:anchor="_Toc196142998" w:history="1">
            <w:r w:rsidR="00721EEB" w:rsidRPr="004B2F20">
              <w:rPr>
                <w:rStyle w:val="ab"/>
                <w:bCs/>
                <w:noProof/>
                <w:lang w:eastAsia="ru-RU"/>
              </w:rPr>
              <w:t>О КОМПАНИИ</w:t>
            </w:r>
            <w:r w:rsidR="00721EEB">
              <w:rPr>
                <w:noProof/>
                <w:webHidden/>
              </w:rPr>
              <w:tab/>
            </w:r>
            <w:r w:rsidR="00721EEB">
              <w:rPr>
                <w:noProof/>
                <w:webHidden/>
              </w:rPr>
              <w:fldChar w:fldCharType="begin"/>
            </w:r>
            <w:r w:rsidR="00721EEB">
              <w:rPr>
                <w:noProof/>
                <w:webHidden/>
              </w:rPr>
              <w:instrText xml:space="preserve"> PAGEREF _Toc196142998 \h </w:instrText>
            </w:r>
            <w:r w:rsidR="00721EEB">
              <w:rPr>
                <w:noProof/>
                <w:webHidden/>
              </w:rPr>
            </w:r>
            <w:r w:rsidR="00721EEB">
              <w:rPr>
                <w:noProof/>
                <w:webHidden/>
              </w:rPr>
              <w:fldChar w:fldCharType="separate"/>
            </w:r>
            <w:r w:rsidR="00721EEB">
              <w:rPr>
                <w:noProof/>
                <w:webHidden/>
              </w:rPr>
              <w:t>5</w:t>
            </w:r>
            <w:r w:rsidR="00721EEB">
              <w:rPr>
                <w:noProof/>
                <w:webHidden/>
              </w:rPr>
              <w:fldChar w:fldCharType="end"/>
            </w:r>
          </w:hyperlink>
        </w:p>
        <w:p w14:paraId="6C11D81A" w14:textId="1F486102" w:rsidR="00721EEB" w:rsidRDefault="00BD1222">
          <w:pPr>
            <w:pStyle w:val="2c"/>
            <w:tabs>
              <w:tab w:val="right" w:leader="dot" w:pos="9345"/>
            </w:tabs>
            <w:rPr>
              <w:rFonts w:asciiTheme="minorHAnsi" w:eastAsiaTheme="minorEastAsia" w:hAnsiTheme="minorHAnsi" w:cstheme="minorBidi"/>
              <w:noProof/>
              <w:lang w:eastAsia="ru-RU"/>
            </w:rPr>
          </w:pPr>
          <w:hyperlink w:anchor="_Toc196142999" w:history="1">
            <w:r w:rsidR="00721EEB" w:rsidRPr="004B2F20">
              <w:rPr>
                <w:rStyle w:val="ab"/>
                <w:rFonts w:ascii="Times New Roman" w:hAnsi="Times New Roman"/>
                <w:caps/>
                <w:noProof/>
                <w:spacing w:val="15"/>
                <w:lang w:eastAsia="en-US" w:bidi="en-US"/>
              </w:rPr>
              <w:t>Об отчете</w:t>
            </w:r>
            <w:r w:rsidR="00721EEB">
              <w:rPr>
                <w:noProof/>
                <w:webHidden/>
              </w:rPr>
              <w:tab/>
            </w:r>
            <w:r w:rsidR="00721EEB">
              <w:rPr>
                <w:noProof/>
                <w:webHidden/>
              </w:rPr>
              <w:fldChar w:fldCharType="begin"/>
            </w:r>
            <w:r w:rsidR="00721EEB">
              <w:rPr>
                <w:noProof/>
                <w:webHidden/>
              </w:rPr>
              <w:instrText xml:space="preserve"> PAGEREF _Toc196142999 \h </w:instrText>
            </w:r>
            <w:r w:rsidR="00721EEB">
              <w:rPr>
                <w:noProof/>
                <w:webHidden/>
              </w:rPr>
            </w:r>
            <w:r w:rsidR="00721EEB">
              <w:rPr>
                <w:noProof/>
                <w:webHidden/>
              </w:rPr>
              <w:fldChar w:fldCharType="separate"/>
            </w:r>
            <w:r w:rsidR="00721EEB">
              <w:rPr>
                <w:noProof/>
                <w:webHidden/>
              </w:rPr>
              <w:t>5</w:t>
            </w:r>
            <w:r w:rsidR="00721EEB">
              <w:rPr>
                <w:noProof/>
                <w:webHidden/>
              </w:rPr>
              <w:fldChar w:fldCharType="end"/>
            </w:r>
          </w:hyperlink>
        </w:p>
        <w:p w14:paraId="039C5B54" w14:textId="0B8B7C8D" w:rsidR="00721EEB" w:rsidRDefault="00BD1222">
          <w:pPr>
            <w:pStyle w:val="2c"/>
            <w:tabs>
              <w:tab w:val="right" w:leader="dot" w:pos="9345"/>
            </w:tabs>
            <w:rPr>
              <w:rFonts w:asciiTheme="minorHAnsi" w:eastAsiaTheme="minorEastAsia" w:hAnsiTheme="minorHAnsi" w:cstheme="minorBidi"/>
              <w:noProof/>
              <w:lang w:eastAsia="ru-RU"/>
            </w:rPr>
          </w:pPr>
          <w:hyperlink w:anchor="_Toc196143000" w:history="1">
            <w:r w:rsidR="00721EEB" w:rsidRPr="004B2F20">
              <w:rPr>
                <w:rStyle w:val="ab"/>
                <w:rFonts w:ascii="Times New Roman" w:hAnsi="Times New Roman"/>
                <w:caps/>
                <w:noProof/>
                <w:spacing w:val="15"/>
                <w:lang w:eastAsia="en-US" w:bidi="en-US"/>
              </w:rPr>
              <w:t>ОбращениЕ Председателя Совета директоров  ПАО «Россети Юг»</w:t>
            </w:r>
            <w:r w:rsidR="00721EEB" w:rsidRPr="004B2F20">
              <w:rPr>
                <w:rStyle w:val="ab"/>
                <w:rFonts w:ascii="Times New Roman" w:hAnsi="Times New Roman"/>
                <w:noProof/>
              </w:rPr>
              <w:t xml:space="preserve"> </w:t>
            </w:r>
            <w:r w:rsidR="00721EEB" w:rsidRPr="004B2F20">
              <w:rPr>
                <w:rStyle w:val="ab"/>
                <w:rFonts w:ascii="Times New Roman" w:hAnsi="Times New Roman"/>
                <w:caps/>
                <w:noProof/>
                <w:spacing w:val="15"/>
                <w:lang w:eastAsia="en-US" w:bidi="en-US"/>
              </w:rPr>
              <w:t>Д.В. Краинского</w:t>
            </w:r>
            <w:r w:rsidR="00721EEB">
              <w:rPr>
                <w:noProof/>
                <w:webHidden/>
              </w:rPr>
              <w:tab/>
            </w:r>
            <w:r w:rsidR="00721EEB">
              <w:rPr>
                <w:noProof/>
                <w:webHidden/>
              </w:rPr>
              <w:fldChar w:fldCharType="begin"/>
            </w:r>
            <w:r w:rsidR="00721EEB">
              <w:rPr>
                <w:noProof/>
                <w:webHidden/>
              </w:rPr>
              <w:instrText xml:space="preserve"> PAGEREF _Toc196143000 \h </w:instrText>
            </w:r>
            <w:r w:rsidR="00721EEB">
              <w:rPr>
                <w:noProof/>
                <w:webHidden/>
              </w:rPr>
            </w:r>
            <w:r w:rsidR="00721EEB">
              <w:rPr>
                <w:noProof/>
                <w:webHidden/>
              </w:rPr>
              <w:fldChar w:fldCharType="separate"/>
            </w:r>
            <w:r w:rsidR="00721EEB">
              <w:rPr>
                <w:noProof/>
                <w:webHidden/>
              </w:rPr>
              <w:t>7</w:t>
            </w:r>
            <w:r w:rsidR="00721EEB">
              <w:rPr>
                <w:noProof/>
                <w:webHidden/>
              </w:rPr>
              <w:fldChar w:fldCharType="end"/>
            </w:r>
          </w:hyperlink>
        </w:p>
        <w:p w14:paraId="20685EFD" w14:textId="47ED8789" w:rsidR="00721EEB" w:rsidRDefault="00BD1222">
          <w:pPr>
            <w:pStyle w:val="2c"/>
            <w:tabs>
              <w:tab w:val="right" w:leader="dot" w:pos="9345"/>
            </w:tabs>
            <w:rPr>
              <w:rFonts w:asciiTheme="minorHAnsi" w:eastAsiaTheme="minorEastAsia" w:hAnsiTheme="minorHAnsi" w:cstheme="minorBidi"/>
              <w:noProof/>
              <w:lang w:eastAsia="ru-RU"/>
            </w:rPr>
          </w:pPr>
          <w:hyperlink w:anchor="_Toc196143001" w:history="1">
            <w:r w:rsidR="00721EEB" w:rsidRPr="004B2F20">
              <w:rPr>
                <w:rStyle w:val="ab"/>
                <w:rFonts w:ascii="Times New Roman" w:hAnsi="Times New Roman"/>
                <w:caps/>
                <w:noProof/>
                <w:spacing w:val="15"/>
                <w:lang w:eastAsia="en-US" w:bidi="en-US"/>
              </w:rPr>
              <w:t>ОбращениЕ Председателя Правления,                  Генерального директора ПАО «Россети Юг»</w:t>
            </w:r>
            <w:r w:rsidR="00721EEB" w:rsidRPr="004B2F20">
              <w:rPr>
                <w:rStyle w:val="ab"/>
                <w:rFonts w:ascii="Times New Roman" w:hAnsi="Times New Roman"/>
                <w:noProof/>
                <w:lang w:eastAsia="en-US"/>
              </w:rPr>
              <w:t xml:space="preserve"> </w:t>
            </w:r>
            <w:r w:rsidR="00721EEB" w:rsidRPr="004B2F20">
              <w:rPr>
                <w:rStyle w:val="ab"/>
                <w:rFonts w:ascii="Times New Roman" w:hAnsi="Times New Roman"/>
                <w:caps/>
                <w:noProof/>
                <w:spacing w:val="15"/>
                <w:lang w:eastAsia="en-US" w:bidi="en-US"/>
              </w:rPr>
              <w:t>А.А. РЫБИНА</w:t>
            </w:r>
            <w:r w:rsidR="00721EEB">
              <w:rPr>
                <w:noProof/>
                <w:webHidden/>
              </w:rPr>
              <w:tab/>
            </w:r>
            <w:r w:rsidR="00721EEB">
              <w:rPr>
                <w:noProof/>
                <w:webHidden/>
              </w:rPr>
              <w:fldChar w:fldCharType="begin"/>
            </w:r>
            <w:r w:rsidR="00721EEB">
              <w:rPr>
                <w:noProof/>
                <w:webHidden/>
              </w:rPr>
              <w:instrText xml:space="preserve"> PAGEREF _Toc196143001 \h </w:instrText>
            </w:r>
            <w:r w:rsidR="00721EEB">
              <w:rPr>
                <w:noProof/>
                <w:webHidden/>
              </w:rPr>
            </w:r>
            <w:r w:rsidR="00721EEB">
              <w:rPr>
                <w:noProof/>
                <w:webHidden/>
              </w:rPr>
              <w:fldChar w:fldCharType="separate"/>
            </w:r>
            <w:r w:rsidR="00721EEB">
              <w:rPr>
                <w:noProof/>
                <w:webHidden/>
              </w:rPr>
              <w:t>9</w:t>
            </w:r>
            <w:r w:rsidR="00721EEB">
              <w:rPr>
                <w:noProof/>
                <w:webHidden/>
              </w:rPr>
              <w:fldChar w:fldCharType="end"/>
            </w:r>
          </w:hyperlink>
        </w:p>
        <w:p w14:paraId="5F10CF99" w14:textId="3BF58235" w:rsidR="00721EEB" w:rsidRDefault="00BD1222">
          <w:pPr>
            <w:pStyle w:val="2c"/>
            <w:tabs>
              <w:tab w:val="right" w:leader="dot" w:pos="9345"/>
            </w:tabs>
            <w:rPr>
              <w:rFonts w:asciiTheme="minorHAnsi" w:eastAsiaTheme="minorEastAsia" w:hAnsiTheme="minorHAnsi" w:cstheme="minorBidi"/>
              <w:noProof/>
              <w:lang w:eastAsia="ru-RU"/>
            </w:rPr>
          </w:pPr>
          <w:hyperlink w:anchor="_Toc196143002" w:history="1">
            <w:r w:rsidR="00721EEB" w:rsidRPr="004B2F20">
              <w:rPr>
                <w:rStyle w:val="ab"/>
                <w:rFonts w:ascii="Times New Roman" w:hAnsi="Times New Roman"/>
                <w:caps/>
                <w:noProof/>
                <w:spacing w:val="15"/>
                <w:lang w:eastAsia="en-US" w:bidi="en-US"/>
              </w:rPr>
              <w:t>Представление Компании</w:t>
            </w:r>
            <w:r w:rsidR="00721EEB">
              <w:rPr>
                <w:noProof/>
                <w:webHidden/>
              </w:rPr>
              <w:tab/>
            </w:r>
            <w:r w:rsidR="00721EEB">
              <w:rPr>
                <w:noProof/>
                <w:webHidden/>
              </w:rPr>
              <w:fldChar w:fldCharType="begin"/>
            </w:r>
            <w:r w:rsidR="00721EEB">
              <w:rPr>
                <w:noProof/>
                <w:webHidden/>
              </w:rPr>
              <w:instrText xml:space="preserve"> PAGEREF _Toc196143002 \h </w:instrText>
            </w:r>
            <w:r w:rsidR="00721EEB">
              <w:rPr>
                <w:noProof/>
                <w:webHidden/>
              </w:rPr>
            </w:r>
            <w:r w:rsidR="00721EEB">
              <w:rPr>
                <w:noProof/>
                <w:webHidden/>
              </w:rPr>
              <w:fldChar w:fldCharType="separate"/>
            </w:r>
            <w:r w:rsidR="00721EEB">
              <w:rPr>
                <w:noProof/>
                <w:webHidden/>
              </w:rPr>
              <w:t>11</w:t>
            </w:r>
            <w:r w:rsidR="00721EEB">
              <w:rPr>
                <w:noProof/>
                <w:webHidden/>
              </w:rPr>
              <w:fldChar w:fldCharType="end"/>
            </w:r>
          </w:hyperlink>
        </w:p>
        <w:p w14:paraId="22F9098F" w14:textId="0264A868" w:rsidR="00721EEB" w:rsidRDefault="00BD1222">
          <w:pPr>
            <w:pStyle w:val="2c"/>
            <w:tabs>
              <w:tab w:val="right" w:leader="dot" w:pos="9345"/>
            </w:tabs>
            <w:rPr>
              <w:rFonts w:asciiTheme="minorHAnsi" w:eastAsiaTheme="minorEastAsia" w:hAnsiTheme="minorHAnsi" w:cstheme="minorBidi"/>
              <w:noProof/>
              <w:lang w:eastAsia="ru-RU"/>
            </w:rPr>
          </w:pPr>
          <w:hyperlink w:anchor="_Toc196143003" w:history="1">
            <w:r w:rsidR="00721EEB" w:rsidRPr="004B2F20">
              <w:rPr>
                <w:rStyle w:val="ab"/>
                <w:rFonts w:ascii="Times New Roman" w:hAnsi="Times New Roman"/>
                <w:caps/>
                <w:noProof/>
                <w:spacing w:val="15"/>
                <w:lang w:eastAsia="en-US" w:bidi="en-US"/>
              </w:rPr>
              <w:t>География деятельности Компании</w:t>
            </w:r>
            <w:r w:rsidR="00721EEB">
              <w:rPr>
                <w:noProof/>
                <w:webHidden/>
              </w:rPr>
              <w:tab/>
            </w:r>
            <w:r w:rsidR="00721EEB">
              <w:rPr>
                <w:noProof/>
                <w:webHidden/>
              </w:rPr>
              <w:fldChar w:fldCharType="begin"/>
            </w:r>
            <w:r w:rsidR="00721EEB">
              <w:rPr>
                <w:noProof/>
                <w:webHidden/>
              </w:rPr>
              <w:instrText xml:space="preserve"> PAGEREF _Toc196143003 \h </w:instrText>
            </w:r>
            <w:r w:rsidR="00721EEB">
              <w:rPr>
                <w:noProof/>
                <w:webHidden/>
              </w:rPr>
            </w:r>
            <w:r w:rsidR="00721EEB">
              <w:rPr>
                <w:noProof/>
                <w:webHidden/>
              </w:rPr>
              <w:fldChar w:fldCharType="separate"/>
            </w:r>
            <w:r w:rsidR="00721EEB">
              <w:rPr>
                <w:noProof/>
                <w:webHidden/>
              </w:rPr>
              <w:t>12</w:t>
            </w:r>
            <w:r w:rsidR="00721EEB">
              <w:rPr>
                <w:noProof/>
                <w:webHidden/>
              </w:rPr>
              <w:fldChar w:fldCharType="end"/>
            </w:r>
          </w:hyperlink>
        </w:p>
        <w:p w14:paraId="46F078C8" w14:textId="2A52FE6B" w:rsidR="00721EEB" w:rsidRDefault="00BD1222">
          <w:pPr>
            <w:pStyle w:val="2c"/>
            <w:tabs>
              <w:tab w:val="right" w:leader="dot" w:pos="9345"/>
            </w:tabs>
            <w:rPr>
              <w:rFonts w:asciiTheme="minorHAnsi" w:eastAsiaTheme="minorEastAsia" w:hAnsiTheme="minorHAnsi" w:cstheme="minorBidi"/>
              <w:noProof/>
              <w:lang w:eastAsia="ru-RU"/>
            </w:rPr>
          </w:pPr>
          <w:hyperlink w:anchor="_Toc196143004" w:history="1">
            <w:r w:rsidR="00721EEB" w:rsidRPr="004B2F20">
              <w:rPr>
                <w:rStyle w:val="ab"/>
                <w:rFonts w:ascii="Times New Roman" w:hAnsi="Times New Roman"/>
                <w:caps/>
                <w:noProof/>
                <w:spacing w:val="15"/>
                <w:lang w:eastAsia="en-US" w:bidi="en-US"/>
              </w:rPr>
              <w:t>Бизнес-модель</w:t>
            </w:r>
            <w:r w:rsidR="00721EEB">
              <w:rPr>
                <w:noProof/>
                <w:webHidden/>
              </w:rPr>
              <w:tab/>
            </w:r>
            <w:r w:rsidR="00721EEB">
              <w:rPr>
                <w:noProof/>
                <w:webHidden/>
              </w:rPr>
              <w:fldChar w:fldCharType="begin"/>
            </w:r>
            <w:r w:rsidR="00721EEB">
              <w:rPr>
                <w:noProof/>
                <w:webHidden/>
              </w:rPr>
              <w:instrText xml:space="preserve"> PAGEREF _Toc196143004 \h </w:instrText>
            </w:r>
            <w:r w:rsidR="00721EEB">
              <w:rPr>
                <w:noProof/>
                <w:webHidden/>
              </w:rPr>
            </w:r>
            <w:r w:rsidR="00721EEB">
              <w:rPr>
                <w:noProof/>
                <w:webHidden/>
              </w:rPr>
              <w:fldChar w:fldCharType="separate"/>
            </w:r>
            <w:r w:rsidR="00721EEB">
              <w:rPr>
                <w:noProof/>
                <w:webHidden/>
              </w:rPr>
              <w:t>14</w:t>
            </w:r>
            <w:r w:rsidR="00721EEB">
              <w:rPr>
                <w:noProof/>
                <w:webHidden/>
              </w:rPr>
              <w:fldChar w:fldCharType="end"/>
            </w:r>
          </w:hyperlink>
        </w:p>
        <w:p w14:paraId="12567596" w14:textId="746F7008" w:rsidR="00721EEB" w:rsidRDefault="00BD1222">
          <w:pPr>
            <w:pStyle w:val="2c"/>
            <w:tabs>
              <w:tab w:val="right" w:leader="dot" w:pos="9345"/>
            </w:tabs>
            <w:rPr>
              <w:rFonts w:asciiTheme="minorHAnsi" w:eastAsiaTheme="minorEastAsia" w:hAnsiTheme="minorHAnsi" w:cstheme="minorBidi"/>
              <w:noProof/>
              <w:lang w:eastAsia="ru-RU"/>
            </w:rPr>
          </w:pPr>
          <w:hyperlink w:anchor="_Toc196143005" w:history="1">
            <w:r w:rsidR="00721EEB" w:rsidRPr="004B2F20">
              <w:rPr>
                <w:rStyle w:val="ab"/>
                <w:rFonts w:ascii="Times New Roman" w:hAnsi="Times New Roman"/>
                <w:caps/>
                <w:noProof/>
                <w:spacing w:val="15"/>
                <w:lang w:eastAsia="en-US" w:bidi="en-US"/>
              </w:rPr>
              <w:t>Ключевые показатели и события года</w:t>
            </w:r>
            <w:r w:rsidR="00721EEB">
              <w:rPr>
                <w:noProof/>
                <w:webHidden/>
              </w:rPr>
              <w:tab/>
            </w:r>
            <w:r w:rsidR="00721EEB">
              <w:rPr>
                <w:noProof/>
                <w:webHidden/>
              </w:rPr>
              <w:fldChar w:fldCharType="begin"/>
            </w:r>
            <w:r w:rsidR="00721EEB">
              <w:rPr>
                <w:noProof/>
                <w:webHidden/>
              </w:rPr>
              <w:instrText xml:space="preserve"> PAGEREF _Toc196143005 \h </w:instrText>
            </w:r>
            <w:r w:rsidR="00721EEB">
              <w:rPr>
                <w:noProof/>
                <w:webHidden/>
              </w:rPr>
            </w:r>
            <w:r w:rsidR="00721EEB">
              <w:rPr>
                <w:noProof/>
                <w:webHidden/>
              </w:rPr>
              <w:fldChar w:fldCharType="separate"/>
            </w:r>
            <w:r w:rsidR="00721EEB">
              <w:rPr>
                <w:noProof/>
                <w:webHidden/>
              </w:rPr>
              <w:t>15</w:t>
            </w:r>
            <w:r w:rsidR="00721EEB">
              <w:rPr>
                <w:noProof/>
                <w:webHidden/>
              </w:rPr>
              <w:fldChar w:fldCharType="end"/>
            </w:r>
          </w:hyperlink>
        </w:p>
        <w:p w14:paraId="19E9C8AC" w14:textId="33E5C59F" w:rsidR="00721EEB" w:rsidRDefault="00BD1222">
          <w:pPr>
            <w:pStyle w:val="1f3"/>
            <w:rPr>
              <w:rFonts w:asciiTheme="minorHAnsi" w:eastAsiaTheme="minorEastAsia" w:hAnsiTheme="minorHAnsi" w:cstheme="minorBidi"/>
              <w:b w:val="0"/>
              <w:noProof/>
              <w:sz w:val="22"/>
              <w:szCs w:val="22"/>
              <w:lang w:eastAsia="ru-RU"/>
            </w:rPr>
          </w:pPr>
          <w:hyperlink w:anchor="_Toc196143006" w:history="1">
            <w:r w:rsidR="00721EEB" w:rsidRPr="004B2F20">
              <w:rPr>
                <w:rStyle w:val="ab"/>
                <w:bCs/>
                <w:noProof/>
                <w:lang w:eastAsia="ru-RU"/>
              </w:rPr>
              <w:t>СТРАТЕГИЧЕСКИЙ ОТЧЕТ</w:t>
            </w:r>
            <w:r w:rsidR="00721EEB">
              <w:rPr>
                <w:noProof/>
                <w:webHidden/>
              </w:rPr>
              <w:tab/>
            </w:r>
            <w:r w:rsidR="00721EEB">
              <w:rPr>
                <w:noProof/>
                <w:webHidden/>
              </w:rPr>
              <w:fldChar w:fldCharType="begin"/>
            </w:r>
            <w:r w:rsidR="00721EEB">
              <w:rPr>
                <w:noProof/>
                <w:webHidden/>
              </w:rPr>
              <w:instrText xml:space="preserve"> PAGEREF _Toc196143006 \h </w:instrText>
            </w:r>
            <w:r w:rsidR="00721EEB">
              <w:rPr>
                <w:noProof/>
                <w:webHidden/>
              </w:rPr>
            </w:r>
            <w:r w:rsidR="00721EEB">
              <w:rPr>
                <w:noProof/>
                <w:webHidden/>
              </w:rPr>
              <w:fldChar w:fldCharType="separate"/>
            </w:r>
            <w:r w:rsidR="00721EEB">
              <w:rPr>
                <w:noProof/>
                <w:webHidden/>
              </w:rPr>
              <w:t>23</w:t>
            </w:r>
            <w:r w:rsidR="00721EEB">
              <w:rPr>
                <w:noProof/>
                <w:webHidden/>
              </w:rPr>
              <w:fldChar w:fldCharType="end"/>
            </w:r>
          </w:hyperlink>
        </w:p>
        <w:p w14:paraId="38C42568" w14:textId="170E4781" w:rsidR="00721EEB" w:rsidRDefault="00BD1222">
          <w:pPr>
            <w:pStyle w:val="2c"/>
            <w:tabs>
              <w:tab w:val="right" w:leader="dot" w:pos="9345"/>
            </w:tabs>
            <w:rPr>
              <w:rFonts w:asciiTheme="minorHAnsi" w:eastAsiaTheme="minorEastAsia" w:hAnsiTheme="minorHAnsi" w:cstheme="minorBidi"/>
              <w:noProof/>
              <w:lang w:eastAsia="ru-RU"/>
            </w:rPr>
          </w:pPr>
          <w:hyperlink w:anchor="_Toc196143007" w:history="1">
            <w:r w:rsidR="00721EEB" w:rsidRPr="004B2F20">
              <w:rPr>
                <w:rStyle w:val="ab"/>
                <w:rFonts w:ascii="Times New Roman" w:hAnsi="Times New Roman"/>
                <w:caps/>
                <w:noProof/>
                <w:spacing w:val="15"/>
                <w:lang w:eastAsia="en-US" w:bidi="en-US"/>
              </w:rPr>
              <w:t>Обзор отрасли</w:t>
            </w:r>
            <w:r w:rsidR="00721EEB">
              <w:rPr>
                <w:noProof/>
                <w:webHidden/>
              </w:rPr>
              <w:tab/>
            </w:r>
            <w:r w:rsidR="00721EEB">
              <w:rPr>
                <w:noProof/>
                <w:webHidden/>
              </w:rPr>
              <w:fldChar w:fldCharType="begin"/>
            </w:r>
            <w:r w:rsidR="00721EEB">
              <w:rPr>
                <w:noProof/>
                <w:webHidden/>
              </w:rPr>
              <w:instrText xml:space="preserve"> PAGEREF _Toc196143007 \h </w:instrText>
            </w:r>
            <w:r w:rsidR="00721EEB">
              <w:rPr>
                <w:noProof/>
                <w:webHidden/>
              </w:rPr>
            </w:r>
            <w:r w:rsidR="00721EEB">
              <w:rPr>
                <w:noProof/>
                <w:webHidden/>
              </w:rPr>
              <w:fldChar w:fldCharType="separate"/>
            </w:r>
            <w:r w:rsidR="00721EEB">
              <w:rPr>
                <w:noProof/>
                <w:webHidden/>
              </w:rPr>
              <w:t>23</w:t>
            </w:r>
            <w:r w:rsidR="00721EEB">
              <w:rPr>
                <w:noProof/>
                <w:webHidden/>
              </w:rPr>
              <w:fldChar w:fldCharType="end"/>
            </w:r>
          </w:hyperlink>
        </w:p>
        <w:p w14:paraId="57DBE617" w14:textId="3699F3A2" w:rsidR="00721EEB" w:rsidRDefault="00BD1222">
          <w:pPr>
            <w:pStyle w:val="2c"/>
            <w:tabs>
              <w:tab w:val="right" w:leader="dot" w:pos="9345"/>
            </w:tabs>
            <w:rPr>
              <w:rFonts w:asciiTheme="minorHAnsi" w:eastAsiaTheme="minorEastAsia" w:hAnsiTheme="minorHAnsi" w:cstheme="minorBidi"/>
              <w:noProof/>
              <w:lang w:eastAsia="ru-RU"/>
            </w:rPr>
          </w:pPr>
          <w:hyperlink w:anchor="_Toc196143008" w:history="1">
            <w:r w:rsidR="00721EEB" w:rsidRPr="004B2F20">
              <w:rPr>
                <w:rStyle w:val="ab"/>
                <w:rFonts w:ascii="Times New Roman" w:hAnsi="Times New Roman"/>
                <w:caps/>
                <w:noProof/>
                <w:spacing w:val="15"/>
                <w:lang w:eastAsia="en-US" w:bidi="en-US"/>
              </w:rPr>
              <w:t>Основные конкуренты Общества</w:t>
            </w:r>
            <w:r w:rsidR="00721EEB">
              <w:rPr>
                <w:noProof/>
                <w:webHidden/>
              </w:rPr>
              <w:tab/>
            </w:r>
            <w:r w:rsidR="00721EEB">
              <w:rPr>
                <w:noProof/>
                <w:webHidden/>
              </w:rPr>
              <w:fldChar w:fldCharType="begin"/>
            </w:r>
            <w:r w:rsidR="00721EEB">
              <w:rPr>
                <w:noProof/>
                <w:webHidden/>
              </w:rPr>
              <w:instrText xml:space="preserve"> PAGEREF _Toc196143008 \h </w:instrText>
            </w:r>
            <w:r w:rsidR="00721EEB">
              <w:rPr>
                <w:noProof/>
                <w:webHidden/>
              </w:rPr>
            </w:r>
            <w:r w:rsidR="00721EEB">
              <w:rPr>
                <w:noProof/>
                <w:webHidden/>
              </w:rPr>
              <w:fldChar w:fldCharType="separate"/>
            </w:r>
            <w:r w:rsidR="00721EEB">
              <w:rPr>
                <w:noProof/>
                <w:webHidden/>
              </w:rPr>
              <w:t>24</w:t>
            </w:r>
            <w:r w:rsidR="00721EEB">
              <w:rPr>
                <w:noProof/>
                <w:webHidden/>
              </w:rPr>
              <w:fldChar w:fldCharType="end"/>
            </w:r>
          </w:hyperlink>
        </w:p>
        <w:p w14:paraId="2A16DBFF" w14:textId="38CCAF91" w:rsidR="00721EEB" w:rsidRDefault="00BD1222">
          <w:pPr>
            <w:pStyle w:val="2c"/>
            <w:tabs>
              <w:tab w:val="right" w:leader="dot" w:pos="9345"/>
            </w:tabs>
            <w:rPr>
              <w:rFonts w:asciiTheme="minorHAnsi" w:eastAsiaTheme="minorEastAsia" w:hAnsiTheme="minorHAnsi" w:cstheme="minorBidi"/>
              <w:noProof/>
              <w:lang w:eastAsia="ru-RU"/>
            </w:rPr>
          </w:pPr>
          <w:hyperlink w:anchor="_Toc196143009" w:history="1">
            <w:r w:rsidR="00721EEB" w:rsidRPr="004B2F20">
              <w:rPr>
                <w:rStyle w:val="ab"/>
                <w:rFonts w:ascii="Times New Roman" w:hAnsi="Times New Roman"/>
                <w:caps/>
                <w:noProof/>
                <w:spacing w:val="15"/>
                <w:lang w:eastAsia="en-US" w:bidi="en-US"/>
              </w:rPr>
              <w:t>Макроэкономические тренды отчетного года</w:t>
            </w:r>
            <w:r w:rsidR="00721EEB">
              <w:rPr>
                <w:noProof/>
                <w:webHidden/>
              </w:rPr>
              <w:tab/>
            </w:r>
            <w:r w:rsidR="00721EEB">
              <w:rPr>
                <w:noProof/>
                <w:webHidden/>
              </w:rPr>
              <w:fldChar w:fldCharType="begin"/>
            </w:r>
            <w:r w:rsidR="00721EEB">
              <w:rPr>
                <w:noProof/>
                <w:webHidden/>
              </w:rPr>
              <w:instrText xml:space="preserve"> PAGEREF _Toc196143009 \h </w:instrText>
            </w:r>
            <w:r w:rsidR="00721EEB">
              <w:rPr>
                <w:noProof/>
                <w:webHidden/>
              </w:rPr>
            </w:r>
            <w:r w:rsidR="00721EEB">
              <w:rPr>
                <w:noProof/>
                <w:webHidden/>
              </w:rPr>
              <w:fldChar w:fldCharType="separate"/>
            </w:r>
            <w:r w:rsidR="00721EEB">
              <w:rPr>
                <w:noProof/>
                <w:webHidden/>
              </w:rPr>
              <w:t>24</w:t>
            </w:r>
            <w:r w:rsidR="00721EEB">
              <w:rPr>
                <w:noProof/>
                <w:webHidden/>
              </w:rPr>
              <w:fldChar w:fldCharType="end"/>
            </w:r>
          </w:hyperlink>
        </w:p>
        <w:p w14:paraId="4A027EBB" w14:textId="06CBF284" w:rsidR="00721EEB" w:rsidRDefault="00BD1222">
          <w:pPr>
            <w:pStyle w:val="2c"/>
            <w:tabs>
              <w:tab w:val="right" w:leader="dot" w:pos="9345"/>
            </w:tabs>
            <w:rPr>
              <w:rFonts w:asciiTheme="minorHAnsi" w:eastAsiaTheme="minorEastAsia" w:hAnsiTheme="minorHAnsi" w:cstheme="minorBidi"/>
              <w:noProof/>
              <w:lang w:eastAsia="ru-RU"/>
            </w:rPr>
          </w:pPr>
          <w:hyperlink w:anchor="_Toc196143010" w:history="1">
            <w:r w:rsidR="00721EEB" w:rsidRPr="004B2F20">
              <w:rPr>
                <w:rStyle w:val="ab"/>
                <w:rFonts w:ascii="Times New Roman" w:hAnsi="Times New Roman"/>
                <w:caps/>
                <w:noProof/>
                <w:spacing w:val="15"/>
                <w:lang w:eastAsia="en-US" w:bidi="en-US"/>
              </w:rPr>
              <w:t>Положение Компании в отрасли</w:t>
            </w:r>
            <w:r w:rsidR="00721EEB">
              <w:rPr>
                <w:noProof/>
                <w:webHidden/>
              </w:rPr>
              <w:tab/>
            </w:r>
            <w:r w:rsidR="00721EEB">
              <w:rPr>
                <w:noProof/>
                <w:webHidden/>
              </w:rPr>
              <w:fldChar w:fldCharType="begin"/>
            </w:r>
            <w:r w:rsidR="00721EEB">
              <w:rPr>
                <w:noProof/>
                <w:webHidden/>
              </w:rPr>
              <w:instrText xml:space="preserve"> PAGEREF _Toc196143010 \h </w:instrText>
            </w:r>
            <w:r w:rsidR="00721EEB">
              <w:rPr>
                <w:noProof/>
                <w:webHidden/>
              </w:rPr>
            </w:r>
            <w:r w:rsidR="00721EEB">
              <w:rPr>
                <w:noProof/>
                <w:webHidden/>
              </w:rPr>
              <w:fldChar w:fldCharType="separate"/>
            </w:r>
            <w:r w:rsidR="00721EEB">
              <w:rPr>
                <w:noProof/>
                <w:webHidden/>
              </w:rPr>
              <w:t>26</w:t>
            </w:r>
            <w:r w:rsidR="00721EEB">
              <w:rPr>
                <w:noProof/>
                <w:webHidden/>
              </w:rPr>
              <w:fldChar w:fldCharType="end"/>
            </w:r>
          </w:hyperlink>
        </w:p>
        <w:p w14:paraId="5CC4B582" w14:textId="04AE73B3" w:rsidR="00721EEB" w:rsidRDefault="00BD1222">
          <w:pPr>
            <w:pStyle w:val="2c"/>
            <w:tabs>
              <w:tab w:val="right" w:leader="dot" w:pos="9345"/>
            </w:tabs>
            <w:rPr>
              <w:rFonts w:asciiTheme="minorHAnsi" w:eastAsiaTheme="minorEastAsia" w:hAnsiTheme="minorHAnsi" w:cstheme="minorBidi"/>
              <w:noProof/>
              <w:lang w:eastAsia="ru-RU"/>
            </w:rPr>
          </w:pPr>
          <w:hyperlink w:anchor="_Toc196143011" w:history="1">
            <w:r w:rsidR="00721EEB" w:rsidRPr="004B2F20">
              <w:rPr>
                <w:rStyle w:val="ab"/>
                <w:rFonts w:ascii="Times New Roman" w:hAnsi="Times New Roman"/>
                <w:caps/>
                <w:noProof/>
                <w:spacing w:val="15"/>
                <w:lang w:eastAsia="en-US" w:bidi="en-US"/>
              </w:rPr>
              <w:t>Миссия и стратегические приоритеты</w:t>
            </w:r>
            <w:r w:rsidR="00721EEB">
              <w:rPr>
                <w:noProof/>
                <w:webHidden/>
              </w:rPr>
              <w:tab/>
            </w:r>
            <w:r w:rsidR="00721EEB">
              <w:rPr>
                <w:noProof/>
                <w:webHidden/>
              </w:rPr>
              <w:fldChar w:fldCharType="begin"/>
            </w:r>
            <w:r w:rsidR="00721EEB">
              <w:rPr>
                <w:noProof/>
                <w:webHidden/>
              </w:rPr>
              <w:instrText xml:space="preserve"> PAGEREF _Toc196143011 \h </w:instrText>
            </w:r>
            <w:r w:rsidR="00721EEB">
              <w:rPr>
                <w:noProof/>
                <w:webHidden/>
              </w:rPr>
            </w:r>
            <w:r w:rsidR="00721EEB">
              <w:rPr>
                <w:noProof/>
                <w:webHidden/>
              </w:rPr>
              <w:fldChar w:fldCharType="separate"/>
            </w:r>
            <w:r w:rsidR="00721EEB">
              <w:rPr>
                <w:noProof/>
                <w:webHidden/>
              </w:rPr>
              <w:t>29</w:t>
            </w:r>
            <w:r w:rsidR="00721EEB">
              <w:rPr>
                <w:noProof/>
                <w:webHidden/>
              </w:rPr>
              <w:fldChar w:fldCharType="end"/>
            </w:r>
          </w:hyperlink>
        </w:p>
        <w:p w14:paraId="01741372" w14:textId="29609C2D" w:rsidR="00721EEB" w:rsidRDefault="00BD1222">
          <w:pPr>
            <w:pStyle w:val="2c"/>
            <w:tabs>
              <w:tab w:val="right" w:leader="dot" w:pos="9345"/>
            </w:tabs>
            <w:rPr>
              <w:rFonts w:asciiTheme="minorHAnsi" w:eastAsiaTheme="minorEastAsia" w:hAnsiTheme="minorHAnsi" w:cstheme="minorBidi"/>
              <w:noProof/>
              <w:lang w:eastAsia="ru-RU"/>
            </w:rPr>
          </w:pPr>
          <w:hyperlink w:anchor="_Toc196143012" w:history="1">
            <w:r w:rsidR="00721EEB" w:rsidRPr="004B2F20">
              <w:rPr>
                <w:rStyle w:val="ab"/>
                <w:rFonts w:ascii="Times New Roman" w:hAnsi="Times New Roman"/>
                <w:caps/>
                <w:noProof/>
                <w:spacing w:val="15"/>
                <w:lang w:eastAsia="en-US" w:bidi="en-US"/>
              </w:rPr>
              <w:t>Ключевые показатели эффективности (КПЭ) и функциональные ключевые показатели эффективности(ФКПЭ)</w:t>
            </w:r>
            <w:r w:rsidR="00721EEB">
              <w:rPr>
                <w:noProof/>
                <w:webHidden/>
              </w:rPr>
              <w:tab/>
            </w:r>
            <w:r w:rsidR="00721EEB">
              <w:rPr>
                <w:noProof/>
                <w:webHidden/>
              </w:rPr>
              <w:fldChar w:fldCharType="begin"/>
            </w:r>
            <w:r w:rsidR="00721EEB">
              <w:rPr>
                <w:noProof/>
                <w:webHidden/>
              </w:rPr>
              <w:instrText xml:space="preserve"> PAGEREF _Toc196143012 \h </w:instrText>
            </w:r>
            <w:r w:rsidR="00721EEB">
              <w:rPr>
                <w:noProof/>
                <w:webHidden/>
              </w:rPr>
            </w:r>
            <w:r w:rsidR="00721EEB">
              <w:rPr>
                <w:noProof/>
                <w:webHidden/>
              </w:rPr>
              <w:fldChar w:fldCharType="separate"/>
            </w:r>
            <w:r w:rsidR="00721EEB">
              <w:rPr>
                <w:noProof/>
                <w:webHidden/>
              </w:rPr>
              <w:t>31</w:t>
            </w:r>
            <w:r w:rsidR="00721EEB">
              <w:rPr>
                <w:noProof/>
                <w:webHidden/>
              </w:rPr>
              <w:fldChar w:fldCharType="end"/>
            </w:r>
          </w:hyperlink>
        </w:p>
        <w:p w14:paraId="5D1AC05F" w14:textId="1CDEAE5B" w:rsidR="00721EEB" w:rsidRDefault="00BD1222">
          <w:pPr>
            <w:pStyle w:val="2c"/>
            <w:tabs>
              <w:tab w:val="right" w:leader="dot" w:pos="9345"/>
            </w:tabs>
            <w:rPr>
              <w:rFonts w:asciiTheme="minorHAnsi" w:eastAsiaTheme="minorEastAsia" w:hAnsiTheme="minorHAnsi" w:cstheme="minorBidi"/>
              <w:noProof/>
              <w:lang w:eastAsia="ru-RU"/>
            </w:rPr>
          </w:pPr>
          <w:hyperlink w:anchor="_Toc196143013" w:history="1">
            <w:r w:rsidR="00721EEB" w:rsidRPr="004B2F20">
              <w:rPr>
                <w:rStyle w:val="ab"/>
                <w:rFonts w:ascii="Times New Roman" w:hAnsi="Times New Roman"/>
                <w:caps/>
                <w:noProof/>
                <w:spacing w:val="15"/>
                <w:lang w:eastAsia="en-US" w:bidi="en-US"/>
              </w:rPr>
              <w:t>Ключевые риски</w:t>
            </w:r>
            <w:r w:rsidR="00721EEB">
              <w:rPr>
                <w:noProof/>
                <w:webHidden/>
              </w:rPr>
              <w:tab/>
            </w:r>
            <w:r w:rsidR="00721EEB">
              <w:rPr>
                <w:noProof/>
                <w:webHidden/>
              </w:rPr>
              <w:fldChar w:fldCharType="begin"/>
            </w:r>
            <w:r w:rsidR="00721EEB">
              <w:rPr>
                <w:noProof/>
                <w:webHidden/>
              </w:rPr>
              <w:instrText xml:space="preserve"> PAGEREF _Toc196143013 \h </w:instrText>
            </w:r>
            <w:r w:rsidR="00721EEB">
              <w:rPr>
                <w:noProof/>
                <w:webHidden/>
              </w:rPr>
            </w:r>
            <w:r w:rsidR="00721EEB">
              <w:rPr>
                <w:noProof/>
                <w:webHidden/>
              </w:rPr>
              <w:fldChar w:fldCharType="separate"/>
            </w:r>
            <w:r w:rsidR="00721EEB">
              <w:rPr>
                <w:noProof/>
                <w:webHidden/>
              </w:rPr>
              <w:t>41</w:t>
            </w:r>
            <w:r w:rsidR="00721EEB">
              <w:rPr>
                <w:noProof/>
                <w:webHidden/>
              </w:rPr>
              <w:fldChar w:fldCharType="end"/>
            </w:r>
          </w:hyperlink>
        </w:p>
        <w:p w14:paraId="6652F30C" w14:textId="2441B026" w:rsidR="00721EEB" w:rsidRDefault="00BD1222">
          <w:pPr>
            <w:pStyle w:val="1f3"/>
            <w:rPr>
              <w:rFonts w:asciiTheme="minorHAnsi" w:eastAsiaTheme="minorEastAsia" w:hAnsiTheme="minorHAnsi" w:cstheme="minorBidi"/>
              <w:b w:val="0"/>
              <w:noProof/>
              <w:sz w:val="22"/>
              <w:szCs w:val="22"/>
              <w:lang w:eastAsia="ru-RU"/>
            </w:rPr>
          </w:pPr>
          <w:hyperlink w:anchor="_Toc196143014" w:history="1">
            <w:r w:rsidR="00721EEB" w:rsidRPr="004B2F20">
              <w:rPr>
                <w:rStyle w:val="ab"/>
                <w:bCs/>
                <w:noProof/>
                <w:lang w:eastAsia="ru-RU"/>
              </w:rPr>
              <w:t>РЕЗУЛЬТАТЫ ДЕЯТЕЛЬНОСТИ</w:t>
            </w:r>
            <w:r w:rsidR="00721EEB">
              <w:rPr>
                <w:noProof/>
                <w:webHidden/>
              </w:rPr>
              <w:tab/>
            </w:r>
            <w:r w:rsidR="00721EEB">
              <w:rPr>
                <w:noProof/>
                <w:webHidden/>
              </w:rPr>
              <w:fldChar w:fldCharType="begin"/>
            </w:r>
            <w:r w:rsidR="00721EEB">
              <w:rPr>
                <w:noProof/>
                <w:webHidden/>
              </w:rPr>
              <w:instrText xml:space="preserve"> PAGEREF _Toc196143014 \h </w:instrText>
            </w:r>
            <w:r w:rsidR="00721EEB">
              <w:rPr>
                <w:noProof/>
                <w:webHidden/>
              </w:rPr>
            </w:r>
            <w:r w:rsidR="00721EEB">
              <w:rPr>
                <w:noProof/>
                <w:webHidden/>
              </w:rPr>
              <w:fldChar w:fldCharType="separate"/>
            </w:r>
            <w:r w:rsidR="00721EEB">
              <w:rPr>
                <w:noProof/>
                <w:webHidden/>
              </w:rPr>
              <w:t>51</w:t>
            </w:r>
            <w:r w:rsidR="00721EEB">
              <w:rPr>
                <w:noProof/>
                <w:webHidden/>
              </w:rPr>
              <w:fldChar w:fldCharType="end"/>
            </w:r>
          </w:hyperlink>
        </w:p>
        <w:p w14:paraId="1743064D" w14:textId="454334C5" w:rsidR="00721EEB" w:rsidRDefault="00BD1222">
          <w:pPr>
            <w:pStyle w:val="2c"/>
            <w:tabs>
              <w:tab w:val="right" w:leader="dot" w:pos="9345"/>
            </w:tabs>
            <w:rPr>
              <w:rFonts w:asciiTheme="minorHAnsi" w:eastAsiaTheme="minorEastAsia" w:hAnsiTheme="minorHAnsi" w:cstheme="minorBidi"/>
              <w:noProof/>
              <w:lang w:eastAsia="ru-RU"/>
            </w:rPr>
          </w:pPr>
          <w:hyperlink w:anchor="_Toc196143015" w:history="1">
            <w:r w:rsidR="00721EEB" w:rsidRPr="004B2F20">
              <w:rPr>
                <w:rStyle w:val="ab"/>
                <w:rFonts w:ascii="Times New Roman" w:hAnsi="Times New Roman"/>
                <w:caps/>
                <w:noProof/>
                <w:spacing w:val="15"/>
                <w:lang w:eastAsia="en-US" w:bidi="en-US"/>
              </w:rPr>
              <w:t>Производственные результаты</w:t>
            </w:r>
            <w:r w:rsidR="00721EEB">
              <w:rPr>
                <w:noProof/>
                <w:webHidden/>
              </w:rPr>
              <w:tab/>
            </w:r>
            <w:r w:rsidR="00721EEB">
              <w:rPr>
                <w:noProof/>
                <w:webHidden/>
              </w:rPr>
              <w:fldChar w:fldCharType="begin"/>
            </w:r>
            <w:r w:rsidR="00721EEB">
              <w:rPr>
                <w:noProof/>
                <w:webHidden/>
              </w:rPr>
              <w:instrText xml:space="preserve"> PAGEREF _Toc196143015 \h </w:instrText>
            </w:r>
            <w:r w:rsidR="00721EEB">
              <w:rPr>
                <w:noProof/>
                <w:webHidden/>
              </w:rPr>
            </w:r>
            <w:r w:rsidR="00721EEB">
              <w:rPr>
                <w:noProof/>
                <w:webHidden/>
              </w:rPr>
              <w:fldChar w:fldCharType="separate"/>
            </w:r>
            <w:r w:rsidR="00721EEB">
              <w:rPr>
                <w:noProof/>
                <w:webHidden/>
              </w:rPr>
              <w:t>51</w:t>
            </w:r>
            <w:r w:rsidR="00721EEB">
              <w:rPr>
                <w:noProof/>
                <w:webHidden/>
              </w:rPr>
              <w:fldChar w:fldCharType="end"/>
            </w:r>
          </w:hyperlink>
        </w:p>
        <w:p w14:paraId="015583E1" w14:textId="14F63E90" w:rsidR="00721EEB" w:rsidRDefault="00BD1222">
          <w:pPr>
            <w:pStyle w:val="37"/>
            <w:tabs>
              <w:tab w:val="right" w:leader="dot" w:pos="9345"/>
            </w:tabs>
            <w:rPr>
              <w:rFonts w:asciiTheme="minorHAnsi" w:eastAsiaTheme="minorEastAsia" w:hAnsiTheme="minorHAnsi" w:cstheme="minorBidi"/>
              <w:noProof/>
              <w:lang w:eastAsia="ru-RU"/>
            </w:rPr>
          </w:pPr>
          <w:hyperlink w:anchor="_Toc196143016" w:history="1">
            <w:r w:rsidR="00721EEB" w:rsidRPr="004B2F20">
              <w:rPr>
                <w:rStyle w:val="ab"/>
                <w:rFonts w:ascii="Times New Roman" w:hAnsi="Times New Roman"/>
                <w:noProof/>
                <w:lang w:eastAsia="en-US" w:bidi="en-US"/>
              </w:rPr>
              <w:t>Передача электроэнергии и потери</w:t>
            </w:r>
            <w:r w:rsidR="00721EEB">
              <w:rPr>
                <w:noProof/>
                <w:webHidden/>
              </w:rPr>
              <w:tab/>
            </w:r>
            <w:r w:rsidR="00721EEB">
              <w:rPr>
                <w:noProof/>
                <w:webHidden/>
              </w:rPr>
              <w:fldChar w:fldCharType="begin"/>
            </w:r>
            <w:r w:rsidR="00721EEB">
              <w:rPr>
                <w:noProof/>
                <w:webHidden/>
              </w:rPr>
              <w:instrText xml:space="preserve"> PAGEREF _Toc196143016 \h </w:instrText>
            </w:r>
            <w:r w:rsidR="00721EEB">
              <w:rPr>
                <w:noProof/>
                <w:webHidden/>
              </w:rPr>
            </w:r>
            <w:r w:rsidR="00721EEB">
              <w:rPr>
                <w:noProof/>
                <w:webHidden/>
              </w:rPr>
              <w:fldChar w:fldCharType="separate"/>
            </w:r>
            <w:r w:rsidR="00721EEB">
              <w:rPr>
                <w:noProof/>
                <w:webHidden/>
              </w:rPr>
              <w:t>51</w:t>
            </w:r>
            <w:r w:rsidR="00721EEB">
              <w:rPr>
                <w:noProof/>
                <w:webHidden/>
              </w:rPr>
              <w:fldChar w:fldCharType="end"/>
            </w:r>
          </w:hyperlink>
        </w:p>
        <w:p w14:paraId="48B1024A" w14:textId="57984A53" w:rsidR="00721EEB" w:rsidRDefault="00BD1222">
          <w:pPr>
            <w:pStyle w:val="37"/>
            <w:tabs>
              <w:tab w:val="right" w:leader="dot" w:pos="9345"/>
            </w:tabs>
            <w:rPr>
              <w:rFonts w:asciiTheme="minorHAnsi" w:eastAsiaTheme="minorEastAsia" w:hAnsiTheme="minorHAnsi" w:cstheme="minorBidi"/>
              <w:noProof/>
              <w:lang w:eastAsia="ru-RU"/>
            </w:rPr>
          </w:pPr>
          <w:hyperlink w:anchor="_Toc196143017" w:history="1">
            <w:r w:rsidR="00721EEB" w:rsidRPr="004B2F20">
              <w:rPr>
                <w:rStyle w:val="ab"/>
                <w:rFonts w:ascii="Times New Roman" w:hAnsi="Times New Roman"/>
                <w:noProof/>
                <w:lang w:eastAsia="en-US" w:bidi="en-US"/>
              </w:rPr>
              <w:t>Технологическое присоединение</w:t>
            </w:r>
            <w:r w:rsidR="00721EEB">
              <w:rPr>
                <w:noProof/>
                <w:webHidden/>
              </w:rPr>
              <w:tab/>
            </w:r>
            <w:r w:rsidR="00721EEB">
              <w:rPr>
                <w:noProof/>
                <w:webHidden/>
              </w:rPr>
              <w:fldChar w:fldCharType="begin"/>
            </w:r>
            <w:r w:rsidR="00721EEB">
              <w:rPr>
                <w:noProof/>
                <w:webHidden/>
              </w:rPr>
              <w:instrText xml:space="preserve"> PAGEREF _Toc196143017 \h </w:instrText>
            </w:r>
            <w:r w:rsidR="00721EEB">
              <w:rPr>
                <w:noProof/>
                <w:webHidden/>
              </w:rPr>
            </w:r>
            <w:r w:rsidR="00721EEB">
              <w:rPr>
                <w:noProof/>
                <w:webHidden/>
              </w:rPr>
              <w:fldChar w:fldCharType="separate"/>
            </w:r>
            <w:r w:rsidR="00721EEB">
              <w:rPr>
                <w:noProof/>
                <w:webHidden/>
              </w:rPr>
              <w:t>56</w:t>
            </w:r>
            <w:r w:rsidR="00721EEB">
              <w:rPr>
                <w:noProof/>
                <w:webHidden/>
              </w:rPr>
              <w:fldChar w:fldCharType="end"/>
            </w:r>
          </w:hyperlink>
        </w:p>
        <w:p w14:paraId="49B1A986" w14:textId="40477408" w:rsidR="00721EEB" w:rsidRDefault="00BD1222">
          <w:pPr>
            <w:pStyle w:val="2c"/>
            <w:tabs>
              <w:tab w:val="right" w:leader="dot" w:pos="9345"/>
            </w:tabs>
            <w:rPr>
              <w:rFonts w:asciiTheme="minorHAnsi" w:eastAsiaTheme="minorEastAsia" w:hAnsiTheme="minorHAnsi" w:cstheme="minorBidi"/>
              <w:noProof/>
              <w:lang w:eastAsia="ru-RU"/>
            </w:rPr>
          </w:pPr>
          <w:hyperlink w:anchor="_Toc196143018" w:history="1">
            <w:r w:rsidR="00721EEB" w:rsidRPr="004B2F20">
              <w:rPr>
                <w:rStyle w:val="ab"/>
                <w:rFonts w:ascii="Times New Roman" w:hAnsi="Times New Roman"/>
                <w:caps/>
                <w:noProof/>
                <w:spacing w:val="15"/>
                <w:lang w:eastAsia="en-US" w:bidi="en-US"/>
              </w:rPr>
              <w:t>Реализация дополнительных (нетарифных) услуг.</w:t>
            </w:r>
            <w:r w:rsidR="00721EEB">
              <w:rPr>
                <w:noProof/>
                <w:webHidden/>
              </w:rPr>
              <w:tab/>
            </w:r>
            <w:r w:rsidR="00721EEB">
              <w:rPr>
                <w:noProof/>
                <w:webHidden/>
              </w:rPr>
              <w:fldChar w:fldCharType="begin"/>
            </w:r>
            <w:r w:rsidR="00721EEB">
              <w:rPr>
                <w:noProof/>
                <w:webHidden/>
              </w:rPr>
              <w:instrText xml:space="preserve"> PAGEREF _Toc196143018 \h </w:instrText>
            </w:r>
            <w:r w:rsidR="00721EEB">
              <w:rPr>
                <w:noProof/>
                <w:webHidden/>
              </w:rPr>
            </w:r>
            <w:r w:rsidR="00721EEB">
              <w:rPr>
                <w:noProof/>
                <w:webHidden/>
              </w:rPr>
              <w:fldChar w:fldCharType="separate"/>
            </w:r>
            <w:r w:rsidR="00721EEB">
              <w:rPr>
                <w:noProof/>
                <w:webHidden/>
              </w:rPr>
              <w:t>60</w:t>
            </w:r>
            <w:r w:rsidR="00721EEB">
              <w:rPr>
                <w:noProof/>
                <w:webHidden/>
              </w:rPr>
              <w:fldChar w:fldCharType="end"/>
            </w:r>
          </w:hyperlink>
        </w:p>
        <w:p w14:paraId="3FC15A6A" w14:textId="0D418D71" w:rsidR="00721EEB" w:rsidRDefault="00BD1222">
          <w:pPr>
            <w:pStyle w:val="37"/>
            <w:tabs>
              <w:tab w:val="right" w:leader="dot" w:pos="9345"/>
            </w:tabs>
            <w:rPr>
              <w:rFonts w:asciiTheme="minorHAnsi" w:eastAsiaTheme="minorEastAsia" w:hAnsiTheme="minorHAnsi" w:cstheme="minorBidi"/>
              <w:noProof/>
              <w:lang w:eastAsia="ru-RU"/>
            </w:rPr>
          </w:pPr>
          <w:hyperlink w:anchor="_Toc196143019" w:history="1">
            <w:r w:rsidR="00721EEB" w:rsidRPr="004B2F20">
              <w:rPr>
                <w:rStyle w:val="ab"/>
                <w:rFonts w:ascii="Times New Roman" w:hAnsi="Times New Roman"/>
                <w:noProof/>
                <w:lang w:eastAsia="en-US" w:bidi="en-US"/>
              </w:rPr>
              <w:t>Взаимодействие с потребителями</w:t>
            </w:r>
            <w:r w:rsidR="00721EEB">
              <w:rPr>
                <w:noProof/>
                <w:webHidden/>
              </w:rPr>
              <w:tab/>
            </w:r>
            <w:r w:rsidR="00721EEB">
              <w:rPr>
                <w:noProof/>
                <w:webHidden/>
              </w:rPr>
              <w:fldChar w:fldCharType="begin"/>
            </w:r>
            <w:r w:rsidR="00721EEB">
              <w:rPr>
                <w:noProof/>
                <w:webHidden/>
              </w:rPr>
              <w:instrText xml:space="preserve"> PAGEREF _Toc196143019 \h </w:instrText>
            </w:r>
            <w:r w:rsidR="00721EEB">
              <w:rPr>
                <w:noProof/>
                <w:webHidden/>
              </w:rPr>
            </w:r>
            <w:r w:rsidR="00721EEB">
              <w:rPr>
                <w:noProof/>
                <w:webHidden/>
              </w:rPr>
              <w:fldChar w:fldCharType="separate"/>
            </w:r>
            <w:r w:rsidR="00721EEB">
              <w:rPr>
                <w:noProof/>
                <w:webHidden/>
              </w:rPr>
              <w:t>66</w:t>
            </w:r>
            <w:r w:rsidR="00721EEB">
              <w:rPr>
                <w:noProof/>
                <w:webHidden/>
              </w:rPr>
              <w:fldChar w:fldCharType="end"/>
            </w:r>
          </w:hyperlink>
        </w:p>
        <w:p w14:paraId="77B65B16" w14:textId="3856BC40" w:rsidR="00721EEB" w:rsidRDefault="00BD1222">
          <w:pPr>
            <w:pStyle w:val="2c"/>
            <w:tabs>
              <w:tab w:val="right" w:leader="dot" w:pos="9345"/>
            </w:tabs>
            <w:rPr>
              <w:rFonts w:asciiTheme="minorHAnsi" w:eastAsiaTheme="minorEastAsia" w:hAnsiTheme="minorHAnsi" w:cstheme="minorBidi"/>
              <w:noProof/>
              <w:lang w:eastAsia="ru-RU"/>
            </w:rPr>
          </w:pPr>
          <w:hyperlink w:anchor="_Toc196143020" w:history="1">
            <w:r w:rsidR="00721EEB" w:rsidRPr="004B2F20">
              <w:rPr>
                <w:rStyle w:val="ab"/>
                <w:rFonts w:ascii="Times New Roman" w:hAnsi="Times New Roman"/>
                <w:caps/>
                <w:noProof/>
                <w:spacing w:val="15"/>
                <w:lang w:eastAsia="en-US" w:bidi="en-US"/>
              </w:rPr>
              <w:t>Инвестиционная деятельность</w:t>
            </w:r>
            <w:r w:rsidR="00721EEB">
              <w:rPr>
                <w:noProof/>
                <w:webHidden/>
              </w:rPr>
              <w:tab/>
            </w:r>
            <w:r w:rsidR="00721EEB">
              <w:rPr>
                <w:noProof/>
                <w:webHidden/>
              </w:rPr>
              <w:fldChar w:fldCharType="begin"/>
            </w:r>
            <w:r w:rsidR="00721EEB">
              <w:rPr>
                <w:noProof/>
                <w:webHidden/>
              </w:rPr>
              <w:instrText xml:space="preserve"> PAGEREF _Toc196143020 \h </w:instrText>
            </w:r>
            <w:r w:rsidR="00721EEB">
              <w:rPr>
                <w:noProof/>
                <w:webHidden/>
              </w:rPr>
            </w:r>
            <w:r w:rsidR="00721EEB">
              <w:rPr>
                <w:noProof/>
                <w:webHidden/>
              </w:rPr>
              <w:fldChar w:fldCharType="separate"/>
            </w:r>
            <w:r w:rsidR="00721EEB">
              <w:rPr>
                <w:noProof/>
                <w:webHidden/>
              </w:rPr>
              <w:t>71</w:t>
            </w:r>
            <w:r w:rsidR="00721EEB">
              <w:rPr>
                <w:noProof/>
                <w:webHidden/>
              </w:rPr>
              <w:fldChar w:fldCharType="end"/>
            </w:r>
          </w:hyperlink>
        </w:p>
        <w:p w14:paraId="29D15F3E" w14:textId="6B0F5CDC" w:rsidR="00721EEB" w:rsidRDefault="00BD1222">
          <w:pPr>
            <w:pStyle w:val="37"/>
            <w:tabs>
              <w:tab w:val="right" w:leader="dot" w:pos="9345"/>
            </w:tabs>
            <w:rPr>
              <w:rFonts w:asciiTheme="minorHAnsi" w:eastAsiaTheme="minorEastAsia" w:hAnsiTheme="minorHAnsi" w:cstheme="minorBidi"/>
              <w:noProof/>
              <w:lang w:eastAsia="ru-RU"/>
            </w:rPr>
          </w:pPr>
          <w:hyperlink w:anchor="_Toc196143021" w:history="1">
            <w:r w:rsidR="00721EEB" w:rsidRPr="004B2F20">
              <w:rPr>
                <w:rStyle w:val="ab"/>
                <w:rFonts w:ascii="Times New Roman" w:hAnsi="Times New Roman"/>
                <w:noProof/>
                <w:lang w:eastAsia="en-US" w:bidi="en-US"/>
              </w:rPr>
              <w:t>Управление качеством капитального строительства</w:t>
            </w:r>
            <w:r w:rsidR="00721EEB">
              <w:rPr>
                <w:noProof/>
                <w:webHidden/>
              </w:rPr>
              <w:tab/>
            </w:r>
            <w:r w:rsidR="00721EEB">
              <w:rPr>
                <w:noProof/>
                <w:webHidden/>
              </w:rPr>
              <w:fldChar w:fldCharType="begin"/>
            </w:r>
            <w:r w:rsidR="00721EEB">
              <w:rPr>
                <w:noProof/>
                <w:webHidden/>
              </w:rPr>
              <w:instrText xml:space="preserve"> PAGEREF _Toc196143021 \h </w:instrText>
            </w:r>
            <w:r w:rsidR="00721EEB">
              <w:rPr>
                <w:noProof/>
                <w:webHidden/>
              </w:rPr>
            </w:r>
            <w:r w:rsidR="00721EEB">
              <w:rPr>
                <w:noProof/>
                <w:webHidden/>
              </w:rPr>
              <w:fldChar w:fldCharType="separate"/>
            </w:r>
            <w:r w:rsidR="00721EEB">
              <w:rPr>
                <w:noProof/>
                <w:webHidden/>
              </w:rPr>
              <w:t>76</w:t>
            </w:r>
            <w:r w:rsidR="00721EEB">
              <w:rPr>
                <w:noProof/>
                <w:webHidden/>
              </w:rPr>
              <w:fldChar w:fldCharType="end"/>
            </w:r>
          </w:hyperlink>
        </w:p>
        <w:p w14:paraId="603F97ED" w14:textId="19A6CD61" w:rsidR="00721EEB" w:rsidRDefault="00BD1222">
          <w:pPr>
            <w:pStyle w:val="2c"/>
            <w:tabs>
              <w:tab w:val="right" w:leader="dot" w:pos="9345"/>
            </w:tabs>
            <w:rPr>
              <w:rFonts w:asciiTheme="minorHAnsi" w:eastAsiaTheme="minorEastAsia" w:hAnsiTheme="minorHAnsi" w:cstheme="minorBidi"/>
              <w:noProof/>
              <w:lang w:eastAsia="ru-RU"/>
            </w:rPr>
          </w:pPr>
          <w:hyperlink w:anchor="_Toc196143022" w:history="1">
            <w:r w:rsidR="00721EEB" w:rsidRPr="004B2F20">
              <w:rPr>
                <w:rStyle w:val="ab"/>
                <w:rFonts w:ascii="Times New Roman" w:hAnsi="Times New Roman"/>
                <w:caps/>
                <w:noProof/>
                <w:spacing w:val="15"/>
                <w:lang w:eastAsia="en-US" w:bidi="en-US"/>
              </w:rPr>
              <w:t>Инновационная деятельность</w:t>
            </w:r>
            <w:r w:rsidR="00721EEB">
              <w:rPr>
                <w:noProof/>
                <w:webHidden/>
              </w:rPr>
              <w:tab/>
            </w:r>
            <w:r w:rsidR="00721EEB">
              <w:rPr>
                <w:noProof/>
                <w:webHidden/>
              </w:rPr>
              <w:fldChar w:fldCharType="begin"/>
            </w:r>
            <w:r w:rsidR="00721EEB">
              <w:rPr>
                <w:noProof/>
                <w:webHidden/>
              </w:rPr>
              <w:instrText xml:space="preserve"> PAGEREF _Toc196143022 \h </w:instrText>
            </w:r>
            <w:r w:rsidR="00721EEB">
              <w:rPr>
                <w:noProof/>
                <w:webHidden/>
              </w:rPr>
            </w:r>
            <w:r w:rsidR="00721EEB">
              <w:rPr>
                <w:noProof/>
                <w:webHidden/>
              </w:rPr>
              <w:fldChar w:fldCharType="separate"/>
            </w:r>
            <w:r w:rsidR="00721EEB">
              <w:rPr>
                <w:noProof/>
                <w:webHidden/>
              </w:rPr>
              <w:t>78</w:t>
            </w:r>
            <w:r w:rsidR="00721EEB">
              <w:rPr>
                <w:noProof/>
                <w:webHidden/>
              </w:rPr>
              <w:fldChar w:fldCharType="end"/>
            </w:r>
          </w:hyperlink>
        </w:p>
        <w:p w14:paraId="02B4471A" w14:textId="7518C83A" w:rsidR="00721EEB" w:rsidRDefault="00BD1222">
          <w:pPr>
            <w:pStyle w:val="2c"/>
            <w:tabs>
              <w:tab w:val="right" w:leader="dot" w:pos="9345"/>
            </w:tabs>
            <w:rPr>
              <w:rFonts w:asciiTheme="minorHAnsi" w:eastAsiaTheme="minorEastAsia" w:hAnsiTheme="minorHAnsi" w:cstheme="minorBidi"/>
              <w:noProof/>
              <w:lang w:eastAsia="ru-RU"/>
            </w:rPr>
          </w:pPr>
          <w:hyperlink w:anchor="_Toc196143023" w:history="1">
            <w:r w:rsidR="00721EEB" w:rsidRPr="004B2F20">
              <w:rPr>
                <w:rStyle w:val="ab"/>
                <w:rFonts w:ascii="Times New Roman" w:hAnsi="Times New Roman"/>
                <w:caps/>
                <w:noProof/>
                <w:spacing w:val="15"/>
                <w:shd w:val="clear" w:color="auto" w:fill="FFFFFF"/>
                <w:lang w:eastAsia="en-US" w:bidi="en-US"/>
              </w:rPr>
              <w:t>Импортозамещение и взаимодействие с производителями</w:t>
            </w:r>
            <w:r w:rsidR="00721EEB" w:rsidRPr="004B2F20">
              <w:rPr>
                <w:rStyle w:val="ab"/>
                <w:rFonts w:ascii="Times New Roman" w:hAnsi="Times New Roman"/>
                <w:caps/>
                <w:noProof/>
                <w:spacing w:val="15"/>
                <w:lang w:eastAsia="en-US" w:bidi="en-US"/>
              </w:rPr>
              <w:t xml:space="preserve"> оборудования</w:t>
            </w:r>
            <w:r w:rsidR="00721EEB">
              <w:rPr>
                <w:noProof/>
                <w:webHidden/>
              </w:rPr>
              <w:tab/>
            </w:r>
            <w:r w:rsidR="00721EEB">
              <w:rPr>
                <w:noProof/>
                <w:webHidden/>
              </w:rPr>
              <w:fldChar w:fldCharType="begin"/>
            </w:r>
            <w:r w:rsidR="00721EEB">
              <w:rPr>
                <w:noProof/>
                <w:webHidden/>
              </w:rPr>
              <w:instrText xml:space="preserve"> PAGEREF _Toc196143023 \h </w:instrText>
            </w:r>
            <w:r w:rsidR="00721EEB">
              <w:rPr>
                <w:noProof/>
                <w:webHidden/>
              </w:rPr>
            </w:r>
            <w:r w:rsidR="00721EEB">
              <w:rPr>
                <w:noProof/>
                <w:webHidden/>
              </w:rPr>
              <w:fldChar w:fldCharType="separate"/>
            </w:r>
            <w:r w:rsidR="00721EEB">
              <w:rPr>
                <w:noProof/>
                <w:webHidden/>
              </w:rPr>
              <w:t>84</w:t>
            </w:r>
            <w:r w:rsidR="00721EEB">
              <w:rPr>
                <w:noProof/>
                <w:webHidden/>
              </w:rPr>
              <w:fldChar w:fldCharType="end"/>
            </w:r>
          </w:hyperlink>
        </w:p>
        <w:p w14:paraId="5918686A" w14:textId="4E15C6BA" w:rsidR="00721EEB" w:rsidRDefault="00BD1222">
          <w:pPr>
            <w:pStyle w:val="2c"/>
            <w:tabs>
              <w:tab w:val="right" w:leader="dot" w:pos="9345"/>
            </w:tabs>
            <w:rPr>
              <w:rFonts w:asciiTheme="minorHAnsi" w:eastAsiaTheme="minorEastAsia" w:hAnsiTheme="minorHAnsi" w:cstheme="minorBidi"/>
              <w:noProof/>
              <w:lang w:eastAsia="ru-RU"/>
            </w:rPr>
          </w:pPr>
          <w:hyperlink w:anchor="_Toc196143024" w:history="1">
            <w:r w:rsidR="00721EEB" w:rsidRPr="004B2F20">
              <w:rPr>
                <w:rStyle w:val="ab"/>
                <w:rFonts w:ascii="Times New Roman" w:hAnsi="Times New Roman"/>
                <w:caps/>
                <w:noProof/>
                <w:spacing w:val="15"/>
                <w:lang w:eastAsia="en-US" w:bidi="en-US"/>
              </w:rPr>
              <w:t>Финансовые результаты</w:t>
            </w:r>
            <w:r w:rsidR="00721EEB">
              <w:rPr>
                <w:noProof/>
                <w:webHidden/>
              </w:rPr>
              <w:tab/>
            </w:r>
            <w:r w:rsidR="00721EEB">
              <w:rPr>
                <w:noProof/>
                <w:webHidden/>
              </w:rPr>
              <w:fldChar w:fldCharType="begin"/>
            </w:r>
            <w:r w:rsidR="00721EEB">
              <w:rPr>
                <w:noProof/>
                <w:webHidden/>
              </w:rPr>
              <w:instrText xml:space="preserve"> PAGEREF _Toc196143024 \h </w:instrText>
            </w:r>
            <w:r w:rsidR="00721EEB">
              <w:rPr>
                <w:noProof/>
                <w:webHidden/>
              </w:rPr>
            </w:r>
            <w:r w:rsidR="00721EEB">
              <w:rPr>
                <w:noProof/>
                <w:webHidden/>
              </w:rPr>
              <w:fldChar w:fldCharType="separate"/>
            </w:r>
            <w:r w:rsidR="00721EEB">
              <w:rPr>
                <w:noProof/>
                <w:webHidden/>
              </w:rPr>
              <w:t>86</w:t>
            </w:r>
            <w:r w:rsidR="00721EEB">
              <w:rPr>
                <w:noProof/>
                <w:webHidden/>
              </w:rPr>
              <w:fldChar w:fldCharType="end"/>
            </w:r>
          </w:hyperlink>
        </w:p>
        <w:p w14:paraId="186A9EA7" w14:textId="628FD479" w:rsidR="00721EEB" w:rsidRDefault="00BD1222">
          <w:pPr>
            <w:pStyle w:val="2c"/>
            <w:tabs>
              <w:tab w:val="right" w:leader="dot" w:pos="9345"/>
            </w:tabs>
            <w:rPr>
              <w:rFonts w:asciiTheme="minorHAnsi" w:eastAsiaTheme="minorEastAsia" w:hAnsiTheme="minorHAnsi" w:cstheme="minorBidi"/>
              <w:noProof/>
              <w:lang w:eastAsia="ru-RU"/>
            </w:rPr>
          </w:pPr>
          <w:hyperlink w:anchor="_Toc196143025" w:history="1">
            <w:r w:rsidR="00721EEB" w:rsidRPr="004B2F20">
              <w:rPr>
                <w:rStyle w:val="ab"/>
                <w:rFonts w:ascii="Times New Roman" w:hAnsi="Times New Roman"/>
                <w:caps/>
                <w:noProof/>
                <w:spacing w:val="15"/>
                <w:lang w:eastAsia="en-US" w:bidi="en-US"/>
              </w:rPr>
              <w:t>Долговые обязательства</w:t>
            </w:r>
            <w:r w:rsidR="00721EEB">
              <w:rPr>
                <w:noProof/>
                <w:webHidden/>
              </w:rPr>
              <w:tab/>
            </w:r>
            <w:r w:rsidR="00721EEB">
              <w:rPr>
                <w:noProof/>
                <w:webHidden/>
              </w:rPr>
              <w:fldChar w:fldCharType="begin"/>
            </w:r>
            <w:r w:rsidR="00721EEB">
              <w:rPr>
                <w:noProof/>
                <w:webHidden/>
              </w:rPr>
              <w:instrText xml:space="preserve"> PAGEREF _Toc196143025 \h </w:instrText>
            </w:r>
            <w:r w:rsidR="00721EEB">
              <w:rPr>
                <w:noProof/>
                <w:webHidden/>
              </w:rPr>
            </w:r>
            <w:r w:rsidR="00721EEB">
              <w:rPr>
                <w:noProof/>
                <w:webHidden/>
              </w:rPr>
              <w:fldChar w:fldCharType="separate"/>
            </w:r>
            <w:r w:rsidR="00721EEB">
              <w:rPr>
                <w:noProof/>
                <w:webHidden/>
              </w:rPr>
              <w:t>90</w:t>
            </w:r>
            <w:r w:rsidR="00721EEB">
              <w:rPr>
                <w:noProof/>
                <w:webHidden/>
              </w:rPr>
              <w:fldChar w:fldCharType="end"/>
            </w:r>
          </w:hyperlink>
        </w:p>
        <w:p w14:paraId="4D55259D" w14:textId="6BDDC693" w:rsidR="00721EEB" w:rsidRDefault="00BD1222">
          <w:pPr>
            <w:pStyle w:val="2c"/>
            <w:tabs>
              <w:tab w:val="right" w:leader="dot" w:pos="9345"/>
            </w:tabs>
            <w:rPr>
              <w:rFonts w:asciiTheme="minorHAnsi" w:eastAsiaTheme="minorEastAsia" w:hAnsiTheme="minorHAnsi" w:cstheme="minorBidi"/>
              <w:noProof/>
              <w:lang w:eastAsia="ru-RU"/>
            </w:rPr>
          </w:pPr>
          <w:hyperlink w:anchor="_Toc196143026" w:history="1">
            <w:r w:rsidR="00721EEB" w:rsidRPr="004B2F20">
              <w:rPr>
                <w:rStyle w:val="ab"/>
                <w:rFonts w:ascii="Times New Roman" w:hAnsi="Times New Roman"/>
                <w:caps/>
                <w:noProof/>
                <w:spacing w:val="15"/>
                <w:lang w:eastAsia="en-US" w:bidi="en-US"/>
              </w:rPr>
              <w:t>Тарифная политика</w:t>
            </w:r>
            <w:r w:rsidR="00721EEB">
              <w:rPr>
                <w:noProof/>
                <w:webHidden/>
              </w:rPr>
              <w:tab/>
            </w:r>
            <w:r w:rsidR="00721EEB">
              <w:rPr>
                <w:noProof/>
                <w:webHidden/>
              </w:rPr>
              <w:fldChar w:fldCharType="begin"/>
            </w:r>
            <w:r w:rsidR="00721EEB">
              <w:rPr>
                <w:noProof/>
                <w:webHidden/>
              </w:rPr>
              <w:instrText xml:space="preserve"> PAGEREF _Toc196143026 \h </w:instrText>
            </w:r>
            <w:r w:rsidR="00721EEB">
              <w:rPr>
                <w:noProof/>
                <w:webHidden/>
              </w:rPr>
            </w:r>
            <w:r w:rsidR="00721EEB">
              <w:rPr>
                <w:noProof/>
                <w:webHidden/>
              </w:rPr>
              <w:fldChar w:fldCharType="separate"/>
            </w:r>
            <w:r w:rsidR="00721EEB">
              <w:rPr>
                <w:noProof/>
                <w:webHidden/>
              </w:rPr>
              <w:t>96</w:t>
            </w:r>
            <w:r w:rsidR="00721EEB">
              <w:rPr>
                <w:noProof/>
                <w:webHidden/>
              </w:rPr>
              <w:fldChar w:fldCharType="end"/>
            </w:r>
          </w:hyperlink>
        </w:p>
        <w:p w14:paraId="5690D3AC" w14:textId="2E615914" w:rsidR="00721EEB" w:rsidRDefault="00BD1222">
          <w:pPr>
            <w:pStyle w:val="2c"/>
            <w:tabs>
              <w:tab w:val="right" w:leader="dot" w:pos="9345"/>
            </w:tabs>
            <w:rPr>
              <w:rFonts w:asciiTheme="minorHAnsi" w:eastAsiaTheme="minorEastAsia" w:hAnsiTheme="minorHAnsi" w:cstheme="minorBidi"/>
              <w:noProof/>
              <w:lang w:eastAsia="ru-RU"/>
            </w:rPr>
          </w:pPr>
          <w:hyperlink w:anchor="_Toc196143027" w:history="1">
            <w:r w:rsidR="00721EEB" w:rsidRPr="004B2F20">
              <w:rPr>
                <w:rStyle w:val="ab"/>
                <w:rFonts w:ascii="Times New Roman" w:hAnsi="Times New Roman"/>
                <w:caps/>
                <w:noProof/>
                <w:spacing w:val="15"/>
                <w:lang w:eastAsia="en-US" w:bidi="en-US"/>
              </w:rPr>
              <w:t>Консолидация электросетевых активов</w:t>
            </w:r>
            <w:r w:rsidR="00721EEB">
              <w:rPr>
                <w:noProof/>
                <w:webHidden/>
              </w:rPr>
              <w:tab/>
            </w:r>
            <w:r w:rsidR="00721EEB">
              <w:rPr>
                <w:noProof/>
                <w:webHidden/>
              </w:rPr>
              <w:fldChar w:fldCharType="begin"/>
            </w:r>
            <w:r w:rsidR="00721EEB">
              <w:rPr>
                <w:noProof/>
                <w:webHidden/>
              </w:rPr>
              <w:instrText xml:space="preserve"> PAGEREF _Toc196143027 \h </w:instrText>
            </w:r>
            <w:r w:rsidR="00721EEB">
              <w:rPr>
                <w:noProof/>
                <w:webHidden/>
              </w:rPr>
            </w:r>
            <w:r w:rsidR="00721EEB">
              <w:rPr>
                <w:noProof/>
                <w:webHidden/>
              </w:rPr>
              <w:fldChar w:fldCharType="separate"/>
            </w:r>
            <w:r w:rsidR="00721EEB">
              <w:rPr>
                <w:noProof/>
                <w:webHidden/>
              </w:rPr>
              <w:t>103</w:t>
            </w:r>
            <w:r w:rsidR="00721EEB">
              <w:rPr>
                <w:noProof/>
                <w:webHidden/>
              </w:rPr>
              <w:fldChar w:fldCharType="end"/>
            </w:r>
          </w:hyperlink>
        </w:p>
        <w:p w14:paraId="0D154CF2" w14:textId="58B15A24" w:rsidR="00721EEB" w:rsidRDefault="00BD1222">
          <w:pPr>
            <w:pStyle w:val="2c"/>
            <w:tabs>
              <w:tab w:val="right" w:leader="dot" w:pos="9345"/>
            </w:tabs>
            <w:rPr>
              <w:rFonts w:asciiTheme="minorHAnsi" w:eastAsiaTheme="minorEastAsia" w:hAnsiTheme="minorHAnsi" w:cstheme="minorBidi"/>
              <w:noProof/>
              <w:lang w:eastAsia="ru-RU"/>
            </w:rPr>
          </w:pPr>
          <w:hyperlink w:anchor="_Toc196143028" w:history="1">
            <w:r w:rsidR="00721EEB" w:rsidRPr="004B2F20">
              <w:rPr>
                <w:rStyle w:val="ab"/>
                <w:rFonts w:ascii="Times New Roman" w:hAnsi="Times New Roman"/>
                <w:caps/>
                <w:noProof/>
                <w:spacing w:val="15"/>
                <w:lang w:eastAsia="en-US" w:bidi="en-US"/>
              </w:rPr>
              <w:t>Информационные технологии</w:t>
            </w:r>
            <w:r w:rsidR="00721EEB">
              <w:rPr>
                <w:noProof/>
                <w:webHidden/>
              </w:rPr>
              <w:tab/>
            </w:r>
            <w:r w:rsidR="00721EEB">
              <w:rPr>
                <w:noProof/>
                <w:webHidden/>
              </w:rPr>
              <w:fldChar w:fldCharType="begin"/>
            </w:r>
            <w:r w:rsidR="00721EEB">
              <w:rPr>
                <w:noProof/>
                <w:webHidden/>
              </w:rPr>
              <w:instrText xml:space="preserve"> PAGEREF _Toc196143028 \h </w:instrText>
            </w:r>
            <w:r w:rsidR="00721EEB">
              <w:rPr>
                <w:noProof/>
                <w:webHidden/>
              </w:rPr>
            </w:r>
            <w:r w:rsidR="00721EEB">
              <w:rPr>
                <w:noProof/>
                <w:webHidden/>
              </w:rPr>
              <w:fldChar w:fldCharType="separate"/>
            </w:r>
            <w:r w:rsidR="00721EEB">
              <w:rPr>
                <w:noProof/>
                <w:webHidden/>
              </w:rPr>
              <w:t>105</w:t>
            </w:r>
            <w:r w:rsidR="00721EEB">
              <w:rPr>
                <w:noProof/>
                <w:webHidden/>
              </w:rPr>
              <w:fldChar w:fldCharType="end"/>
            </w:r>
          </w:hyperlink>
        </w:p>
        <w:p w14:paraId="0535A321" w14:textId="68866CA0" w:rsidR="00721EEB" w:rsidRDefault="00BD1222">
          <w:pPr>
            <w:pStyle w:val="2c"/>
            <w:tabs>
              <w:tab w:val="right" w:leader="dot" w:pos="9345"/>
            </w:tabs>
            <w:rPr>
              <w:rFonts w:asciiTheme="minorHAnsi" w:eastAsiaTheme="minorEastAsia" w:hAnsiTheme="minorHAnsi" w:cstheme="minorBidi"/>
              <w:noProof/>
              <w:lang w:eastAsia="ru-RU"/>
            </w:rPr>
          </w:pPr>
          <w:hyperlink w:anchor="_Toc196143029" w:history="1">
            <w:r w:rsidR="00721EEB" w:rsidRPr="004B2F20">
              <w:rPr>
                <w:rStyle w:val="ab"/>
                <w:rFonts w:ascii="Times New Roman" w:hAnsi="Times New Roman"/>
                <w:caps/>
                <w:noProof/>
                <w:spacing w:val="15"/>
                <w:lang w:eastAsia="en-US" w:bidi="en-US"/>
              </w:rPr>
              <w:t>Техническая политика</w:t>
            </w:r>
            <w:r w:rsidR="00721EEB">
              <w:rPr>
                <w:noProof/>
                <w:webHidden/>
              </w:rPr>
              <w:tab/>
            </w:r>
            <w:r w:rsidR="00721EEB">
              <w:rPr>
                <w:noProof/>
                <w:webHidden/>
              </w:rPr>
              <w:fldChar w:fldCharType="begin"/>
            </w:r>
            <w:r w:rsidR="00721EEB">
              <w:rPr>
                <w:noProof/>
                <w:webHidden/>
              </w:rPr>
              <w:instrText xml:space="preserve"> PAGEREF _Toc196143029 \h </w:instrText>
            </w:r>
            <w:r w:rsidR="00721EEB">
              <w:rPr>
                <w:noProof/>
                <w:webHidden/>
              </w:rPr>
            </w:r>
            <w:r w:rsidR="00721EEB">
              <w:rPr>
                <w:noProof/>
                <w:webHidden/>
              </w:rPr>
              <w:fldChar w:fldCharType="separate"/>
            </w:r>
            <w:r w:rsidR="00721EEB">
              <w:rPr>
                <w:noProof/>
                <w:webHidden/>
              </w:rPr>
              <w:t>108</w:t>
            </w:r>
            <w:r w:rsidR="00721EEB">
              <w:rPr>
                <w:noProof/>
                <w:webHidden/>
              </w:rPr>
              <w:fldChar w:fldCharType="end"/>
            </w:r>
          </w:hyperlink>
        </w:p>
        <w:p w14:paraId="75BFD9D7" w14:textId="32C62F90" w:rsidR="00721EEB" w:rsidRDefault="00BD1222">
          <w:pPr>
            <w:pStyle w:val="1f3"/>
            <w:rPr>
              <w:rFonts w:asciiTheme="minorHAnsi" w:eastAsiaTheme="minorEastAsia" w:hAnsiTheme="minorHAnsi" w:cstheme="minorBidi"/>
              <w:b w:val="0"/>
              <w:noProof/>
              <w:sz w:val="22"/>
              <w:szCs w:val="22"/>
              <w:lang w:eastAsia="ru-RU"/>
            </w:rPr>
          </w:pPr>
          <w:hyperlink w:anchor="_Toc196143030" w:history="1">
            <w:r w:rsidR="00721EEB" w:rsidRPr="004B2F20">
              <w:rPr>
                <w:rStyle w:val="ab"/>
                <w:bCs/>
                <w:noProof/>
                <w:lang w:eastAsia="ru-RU"/>
              </w:rPr>
              <w:t>УСТОЙЧИВОЕ РАЗВИТИЕ</w:t>
            </w:r>
            <w:r w:rsidR="00721EEB">
              <w:rPr>
                <w:noProof/>
                <w:webHidden/>
              </w:rPr>
              <w:tab/>
            </w:r>
            <w:r w:rsidR="00721EEB">
              <w:rPr>
                <w:noProof/>
                <w:webHidden/>
              </w:rPr>
              <w:fldChar w:fldCharType="begin"/>
            </w:r>
            <w:r w:rsidR="00721EEB">
              <w:rPr>
                <w:noProof/>
                <w:webHidden/>
              </w:rPr>
              <w:instrText xml:space="preserve"> PAGEREF _Toc196143030 \h </w:instrText>
            </w:r>
            <w:r w:rsidR="00721EEB">
              <w:rPr>
                <w:noProof/>
                <w:webHidden/>
              </w:rPr>
            </w:r>
            <w:r w:rsidR="00721EEB">
              <w:rPr>
                <w:noProof/>
                <w:webHidden/>
              </w:rPr>
              <w:fldChar w:fldCharType="separate"/>
            </w:r>
            <w:r w:rsidR="00721EEB">
              <w:rPr>
                <w:noProof/>
                <w:webHidden/>
              </w:rPr>
              <w:t>110</w:t>
            </w:r>
            <w:r w:rsidR="00721EEB">
              <w:rPr>
                <w:noProof/>
                <w:webHidden/>
              </w:rPr>
              <w:fldChar w:fldCharType="end"/>
            </w:r>
          </w:hyperlink>
        </w:p>
        <w:p w14:paraId="5C14F76D" w14:textId="0C55D671" w:rsidR="00721EEB" w:rsidRDefault="00BD1222">
          <w:pPr>
            <w:pStyle w:val="2c"/>
            <w:tabs>
              <w:tab w:val="right" w:leader="dot" w:pos="9345"/>
            </w:tabs>
            <w:rPr>
              <w:rFonts w:asciiTheme="minorHAnsi" w:eastAsiaTheme="minorEastAsia" w:hAnsiTheme="minorHAnsi" w:cstheme="minorBidi"/>
              <w:noProof/>
              <w:lang w:eastAsia="ru-RU"/>
            </w:rPr>
          </w:pPr>
          <w:hyperlink w:anchor="_Toc196143031" w:history="1">
            <w:r w:rsidR="00721EEB" w:rsidRPr="004B2F20">
              <w:rPr>
                <w:rStyle w:val="ab"/>
                <w:rFonts w:ascii="Times New Roman" w:hAnsi="Times New Roman"/>
                <w:caps/>
                <w:noProof/>
                <w:spacing w:val="15"/>
                <w:lang w:eastAsia="en-US" w:bidi="en-US"/>
              </w:rPr>
              <w:t>Управление вопросами устойчивого развития</w:t>
            </w:r>
            <w:r w:rsidR="00721EEB">
              <w:rPr>
                <w:noProof/>
                <w:webHidden/>
              </w:rPr>
              <w:tab/>
            </w:r>
            <w:r w:rsidR="00721EEB">
              <w:rPr>
                <w:noProof/>
                <w:webHidden/>
              </w:rPr>
              <w:fldChar w:fldCharType="begin"/>
            </w:r>
            <w:r w:rsidR="00721EEB">
              <w:rPr>
                <w:noProof/>
                <w:webHidden/>
              </w:rPr>
              <w:instrText xml:space="preserve"> PAGEREF _Toc196143031 \h </w:instrText>
            </w:r>
            <w:r w:rsidR="00721EEB">
              <w:rPr>
                <w:noProof/>
                <w:webHidden/>
              </w:rPr>
            </w:r>
            <w:r w:rsidR="00721EEB">
              <w:rPr>
                <w:noProof/>
                <w:webHidden/>
              </w:rPr>
              <w:fldChar w:fldCharType="separate"/>
            </w:r>
            <w:r w:rsidR="00721EEB">
              <w:rPr>
                <w:noProof/>
                <w:webHidden/>
              </w:rPr>
              <w:t>110</w:t>
            </w:r>
            <w:r w:rsidR="00721EEB">
              <w:rPr>
                <w:noProof/>
                <w:webHidden/>
              </w:rPr>
              <w:fldChar w:fldCharType="end"/>
            </w:r>
          </w:hyperlink>
        </w:p>
        <w:p w14:paraId="2B650736" w14:textId="358866AD" w:rsidR="00721EEB" w:rsidRDefault="00BD1222">
          <w:pPr>
            <w:pStyle w:val="37"/>
            <w:tabs>
              <w:tab w:val="right" w:leader="dot" w:pos="9345"/>
            </w:tabs>
            <w:rPr>
              <w:rFonts w:asciiTheme="minorHAnsi" w:eastAsiaTheme="minorEastAsia" w:hAnsiTheme="minorHAnsi" w:cstheme="minorBidi"/>
              <w:noProof/>
              <w:lang w:eastAsia="ru-RU"/>
            </w:rPr>
          </w:pPr>
          <w:hyperlink w:anchor="_Toc196143032" w:history="1">
            <w:r w:rsidR="00721EEB" w:rsidRPr="004B2F20">
              <w:rPr>
                <w:rStyle w:val="ab"/>
                <w:rFonts w:ascii="Times New Roman" w:hAnsi="Times New Roman"/>
                <w:noProof/>
                <w:lang w:eastAsia="en-US" w:bidi="en-US"/>
              </w:rPr>
              <w:t>Взаимодействие с заинтересованными сторонами</w:t>
            </w:r>
            <w:r w:rsidR="00721EEB">
              <w:rPr>
                <w:noProof/>
                <w:webHidden/>
              </w:rPr>
              <w:tab/>
            </w:r>
            <w:r w:rsidR="00721EEB">
              <w:rPr>
                <w:noProof/>
                <w:webHidden/>
              </w:rPr>
              <w:fldChar w:fldCharType="begin"/>
            </w:r>
            <w:r w:rsidR="00721EEB">
              <w:rPr>
                <w:noProof/>
                <w:webHidden/>
              </w:rPr>
              <w:instrText xml:space="preserve"> PAGEREF _Toc196143032 \h </w:instrText>
            </w:r>
            <w:r w:rsidR="00721EEB">
              <w:rPr>
                <w:noProof/>
                <w:webHidden/>
              </w:rPr>
            </w:r>
            <w:r w:rsidR="00721EEB">
              <w:rPr>
                <w:noProof/>
                <w:webHidden/>
              </w:rPr>
              <w:fldChar w:fldCharType="separate"/>
            </w:r>
            <w:r w:rsidR="00721EEB">
              <w:rPr>
                <w:noProof/>
                <w:webHidden/>
              </w:rPr>
              <w:t>110</w:t>
            </w:r>
            <w:r w:rsidR="00721EEB">
              <w:rPr>
                <w:noProof/>
                <w:webHidden/>
              </w:rPr>
              <w:fldChar w:fldCharType="end"/>
            </w:r>
          </w:hyperlink>
        </w:p>
        <w:p w14:paraId="5DD26AB2" w14:textId="5960EE83" w:rsidR="00721EEB" w:rsidRDefault="00BD1222">
          <w:pPr>
            <w:pStyle w:val="2c"/>
            <w:tabs>
              <w:tab w:val="right" w:leader="dot" w:pos="9345"/>
            </w:tabs>
            <w:rPr>
              <w:rFonts w:asciiTheme="minorHAnsi" w:eastAsiaTheme="minorEastAsia" w:hAnsiTheme="minorHAnsi" w:cstheme="minorBidi"/>
              <w:noProof/>
              <w:lang w:eastAsia="ru-RU"/>
            </w:rPr>
          </w:pPr>
          <w:hyperlink w:anchor="_Toc196143033" w:history="1">
            <w:r w:rsidR="00721EEB" w:rsidRPr="004B2F20">
              <w:rPr>
                <w:rStyle w:val="ab"/>
                <w:rFonts w:ascii="Times New Roman" w:hAnsi="Times New Roman"/>
                <w:caps/>
                <w:noProof/>
                <w:spacing w:val="15"/>
                <w:lang w:eastAsia="en-US" w:bidi="en-US"/>
              </w:rPr>
              <w:t>Результаты реализации кадровой политики</w:t>
            </w:r>
            <w:r w:rsidR="00721EEB">
              <w:rPr>
                <w:noProof/>
                <w:webHidden/>
              </w:rPr>
              <w:tab/>
            </w:r>
            <w:r w:rsidR="00721EEB">
              <w:rPr>
                <w:noProof/>
                <w:webHidden/>
              </w:rPr>
              <w:fldChar w:fldCharType="begin"/>
            </w:r>
            <w:r w:rsidR="00721EEB">
              <w:rPr>
                <w:noProof/>
                <w:webHidden/>
              </w:rPr>
              <w:instrText xml:space="preserve"> PAGEREF _Toc196143033 \h </w:instrText>
            </w:r>
            <w:r w:rsidR="00721EEB">
              <w:rPr>
                <w:noProof/>
                <w:webHidden/>
              </w:rPr>
            </w:r>
            <w:r w:rsidR="00721EEB">
              <w:rPr>
                <w:noProof/>
                <w:webHidden/>
              </w:rPr>
              <w:fldChar w:fldCharType="separate"/>
            </w:r>
            <w:r w:rsidR="00721EEB">
              <w:rPr>
                <w:noProof/>
                <w:webHidden/>
              </w:rPr>
              <w:t>110</w:t>
            </w:r>
            <w:r w:rsidR="00721EEB">
              <w:rPr>
                <w:noProof/>
                <w:webHidden/>
              </w:rPr>
              <w:fldChar w:fldCharType="end"/>
            </w:r>
          </w:hyperlink>
        </w:p>
        <w:p w14:paraId="6C5424D3" w14:textId="2C457B3F" w:rsidR="00721EEB" w:rsidRDefault="00BD1222">
          <w:pPr>
            <w:pStyle w:val="37"/>
            <w:tabs>
              <w:tab w:val="right" w:leader="dot" w:pos="9345"/>
            </w:tabs>
            <w:rPr>
              <w:rFonts w:asciiTheme="minorHAnsi" w:eastAsiaTheme="minorEastAsia" w:hAnsiTheme="minorHAnsi" w:cstheme="minorBidi"/>
              <w:noProof/>
              <w:lang w:eastAsia="ru-RU"/>
            </w:rPr>
          </w:pPr>
          <w:hyperlink w:anchor="_Toc196143034" w:history="1">
            <w:r w:rsidR="00721EEB" w:rsidRPr="004B2F20">
              <w:rPr>
                <w:rStyle w:val="ab"/>
                <w:rFonts w:ascii="Times New Roman" w:hAnsi="Times New Roman"/>
                <w:noProof/>
                <w:lang w:eastAsia="en-US" w:bidi="en-US"/>
              </w:rPr>
              <w:t>Численность и структура персонала</w:t>
            </w:r>
            <w:r w:rsidR="00721EEB">
              <w:rPr>
                <w:noProof/>
                <w:webHidden/>
              </w:rPr>
              <w:tab/>
            </w:r>
            <w:r w:rsidR="00721EEB">
              <w:rPr>
                <w:noProof/>
                <w:webHidden/>
              </w:rPr>
              <w:fldChar w:fldCharType="begin"/>
            </w:r>
            <w:r w:rsidR="00721EEB">
              <w:rPr>
                <w:noProof/>
                <w:webHidden/>
              </w:rPr>
              <w:instrText xml:space="preserve"> PAGEREF _Toc196143034 \h </w:instrText>
            </w:r>
            <w:r w:rsidR="00721EEB">
              <w:rPr>
                <w:noProof/>
                <w:webHidden/>
              </w:rPr>
            </w:r>
            <w:r w:rsidR="00721EEB">
              <w:rPr>
                <w:noProof/>
                <w:webHidden/>
              </w:rPr>
              <w:fldChar w:fldCharType="separate"/>
            </w:r>
            <w:r w:rsidR="00721EEB">
              <w:rPr>
                <w:noProof/>
                <w:webHidden/>
              </w:rPr>
              <w:t>111</w:t>
            </w:r>
            <w:r w:rsidR="00721EEB">
              <w:rPr>
                <w:noProof/>
                <w:webHidden/>
              </w:rPr>
              <w:fldChar w:fldCharType="end"/>
            </w:r>
          </w:hyperlink>
        </w:p>
        <w:p w14:paraId="73159DA6" w14:textId="7CA5202B" w:rsidR="00721EEB" w:rsidRDefault="00BD1222">
          <w:pPr>
            <w:pStyle w:val="37"/>
            <w:tabs>
              <w:tab w:val="right" w:leader="dot" w:pos="9345"/>
            </w:tabs>
            <w:rPr>
              <w:rFonts w:asciiTheme="minorHAnsi" w:eastAsiaTheme="minorEastAsia" w:hAnsiTheme="minorHAnsi" w:cstheme="minorBidi"/>
              <w:noProof/>
              <w:lang w:eastAsia="ru-RU"/>
            </w:rPr>
          </w:pPr>
          <w:hyperlink w:anchor="_Toc196143035" w:history="1">
            <w:r w:rsidR="00721EEB" w:rsidRPr="004B2F20">
              <w:rPr>
                <w:rStyle w:val="ab"/>
                <w:rFonts w:ascii="Times New Roman" w:hAnsi="Times New Roman"/>
                <w:noProof/>
                <w:lang w:eastAsia="en-US" w:bidi="en-US"/>
              </w:rPr>
              <w:t>Обучение и развитие персонала</w:t>
            </w:r>
            <w:r w:rsidR="00721EEB">
              <w:rPr>
                <w:noProof/>
                <w:webHidden/>
              </w:rPr>
              <w:tab/>
            </w:r>
            <w:r w:rsidR="00721EEB">
              <w:rPr>
                <w:noProof/>
                <w:webHidden/>
              </w:rPr>
              <w:fldChar w:fldCharType="begin"/>
            </w:r>
            <w:r w:rsidR="00721EEB">
              <w:rPr>
                <w:noProof/>
                <w:webHidden/>
              </w:rPr>
              <w:instrText xml:space="preserve"> PAGEREF _Toc196143035 \h </w:instrText>
            </w:r>
            <w:r w:rsidR="00721EEB">
              <w:rPr>
                <w:noProof/>
                <w:webHidden/>
              </w:rPr>
            </w:r>
            <w:r w:rsidR="00721EEB">
              <w:rPr>
                <w:noProof/>
                <w:webHidden/>
              </w:rPr>
              <w:fldChar w:fldCharType="separate"/>
            </w:r>
            <w:r w:rsidR="00721EEB">
              <w:rPr>
                <w:noProof/>
                <w:webHidden/>
              </w:rPr>
              <w:t>114</w:t>
            </w:r>
            <w:r w:rsidR="00721EEB">
              <w:rPr>
                <w:noProof/>
                <w:webHidden/>
              </w:rPr>
              <w:fldChar w:fldCharType="end"/>
            </w:r>
          </w:hyperlink>
        </w:p>
        <w:p w14:paraId="1F4DD1D5" w14:textId="3924DB52" w:rsidR="00721EEB" w:rsidRDefault="00BD1222">
          <w:pPr>
            <w:pStyle w:val="37"/>
            <w:tabs>
              <w:tab w:val="right" w:leader="dot" w:pos="9345"/>
            </w:tabs>
            <w:rPr>
              <w:rFonts w:asciiTheme="minorHAnsi" w:eastAsiaTheme="minorEastAsia" w:hAnsiTheme="minorHAnsi" w:cstheme="minorBidi"/>
              <w:noProof/>
              <w:lang w:eastAsia="ru-RU"/>
            </w:rPr>
          </w:pPr>
          <w:hyperlink w:anchor="_Toc196143036" w:history="1">
            <w:r w:rsidR="00721EEB" w:rsidRPr="004B2F20">
              <w:rPr>
                <w:rStyle w:val="ab"/>
                <w:rFonts w:ascii="Times New Roman" w:hAnsi="Times New Roman"/>
                <w:noProof/>
                <w:lang w:eastAsia="en-US" w:bidi="en-US"/>
              </w:rPr>
              <w:t>Молодежная политика Общества</w:t>
            </w:r>
            <w:r w:rsidR="00721EEB">
              <w:rPr>
                <w:noProof/>
                <w:webHidden/>
              </w:rPr>
              <w:tab/>
            </w:r>
            <w:r w:rsidR="00721EEB">
              <w:rPr>
                <w:noProof/>
                <w:webHidden/>
              </w:rPr>
              <w:fldChar w:fldCharType="begin"/>
            </w:r>
            <w:r w:rsidR="00721EEB">
              <w:rPr>
                <w:noProof/>
                <w:webHidden/>
              </w:rPr>
              <w:instrText xml:space="preserve"> PAGEREF _Toc196143036 \h </w:instrText>
            </w:r>
            <w:r w:rsidR="00721EEB">
              <w:rPr>
                <w:noProof/>
                <w:webHidden/>
              </w:rPr>
            </w:r>
            <w:r w:rsidR="00721EEB">
              <w:rPr>
                <w:noProof/>
                <w:webHidden/>
              </w:rPr>
              <w:fldChar w:fldCharType="separate"/>
            </w:r>
            <w:r w:rsidR="00721EEB">
              <w:rPr>
                <w:noProof/>
                <w:webHidden/>
              </w:rPr>
              <w:t>119</w:t>
            </w:r>
            <w:r w:rsidR="00721EEB">
              <w:rPr>
                <w:noProof/>
                <w:webHidden/>
              </w:rPr>
              <w:fldChar w:fldCharType="end"/>
            </w:r>
          </w:hyperlink>
        </w:p>
        <w:p w14:paraId="07779AD8" w14:textId="665AB94B" w:rsidR="00721EEB" w:rsidRDefault="00BD1222">
          <w:pPr>
            <w:pStyle w:val="37"/>
            <w:tabs>
              <w:tab w:val="right" w:leader="dot" w:pos="9345"/>
            </w:tabs>
            <w:rPr>
              <w:rFonts w:asciiTheme="minorHAnsi" w:eastAsiaTheme="minorEastAsia" w:hAnsiTheme="minorHAnsi" w:cstheme="minorBidi"/>
              <w:noProof/>
              <w:lang w:eastAsia="ru-RU"/>
            </w:rPr>
          </w:pPr>
          <w:hyperlink w:anchor="_Toc196143037" w:history="1">
            <w:r w:rsidR="00721EEB" w:rsidRPr="004B2F20">
              <w:rPr>
                <w:rStyle w:val="ab"/>
                <w:rFonts w:ascii="Times New Roman" w:hAnsi="Times New Roman"/>
                <w:noProof/>
                <w:lang w:eastAsia="en-US" w:bidi="en-US"/>
              </w:rPr>
              <w:t>Социальная политика</w:t>
            </w:r>
            <w:r w:rsidR="00721EEB">
              <w:rPr>
                <w:noProof/>
                <w:webHidden/>
              </w:rPr>
              <w:tab/>
            </w:r>
            <w:r w:rsidR="00721EEB">
              <w:rPr>
                <w:noProof/>
                <w:webHidden/>
              </w:rPr>
              <w:fldChar w:fldCharType="begin"/>
            </w:r>
            <w:r w:rsidR="00721EEB">
              <w:rPr>
                <w:noProof/>
                <w:webHidden/>
              </w:rPr>
              <w:instrText xml:space="preserve"> PAGEREF _Toc196143037 \h </w:instrText>
            </w:r>
            <w:r w:rsidR="00721EEB">
              <w:rPr>
                <w:noProof/>
                <w:webHidden/>
              </w:rPr>
            </w:r>
            <w:r w:rsidR="00721EEB">
              <w:rPr>
                <w:noProof/>
                <w:webHidden/>
              </w:rPr>
              <w:fldChar w:fldCharType="separate"/>
            </w:r>
            <w:r w:rsidR="00721EEB">
              <w:rPr>
                <w:noProof/>
                <w:webHidden/>
              </w:rPr>
              <w:t>124</w:t>
            </w:r>
            <w:r w:rsidR="00721EEB">
              <w:rPr>
                <w:noProof/>
                <w:webHidden/>
              </w:rPr>
              <w:fldChar w:fldCharType="end"/>
            </w:r>
          </w:hyperlink>
        </w:p>
        <w:p w14:paraId="127C085E" w14:textId="3B3DB214" w:rsidR="00721EEB" w:rsidRDefault="00BD1222">
          <w:pPr>
            <w:pStyle w:val="37"/>
            <w:tabs>
              <w:tab w:val="right" w:leader="dot" w:pos="9345"/>
            </w:tabs>
            <w:rPr>
              <w:rFonts w:asciiTheme="minorHAnsi" w:eastAsiaTheme="minorEastAsia" w:hAnsiTheme="minorHAnsi" w:cstheme="minorBidi"/>
              <w:noProof/>
              <w:lang w:eastAsia="ru-RU"/>
            </w:rPr>
          </w:pPr>
          <w:hyperlink w:anchor="_Toc196143038" w:history="1">
            <w:r w:rsidR="00721EEB" w:rsidRPr="004B2F20">
              <w:rPr>
                <w:rStyle w:val="ab"/>
                <w:rFonts w:ascii="Times New Roman" w:hAnsi="Times New Roman"/>
                <w:noProof/>
                <w:lang w:eastAsia="en-US" w:bidi="en-US"/>
              </w:rPr>
              <w:t>Охрана труда и промышленная безопасность</w:t>
            </w:r>
            <w:r w:rsidR="00721EEB">
              <w:rPr>
                <w:noProof/>
                <w:webHidden/>
              </w:rPr>
              <w:tab/>
            </w:r>
            <w:r w:rsidR="00721EEB">
              <w:rPr>
                <w:noProof/>
                <w:webHidden/>
              </w:rPr>
              <w:fldChar w:fldCharType="begin"/>
            </w:r>
            <w:r w:rsidR="00721EEB">
              <w:rPr>
                <w:noProof/>
                <w:webHidden/>
              </w:rPr>
              <w:instrText xml:space="preserve"> PAGEREF _Toc196143038 \h </w:instrText>
            </w:r>
            <w:r w:rsidR="00721EEB">
              <w:rPr>
                <w:noProof/>
                <w:webHidden/>
              </w:rPr>
            </w:r>
            <w:r w:rsidR="00721EEB">
              <w:rPr>
                <w:noProof/>
                <w:webHidden/>
              </w:rPr>
              <w:fldChar w:fldCharType="separate"/>
            </w:r>
            <w:r w:rsidR="00721EEB">
              <w:rPr>
                <w:noProof/>
                <w:webHidden/>
              </w:rPr>
              <w:t>127</w:t>
            </w:r>
            <w:r w:rsidR="00721EEB">
              <w:rPr>
                <w:noProof/>
                <w:webHidden/>
              </w:rPr>
              <w:fldChar w:fldCharType="end"/>
            </w:r>
          </w:hyperlink>
        </w:p>
        <w:p w14:paraId="3B59C4F5" w14:textId="0812C5D5" w:rsidR="00721EEB" w:rsidRDefault="00BD1222">
          <w:pPr>
            <w:pStyle w:val="2c"/>
            <w:tabs>
              <w:tab w:val="right" w:leader="dot" w:pos="9345"/>
            </w:tabs>
            <w:rPr>
              <w:rFonts w:asciiTheme="minorHAnsi" w:eastAsiaTheme="minorEastAsia" w:hAnsiTheme="minorHAnsi" w:cstheme="minorBidi"/>
              <w:noProof/>
              <w:lang w:eastAsia="ru-RU"/>
            </w:rPr>
          </w:pPr>
          <w:hyperlink w:anchor="_Toc196143039" w:history="1">
            <w:r w:rsidR="00721EEB" w:rsidRPr="004B2F20">
              <w:rPr>
                <w:rStyle w:val="ab"/>
                <w:rFonts w:ascii="Times New Roman" w:hAnsi="Times New Roman"/>
                <w:caps/>
                <w:noProof/>
                <w:spacing w:val="15"/>
                <w:lang w:eastAsia="en-US" w:bidi="en-US"/>
              </w:rPr>
              <w:t>Охрана окружающей среды</w:t>
            </w:r>
            <w:r w:rsidR="00721EEB">
              <w:rPr>
                <w:noProof/>
                <w:webHidden/>
              </w:rPr>
              <w:tab/>
            </w:r>
            <w:r w:rsidR="00721EEB">
              <w:rPr>
                <w:noProof/>
                <w:webHidden/>
              </w:rPr>
              <w:fldChar w:fldCharType="begin"/>
            </w:r>
            <w:r w:rsidR="00721EEB">
              <w:rPr>
                <w:noProof/>
                <w:webHidden/>
              </w:rPr>
              <w:instrText xml:space="preserve"> PAGEREF _Toc196143039 \h </w:instrText>
            </w:r>
            <w:r w:rsidR="00721EEB">
              <w:rPr>
                <w:noProof/>
                <w:webHidden/>
              </w:rPr>
            </w:r>
            <w:r w:rsidR="00721EEB">
              <w:rPr>
                <w:noProof/>
                <w:webHidden/>
              </w:rPr>
              <w:fldChar w:fldCharType="separate"/>
            </w:r>
            <w:r w:rsidR="00721EEB">
              <w:rPr>
                <w:noProof/>
                <w:webHidden/>
              </w:rPr>
              <w:t>135</w:t>
            </w:r>
            <w:r w:rsidR="00721EEB">
              <w:rPr>
                <w:noProof/>
                <w:webHidden/>
              </w:rPr>
              <w:fldChar w:fldCharType="end"/>
            </w:r>
          </w:hyperlink>
        </w:p>
        <w:p w14:paraId="7DE5B76D" w14:textId="2F56CEC1" w:rsidR="00721EEB" w:rsidRDefault="00BD1222">
          <w:pPr>
            <w:pStyle w:val="37"/>
            <w:tabs>
              <w:tab w:val="right" w:leader="dot" w:pos="9345"/>
            </w:tabs>
            <w:rPr>
              <w:rFonts w:asciiTheme="minorHAnsi" w:eastAsiaTheme="minorEastAsia" w:hAnsiTheme="minorHAnsi" w:cstheme="minorBidi"/>
              <w:noProof/>
              <w:lang w:eastAsia="ru-RU"/>
            </w:rPr>
          </w:pPr>
          <w:hyperlink w:anchor="_Toc196143040" w:history="1">
            <w:r w:rsidR="00721EEB" w:rsidRPr="004B2F20">
              <w:rPr>
                <w:rStyle w:val="ab"/>
                <w:rFonts w:ascii="Times New Roman" w:hAnsi="Times New Roman"/>
                <w:noProof/>
                <w:lang w:eastAsia="en-US" w:bidi="en-US"/>
              </w:rPr>
              <w:t>Экологическая политика</w:t>
            </w:r>
            <w:r w:rsidR="00721EEB">
              <w:rPr>
                <w:noProof/>
                <w:webHidden/>
              </w:rPr>
              <w:tab/>
            </w:r>
            <w:r w:rsidR="00721EEB">
              <w:rPr>
                <w:noProof/>
                <w:webHidden/>
              </w:rPr>
              <w:fldChar w:fldCharType="begin"/>
            </w:r>
            <w:r w:rsidR="00721EEB">
              <w:rPr>
                <w:noProof/>
                <w:webHidden/>
              </w:rPr>
              <w:instrText xml:space="preserve"> PAGEREF _Toc196143040 \h </w:instrText>
            </w:r>
            <w:r w:rsidR="00721EEB">
              <w:rPr>
                <w:noProof/>
                <w:webHidden/>
              </w:rPr>
            </w:r>
            <w:r w:rsidR="00721EEB">
              <w:rPr>
                <w:noProof/>
                <w:webHidden/>
              </w:rPr>
              <w:fldChar w:fldCharType="separate"/>
            </w:r>
            <w:r w:rsidR="00721EEB">
              <w:rPr>
                <w:noProof/>
                <w:webHidden/>
              </w:rPr>
              <w:t>136</w:t>
            </w:r>
            <w:r w:rsidR="00721EEB">
              <w:rPr>
                <w:noProof/>
                <w:webHidden/>
              </w:rPr>
              <w:fldChar w:fldCharType="end"/>
            </w:r>
          </w:hyperlink>
        </w:p>
        <w:p w14:paraId="70BADB4A" w14:textId="7CDD21A8" w:rsidR="00721EEB" w:rsidRDefault="00BD1222">
          <w:pPr>
            <w:pStyle w:val="37"/>
            <w:tabs>
              <w:tab w:val="right" w:leader="dot" w:pos="9345"/>
            </w:tabs>
            <w:rPr>
              <w:rFonts w:asciiTheme="minorHAnsi" w:eastAsiaTheme="minorEastAsia" w:hAnsiTheme="minorHAnsi" w:cstheme="minorBidi"/>
              <w:noProof/>
              <w:lang w:eastAsia="ru-RU"/>
            </w:rPr>
          </w:pPr>
          <w:hyperlink w:anchor="_Toc196143041" w:history="1">
            <w:r w:rsidR="00721EEB" w:rsidRPr="004B2F20">
              <w:rPr>
                <w:rStyle w:val="ab"/>
                <w:rFonts w:ascii="Times New Roman" w:hAnsi="Times New Roman"/>
                <w:noProof/>
                <w:lang w:eastAsia="en-US" w:bidi="en-US"/>
              </w:rPr>
              <w:t>Расходы на охрану окружающей среды</w:t>
            </w:r>
            <w:r w:rsidR="00721EEB">
              <w:rPr>
                <w:noProof/>
                <w:webHidden/>
              </w:rPr>
              <w:tab/>
            </w:r>
            <w:r w:rsidR="00721EEB">
              <w:rPr>
                <w:noProof/>
                <w:webHidden/>
              </w:rPr>
              <w:fldChar w:fldCharType="begin"/>
            </w:r>
            <w:r w:rsidR="00721EEB">
              <w:rPr>
                <w:noProof/>
                <w:webHidden/>
              </w:rPr>
              <w:instrText xml:space="preserve"> PAGEREF _Toc196143041 \h </w:instrText>
            </w:r>
            <w:r w:rsidR="00721EEB">
              <w:rPr>
                <w:noProof/>
                <w:webHidden/>
              </w:rPr>
            </w:r>
            <w:r w:rsidR="00721EEB">
              <w:rPr>
                <w:noProof/>
                <w:webHidden/>
              </w:rPr>
              <w:fldChar w:fldCharType="separate"/>
            </w:r>
            <w:r w:rsidR="00721EEB">
              <w:rPr>
                <w:noProof/>
                <w:webHidden/>
              </w:rPr>
              <w:t>137</w:t>
            </w:r>
            <w:r w:rsidR="00721EEB">
              <w:rPr>
                <w:noProof/>
                <w:webHidden/>
              </w:rPr>
              <w:fldChar w:fldCharType="end"/>
            </w:r>
          </w:hyperlink>
        </w:p>
        <w:p w14:paraId="4B7B881D" w14:textId="17C34123" w:rsidR="00721EEB" w:rsidRDefault="00BD1222">
          <w:pPr>
            <w:pStyle w:val="37"/>
            <w:tabs>
              <w:tab w:val="right" w:leader="dot" w:pos="9345"/>
            </w:tabs>
            <w:rPr>
              <w:rFonts w:asciiTheme="minorHAnsi" w:eastAsiaTheme="minorEastAsia" w:hAnsiTheme="minorHAnsi" w:cstheme="minorBidi"/>
              <w:noProof/>
              <w:lang w:eastAsia="ru-RU"/>
            </w:rPr>
          </w:pPr>
          <w:hyperlink w:anchor="_Toc196143042" w:history="1">
            <w:r w:rsidR="00721EEB" w:rsidRPr="004B2F20">
              <w:rPr>
                <w:rStyle w:val="ab"/>
                <w:rFonts w:ascii="Times New Roman" w:hAnsi="Times New Roman"/>
                <w:noProof/>
                <w:lang w:eastAsia="en-US" w:bidi="en-US"/>
              </w:rPr>
              <w:t>Практики Компании в области охраны атмосферного воздуха, водных ресурсов, почв и земель</w:t>
            </w:r>
            <w:r w:rsidR="00721EEB">
              <w:rPr>
                <w:noProof/>
                <w:webHidden/>
              </w:rPr>
              <w:tab/>
            </w:r>
            <w:r w:rsidR="00721EEB">
              <w:rPr>
                <w:noProof/>
                <w:webHidden/>
              </w:rPr>
              <w:fldChar w:fldCharType="begin"/>
            </w:r>
            <w:r w:rsidR="00721EEB">
              <w:rPr>
                <w:noProof/>
                <w:webHidden/>
              </w:rPr>
              <w:instrText xml:space="preserve"> PAGEREF _Toc196143042 \h </w:instrText>
            </w:r>
            <w:r w:rsidR="00721EEB">
              <w:rPr>
                <w:noProof/>
                <w:webHidden/>
              </w:rPr>
            </w:r>
            <w:r w:rsidR="00721EEB">
              <w:rPr>
                <w:noProof/>
                <w:webHidden/>
              </w:rPr>
              <w:fldChar w:fldCharType="separate"/>
            </w:r>
            <w:r w:rsidR="00721EEB">
              <w:rPr>
                <w:noProof/>
                <w:webHidden/>
              </w:rPr>
              <w:t>139</w:t>
            </w:r>
            <w:r w:rsidR="00721EEB">
              <w:rPr>
                <w:noProof/>
                <w:webHidden/>
              </w:rPr>
              <w:fldChar w:fldCharType="end"/>
            </w:r>
          </w:hyperlink>
        </w:p>
        <w:p w14:paraId="5D219F78" w14:textId="7FFE56E2" w:rsidR="00721EEB" w:rsidRDefault="00BD1222">
          <w:pPr>
            <w:pStyle w:val="37"/>
            <w:tabs>
              <w:tab w:val="right" w:leader="dot" w:pos="9345"/>
            </w:tabs>
            <w:rPr>
              <w:rFonts w:asciiTheme="minorHAnsi" w:eastAsiaTheme="minorEastAsia" w:hAnsiTheme="minorHAnsi" w:cstheme="minorBidi"/>
              <w:noProof/>
              <w:lang w:eastAsia="ru-RU"/>
            </w:rPr>
          </w:pPr>
          <w:hyperlink w:anchor="_Toc196143043" w:history="1">
            <w:r w:rsidR="00721EEB" w:rsidRPr="004B2F20">
              <w:rPr>
                <w:rStyle w:val="ab"/>
                <w:rFonts w:ascii="Times New Roman" w:hAnsi="Times New Roman"/>
                <w:bCs/>
                <w:noProof/>
                <w:lang w:eastAsia="ru-RU"/>
              </w:rPr>
              <w:t>Охрана атмосферного воздуха, почв и земель, с</w:t>
            </w:r>
            <w:r w:rsidR="00721EEB" w:rsidRPr="004B2F20">
              <w:rPr>
                <w:rStyle w:val="ab"/>
                <w:rFonts w:ascii="Times New Roman" w:hAnsi="Times New Roman"/>
                <w:noProof/>
                <w:lang w:eastAsia="ru-RU"/>
              </w:rPr>
              <w:t>охранение экосистем и биоразнообразия</w:t>
            </w:r>
            <w:r w:rsidR="00721EEB">
              <w:rPr>
                <w:noProof/>
                <w:webHidden/>
              </w:rPr>
              <w:tab/>
            </w:r>
            <w:r w:rsidR="00721EEB">
              <w:rPr>
                <w:noProof/>
                <w:webHidden/>
              </w:rPr>
              <w:fldChar w:fldCharType="begin"/>
            </w:r>
            <w:r w:rsidR="00721EEB">
              <w:rPr>
                <w:noProof/>
                <w:webHidden/>
              </w:rPr>
              <w:instrText xml:space="preserve"> PAGEREF _Toc196143043 \h </w:instrText>
            </w:r>
            <w:r w:rsidR="00721EEB">
              <w:rPr>
                <w:noProof/>
                <w:webHidden/>
              </w:rPr>
            </w:r>
            <w:r w:rsidR="00721EEB">
              <w:rPr>
                <w:noProof/>
                <w:webHidden/>
              </w:rPr>
              <w:fldChar w:fldCharType="separate"/>
            </w:r>
            <w:r w:rsidR="00721EEB">
              <w:rPr>
                <w:noProof/>
                <w:webHidden/>
              </w:rPr>
              <w:t>139</w:t>
            </w:r>
            <w:r w:rsidR="00721EEB">
              <w:rPr>
                <w:noProof/>
                <w:webHidden/>
              </w:rPr>
              <w:fldChar w:fldCharType="end"/>
            </w:r>
          </w:hyperlink>
        </w:p>
        <w:p w14:paraId="6DEF9DC0" w14:textId="44AF98AA" w:rsidR="00721EEB" w:rsidRDefault="00BD1222">
          <w:pPr>
            <w:pStyle w:val="2c"/>
            <w:tabs>
              <w:tab w:val="right" w:leader="dot" w:pos="9345"/>
            </w:tabs>
            <w:rPr>
              <w:rFonts w:asciiTheme="minorHAnsi" w:eastAsiaTheme="minorEastAsia" w:hAnsiTheme="minorHAnsi" w:cstheme="minorBidi"/>
              <w:noProof/>
              <w:lang w:eastAsia="ru-RU"/>
            </w:rPr>
          </w:pPr>
          <w:hyperlink w:anchor="_Toc196143044" w:history="1">
            <w:r w:rsidR="00721EEB" w:rsidRPr="004B2F20">
              <w:rPr>
                <w:rStyle w:val="ab"/>
                <w:rFonts w:ascii="Times New Roman" w:hAnsi="Times New Roman"/>
                <w:caps/>
                <w:noProof/>
                <w:spacing w:val="15"/>
                <w:lang w:eastAsia="en-US" w:bidi="en-US"/>
              </w:rPr>
              <w:t>Энергопотребление и энергосбережение</w:t>
            </w:r>
            <w:r w:rsidR="00721EEB">
              <w:rPr>
                <w:noProof/>
                <w:webHidden/>
              </w:rPr>
              <w:tab/>
            </w:r>
            <w:r w:rsidR="00721EEB">
              <w:rPr>
                <w:noProof/>
                <w:webHidden/>
              </w:rPr>
              <w:fldChar w:fldCharType="begin"/>
            </w:r>
            <w:r w:rsidR="00721EEB">
              <w:rPr>
                <w:noProof/>
                <w:webHidden/>
              </w:rPr>
              <w:instrText xml:space="preserve"> PAGEREF _Toc196143044 \h </w:instrText>
            </w:r>
            <w:r w:rsidR="00721EEB">
              <w:rPr>
                <w:noProof/>
                <w:webHidden/>
              </w:rPr>
            </w:r>
            <w:r w:rsidR="00721EEB">
              <w:rPr>
                <w:noProof/>
                <w:webHidden/>
              </w:rPr>
              <w:fldChar w:fldCharType="separate"/>
            </w:r>
            <w:r w:rsidR="00721EEB">
              <w:rPr>
                <w:noProof/>
                <w:webHidden/>
              </w:rPr>
              <w:t>141</w:t>
            </w:r>
            <w:r w:rsidR="00721EEB">
              <w:rPr>
                <w:noProof/>
                <w:webHidden/>
              </w:rPr>
              <w:fldChar w:fldCharType="end"/>
            </w:r>
          </w:hyperlink>
        </w:p>
        <w:p w14:paraId="1C83C2D1" w14:textId="531452FF" w:rsidR="00721EEB" w:rsidRDefault="00BD1222">
          <w:pPr>
            <w:pStyle w:val="2c"/>
            <w:tabs>
              <w:tab w:val="right" w:leader="dot" w:pos="9345"/>
            </w:tabs>
            <w:rPr>
              <w:rFonts w:asciiTheme="minorHAnsi" w:eastAsiaTheme="minorEastAsia" w:hAnsiTheme="minorHAnsi" w:cstheme="minorBidi"/>
              <w:noProof/>
              <w:lang w:eastAsia="ru-RU"/>
            </w:rPr>
          </w:pPr>
          <w:hyperlink w:anchor="_Toc196143045" w:history="1">
            <w:r w:rsidR="00721EEB" w:rsidRPr="004B2F20">
              <w:rPr>
                <w:rStyle w:val="ab"/>
                <w:rFonts w:ascii="Times New Roman" w:hAnsi="Times New Roman"/>
                <w:caps/>
                <w:noProof/>
                <w:spacing w:val="15"/>
                <w:lang w:eastAsia="en-US" w:bidi="en-US"/>
              </w:rPr>
              <w:t>Системы менеджмента</w:t>
            </w:r>
            <w:r w:rsidR="00721EEB">
              <w:rPr>
                <w:noProof/>
                <w:webHidden/>
              </w:rPr>
              <w:tab/>
            </w:r>
            <w:r w:rsidR="00721EEB">
              <w:rPr>
                <w:noProof/>
                <w:webHidden/>
              </w:rPr>
              <w:fldChar w:fldCharType="begin"/>
            </w:r>
            <w:r w:rsidR="00721EEB">
              <w:rPr>
                <w:noProof/>
                <w:webHidden/>
              </w:rPr>
              <w:instrText xml:space="preserve"> PAGEREF _Toc196143045 \h </w:instrText>
            </w:r>
            <w:r w:rsidR="00721EEB">
              <w:rPr>
                <w:noProof/>
                <w:webHidden/>
              </w:rPr>
            </w:r>
            <w:r w:rsidR="00721EEB">
              <w:rPr>
                <w:noProof/>
                <w:webHidden/>
              </w:rPr>
              <w:fldChar w:fldCharType="separate"/>
            </w:r>
            <w:r w:rsidR="00721EEB">
              <w:rPr>
                <w:noProof/>
                <w:webHidden/>
              </w:rPr>
              <w:t>147</w:t>
            </w:r>
            <w:r w:rsidR="00721EEB">
              <w:rPr>
                <w:noProof/>
                <w:webHidden/>
              </w:rPr>
              <w:fldChar w:fldCharType="end"/>
            </w:r>
          </w:hyperlink>
        </w:p>
        <w:p w14:paraId="05D58D58" w14:textId="6B062006" w:rsidR="00721EEB" w:rsidRDefault="00BD1222">
          <w:pPr>
            <w:pStyle w:val="2c"/>
            <w:tabs>
              <w:tab w:val="right" w:leader="dot" w:pos="9345"/>
            </w:tabs>
            <w:rPr>
              <w:rFonts w:asciiTheme="minorHAnsi" w:eastAsiaTheme="minorEastAsia" w:hAnsiTheme="minorHAnsi" w:cstheme="minorBidi"/>
              <w:noProof/>
              <w:lang w:eastAsia="ru-RU"/>
            </w:rPr>
          </w:pPr>
          <w:hyperlink w:anchor="_Toc196143046" w:history="1">
            <w:r w:rsidR="00721EEB" w:rsidRPr="004B2F20">
              <w:rPr>
                <w:rStyle w:val="ab"/>
                <w:rFonts w:ascii="Times New Roman" w:hAnsi="Times New Roman"/>
                <w:caps/>
                <w:noProof/>
                <w:spacing w:val="15"/>
                <w:lang w:eastAsia="en-US" w:bidi="en-US"/>
              </w:rPr>
              <w:t>Закупочная деятельность</w:t>
            </w:r>
            <w:r w:rsidR="00721EEB">
              <w:rPr>
                <w:noProof/>
                <w:webHidden/>
              </w:rPr>
              <w:tab/>
            </w:r>
            <w:r w:rsidR="00721EEB">
              <w:rPr>
                <w:noProof/>
                <w:webHidden/>
              </w:rPr>
              <w:fldChar w:fldCharType="begin"/>
            </w:r>
            <w:r w:rsidR="00721EEB">
              <w:rPr>
                <w:noProof/>
                <w:webHidden/>
              </w:rPr>
              <w:instrText xml:space="preserve"> PAGEREF _Toc196143046 \h </w:instrText>
            </w:r>
            <w:r w:rsidR="00721EEB">
              <w:rPr>
                <w:noProof/>
                <w:webHidden/>
              </w:rPr>
            </w:r>
            <w:r w:rsidR="00721EEB">
              <w:rPr>
                <w:noProof/>
                <w:webHidden/>
              </w:rPr>
              <w:fldChar w:fldCharType="separate"/>
            </w:r>
            <w:r w:rsidR="00721EEB">
              <w:rPr>
                <w:noProof/>
                <w:webHidden/>
              </w:rPr>
              <w:t>149</w:t>
            </w:r>
            <w:r w:rsidR="00721EEB">
              <w:rPr>
                <w:noProof/>
                <w:webHidden/>
              </w:rPr>
              <w:fldChar w:fldCharType="end"/>
            </w:r>
          </w:hyperlink>
        </w:p>
        <w:p w14:paraId="6C9C0C08" w14:textId="65283C61" w:rsidR="00721EEB" w:rsidRDefault="00BD1222">
          <w:pPr>
            <w:pStyle w:val="37"/>
            <w:tabs>
              <w:tab w:val="right" w:leader="dot" w:pos="9345"/>
            </w:tabs>
            <w:rPr>
              <w:rFonts w:asciiTheme="minorHAnsi" w:eastAsiaTheme="minorEastAsia" w:hAnsiTheme="minorHAnsi" w:cstheme="minorBidi"/>
              <w:noProof/>
              <w:lang w:eastAsia="ru-RU"/>
            </w:rPr>
          </w:pPr>
          <w:hyperlink w:anchor="_Toc196143047" w:history="1">
            <w:r w:rsidR="00721EEB" w:rsidRPr="004B2F20">
              <w:rPr>
                <w:rStyle w:val="ab"/>
                <w:rFonts w:ascii="Times New Roman" w:hAnsi="Times New Roman"/>
                <w:b/>
                <w:noProof/>
                <w:lang w:eastAsia="en-US" w:bidi="en-US"/>
              </w:rPr>
              <w:t>Нормативное регулирование закупочной деятельности</w:t>
            </w:r>
            <w:r w:rsidR="00721EEB">
              <w:rPr>
                <w:noProof/>
                <w:webHidden/>
              </w:rPr>
              <w:tab/>
            </w:r>
            <w:r w:rsidR="00721EEB">
              <w:rPr>
                <w:noProof/>
                <w:webHidden/>
              </w:rPr>
              <w:fldChar w:fldCharType="begin"/>
            </w:r>
            <w:r w:rsidR="00721EEB">
              <w:rPr>
                <w:noProof/>
                <w:webHidden/>
              </w:rPr>
              <w:instrText xml:space="preserve"> PAGEREF _Toc196143047 \h </w:instrText>
            </w:r>
            <w:r w:rsidR="00721EEB">
              <w:rPr>
                <w:noProof/>
                <w:webHidden/>
              </w:rPr>
            </w:r>
            <w:r w:rsidR="00721EEB">
              <w:rPr>
                <w:noProof/>
                <w:webHidden/>
              </w:rPr>
              <w:fldChar w:fldCharType="separate"/>
            </w:r>
            <w:r w:rsidR="00721EEB">
              <w:rPr>
                <w:noProof/>
                <w:webHidden/>
              </w:rPr>
              <w:t>149</w:t>
            </w:r>
            <w:r w:rsidR="00721EEB">
              <w:rPr>
                <w:noProof/>
                <w:webHidden/>
              </w:rPr>
              <w:fldChar w:fldCharType="end"/>
            </w:r>
          </w:hyperlink>
        </w:p>
        <w:p w14:paraId="39868F69" w14:textId="36771851" w:rsidR="00721EEB" w:rsidRDefault="00BD1222">
          <w:pPr>
            <w:pStyle w:val="37"/>
            <w:tabs>
              <w:tab w:val="right" w:leader="dot" w:pos="9345"/>
            </w:tabs>
            <w:rPr>
              <w:rFonts w:asciiTheme="minorHAnsi" w:eastAsiaTheme="minorEastAsia" w:hAnsiTheme="minorHAnsi" w:cstheme="minorBidi"/>
              <w:noProof/>
              <w:lang w:eastAsia="ru-RU"/>
            </w:rPr>
          </w:pPr>
          <w:hyperlink w:anchor="_Toc196143048" w:history="1">
            <w:r w:rsidR="00721EEB" w:rsidRPr="004B2F20">
              <w:rPr>
                <w:rStyle w:val="ab"/>
                <w:rFonts w:ascii="Times New Roman" w:hAnsi="Times New Roman"/>
                <w:b/>
                <w:noProof/>
                <w:lang w:eastAsia="en-US" w:bidi="en-US"/>
              </w:rPr>
              <w:t>Способы проведения закупочных процедур</w:t>
            </w:r>
            <w:r w:rsidR="00721EEB">
              <w:rPr>
                <w:noProof/>
                <w:webHidden/>
              </w:rPr>
              <w:tab/>
            </w:r>
            <w:r w:rsidR="00721EEB">
              <w:rPr>
                <w:noProof/>
                <w:webHidden/>
              </w:rPr>
              <w:fldChar w:fldCharType="begin"/>
            </w:r>
            <w:r w:rsidR="00721EEB">
              <w:rPr>
                <w:noProof/>
                <w:webHidden/>
              </w:rPr>
              <w:instrText xml:space="preserve"> PAGEREF _Toc196143048 \h </w:instrText>
            </w:r>
            <w:r w:rsidR="00721EEB">
              <w:rPr>
                <w:noProof/>
                <w:webHidden/>
              </w:rPr>
            </w:r>
            <w:r w:rsidR="00721EEB">
              <w:rPr>
                <w:noProof/>
                <w:webHidden/>
              </w:rPr>
              <w:fldChar w:fldCharType="separate"/>
            </w:r>
            <w:r w:rsidR="00721EEB">
              <w:rPr>
                <w:noProof/>
                <w:webHidden/>
              </w:rPr>
              <w:t>150</w:t>
            </w:r>
            <w:r w:rsidR="00721EEB">
              <w:rPr>
                <w:noProof/>
                <w:webHidden/>
              </w:rPr>
              <w:fldChar w:fldCharType="end"/>
            </w:r>
          </w:hyperlink>
        </w:p>
        <w:p w14:paraId="7A387666" w14:textId="3242B72C" w:rsidR="00721EEB" w:rsidRDefault="00BD1222">
          <w:pPr>
            <w:pStyle w:val="2c"/>
            <w:tabs>
              <w:tab w:val="right" w:leader="dot" w:pos="9345"/>
            </w:tabs>
            <w:rPr>
              <w:rFonts w:asciiTheme="minorHAnsi" w:eastAsiaTheme="minorEastAsia" w:hAnsiTheme="minorHAnsi" w:cstheme="minorBidi"/>
              <w:noProof/>
              <w:lang w:eastAsia="ru-RU"/>
            </w:rPr>
          </w:pPr>
          <w:hyperlink w:anchor="_Toc196143049" w:history="1">
            <w:r w:rsidR="00721EEB" w:rsidRPr="004B2F20">
              <w:rPr>
                <w:rStyle w:val="ab"/>
                <w:rFonts w:ascii="Times New Roman" w:hAnsi="Times New Roman"/>
                <w:caps/>
                <w:noProof/>
                <w:spacing w:val="15"/>
                <w:lang w:eastAsia="en-US" w:bidi="en-US"/>
              </w:rPr>
              <w:t>Антикоррупционная политика и обеспечение безопасности экономической деятельности</w:t>
            </w:r>
            <w:r w:rsidR="00721EEB">
              <w:rPr>
                <w:noProof/>
                <w:webHidden/>
              </w:rPr>
              <w:tab/>
            </w:r>
            <w:r w:rsidR="00721EEB">
              <w:rPr>
                <w:noProof/>
                <w:webHidden/>
              </w:rPr>
              <w:fldChar w:fldCharType="begin"/>
            </w:r>
            <w:r w:rsidR="00721EEB">
              <w:rPr>
                <w:noProof/>
                <w:webHidden/>
              </w:rPr>
              <w:instrText xml:space="preserve"> PAGEREF _Toc196143049 \h </w:instrText>
            </w:r>
            <w:r w:rsidR="00721EEB">
              <w:rPr>
                <w:noProof/>
                <w:webHidden/>
              </w:rPr>
            </w:r>
            <w:r w:rsidR="00721EEB">
              <w:rPr>
                <w:noProof/>
                <w:webHidden/>
              </w:rPr>
              <w:fldChar w:fldCharType="separate"/>
            </w:r>
            <w:r w:rsidR="00721EEB">
              <w:rPr>
                <w:noProof/>
                <w:webHidden/>
              </w:rPr>
              <w:t>155</w:t>
            </w:r>
            <w:r w:rsidR="00721EEB">
              <w:rPr>
                <w:noProof/>
                <w:webHidden/>
              </w:rPr>
              <w:fldChar w:fldCharType="end"/>
            </w:r>
          </w:hyperlink>
        </w:p>
        <w:p w14:paraId="63231D4A" w14:textId="35FE82C0" w:rsidR="00721EEB" w:rsidRDefault="00BD1222">
          <w:pPr>
            <w:pStyle w:val="2c"/>
            <w:tabs>
              <w:tab w:val="right" w:leader="dot" w:pos="9345"/>
            </w:tabs>
            <w:rPr>
              <w:rFonts w:asciiTheme="minorHAnsi" w:eastAsiaTheme="minorEastAsia" w:hAnsiTheme="minorHAnsi" w:cstheme="minorBidi"/>
              <w:noProof/>
              <w:lang w:eastAsia="ru-RU"/>
            </w:rPr>
          </w:pPr>
          <w:hyperlink w:anchor="_Toc196143050" w:history="1">
            <w:r w:rsidR="00721EEB" w:rsidRPr="004B2F20">
              <w:rPr>
                <w:rStyle w:val="ab"/>
                <w:rFonts w:ascii="Times New Roman" w:hAnsi="Times New Roman"/>
                <w:caps/>
                <w:noProof/>
                <w:spacing w:val="15"/>
                <w:lang w:eastAsia="en-US" w:bidi="en-US"/>
              </w:rPr>
              <w:t>Раскрытие информации</w:t>
            </w:r>
            <w:r w:rsidR="00721EEB">
              <w:rPr>
                <w:noProof/>
                <w:webHidden/>
              </w:rPr>
              <w:tab/>
            </w:r>
            <w:r w:rsidR="00721EEB">
              <w:rPr>
                <w:noProof/>
                <w:webHidden/>
              </w:rPr>
              <w:fldChar w:fldCharType="begin"/>
            </w:r>
            <w:r w:rsidR="00721EEB">
              <w:rPr>
                <w:noProof/>
                <w:webHidden/>
              </w:rPr>
              <w:instrText xml:space="preserve"> PAGEREF _Toc196143050 \h </w:instrText>
            </w:r>
            <w:r w:rsidR="00721EEB">
              <w:rPr>
                <w:noProof/>
                <w:webHidden/>
              </w:rPr>
            </w:r>
            <w:r w:rsidR="00721EEB">
              <w:rPr>
                <w:noProof/>
                <w:webHidden/>
              </w:rPr>
              <w:fldChar w:fldCharType="separate"/>
            </w:r>
            <w:r w:rsidR="00721EEB">
              <w:rPr>
                <w:noProof/>
                <w:webHidden/>
              </w:rPr>
              <w:t>162</w:t>
            </w:r>
            <w:r w:rsidR="00721EEB">
              <w:rPr>
                <w:noProof/>
                <w:webHidden/>
              </w:rPr>
              <w:fldChar w:fldCharType="end"/>
            </w:r>
          </w:hyperlink>
        </w:p>
        <w:p w14:paraId="552791FF" w14:textId="6592627A" w:rsidR="00721EEB" w:rsidRDefault="00BD1222">
          <w:pPr>
            <w:pStyle w:val="1f3"/>
            <w:rPr>
              <w:rFonts w:asciiTheme="minorHAnsi" w:eastAsiaTheme="minorEastAsia" w:hAnsiTheme="minorHAnsi" w:cstheme="minorBidi"/>
              <w:b w:val="0"/>
              <w:noProof/>
              <w:sz w:val="22"/>
              <w:szCs w:val="22"/>
              <w:lang w:eastAsia="ru-RU"/>
            </w:rPr>
          </w:pPr>
          <w:hyperlink w:anchor="_Toc196143051" w:history="1">
            <w:r w:rsidR="00721EEB" w:rsidRPr="004B2F20">
              <w:rPr>
                <w:rStyle w:val="ab"/>
                <w:bCs/>
                <w:noProof/>
                <w:lang w:eastAsia="ru-RU"/>
              </w:rPr>
              <w:t>ОТЧЕТ О КОРПОРАТИВНОМ УПРАВЛЕНИИ</w:t>
            </w:r>
            <w:r w:rsidR="00721EEB">
              <w:rPr>
                <w:noProof/>
                <w:webHidden/>
              </w:rPr>
              <w:tab/>
            </w:r>
            <w:r w:rsidR="00721EEB">
              <w:rPr>
                <w:noProof/>
                <w:webHidden/>
              </w:rPr>
              <w:fldChar w:fldCharType="begin"/>
            </w:r>
            <w:r w:rsidR="00721EEB">
              <w:rPr>
                <w:noProof/>
                <w:webHidden/>
              </w:rPr>
              <w:instrText xml:space="preserve"> PAGEREF _Toc196143051 \h </w:instrText>
            </w:r>
            <w:r w:rsidR="00721EEB">
              <w:rPr>
                <w:noProof/>
                <w:webHidden/>
              </w:rPr>
            </w:r>
            <w:r w:rsidR="00721EEB">
              <w:rPr>
                <w:noProof/>
                <w:webHidden/>
              </w:rPr>
              <w:fldChar w:fldCharType="separate"/>
            </w:r>
            <w:r w:rsidR="00721EEB">
              <w:rPr>
                <w:noProof/>
                <w:webHidden/>
              </w:rPr>
              <w:t>166</w:t>
            </w:r>
            <w:r w:rsidR="00721EEB">
              <w:rPr>
                <w:noProof/>
                <w:webHidden/>
              </w:rPr>
              <w:fldChar w:fldCharType="end"/>
            </w:r>
          </w:hyperlink>
        </w:p>
        <w:p w14:paraId="6A18D5FA" w14:textId="28D002F6" w:rsidR="00721EEB" w:rsidRDefault="00BD1222">
          <w:pPr>
            <w:pStyle w:val="2c"/>
            <w:tabs>
              <w:tab w:val="right" w:leader="dot" w:pos="9345"/>
            </w:tabs>
            <w:rPr>
              <w:rFonts w:asciiTheme="minorHAnsi" w:eastAsiaTheme="minorEastAsia" w:hAnsiTheme="minorHAnsi" w:cstheme="minorBidi"/>
              <w:noProof/>
              <w:lang w:eastAsia="ru-RU"/>
            </w:rPr>
          </w:pPr>
          <w:hyperlink w:anchor="_Toc196143052" w:history="1">
            <w:r w:rsidR="00721EEB" w:rsidRPr="004B2F20">
              <w:rPr>
                <w:rStyle w:val="ab"/>
                <w:rFonts w:ascii="Times New Roman" w:hAnsi="Times New Roman"/>
                <w:caps/>
                <w:noProof/>
                <w:spacing w:val="15"/>
                <w:lang w:eastAsia="en-US" w:bidi="en-US"/>
              </w:rPr>
              <w:t>Основы корпоративного управлениЯ</w:t>
            </w:r>
            <w:r w:rsidR="00721EEB">
              <w:rPr>
                <w:noProof/>
                <w:webHidden/>
              </w:rPr>
              <w:tab/>
            </w:r>
            <w:r w:rsidR="00721EEB">
              <w:rPr>
                <w:noProof/>
                <w:webHidden/>
              </w:rPr>
              <w:fldChar w:fldCharType="begin"/>
            </w:r>
            <w:r w:rsidR="00721EEB">
              <w:rPr>
                <w:noProof/>
                <w:webHidden/>
              </w:rPr>
              <w:instrText xml:space="preserve"> PAGEREF _Toc196143052 \h </w:instrText>
            </w:r>
            <w:r w:rsidR="00721EEB">
              <w:rPr>
                <w:noProof/>
                <w:webHidden/>
              </w:rPr>
            </w:r>
            <w:r w:rsidR="00721EEB">
              <w:rPr>
                <w:noProof/>
                <w:webHidden/>
              </w:rPr>
              <w:fldChar w:fldCharType="separate"/>
            </w:r>
            <w:r w:rsidR="00721EEB">
              <w:rPr>
                <w:noProof/>
                <w:webHidden/>
              </w:rPr>
              <w:t>166</w:t>
            </w:r>
            <w:r w:rsidR="00721EEB">
              <w:rPr>
                <w:noProof/>
                <w:webHidden/>
              </w:rPr>
              <w:fldChar w:fldCharType="end"/>
            </w:r>
          </w:hyperlink>
        </w:p>
        <w:p w14:paraId="55D5B8B4" w14:textId="78237BA5" w:rsidR="00721EEB" w:rsidRDefault="00BD1222">
          <w:pPr>
            <w:pStyle w:val="37"/>
            <w:tabs>
              <w:tab w:val="right" w:leader="dot" w:pos="9345"/>
            </w:tabs>
            <w:rPr>
              <w:rFonts w:asciiTheme="minorHAnsi" w:eastAsiaTheme="minorEastAsia" w:hAnsiTheme="minorHAnsi" w:cstheme="minorBidi"/>
              <w:noProof/>
              <w:lang w:eastAsia="ru-RU"/>
            </w:rPr>
          </w:pPr>
          <w:hyperlink w:anchor="_Toc196143053" w:history="1">
            <w:r w:rsidR="00721EEB" w:rsidRPr="004B2F20">
              <w:rPr>
                <w:rStyle w:val="ab"/>
                <w:rFonts w:ascii="Times New Roman" w:hAnsi="Times New Roman"/>
                <w:noProof/>
                <w:lang w:eastAsia="en-US" w:bidi="en-US"/>
              </w:rPr>
              <w:t>Развитие корпоративного управления</w:t>
            </w:r>
            <w:r w:rsidR="00721EEB">
              <w:rPr>
                <w:noProof/>
                <w:webHidden/>
              </w:rPr>
              <w:tab/>
            </w:r>
            <w:r w:rsidR="00721EEB">
              <w:rPr>
                <w:noProof/>
                <w:webHidden/>
              </w:rPr>
              <w:fldChar w:fldCharType="begin"/>
            </w:r>
            <w:r w:rsidR="00721EEB">
              <w:rPr>
                <w:noProof/>
                <w:webHidden/>
              </w:rPr>
              <w:instrText xml:space="preserve"> PAGEREF _Toc196143053 \h </w:instrText>
            </w:r>
            <w:r w:rsidR="00721EEB">
              <w:rPr>
                <w:noProof/>
                <w:webHidden/>
              </w:rPr>
            </w:r>
            <w:r w:rsidR="00721EEB">
              <w:rPr>
                <w:noProof/>
                <w:webHidden/>
              </w:rPr>
              <w:fldChar w:fldCharType="separate"/>
            </w:r>
            <w:r w:rsidR="00721EEB">
              <w:rPr>
                <w:noProof/>
                <w:webHidden/>
              </w:rPr>
              <w:t>169</w:t>
            </w:r>
            <w:r w:rsidR="00721EEB">
              <w:rPr>
                <w:noProof/>
                <w:webHidden/>
              </w:rPr>
              <w:fldChar w:fldCharType="end"/>
            </w:r>
          </w:hyperlink>
        </w:p>
        <w:p w14:paraId="031BA5EA" w14:textId="2DFC337B" w:rsidR="00721EEB" w:rsidRDefault="00BD1222">
          <w:pPr>
            <w:pStyle w:val="37"/>
            <w:tabs>
              <w:tab w:val="right" w:leader="dot" w:pos="9345"/>
            </w:tabs>
            <w:rPr>
              <w:rFonts w:asciiTheme="minorHAnsi" w:eastAsiaTheme="minorEastAsia" w:hAnsiTheme="minorHAnsi" w:cstheme="minorBidi"/>
              <w:noProof/>
              <w:lang w:eastAsia="ru-RU"/>
            </w:rPr>
          </w:pPr>
          <w:hyperlink w:anchor="_Toc196143054" w:history="1">
            <w:r w:rsidR="00721EEB" w:rsidRPr="004B2F20">
              <w:rPr>
                <w:rStyle w:val="ab"/>
                <w:rFonts w:ascii="Times New Roman" w:hAnsi="Times New Roman"/>
                <w:noProof/>
                <w:lang w:eastAsia="en-US" w:bidi="en-US"/>
              </w:rPr>
              <w:t>Оценки уровня корпоративного управления</w:t>
            </w:r>
            <w:r w:rsidR="00721EEB">
              <w:rPr>
                <w:noProof/>
                <w:webHidden/>
              </w:rPr>
              <w:tab/>
            </w:r>
            <w:r w:rsidR="00721EEB">
              <w:rPr>
                <w:noProof/>
                <w:webHidden/>
              </w:rPr>
              <w:fldChar w:fldCharType="begin"/>
            </w:r>
            <w:r w:rsidR="00721EEB">
              <w:rPr>
                <w:noProof/>
                <w:webHidden/>
              </w:rPr>
              <w:instrText xml:space="preserve"> PAGEREF _Toc196143054 \h </w:instrText>
            </w:r>
            <w:r w:rsidR="00721EEB">
              <w:rPr>
                <w:noProof/>
                <w:webHidden/>
              </w:rPr>
            </w:r>
            <w:r w:rsidR="00721EEB">
              <w:rPr>
                <w:noProof/>
                <w:webHidden/>
              </w:rPr>
              <w:fldChar w:fldCharType="separate"/>
            </w:r>
            <w:r w:rsidR="00721EEB">
              <w:rPr>
                <w:noProof/>
                <w:webHidden/>
              </w:rPr>
              <w:t>170</w:t>
            </w:r>
            <w:r w:rsidR="00721EEB">
              <w:rPr>
                <w:noProof/>
                <w:webHidden/>
              </w:rPr>
              <w:fldChar w:fldCharType="end"/>
            </w:r>
          </w:hyperlink>
        </w:p>
        <w:p w14:paraId="56B8B149" w14:textId="7143C10C" w:rsidR="00721EEB" w:rsidRDefault="00BD1222">
          <w:pPr>
            <w:pStyle w:val="2c"/>
            <w:tabs>
              <w:tab w:val="right" w:leader="dot" w:pos="9345"/>
            </w:tabs>
            <w:rPr>
              <w:rFonts w:asciiTheme="minorHAnsi" w:eastAsiaTheme="minorEastAsia" w:hAnsiTheme="minorHAnsi" w:cstheme="minorBidi"/>
              <w:noProof/>
              <w:lang w:eastAsia="ru-RU"/>
            </w:rPr>
          </w:pPr>
          <w:hyperlink w:anchor="_Toc196143055" w:history="1">
            <w:r w:rsidR="00721EEB" w:rsidRPr="004B2F20">
              <w:rPr>
                <w:rStyle w:val="ab"/>
                <w:rFonts w:ascii="Times New Roman" w:hAnsi="Times New Roman"/>
                <w:caps/>
                <w:noProof/>
                <w:spacing w:val="15"/>
                <w:lang w:eastAsia="en-US" w:bidi="en-US"/>
              </w:rPr>
              <w:t>Органы управления</w:t>
            </w:r>
            <w:r w:rsidR="00721EEB">
              <w:rPr>
                <w:noProof/>
                <w:webHidden/>
              </w:rPr>
              <w:tab/>
            </w:r>
            <w:r w:rsidR="00721EEB">
              <w:rPr>
                <w:noProof/>
                <w:webHidden/>
              </w:rPr>
              <w:fldChar w:fldCharType="begin"/>
            </w:r>
            <w:r w:rsidR="00721EEB">
              <w:rPr>
                <w:noProof/>
                <w:webHidden/>
              </w:rPr>
              <w:instrText xml:space="preserve"> PAGEREF _Toc196143055 \h </w:instrText>
            </w:r>
            <w:r w:rsidR="00721EEB">
              <w:rPr>
                <w:noProof/>
                <w:webHidden/>
              </w:rPr>
            </w:r>
            <w:r w:rsidR="00721EEB">
              <w:rPr>
                <w:noProof/>
                <w:webHidden/>
              </w:rPr>
              <w:fldChar w:fldCharType="separate"/>
            </w:r>
            <w:r w:rsidR="00721EEB">
              <w:rPr>
                <w:noProof/>
                <w:webHidden/>
              </w:rPr>
              <w:t>175</w:t>
            </w:r>
            <w:r w:rsidR="00721EEB">
              <w:rPr>
                <w:noProof/>
                <w:webHidden/>
              </w:rPr>
              <w:fldChar w:fldCharType="end"/>
            </w:r>
          </w:hyperlink>
        </w:p>
        <w:p w14:paraId="06762EF8" w14:textId="4655F7EC" w:rsidR="00721EEB" w:rsidRDefault="00BD1222">
          <w:pPr>
            <w:pStyle w:val="2c"/>
            <w:tabs>
              <w:tab w:val="right" w:leader="dot" w:pos="9345"/>
            </w:tabs>
            <w:rPr>
              <w:rFonts w:asciiTheme="minorHAnsi" w:eastAsiaTheme="minorEastAsia" w:hAnsiTheme="minorHAnsi" w:cstheme="minorBidi"/>
              <w:noProof/>
              <w:lang w:eastAsia="ru-RU"/>
            </w:rPr>
          </w:pPr>
          <w:hyperlink w:anchor="_Toc196143056" w:history="1">
            <w:r w:rsidR="00721EEB" w:rsidRPr="004B2F20">
              <w:rPr>
                <w:rStyle w:val="ab"/>
                <w:rFonts w:ascii="Times New Roman" w:hAnsi="Times New Roman"/>
                <w:caps/>
                <w:noProof/>
                <w:spacing w:val="15"/>
                <w:lang w:eastAsia="en-US" w:bidi="en-US"/>
              </w:rPr>
              <w:t>Общее собрание акционеров</w:t>
            </w:r>
            <w:r w:rsidR="00721EEB">
              <w:rPr>
                <w:noProof/>
                <w:webHidden/>
              </w:rPr>
              <w:tab/>
            </w:r>
            <w:r w:rsidR="00721EEB">
              <w:rPr>
                <w:noProof/>
                <w:webHidden/>
              </w:rPr>
              <w:fldChar w:fldCharType="begin"/>
            </w:r>
            <w:r w:rsidR="00721EEB">
              <w:rPr>
                <w:noProof/>
                <w:webHidden/>
              </w:rPr>
              <w:instrText xml:space="preserve"> PAGEREF _Toc196143056 \h </w:instrText>
            </w:r>
            <w:r w:rsidR="00721EEB">
              <w:rPr>
                <w:noProof/>
                <w:webHidden/>
              </w:rPr>
            </w:r>
            <w:r w:rsidR="00721EEB">
              <w:rPr>
                <w:noProof/>
                <w:webHidden/>
              </w:rPr>
              <w:fldChar w:fldCharType="separate"/>
            </w:r>
            <w:r w:rsidR="00721EEB">
              <w:rPr>
                <w:noProof/>
                <w:webHidden/>
              </w:rPr>
              <w:t>175</w:t>
            </w:r>
            <w:r w:rsidR="00721EEB">
              <w:rPr>
                <w:noProof/>
                <w:webHidden/>
              </w:rPr>
              <w:fldChar w:fldCharType="end"/>
            </w:r>
          </w:hyperlink>
        </w:p>
        <w:p w14:paraId="7EF4845B" w14:textId="620785B0" w:rsidR="00721EEB" w:rsidRDefault="00BD1222">
          <w:pPr>
            <w:pStyle w:val="2c"/>
            <w:tabs>
              <w:tab w:val="right" w:leader="dot" w:pos="9345"/>
            </w:tabs>
            <w:rPr>
              <w:rFonts w:asciiTheme="minorHAnsi" w:eastAsiaTheme="minorEastAsia" w:hAnsiTheme="minorHAnsi" w:cstheme="minorBidi"/>
              <w:noProof/>
              <w:lang w:eastAsia="ru-RU"/>
            </w:rPr>
          </w:pPr>
          <w:hyperlink w:anchor="_Toc196143057" w:history="1">
            <w:r w:rsidR="00721EEB" w:rsidRPr="004B2F20">
              <w:rPr>
                <w:rStyle w:val="ab"/>
                <w:rFonts w:ascii="Times New Roman" w:hAnsi="Times New Roman"/>
                <w:caps/>
                <w:noProof/>
                <w:spacing w:val="15"/>
                <w:lang w:eastAsia="en-US" w:bidi="en-US"/>
              </w:rPr>
              <w:t>Совет директоров Общества</w:t>
            </w:r>
            <w:r w:rsidR="00721EEB">
              <w:rPr>
                <w:noProof/>
                <w:webHidden/>
              </w:rPr>
              <w:tab/>
            </w:r>
            <w:r w:rsidR="00721EEB">
              <w:rPr>
                <w:noProof/>
                <w:webHidden/>
              </w:rPr>
              <w:fldChar w:fldCharType="begin"/>
            </w:r>
            <w:r w:rsidR="00721EEB">
              <w:rPr>
                <w:noProof/>
                <w:webHidden/>
              </w:rPr>
              <w:instrText xml:space="preserve"> PAGEREF _Toc196143057 \h </w:instrText>
            </w:r>
            <w:r w:rsidR="00721EEB">
              <w:rPr>
                <w:noProof/>
                <w:webHidden/>
              </w:rPr>
            </w:r>
            <w:r w:rsidR="00721EEB">
              <w:rPr>
                <w:noProof/>
                <w:webHidden/>
              </w:rPr>
              <w:fldChar w:fldCharType="separate"/>
            </w:r>
            <w:r w:rsidR="00721EEB">
              <w:rPr>
                <w:noProof/>
                <w:webHidden/>
              </w:rPr>
              <w:t>177</w:t>
            </w:r>
            <w:r w:rsidR="00721EEB">
              <w:rPr>
                <w:noProof/>
                <w:webHidden/>
              </w:rPr>
              <w:fldChar w:fldCharType="end"/>
            </w:r>
          </w:hyperlink>
        </w:p>
        <w:p w14:paraId="058693F8" w14:textId="2A50B464" w:rsidR="00721EEB" w:rsidRDefault="00BD1222">
          <w:pPr>
            <w:pStyle w:val="37"/>
            <w:tabs>
              <w:tab w:val="right" w:leader="dot" w:pos="9345"/>
            </w:tabs>
            <w:rPr>
              <w:rFonts w:asciiTheme="minorHAnsi" w:eastAsiaTheme="minorEastAsia" w:hAnsiTheme="minorHAnsi" w:cstheme="minorBidi"/>
              <w:noProof/>
              <w:lang w:eastAsia="ru-RU"/>
            </w:rPr>
          </w:pPr>
          <w:hyperlink w:anchor="_Toc196143058" w:history="1">
            <w:r w:rsidR="00721EEB" w:rsidRPr="004B2F20">
              <w:rPr>
                <w:rStyle w:val="ab"/>
                <w:rFonts w:ascii="Times New Roman" w:hAnsi="Times New Roman"/>
                <w:noProof/>
                <w:lang w:eastAsia="en-US" w:bidi="en-US"/>
              </w:rPr>
              <w:t>Состав Совета директоров</w:t>
            </w:r>
            <w:r w:rsidR="00721EEB">
              <w:rPr>
                <w:noProof/>
                <w:webHidden/>
              </w:rPr>
              <w:tab/>
            </w:r>
            <w:r w:rsidR="00721EEB">
              <w:rPr>
                <w:noProof/>
                <w:webHidden/>
              </w:rPr>
              <w:fldChar w:fldCharType="begin"/>
            </w:r>
            <w:r w:rsidR="00721EEB">
              <w:rPr>
                <w:noProof/>
                <w:webHidden/>
              </w:rPr>
              <w:instrText xml:space="preserve"> PAGEREF _Toc196143058 \h </w:instrText>
            </w:r>
            <w:r w:rsidR="00721EEB">
              <w:rPr>
                <w:noProof/>
                <w:webHidden/>
              </w:rPr>
            </w:r>
            <w:r w:rsidR="00721EEB">
              <w:rPr>
                <w:noProof/>
                <w:webHidden/>
              </w:rPr>
              <w:fldChar w:fldCharType="separate"/>
            </w:r>
            <w:r w:rsidR="00721EEB">
              <w:rPr>
                <w:noProof/>
                <w:webHidden/>
              </w:rPr>
              <w:t>182</w:t>
            </w:r>
            <w:r w:rsidR="00721EEB">
              <w:rPr>
                <w:noProof/>
                <w:webHidden/>
              </w:rPr>
              <w:fldChar w:fldCharType="end"/>
            </w:r>
          </w:hyperlink>
        </w:p>
        <w:p w14:paraId="16E73CC8" w14:textId="07B90B84" w:rsidR="00721EEB" w:rsidRDefault="00BD1222">
          <w:pPr>
            <w:pStyle w:val="37"/>
            <w:tabs>
              <w:tab w:val="right" w:leader="dot" w:pos="9345"/>
            </w:tabs>
            <w:rPr>
              <w:rFonts w:asciiTheme="minorHAnsi" w:eastAsiaTheme="minorEastAsia" w:hAnsiTheme="minorHAnsi" w:cstheme="minorBidi"/>
              <w:noProof/>
              <w:lang w:eastAsia="ru-RU"/>
            </w:rPr>
          </w:pPr>
          <w:hyperlink w:anchor="_Toc196143059" w:history="1">
            <w:r w:rsidR="00721EEB" w:rsidRPr="004B2F20">
              <w:rPr>
                <w:rStyle w:val="ab"/>
                <w:rFonts w:ascii="Times New Roman" w:hAnsi="Times New Roman"/>
                <w:noProof/>
                <w:lang w:eastAsia="en-US" w:bidi="en-US"/>
              </w:rPr>
              <w:t>Председатель Совета директоров</w:t>
            </w:r>
            <w:r w:rsidR="00721EEB">
              <w:rPr>
                <w:noProof/>
                <w:webHidden/>
              </w:rPr>
              <w:tab/>
            </w:r>
            <w:r w:rsidR="00721EEB">
              <w:rPr>
                <w:noProof/>
                <w:webHidden/>
              </w:rPr>
              <w:fldChar w:fldCharType="begin"/>
            </w:r>
            <w:r w:rsidR="00721EEB">
              <w:rPr>
                <w:noProof/>
                <w:webHidden/>
              </w:rPr>
              <w:instrText xml:space="preserve"> PAGEREF _Toc196143059 \h </w:instrText>
            </w:r>
            <w:r w:rsidR="00721EEB">
              <w:rPr>
                <w:noProof/>
                <w:webHidden/>
              </w:rPr>
            </w:r>
            <w:r w:rsidR="00721EEB">
              <w:rPr>
                <w:noProof/>
                <w:webHidden/>
              </w:rPr>
              <w:fldChar w:fldCharType="separate"/>
            </w:r>
            <w:r w:rsidR="00721EEB">
              <w:rPr>
                <w:noProof/>
                <w:webHidden/>
              </w:rPr>
              <w:t>185</w:t>
            </w:r>
            <w:r w:rsidR="00721EEB">
              <w:rPr>
                <w:noProof/>
                <w:webHidden/>
              </w:rPr>
              <w:fldChar w:fldCharType="end"/>
            </w:r>
          </w:hyperlink>
        </w:p>
        <w:p w14:paraId="40137429" w14:textId="211133BC" w:rsidR="00721EEB" w:rsidRDefault="00BD1222">
          <w:pPr>
            <w:pStyle w:val="37"/>
            <w:tabs>
              <w:tab w:val="right" w:leader="dot" w:pos="9345"/>
            </w:tabs>
            <w:rPr>
              <w:rFonts w:asciiTheme="minorHAnsi" w:eastAsiaTheme="minorEastAsia" w:hAnsiTheme="minorHAnsi" w:cstheme="minorBidi"/>
              <w:noProof/>
              <w:lang w:eastAsia="ru-RU"/>
            </w:rPr>
          </w:pPr>
          <w:hyperlink w:anchor="_Toc196143060" w:history="1">
            <w:r w:rsidR="00721EEB" w:rsidRPr="004B2F20">
              <w:rPr>
                <w:rStyle w:val="ab"/>
                <w:rFonts w:ascii="Times New Roman" w:hAnsi="Times New Roman"/>
                <w:noProof/>
                <w:lang w:eastAsia="en-US" w:bidi="en-US"/>
              </w:rPr>
              <w:t>Независимые директора</w:t>
            </w:r>
            <w:r w:rsidR="00721EEB">
              <w:rPr>
                <w:noProof/>
                <w:webHidden/>
              </w:rPr>
              <w:tab/>
            </w:r>
            <w:r w:rsidR="00721EEB">
              <w:rPr>
                <w:noProof/>
                <w:webHidden/>
              </w:rPr>
              <w:fldChar w:fldCharType="begin"/>
            </w:r>
            <w:r w:rsidR="00721EEB">
              <w:rPr>
                <w:noProof/>
                <w:webHidden/>
              </w:rPr>
              <w:instrText xml:space="preserve"> PAGEREF _Toc196143060 \h </w:instrText>
            </w:r>
            <w:r w:rsidR="00721EEB">
              <w:rPr>
                <w:noProof/>
                <w:webHidden/>
              </w:rPr>
            </w:r>
            <w:r w:rsidR="00721EEB">
              <w:rPr>
                <w:noProof/>
                <w:webHidden/>
              </w:rPr>
              <w:fldChar w:fldCharType="separate"/>
            </w:r>
            <w:r w:rsidR="00721EEB">
              <w:rPr>
                <w:noProof/>
                <w:webHidden/>
              </w:rPr>
              <w:t>185</w:t>
            </w:r>
            <w:r w:rsidR="00721EEB">
              <w:rPr>
                <w:noProof/>
                <w:webHidden/>
              </w:rPr>
              <w:fldChar w:fldCharType="end"/>
            </w:r>
          </w:hyperlink>
        </w:p>
        <w:p w14:paraId="455C28E1" w14:textId="5ABAA93D" w:rsidR="00721EEB" w:rsidRDefault="00BD1222">
          <w:pPr>
            <w:pStyle w:val="37"/>
            <w:tabs>
              <w:tab w:val="right" w:leader="dot" w:pos="9345"/>
            </w:tabs>
            <w:rPr>
              <w:rFonts w:asciiTheme="minorHAnsi" w:eastAsiaTheme="minorEastAsia" w:hAnsiTheme="minorHAnsi" w:cstheme="minorBidi"/>
              <w:noProof/>
              <w:lang w:eastAsia="ru-RU"/>
            </w:rPr>
          </w:pPr>
          <w:hyperlink w:anchor="_Toc196143061" w:history="1">
            <w:r w:rsidR="00721EEB" w:rsidRPr="004B2F20">
              <w:rPr>
                <w:rStyle w:val="ab"/>
                <w:rFonts w:ascii="Times New Roman" w:hAnsi="Times New Roman"/>
                <w:noProof/>
                <w:lang w:eastAsia="en-US" w:bidi="en-US"/>
              </w:rPr>
              <w:t>Страхование ответственности членов Совета директоров</w:t>
            </w:r>
            <w:r w:rsidR="00721EEB">
              <w:rPr>
                <w:noProof/>
                <w:webHidden/>
              </w:rPr>
              <w:tab/>
            </w:r>
            <w:r w:rsidR="00721EEB">
              <w:rPr>
                <w:noProof/>
                <w:webHidden/>
              </w:rPr>
              <w:fldChar w:fldCharType="begin"/>
            </w:r>
            <w:r w:rsidR="00721EEB">
              <w:rPr>
                <w:noProof/>
                <w:webHidden/>
              </w:rPr>
              <w:instrText xml:space="preserve"> PAGEREF _Toc196143061 \h </w:instrText>
            </w:r>
            <w:r w:rsidR="00721EEB">
              <w:rPr>
                <w:noProof/>
                <w:webHidden/>
              </w:rPr>
            </w:r>
            <w:r w:rsidR="00721EEB">
              <w:rPr>
                <w:noProof/>
                <w:webHidden/>
              </w:rPr>
              <w:fldChar w:fldCharType="separate"/>
            </w:r>
            <w:r w:rsidR="00721EEB">
              <w:rPr>
                <w:noProof/>
                <w:webHidden/>
              </w:rPr>
              <w:t>186</w:t>
            </w:r>
            <w:r w:rsidR="00721EEB">
              <w:rPr>
                <w:noProof/>
                <w:webHidden/>
              </w:rPr>
              <w:fldChar w:fldCharType="end"/>
            </w:r>
          </w:hyperlink>
        </w:p>
        <w:p w14:paraId="7B990D5C" w14:textId="25127FAB" w:rsidR="00721EEB" w:rsidRDefault="00BD1222">
          <w:pPr>
            <w:pStyle w:val="37"/>
            <w:tabs>
              <w:tab w:val="right" w:leader="dot" w:pos="9345"/>
            </w:tabs>
            <w:rPr>
              <w:rFonts w:asciiTheme="minorHAnsi" w:eastAsiaTheme="minorEastAsia" w:hAnsiTheme="minorHAnsi" w:cstheme="minorBidi"/>
              <w:noProof/>
              <w:lang w:eastAsia="ru-RU"/>
            </w:rPr>
          </w:pPr>
          <w:hyperlink w:anchor="_Toc196143062" w:history="1">
            <w:r w:rsidR="00721EEB" w:rsidRPr="004B2F20">
              <w:rPr>
                <w:rStyle w:val="ab"/>
                <w:rFonts w:ascii="Times New Roman" w:hAnsi="Times New Roman"/>
                <w:noProof/>
                <w:lang w:eastAsia="en-US" w:bidi="en-US"/>
              </w:rPr>
              <w:t>Регулирование конфликта интересов члена Совета директоров</w:t>
            </w:r>
            <w:r w:rsidR="00721EEB">
              <w:rPr>
                <w:noProof/>
                <w:webHidden/>
              </w:rPr>
              <w:tab/>
            </w:r>
            <w:r w:rsidR="00721EEB">
              <w:rPr>
                <w:noProof/>
                <w:webHidden/>
              </w:rPr>
              <w:fldChar w:fldCharType="begin"/>
            </w:r>
            <w:r w:rsidR="00721EEB">
              <w:rPr>
                <w:noProof/>
                <w:webHidden/>
              </w:rPr>
              <w:instrText xml:space="preserve"> PAGEREF _Toc196143062 \h </w:instrText>
            </w:r>
            <w:r w:rsidR="00721EEB">
              <w:rPr>
                <w:noProof/>
                <w:webHidden/>
              </w:rPr>
            </w:r>
            <w:r w:rsidR="00721EEB">
              <w:rPr>
                <w:noProof/>
                <w:webHidden/>
              </w:rPr>
              <w:fldChar w:fldCharType="separate"/>
            </w:r>
            <w:r w:rsidR="00721EEB">
              <w:rPr>
                <w:noProof/>
                <w:webHidden/>
              </w:rPr>
              <w:t>187</w:t>
            </w:r>
            <w:r w:rsidR="00721EEB">
              <w:rPr>
                <w:noProof/>
                <w:webHidden/>
              </w:rPr>
              <w:fldChar w:fldCharType="end"/>
            </w:r>
          </w:hyperlink>
        </w:p>
        <w:p w14:paraId="39A28985" w14:textId="5343817A" w:rsidR="00721EEB" w:rsidRDefault="00BD1222">
          <w:pPr>
            <w:pStyle w:val="37"/>
            <w:tabs>
              <w:tab w:val="right" w:leader="dot" w:pos="9345"/>
            </w:tabs>
            <w:rPr>
              <w:rFonts w:asciiTheme="minorHAnsi" w:eastAsiaTheme="minorEastAsia" w:hAnsiTheme="minorHAnsi" w:cstheme="minorBidi"/>
              <w:noProof/>
              <w:lang w:eastAsia="ru-RU"/>
            </w:rPr>
          </w:pPr>
          <w:hyperlink w:anchor="_Toc196143063" w:history="1">
            <w:r w:rsidR="00721EEB" w:rsidRPr="004B2F20">
              <w:rPr>
                <w:rStyle w:val="ab"/>
                <w:rFonts w:ascii="Times New Roman" w:hAnsi="Times New Roman"/>
                <w:noProof/>
                <w:lang w:eastAsia="en-US" w:bidi="en-US"/>
              </w:rPr>
              <w:t>Биографии членов Совета директоров</w:t>
            </w:r>
            <w:r w:rsidR="00721EEB">
              <w:rPr>
                <w:noProof/>
                <w:webHidden/>
              </w:rPr>
              <w:tab/>
            </w:r>
            <w:r w:rsidR="00721EEB">
              <w:rPr>
                <w:noProof/>
                <w:webHidden/>
              </w:rPr>
              <w:fldChar w:fldCharType="begin"/>
            </w:r>
            <w:r w:rsidR="00721EEB">
              <w:rPr>
                <w:noProof/>
                <w:webHidden/>
              </w:rPr>
              <w:instrText xml:space="preserve"> PAGEREF _Toc196143063 \h </w:instrText>
            </w:r>
            <w:r w:rsidR="00721EEB">
              <w:rPr>
                <w:noProof/>
                <w:webHidden/>
              </w:rPr>
            </w:r>
            <w:r w:rsidR="00721EEB">
              <w:rPr>
                <w:noProof/>
                <w:webHidden/>
              </w:rPr>
              <w:fldChar w:fldCharType="separate"/>
            </w:r>
            <w:r w:rsidR="00721EEB">
              <w:rPr>
                <w:noProof/>
                <w:webHidden/>
              </w:rPr>
              <w:t>187</w:t>
            </w:r>
            <w:r w:rsidR="00721EEB">
              <w:rPr>
                <w:noProof/>
                <w:webHidden/>
              </w:rPr>
              <w:fldChar w:fldCharType="end"/>
            </w:r>
          </w:hyperlink>
        </w:p>
        <w:p w14:paraId="2B8279FA" w14:textId="20F627A2" w:rsidR="00721EEB" w:rsidRDefault="00BD1222">
          <w:pPr>
            <w:pStyle w:val="2c"/>
            <w:tabs>
              <w:tab w:val="right" w:leader="dot" w:pos="9345"/>
            </w:tabs>
            <w:rPr>
              <w:rFonts w:asciiTheme="minorHAnsi" w:eastAsiaTheme="minorEastAsia" w:hAnsiTheme="minorHAnsi" w:cstheme="minorBidi"/>
              <w:noProof/>
              <w:lang w:eastAsia="ru-RU"/>
            </w:rPr>
          </w:pPr>
          <w:hyperlink w:anchor="_Toc196143064" w:history="1">
            <w:r w:rsidR="00721EEB" w:rsidRPr="004B2F20">
              <w:rPr>
                <w:rStyle w:val="ab"/>
                <w:rFonts w:ascii="Times New Roman" w:hAnsi="Times New Roman"/>
                <w:caps/>
                <w:noProof/>
                <w:spacing w:val="15"/>
                <w:lang w:eastAsia="en-US" w:bidi="en-US"/>
              </w:rPr>
              <w:t>Комитеты Совета директоров</w:t>
            </w:r>
            <w:r w:rsidR="00721EEB">
              <w:rPr>
                <w:noProof/>
                <w:webHidden/>
              </w:rPr>
              <w:tab/>
            </w:r>
            <w:r w:rsidR="00721EEB">
              <w:rPr>
                <w:noProof/>
                <w:webHidden/>
              </w:rPr>
              <w:fldChar w:fldCharType="begin"/>
            </w:r>
            <w:r w:rsidR="00721EEB">
              <w:rPr>
                <w:noProof/>
                <w:webHidden/>
              </w:rPr>
              <w:instrText xml:space="preserve"> PAGEREF _Toc196143064 \h </w:instrText>
            </w:r>
            <w:r w:rsidR="00721EEB">
              <w:rPr>
                <w:noProof/>
                <w:webHidden/>
              </w:rPr>
            </w:r>
            <w:r w:rsidR="00721EEB">
              <w:rPr>
                <w:noProof/>
                <w:webHidden/>
              </w:rPr>
              <w:fldChar w:fldCharType="separate"/>
            </w:r>
            <w:r w:rsidR="00721EEB">
              <w:rPr>
                <w:noProof/>
                <w:webHidden/>
              </w:rPr>
              <w:t>198</w:t>
            </w:r>
            <w:r w:rsidR="00721EEB">
              <w:rPr>
                <w:noProof/>
                <w:webHidden/>
              </w:rPr>
              <w:fldChar w:fldCharType="end"/>
            </w:r>
          </w:hyperlink>
        </w:p>
        <w:p w14:paraId="478E2A4F" w14:textId="122BD557" w:rsidR="00721EEB" w:rsidRDefault="00BD1222">
          <w:pPr>
            <w:pStyle w:val="2c"/>
            <w:tabs>
              <w:tab w:val="right" w:leader="dot" w:pos="9345"/>
            </w:tabs>
            <w:rPr>
              <w:rFonts w:asciiTheme="minorHAnsi" w:eastAsiaTheme="minorEastAsia" w:hAnsiTheme="minorHAnsi" w:cstheme="minorBidi"/>
              <w:noProof/>
              <w:lang w:eastAsia="ru-RU"/>
            </w:rPr>
          </w:pPr>
          <w:hyperlink w:anchor="_Toc196143065" w:history="1">
            <w:r w:rsidR="00721EEB" w:rsidRPr="004B2F20">
              <w:rPr>
                <w:rStyle w:val="ab"/>
                <w:rFonts w:ascii="Times New Roman" w:hAnsi="Times New Roman"/>
                <w:caps/>
                <w:noProof/>
                <w:spacing w:val="15"/>
                <w:lang w:eastAsia="en-US" w:bidi="en-US"/>
              </w:rPr>
              <w:t>Корпоративный секретарь</w:t>
            </w:r>
            <w:r w:rsidR="00721EEB">
              <w:rPr>
                <w:noProof/>
                <w:webHidden/>
              </w:rPr>
              <w:tab/>
            </w:r>
            <w:r w:rsidR="00721EEB">
              <w:rPr>
                <w:noProof/>
                <w:webHidden/>
              </w:rPr>
              <w:fldChar w:fldCharType="begin"/>
            </w:r>
            <w:r w:rsidR="00721EEB">
              <w:rPr>
                <w:noProof/>
                <w:webHidden/>
              </w:rPr>
              <w:instrText xml:space="preserve"> PAGEREF _Toc196143065 \h </w:instrText>
            </w:r>
            <w:r w:rsidR="00721EEB">
              <w:rPr>
                <w:noProof/>
                <w:webHidden/>
              </w:rPr>
            </w:r>
            <w:r w:rsidR="00721EEB">
              <w:rPr>
                <w:noProof/>
                <w:webHidden/>
              </w:rPr>
              <w:fldChar w:fldCharType="separate"/>
            </w:r>
            <w:r w:rsidR="00721EEB">
              <w:rPr>
                <w:noProof/>
                <w:webHidden/>
              </w:rPr>
              <w:t>215</w:t>
            </w:r>
            <w:r w:rsidR="00721EEB">
              <w:rPr>
                <w:noProof/>
                <w:webHidden/>
              </w:rPr>
              <w:fldChar w:fldCharType="end"/>
            </w:r>
          </w:hyperlink>
        </w:p>
        <w:p w14:paraId="33FA0545" w14:textId="0418E6AA" w:rsidR="00721EEB" w:rsidRDefault="00BD1222">
          <w:pPr>
            <w:pStyle w:val="2c"/>
            <w:tabs>
              <w:tab w:val="right" w:leader="dot" w:pos="9345"/>
            </w:tabs>
            <w:rPr>
              <w:rFonts w:asciiTheme="minorHAnsi" w:eastAsiaTheme="minorEastAsia" w:hAnsiTheme="minorHAnsi" w:cstheme="minorBidi"/>
              <w:noProof/>
              <w:lang w:eastAsia="ru-RU"/>
            </w:rPr>
          </w:pPr>
          <w:hyperlink w:anchor="_Toc196143066" w:history="1">
            <w:r w:rsidR="00721EEB" w:rsidRPr="004B2F20">
              <w:rPr>
                <w:rStyle w:val="ab"/>
                <w:rFonts w:ascii="Times New Roman" w:hAnsi="Times New Roman"/>
                <w:caps/>
                <w:noProof/>
                <w:spacing w:val="15"/>
                <w:lang w:eastAsia="en-US" w:bidi="en-US"/>
              </w:rPr>
              <w:t>Исполнительные органы управления</w:t>
            </w:r>
            <w:r w:rsidR="00721EEB">
              <w:rPr>
                <w:noProof/>
                <w:webHidden/>
              </w:rPr>
              <w:tab/>
            </w:r>
            <w:r w:rsidR="00721EEB">
              <w:rPr>
                <w:noProof/>
                <w:webHidden/>
              </w:rPr>
              <w:fldChar w:fldCharType="begin"/>
            </w:r>
            <w:r w:rsidR="00721EEB">
              <w:rPr>
                <w:noProof/>
                <w:webHidden/>
              </w:rPr>
              <w:instrText xml:space="preserve"> PAGEREF _Toc196143066 \h </w:instrText>
            </w:r>
            <w:r w:rsidR="00721EEB">
              <w:rPr>
                <w:noProof/>
                <w:webHidden/>
              </w:rPr>
            </w:r>
            <w:r w:rsidR="00721EEB">
              <w:rPr>
                <w:noProof/>
                <w:webHidden/>
              </w:rPr>
              <w:fldChar w:fldCharType="separate"/>
            </w:r>
            <w:r w:rsidR="00721EEB">
              <w:rPr>
                <w:noProof/>
                <w:webHidden/>
              </w:rPr>
              <w:t>217</w:t>
            </w:r>
            <w:r w:rsidR="00721EEB">
              <w:rPr>
                <w:noProof/>
                <w:webHidden/>
              </w:rPr>
              <w:fldChar w:fldCharType="end"/>
            </w:r>
          </w:hyperlink>
        </w:p>
        <w:p w14:paraId="19A9097A" w14:textId="48FFDC47" w:rsidR="00721EEB" w:rsidRDefault="00BD1222">
          <w:pPr>
            <w:pStyle w:val="2c"/>
            <w:tabs>
              <w:tab w:val="right" w:leader="dot" w:pos="9345"/>
            </w:tabs>
            <w:rPr>
              <w:rFonts w:asciiTheme="minorHAnsi" w:eastAsiaTheme="minorEastAsia" w:hAnsiTheme="minorHAnsi" w:cstheme="minorBidi"/>
              <w:noProof/>
              <w:lang w:eastAsia="ru-RU"/>
            </w:rPr>
          </w:pPr>
          <w:hyperlink w:anchor="_Toc196143067" w:history="1">
            <w:r w:rsidR="00721EEB" w:rsidRPr="004B2F20">
              <w:rPr>
                <w:rStyle w:val="ab"/>
                <w:rFonts w:ascii="Times New Roman" w:hAnsi="Times New Roman"/>
                <w:caps/>
                <w:noProof/>
                <w:spacing w:val="15"/>
                <w:lang w:eastAsia="en-US" w:bidi="en-US"/>
              </w:rPr>
              <w:t>Генеральный директор</w:t>
            </w:r>
            <w:r w:rsidR="00721EEB">
              <w:rPr>
                <w:noProof/>
                <w:webHidden/>
              </w:rPr>
              <w:tab/>
            </w:r>
            <w:r w:rsidR="00721EEB">
              <w:rPr>
                <w:noProof/>
                <w:webHidden/>
              </w:rPr>
              <w:fldChar w:fldCharType="begin"/>
            </w:r>
            <w:r w:rsidR="00721EEB">
              <w:rPr>
                <w:noProof/>
                <w:webHidden/>
              </w:rPr>
              <w:instrText xml:space="preserve"> PAGEREF _Toc196143067 \h </w:instrText>
            </w:r>
            <w:r w:rsidR="00721EEB">
              <w:rPr>
                <w:noProof/>
                <w:webHidden/>
              </w:rPr>
            </w:r>
            <w:r w:rsidR="00721EEB">
              <w:rPr>
                <w:noProof/>
                <w:webHidden/>
              </w:rPr>
              <w:fldChar w:fldCharType="separate"/>
            </w:r>
            <w:r w:rsidR="00721EEB">
              <w:rPr>
                <w:noProof/>
                <w:webHidden/>
              </w:rPr>
              <w:t>217</w:t>
            </w:r>
            <w:r w:rsidR="00721EEB">
              <w:rPr>
                <w:noProof/>
                <w:webHidden/>
              </w:rPr>
              <w:fldChar w:fldCharType="end"/>
            </w:r>
          </w:hyperlink>
        </w:p>
        <w:p w14:paraId="04DD45E5" w14:textId="1B610EB7" w:rsidR="00721EEB" w:rsidRDefault="00BD1222">
          <w:pPr>
            <w:pStyle w:val="2c"/>
            <w:tabs>
              <w:tab w:val="right" w:leader="dot" w:pos="9345"/>
            </w:tabs>
            <w:rPr>
              <w:rFonts w:asciiTheme="minorHAnsi" w:eastAsiaTheme="minorEastAsia" w:hAnsiTheme="minorHAnsi" w:cstheme="minorBidi"/>
              <w:noProof/>
              <w:lang w:eastAsia="ru-RU"/>
            </w:rPr>
          </w:pPr>
          <w:hyperlink w:anchor="_Toc196143068" w:history="1">
            <w:r w:rsidR="00721EEB" w:rsidRPr="004B2F20">
              <w:rPr>
                <w:rStyle w:val="ab"/>
                <w:rFonts w:ascii="Times New Roman" w:hAnsi="Times New Roman"/>
                <w:caps/>
                <w:noProof/>
                <w:spacing w:val="15"/>
                <w:lang w:eastAsia="en-US" w:bidi="en-US"/>
              </w:rPr>
              <w:t>Правление</w:t>
            </w:r>
            <w:r w:rsidR="00721EEB">
              <w:rPr>
                <w:noProof/>
                <w:webHidden/>
              </w:rPr>
              <w:tab/>
            </w:r>
            <w:r w:rsidR="00721EEB">
              <w:rPr>
                <w:noProof/>
                <w:webHidden/>
              </w:rPr>
              <w:fldChar w:fldCharType="begin"/>
            </w:r>
            <w:r w:rsidR="00721EEB">
              <w:rPr>
                <w:noProof/>
                <w:webHidden/>
              </w:rPr>
              <w:instrText xml:space="preserve"> PAGEREF _Toc196143068 \h </w:instrText>
            </w:r>
            <w:r w:rsidR="00721EEB">
              <w:rPr>
                <w:noProof/>
                <w:webHidden/>
              </w:rPr>
            </w:r>
            <w:r w:rsidR="00721EEB">
              <w:rPr>
                <w:noProof/>
                <w:webHidden/>
              </w:rPr>
              <w:fldChar w:fldCharType="separate"/>
            </w:r>
            <w:r w:rsidR="00721EEB">
              <w:rPr>
                <w:noProof/>
                <w:webHidden/>
              </w:rPr>
              <w:t>217</w:t>
            </w:r>
            <w:r w:rsidR="00721EEB">
              <w:rPr>
                <w:noProof/>
                <w:webHidden/>
              </w:rPr>
              <w:fldChar w:fldCharType="end"/>
            </w:r>
          </w:hyperlink>
        </w:p>
        <w:p w14:paraId="37CF1AFD" w14:textId="46FE4708" w:rsidR="00721EEB" w:rsidRDefault="00BD1222">
          <w:pPr>
            <w:pStyle w:val="2c"/>
            <w:tabs>
              <w:tab w:val="right" w:leader="dot" w:pos="9345"/>
            </w:tabs>
            <w:rPr>
              <w:rFonts w:asciiTheme="minorHAnsi" w:eastAsiaTheme="minorEastAsia" w:hAnsiTheme="minorHAnsi" w:cstheme="minorBidi"/>
              <w:noProof/>
              <w:lang w:eastAsia="ru-RU"/>
            </w:rPr>
          </w:pPr>
          <w:hyperlink w:anchor="_Toc196143069" w:history="1">
            <w:r w:rsidR="00721EEB" w:rsidRPr="004B2F20">
              <w:rPr>
                <w:rStyle w:val="ab"/>
                <w:rFonts w:ascii="Times New Roman" w:hAnsi="Times New Roman"/>
                <w:caps/>
                <w:noProof/>
                <w:spacing w:val="15"/>
                <w:lang w:eastAsia="en-US" w:bidi="en-US"/>
              </w:rPr>
              <w:t>Управление ДЗО Общества</w:t>
            </w:r>
            <w:r w:rsidR="00721EEB">
              <w:rPr>
                <w:noProof/>
                <w:webHidden/>
              </w:rPr>
              <w:tab/>
            </w:r>
            <w:r w:rsidR="00721EEB">
              <w:rPr>
                <w:noProof/>
                <w:webHidden/>
              </w:rPr>
              <w:fldChar w:fldCharType="begin"/>
            </w:r>
            <w:r w:rsidR="00721EEB">
              <w:rPr>
                <w:noProof/>
                <w:webHidden/>
              </w:rPr>
              <w:instrText xml:space="preserve"> PAGEREF _Toc196143069 \h </w:instrText>
            </w:r>
            <w:r w:rsidR="00721EEB">
              <w:rPr>
                <w:noProof/>
                <w:webHidden/>
              </w:rPr>
            </w:r>
            <w:r w:rsidR="00721EEB">
              <w:rPr>
                <w:noProof/>
                <w:webHidden/>
              </w:rPr>
              <w:fldChar w:fldCharType="separate"/>
            </w:r>
            <w:r w:rsidR="00721EEB">
              <w:rPr>
                <w:noProof/>
                <w:webHidden/>
              </w:rPr>
              <w:t>225</w:t>
            </w:r>
            <w:r w:rsidR="00721EEB">
              <w:rPr>
                <w:noProof/>
                <w:webHidden/>
              </w:rPr>
              <w:fldChar w:fldCharType="end"/>
            </w:r>
          </w:hyperlink>
        </w:p>
        <w:p w14:paraId="1F4B299D" w14:textId="6A8936AF" w:rsidR="00721EEB" w:rsidRDefault="00BD1222">
          <w:pPr>
            <w:pStyle w:val="2c"/>
            <w:tabs>
              <w:tab w:val="right" w:leader="dot" w:pos="9345"/>
            </w:tabs>
            <w:rPr>
              <w:rFonts w:asciiTheme="minorHAnsi" w:eastAsiaTheme="minorEastAsia" w:hAnsiTheme="minorHAnsi" w:cstheme="minorBidi"/>
              <w:noProof/>
              <w:lang w:eastAsia="ru-RU"/>
            </w:rPr>
          </w:pPr>
          <w:hyperlink w:anchor="_Toc196143070" w:history="1">
            <w:r w:rsidR="00721EEB" w:rsidRPr="004B2F20">
              <w:rPr>
                <w:rStyle w:val="ab"/>
                <w:rFonts w:ascii="Times New Roman" w:hAnsi="Times New Roman"/>
                <w:caps/>
                <w:noProof/>
                <w:spacing w:val="15"/>
                <w:lang w:eastAsia="en-US" w:bidi="en-US"/>
              </w:rPr>
              <w:t>Системы вознаграждения в Компании</w:t>
            </w:r>
            <w:r w:rsidR="00721EEB">
              <w:rPr>
                <w:noProof/>
                <w:webHidden/>
              </w:rPr>
              <w:tab/>
            </w:r>
            <w:r w:rsidR="00721EEB">
              <w:rPr>
                <w:noProof/>
                <w:webHidden/>
              </w:rPr>
              <w:fldChar w:fldCharType="begin"/>
            </w:r>
            <w:r w:rsidR="00721EEB">
              <w:rPr>
                <w:noProof/>
                <w:webHidden/>
              </w:rPr>
              <w:instrText xml:space="preserve"> PAGEREF _Toc196143070 \h </w:instrText>
            </w:r>
            <w:r w:rsidR="00721EEB">
              <w:rPr>
                <w:noProof/>
                <w:webHidden/>
              </w:rPr>
            </w:r>
            <w:r w:rsidR="00721EEB">
              <w:rPr>
                <w:noProof/>
                <w:webHidden/>
              </w:rPr>
              <w:fldChar w:fldCharType="separate"/>
            </w:r>
            <w:r w:rsidR="00721EEB">
              <w:rPr>
                <w:noProof/>
                <w:webHidden/>
              </w:rPr>
              <w:t>229</w:t>
            </w:r>
            <w:r w:rsidR="00721EEB">
              <w:rPr>
                <w:noProof/>
                <w:webHidden/>
              </w:rPr>
              <w:fldChar w:fldCharType="end"/>
            </w:r>
          </w:hyperlink>
        </w:p>
        <w:p w14:paraId="21882D60" w14:textId="5041F61A" w:rsidR="00721EEB" w:rsidRDefault="00BD1222">
          <w:pPr>
            <w:pStyle w:val="37"/>
            <w:tabs>
              <w:tab w:val="right" w:leader="dot" w:pos="9345"/>
            </w:tabs>
            <w:rPr>
              <w:rFonts w:asciiTheme="minorHAnsi" w:eastAsiaTheme="minorEastAsia" w:hAnsiTheme="minorHAnsi" w:cstheme="minorBidi"/>
              <w:noProof/>
              <w:lang w:eastAsia="ru-RU"/>
            </w:rPr>
          </w:pPr>
          <w:hyperlink w:anchor="_Toc196143071" w:history="1">
            <w:r w:rsidR="00721EEB" w:rsidRPr="004B2F20">
              <w:rPr>
                <w:rStyle w:val="ab"/>
                <w:rFonts w:ascii="Times New Roman" w:hAnsi="Times New Roman"/>
                <w:noProof/>
                <w:lang w:eastAsia="en-US" w:bidi="en-US"/>
              </w:rPr>
              <w:t>Вознаграждение членов Совета директоров</w:t>
            </w:r>
            <w:r w:rsidR="00721EEB">
              <w:rPr>
                <w:noProof/>
                <w:webHidden/>
              </w:rPr>
              <w:tab/>
            </w:r>
            <w:r w:rsidR="00721EEB">
              <w:rPr>
                <w:noProof/>
                <w:webHidden/>
              </w:rPr>
              <w:fldChar w:fldCharType="begin"/>
            </w:r>
            <w:r w:rsidR="00721EEB">
              <w:rPr>
                <w:noProof/>
                <w:webHidden/>
              </w:rPr>
              <w:instrText xml:space="preserve"> PAGEREF _Toc196143071 \h </w:instrText>
            </w:r>
            <w:r w:rsidR="00721EEB">
              <w:rPr>
                <w:noProof/>
                <w:webHidden/>
              </w:rPr>
            </w:r>
            <w:r w:rsidR="00721EEB">
              <w:rPr>
                <w:noProof/>
                <w:webHidden/>
              </w:rPr>
              <w:fldChar w:fldCharType="separate"/>
            </w:r>
            <w:r w:rsidR="00721EEB">
              <w:rPr>
                <w:noProof/>
                <w:webHidden/>
              </w:rPr>
              <w:t>229</w:t>
            </w:r>
            <w:r w:rsidR="00721EEB">
              <w:rPr>
                <w:noProof/>
                <w:webHidden/>
              </w:rPr>
              <w:fldChar w:fldCharType="end"/>
            </w:r>
          </w:hyperlink>
        </w:p>
        <w:p w14:paraId="00417E57" w14:textId="1EE9B2CA" w:rsidR="00721EEB" w:rsidRDefault="00BD1222">
          <w:pPr>
            <w:pStyle w:val="37"/>
            <w:tabs>
              <w:tab w:val="right" w:leader="dot" w:pos="9345"/>
            </w:tabs>
            <w:rPr>
              <w:rFonts w:asciiTheme="minorHAnsi" w:eastAsiaTheme="minorEastAsia" w:hAnsiTheme="minorHAnsi" w:cstheme="minorBidi"/>
              <w:noProof/>
              <w:lang w:eastAsia="ru-RU"/>
            </w:rPr>
          </w:pPr>
          <w:hyperlink w:anchor="_Toc196143072" w:history="1">
            <w:r w:rsidR="00721EEB" w:rsidRPr="004B2F20">
              <w:rPr>
                <w:rStyle w:val="ab"/>
                <w:rFonts w:ascii="Times New Roman" w:hAnsi="Times New Roman"/>
                <w:noProof/>
                <w:lang w:eastAsia="en-US" w:bidi="en-US"/>
              </w:rPr>
              <w:t>Система вознаграждения исполнительных органов</w:t>
            </w:r>
            <w:r w:rsidR="00721EEB">
              <w:rPr>
                <w:noProof/>
                <w:webHidden/>
              </w:rPr>
              <w:tab/>
            </w:r>
            <w:r w:rsidR="00721EEB">
              <w:rPr>
                <w:noProof/>
                <w:webHidden/>
              </w:rPr>
              <w:fldChar w:fldCharType="begin"/>
            </w:r>
            <w:r w:rsidR="00721EEB">
              <w:rPr>
                <w:noProof/>
                <w:webHidden/>
              </w:rPr>
              <w:instrText xml:space="preserve"> PAGEREF _Toc196143072 \h </w:instrText>
            </w:r>
            <w:r w:rsidR="00721EEB">
              <w:rPr>
                <w:noProof/>
                <w:webHidden/>
              </w:rPr>
            </w:r>
            <w:r w:rsidR="00721EEB">
              <w:rPr>
                <w:noProof/>
                <w:webHidden/>
              </w:rPr>
              <w:fldChar w:fldCharType="separate"/>
            </w:r>
            <w:r w:rsidR="00721EEB">
              <w:rPr>
                <w:noProof/>
                <w:webHidden/>
              </w:rPr>
              <w:t>231</w:t>
            </w:r>
            <w:r w:rsidR="00721EEB">
              <w:rPr>
                <w:noProof/>
                <w:webHidden/>
              </w:rPr>
              <w:fldChar w:fldCharType="end"/>
            </w:r>
          </w:hyperlink>
        </w:p>
        <w:p w14:paraId="6B988780" w14:textId="2BBB64A4" w:rsidR="00721EEB" w:rsidRDefault="00BD1222">
          <w:pPr>
            <w:pStyle w:val="37"/>
            <w:tabs>
              <w:tab w:val="right" w:leader="dot" w:pos="9345"/>
            </w:tabs>
            <w:rPr>
              <w:rFonts w:asciiTheme="minorHAnsi" w:eastAsiaTheme="minorEastAsia" w:hAnsiTheme="minorHAnsi" w:cstheme="minorBidi"/>
              <w:noProof/>
              <w:lang w:eastAsia="ru-RU"/>
            </w:rPr>
          </w:pPr>
          <w:hyperlink w:anchor="_Toc196143073" w:history="1">
            <w:r w:rsidR="00721EEB" w:rsidRPr="004B2F20">
              <w:rPr>
                <w:rStyle w:val="ab"/>
                <w:rFonts w:ascii="Times New Roman" w:hAnsi="Times New Roman"/>
                <w:noProof/>
                <w:lang w:eastAsia="en-US" w:bidi="en-US"/>
              </w:rPr>
              <w:t>Вознаграждение членов Ревизионной комиссии.</w:t>
            </w:r>
            <w:r w:rsidR="00721EEB">
              <w:rPr>
                <w:noProof/>
                <w:webHidden/>
              </w:rPr>
              <w:tab/>
            </w:r>
            <w:r w:rsidR="00721EEB">
              <w:rPr>
                <w:noProof/>
                <w:webHidden/>
              </w:rPr>
              <w:fldChar w:fldCharType="begin"/>
            </w:r>
            <w:r w:rsidR="00721EEB">
              <w:rPr>
                <w:noProof/>
                <w:webHidden/>
              </w:rPr>
              <w:instrText xml:space="preserve"> PAGEREF _Toc196143073 \h </w:instrText>
            </w:r>
            <w:r w:rsidR="00721EEB">
              <w:rPr>
                <w:noProof/>
                <w:webHidden/>
              </w:rPr>
            </w:r>
            <w:r w:rsidR="00721EEB">
              <w:rPr>
                <w:noProof/>
                <w:webHidden/>
              </w:rPr>
              <w:fldChar w:fldCharType="separate"/>
            </w:r>
            <w:r w:rsidR="00721EEB">
              <w:rPr>
                <w:noProof/>
                <w:webHidden/>
              </w:rPr>
              <w:t>232</w:t>
            </w:r>
            <w:r w:rsidR="00721EEB">
              <w:rPr>
                <w:noProof/>
                <w:webHidden/>
              </w:rPr>
              <w:fldChar w:fldCharType="end"/>
            </w:r>
          </w:hyperlink>
        </w:p>
        <w:p w14:paraId="559326AC" w14:textId="0A4A339B" w:rsidR="00721EEB" w:rsidRDefault="00BD1222">
          <w:pPr>
            <w:pStyle w:val="2c"/>
            <w:tabs>
              <w:tab w:val="right" w:leader="dot" w:pos="9345"/>
            </w:tabs>
            <w:rPr>
              <w:rFonts w:asciiTheme="minorHAnsi" w:eastAsiaTheme="minorEastAsia" w:hAnsiTheme="minorHAnsi" w:cstheme="minorBidi"/>
              <w:noProof/>
              <w:lang w:eastAsia="ru-RU"/>
            </w:rPr>
          </w:pPr>
          <w:hyperlink w:anchor="_Toc196143074" w:history="1">
            <w:r w:rsidR="00721EEB" w:rsidRPr="004B2F20">
              <w:rPr>
                <w:rStyle w:val="ab"/>
                <w:rFonts w:ascii="Times New Roman" w:hAnsi="Times New Roman"/>
                <w:caps/>
                <w:noProof/>
                <w:spacing w:val="15"/>
                <w:lang w:eastAsia="en-US" w:bidi="en-US"/>
              </w:rPr>
              <w:t>Управление рисками, внутренний контроль и внутренний аудит</w:t>
            </w:r>
            <w:r w:rsidR="00721EEB">
              <w:rPr>
                <w:noProof/>
                <w:webHidden/>
              </w:rPr>
              <w:tab/>
            </w:r>
            <w:r w:rsidR="00721EEB">
              <w:rPr>
                <w:noProof/>
                <w:webHidden/>
              </w:rPr>
              <w:fldChar w:fldCharType="begin"/>
            </w:r>
            <w:r w:rsidR="00721EEB">
              <w:rPr>
                <w:noProof/>
                <w:webHidden/>
              </w:rPr>
              <w:instrText xml:space="preserve"> PAGEREF _Toc196143074 \h </w:instrText>
            </w:r>
            <w:r w:rsidR="00721EEB">
              <w:rPr>
                <w:noProof/>
                <w:webHidden/>
              </w:rPr>
            </w:r>
            <w:r w:rsidR="00721EEB">
              <w:rPr>
                <w:noProof/>
                <w:webHidden/>
              </w:rPr>
              <w:fldChar w:fldCharType="separate"/>
            </w:r>
            <w:r w:rsidR="00721EEB">
              <w:rPr>
                <w:noProof/>
                <w:webHidden/>
              </w:rPr>
              <w:t>233</w:t>
            </w:r>
            <w:r w:rsidR="00721EEB">
              <w:rPr>
                <w:noProof/>
                <w:webHidden/>
              </w:rPr>
              <w:fldChar w:fldCharType="end"/>
            </w:r>
          </w:hyperlink>
        </w:p>
        <w:p w14:paraId="093F6F60" w14:textId="6E0F5E26" w:rsidR="00721EEB" w:rsidRDefault="00BD1222">
          <w:pPr>
            <w:pStyle w:val="37"/>
            <w:tabs>
              <w:tab w:val="right" w:leader="dot" w:pos="9345"/>
            </w:tabs>
            <w:rPr>
              <w:rFonts w:asciiTheme="minorHAnsi" w:eastAsiaTheme="minorEastAsia" w:hAnsiTheme="minorHAnsi" w:cstheme="minorBidi"/>
              <w:noProof/>
              <w:lang w:eastAsia="ru-RU"/>
            </w:rPr>
          </w:pPr>
          <w:hyperlink w:anchor="_Toc196143075" w:history="1">
            <w:r w:rsidR="00721EEB" w:rsidRPr="004B2F20">
              <w:rPr>
                <w:rStyle w:val="ab"/>
                <w:rFonts w:ascii="Times New Roman" w:hAnsi="Times New Roman"/>
                <w:noProof/>
                <w:lang w:eastAsia="en-US" w:bidi="en-US"/>
              </w:rPr>
              <w:t>Информация о системе управления рисками и внутреннего контроля.</w:t>
            </w:r>
            <w:r w:rsidR="00721EEB">
              <w:rPr>
                <w:noProof/>
                <w:webHidden/>
              </w:rPr>
              <w:tab/>
            </w:r>
            <w:r w:rsidR="00721EEB">
              <w:rPr>
                <w:noProof/>
                <w:webHidden/>
              </w:rPr>
              <w:fldChar w:fldCharType="begin"/>
            </w:r>
            <w:r w:rsidR="00721EEB">
              <w:rPr>
                <w:noProof/>
                <w:webHidden/>
              </w:rPr>
              <w:instrText xml:space="preserve"> PAGEREF _Toc196143075 \h </w:instrText>
            </w:r>
            <w:r w:rsidR="00721EEB">
              <w:rPr>
                <w:noProof/>
                <w:webHidden/>
              </w:rPr>
            </w:r>
            <w:r w:rsidR="00721EEB">
              <w:rPr>
                <w:noProof/>
                <w:webHidden/>
              </w:rPr>
              <w:fldChar w:fldCharType="separate"/>
            </w:r>
            <w:r w:rsidR="00721EEB">
              <w:rPr>
                <w:noProof/>
                <w:webHidden/>
              </w:rPr>
              <w:t>233</w:t>
            </w:r>
            <w:r w:rsidR="00721EEB">
              <w:rPr>
                <w:noProof/>
                <w:webHidden/>
              </w:rPr>
              <w:fldChar w:fldCharType="end"/>
            </w:r>
          </w:hyperlink>
        </w:p>
        <w:p w14:paraId="61A07603" w14:textId="7599174D" w:rsidR="00721EEB" w:rsidRDefault="00BD1222">
          <w:pPr>
            <w:pStyle w:val="37"/>
            <w:tabs>
              <w:tab w:val="right" w:leader="dot" w:pos="9345"/>
            </w:tabs>
            <w:rPr>
              <w:rFonts w:asciiTheme="minorHAnsi" w:eastAsiaTheme="minorEastAsia" w:hAnsiTheme="minorHAnsi" w:cstheme="minorBidi"/>
              <w:noProof/>
              <w:lang w:eastAsia="ru-RU"/>
            </w:rPr>
          </w:pPr>
          <w:hyperlink w:anchor="_Toc196143076" w:history="1">
            <w:r w:rsidR="00721EEB" w:rsidRPr="004B2F20">
              <w:rPr>
                <w:rStyle w:val="ab"/>
                <w:rFonts w:ascii="Times New Roman" w:hAnsi="Times New Roman"/>
                <w:noProof/>
                <w:lang w:eastAsia="en-US" w:bidi="en-US"/>
              </w:rPr>
              <w:t>Внутренний аудит</w:t>
            </w:r>
            <w:r w:rsidR="00721EEB">
              <w:rPr>
                <w:noProof/>
                <w:webHidden/>
              </w:rPr>
              <w:tab/>
            </w:r>
            <w:r w:rsidR="00721EEB">
              <w:rPr>
                <w:noProof/>
                <w:webHidden/>
              </w:rPr>
              <w:fldChar w:fldCharType="begin"/>
            </w:r>
            <w:r w:rsidR="00721EEB">
              <w:rPr>
                <w:noProof/>
                <w:webHidden/>
              </w:rPr>
              <w:instrText xml:space="preserve"> PAGEREF _Toc196143076 \h </w:instrText>
            </w:r>
            <w:r w:rsidR="00721EEB">
              <w:rPr>
                <w:noProof/>
                <w:webHidden/>
              </w:rPr>
            </w:r>
            <w:r w:rsidR="00721EEB">
              <w:rPr>
                <w:noProof/>
                <w:webHidden/>
              </w:rPr>
              <w:fldChar w:fldCharType="separate"/>
            </w:r>
            <w:r w:rsidR="00721EEB">
              <w:rPr>
                <w:noProof/>
                <w:webHidden/>
              </w:rPr>
              <w:t>236</w:t>
            </w:r>
            <w:r w:rsidR="00721EEB">
              <w:rPr>
                <w:noProof/>
                <w:webHidden/>
              </w:rPr>
              <w:fldChar w:fldCharType="end"/>
            </w:r>
          </w:hyperlink>
        </w:p>
        <w:p w14:paraId="63DC3D82" w14:textId="51D0F6E0" w:rsidR="00721EEB" w:rsidRDefault="00BD1222">
          <w:pPr>
            <w:pStyle w:val="2c"/>
            <w:tabs>
              <w:tab w:val="right" w:leader="dot" w:pos="9345"/>
            </w:tabs>
            <w:rPr>
              <w:rFonts w:asciiTheme="minorHAnsi" w:eastAsiaTheme="minorEastAsia" w:hAnsiTheme="minorHAnsi" w:cstheme="minorBidi"/>
              <w:noProof/>
              <w:lang w:eastAsia="ru-RU"/>
            </w:rPr>
          </w:pPr>
          <w:hyperlink w:anchor="_Toc196143077" w:history="1">
            <w:r w:rsidR="00721EEB" w:rsidRPr="004B2F20">
              <w:rPr>
                <w:rStyle w:val="ab"/>
                <w:rFonts w:ascii="Times New Roman" w:hAnsi="Times New Roman"/>
                <w:caps/>
                <w:noProof/>
                <w:spacing w:val="15"/>
                <w:lang w:eastAsia="en-US" w:bidi="en-US"/>
              </w:rPr>
              <w:t>Ревизионная комиссия</w:t>
            </w:r>
            <w:r w:rsidR="00721EEB">
              <w:rPr>
                <w:noProof/>
                <w:webHidden/>
              </w:rPr>
              <w:tab/>
            </w:r>
            <w:r w:rsidR="00721EEB">
              <w:rPr>
                <w:noProof/>
                <w:webHidden/>
              </w:rPr>
              <w:fldChar w:fldCharType="begin"/>
            </w:r>
            <w:r w:rsidR="00721EEB">
              <w:rPr>
                <w:noProof/>
                <w:webHidden/>
              </w:rPr>
              <w:instrText xml:space="preserve"> PAGEREF _Toc196143077 \h </w:instrText>
            </w:r>
            <w:r w:rsidR="00721EEB">
              <w:rPr>
                <w:noProof/>
                <w:webHidden/>
              </w:rPr>
            </w:r>
            <w:r w:rsidR="00721EEB">
              <w:rPr>
                <w:noProof/>
                <w:webHidden/>
              </w:rPr>
              <w:fldChar w:fldCharType="separate"/>
            </w:r>
            <w:r w:rsidR="00721EEB">
              <w:rPr>
                <w:noProof/>
                <w:webHidden/>
              </w:rPr>
              <w:t>237</w:t>
            </w:r>
            <w:r w:rsidR="00721EEB">
              <w:rPr>
                <w:noProof/>
                <w:webHidden/>
              </w:rPr>
              <w:fldChar w:fldCharType="end"/>
            </w:r>
          </w:hyperlink>
        </w:p>
        <w:p w14:paraId="13309E10" w14:textId="3A2450F3" w:rsidR="00721EEB" w:rsidRDefault="00BD1222">
          <w:pPr>
            <w:pStyle w:val="2c"/>
            <w:tabs>
              <w:tab w:val="right" w:leader="dot" w:pos="9345"/>
            </w:tabs>
            <w:rPr>
              <w:rFonts w:asciiTheme="minorHAnsi" w:eastAsiaTheme="minorEastAsia" w:hAnsiTheme="minorHAnsi" w:cstheme="minorBidi"/>
              <w:noProof/>
              <w:lang w:eastAsia="ru-RU"/>
            </w:rPr>
          </w:pPr>
          <w:hyperlink w:anchor="_Toc196143078" w:history="1">
            <w:r w:rsidR="00721EEB" w:rsidRPr="004B2F20">
              <w:rPr>
                <w:rStyle w:val="ab"/>
                <w:rFonts w:ascii="Times New Roman" w:hAnsi="Times New Roman"/>
                <w:caps/>
                <w:noProof/>
                <w:spacing w:val="15"/>
                <w:lang w:eastAsia="en-US" w:bidi="en-US"/>
              </w:rPr>
              <w:t>Аудиторская организация</w:t>
            </w:r>
            <w:r w:rsidR="00721EEB">
              <w:rPr>
                <w:noProof/>
                <w:webHidden/>
              </w:rPr>
              <w:tab/>
            </w:r>
            <w:r w:rsidR="00721EEB">
              <w:rPr>
                <w:noProof/>
                <w:webHidden/>
              </w:rPr>
              <w:fldChar w:fldCharType="begin"/>
            </w:r>
            <w:r w:rsidR="00721EEB">
              <w:rPr>
                <w:noProof/>
                <w:webHidden/>
              </w:rPr>
              <w:instrText xml:space="preserve"> PAGEREF _Toc196143078 \h </w:instrText>
            </w:r>
            <w:r w:rsidR="00721EEB">
              <w:rPr>
                <w:noProof/>
                <w:webHidden/>
              </w:rPr>
            </w:r>
            <w:r w:rsidR="00721EEB">
              <w:rPr>
                <w:noProof/>
                <w:webHidden/>
              </w:rPr>
              <w:fldChar w:fldCharType="separate"/>
            </w:r>
            <w:r w:rsidR="00721EEB">
              <w:rPr>
                <w:noProof/>
                <w:webHidden/>
              </w:rPr>
              <w:t>244</w:t>
            </w:r>
            <w:r w:rsidR="00721EEB">
              <w:rPr>
                <w:noProof/>
                <w:webHidden/>
              </w:rPr>
              <w:fldChar w:fldCharType="end"/>
            </w:r>
          </w:hyperlink>
        </w:p>
        <w:p w14:paraId="4B2C8CA0" w14:textId="793265B0" w:rsidR="00721EEB" w:rsidRDefault="00BD1222">
          <w:pPr>
            <w:pStyle w:val="1f3"/>
            <w:rPr>
              <w:rFonts w:asciiTheme="minorHAnsi" w:eastAsiaTheme="minorEastAsia" w:hAnsiTheme="minorHAnsi" w:cstheme="minorBidi"/>
              <w:b w:val="0"/>
              <w:noProof/>
              <w:sz w:val="22"/>
              <w:szCs w:val="22"/>
              <w:lang w:eastAsia="ru-RU"/>
            </w:rPr>
          </w:pPr>
          <w:hyperlink w:anchor="_Toc196143079" w:history="1">
            <w:r w:rsidR="00721EEB" w:rsidRPr="004B2F20">
              <w:rPr>
                <w:rStyle w:val="ab"/>
                <w:bCs/>
                <w:noProof/>
                <w:lang w:eastAsia="ru-RU"/>
              </w:rPr>
              <w:t>АКЦИОНЕРНЫЙ КАПИТАЛ, обращение ценных бумаг</w:t>
            </w:r>
            <w:r w:rsidR="00721EEB">
              <w:rPr>
                <w:noProof/>
                <w:webHidden/>
              </w:rPr>
              <w:tab/>
            </w:r>
            <w:r w:rsidR="00721EEB">
              <w:rPr>
                <w:noProof/>
                <w:webHidden/>
              </w:rPr>
              <w:fldChar w:fldCharType="begin"/>
            </w:r>
            <w:r w:rsidR="00721EEB">
              <w:rPr>
                <w:noProof/>
                <w:webHidden/>
              </w:rPr>
              <w:instrText xml:space="preserve"> PAGEREF _Toc196143079 \h </w:instrText>
            </w:r>
            <w:r w:rsidR="00721EEB">
              <w:rPr>
                <w:noProof/>
                <w:webHidden/>
              </w:rPr>
            </w:r>
            <w:r w:rsidR="00721EEB">
              <w:rPr>
                <w:noProof/>
                <w:webHidden/>
              </w:rPr>
              <w:fldChar w:fldCharType="separate"/>
            </w:r>
            <w:r w:rsidR="00721EEB">
              <w:rPr>
                <w:noProof/>
                <w:webHidden/>
              </w:rPr>
              <w:t>246</w:t>
            </w:r>
            <w:r w:rsidR="00721EEB">
              <w:rPr>
                <w:noProof/>
                <w:webHidden/>
              </w:rPr>
              <w:fldChar w:fldCharType="end"/>
            </w:r>
          </w:hyperlink>
        </w:p>
        <w:p w14:paraId="071BB48A" w14:textId="27EB9EA9" w:rsidR="00721EEB" w:rsidRDefault="00BD1222">
          <w:pPr>
            <w:pStyle w:val="2c"/>
            <w:tabs>
              <w:tab w:val="right" w:leader="dot" w:pos="9345"/>
            </w:tabs>
            <w:rPr>
              <w:rFonts w:asciiTheme="minorHAnsi" w:eastAsiaTheme="minorEastAsia" w:hAnsiTheme="minorHAnsi" w:cstheme="minorBidi"/>
              <w:noProof/>
              <w:lang w:eastAsia="ru-RU"/>
            </w:rPr>
          </w:pPr>
          <w:hyperlink w:anchor="_Toc196143080" w:history="1">
            <w:r w:rsidR="00721EEB" w:rsidRPr="004B2F20">
              <w:rPr>
                <w:rStyle w:val="ab"/>
                <w:rFonts w:ascii="Times New Roman" w:hAnsi="Times New Roman"/>
                <w:caps/>
                <w:noProof/>
                <w:spacing w:val="15"/>
                <w:lang w:eastAsia="en-US" w:bidi="en-US"/>
              </w:rPr>
              <w:t>Структура акционерного капитала</w:t>
            </w:r>
            <w:r w:rsidR="00721EEB">
              <w:rPr>
                <w:noProof/>
                <w:webHidden/>
              </w:rPr>
              <w:tab/>
            </w:r>
            <w:r w:rsidR="00721EEB">
              <w:rPr>
                <w:noProof/>
                <w:webHidden/>
              </w:rPr>
              <w:fldChar w:fldCharType="begin"/>
            </w:r>
            <w:r w:rsidR="00721EEB">
              <w:rPr>
                <w:noProof/>
                <w:webHidden/>
              </w:rPr>
              <w:instrText xml:space="preserve"> PAGEREF _Toc196143080 \h </w:instrText>
            </w:r>
            <w:r w:rsidR="00721EEB">
              <w:rPr>
                <w:noProof/>
                <w:webHidden/>
              </w:rPr>
            </w:r>
            <w:r w:rsidR="00721EEB">
              <w:rPr>
                <w:noProof/>
                <w:webHidden/>
              </w:rPr>
              <w:fldChar w:fldCharType="separate"/>
            </w:r>
            <w:r w:rsidR="00721EEB">
              <w:rPr>
                <w:noProof/>
                <w:webHidden/>
              </w:rPr>
              <w:t>246</w:t>
            </w:r>
            <w:r w:rsidR="00721EEB">
              <w:rPr>
                <w:noProof/>
                <w:webHidden/>
              </w:rPr>
              <w:fldChar w:fldCharType="end"/>
            </w:r>
          </w:hyperlink>
        </w:p>
        <w:p w14:paraId="4CE9C083" w14:textId="2D70175D" w:rsidR="00721EEB" w:rsidRDefault="00BD1222">
          <w:pPr>
            <w:pStyle w:val="37"/>
            <w:tabs>
              <w:tab w:val="right" w:leader="dot" w:pos="9345"/>
            </w:tabs>
            <w:rPr>
              <w:rFonts w:asciiTheme="minorHAnsi" w:eastAsiaTheme="minorEastAsia" w:hAnsiTheme="minorHAnsi" w:cstheme="minorBidi"/>
              <w:noProof/>
              <w:lang w:eastAsia="ru-RU"/>
            </w:rPr>
          </w:pPr>
          <w:hyperlink w:anchor="_Toc196143081" w:history="1">
            <w:r w:rsidR="00721EEB" w:rsidRPr="004B2F20">
              <w:rPr>
                <w:rStyle w:val="ab"/>
                <w:rFonts w:ascii="Times New Roman" w:hAnsi="Times New Roman"/>
                <w:noProof/>
                <w:lang w:eastAsia="en-US" w:bidi="en-US"/>
              </w:rPr>
              <w:t>Информация о крупных сделках и сделках, в совершении которых имеется заинтересованность</w:t>
            </w:r>
            <w:r w:rsidR="00721EEB">
              <w:rPr>
                <w:noProof/>
                <w:webHidden/>
              </w:rPr>
              <w:tab/>
            </w:r>
            <w:r w:rsidR="00721EEB">
              <w:rPr>
                <w:noProof/>
                <w:webHidden/>
              </w:rPr>
              <w:fldChar w:fldCharType="begin"/>
            </w:r>
            <w:r w:rsidR="00721EEB">
              <w:rPr>
                <w:noProof/>
                <w:webHidden/>
              </w:rPr>
              <w:instrText xml:space="preserve"> PAGEREF _Toc196143081 \h </w:instrText>
            </w:r>
            <w:r w:rsidR="00721EEB">
              <w:rPr>
                <w:noProof/>
                <w:webHidden/>
              </w:rPr>
            </w:r>
            <w:r w:rsidR="00721EEB">
              <w:rPr>
                <w:noProof/>
                <w:webHidden/>
              </w:rPr>
              <w:fldChar w:fldCharType="separate"/>
            </w:r>
            <w:r w:rsidR="00721EEB">
              <w:rPr>
                <w:noProof/>
                <w:webHidden/>
              </w:rPr>
              <w:t>252</w:t>
            </w:r>
            <w:r w:rsidR="00721EEB">
              <w:rPr>
                <w:noProof/>
                <w:webHidden/>
              </w:rPr>
              <w:fldChar w:fldCharType="end"/>
            </w:r>
          </w:hyperlink>
        </w:p>
        <w:p w14:paraId="3E8B4C23" w14:textId="736833DB" w:rsidR="00721EEB" w:rsidRDefault="00BD1222">
          <w:pPr>
            <w:pStyle w:val="37"/>
            <w:tabs>
              <w:tab w:val="right" w:leader="dot" w:pos="9345"/>
            </w:tabs>
            <w:rPr>
              <w:rFonts w:asciiTheme="minorHAnsi" w:eastAsiaTheme="minorEastAsia" w:hAnsiTheme="minorHAnsi" w:cstheme="minorBidi"/>
              <w:noProof/>
              <w:lang w:eastAsia="ru-RU"/>
            </w:rPr>
          </w:pPr>
          <w:hyperlink w:anchor="_Toc196143082" w:history="1">
            <w:r w:rsidR="00721EEB" w:rsidRPr="004B2F20">
              <w:rPr>
                <w:rStyle w:val="ab"/>
                <w:rFonts w:ascii="Times New Roman" w:hAnsi="Times New Roman"/>
                <w:noProof/>
                <w:lang w:eastAsia="en-US" w:bidi="en-US"/>
              </w:rPr>
              <w:t>Информация о существенных сделках, совершенных Обществом и подконтрольными лицами</w:t>
            </w:r>
            <w:r w:rsidR="00721EEB">
              <w:rPr>
                <w:noProof/>
                <w:webHidden/>
              </w:rPr>
              <w:tab/>
            </w:r>
            <w:r w:rsidR="00721EEB">
              <w:rPr>
                <w:noProof/>
                <w:webHidden/>
              </w:rPr>
              <w:fldChar w:fldCharType="begin"/>
            </w:r>
            <w:r w:rsidR="00721EEB">
              <w:rPr>
                <w:noProof/>
                <w:webHidden/>
              </w:rPr>
              <w:instrText xml:space="preserve"> PAGEREF _Toc196143082 \h </w:instrText>
            </w:r>
            <w:r w:rsidR="00721EEB">
              <w:rPr>
                <w:noProof/>
                <w:webHidden/>
              </w:rPr>
            </w:r>
            <w:r w:rsidR="00721EEB">
              <w:rPr>
                <w:noProof/>
                <w:webHidden/>
              </w:rPr>
              <w:fldChar w:fldCharType="separate"/>
            </w:r>
            <w:r w:rsidR="00721EEB">
              <w:rPr>
                <w:noProof/>
                <w:webHidden/>
              </w:rPr>
              <w:t>253</w:t>
            </w:r>
            <w:r w:rsidR="00721EEB">
              <w:rPr>
                <w:noProof/>
                <w:webHidden/>
              </w:rPr>
              <w:fldChar w:fldCharType="end"/>
            </w:r>
          </w:hyperlink>
        </w:p>
        <w:p w14:paraId="00F4BFCC" w14:textId="100BEC07" w:rsidR="00721EEB" w:rsidRDefault="00BD1222">
          <w:pPr>
            <w:pStyle w:val="37"/>
            <w:tabs>
              <w:tab w:val="right" w:leader="dot" w:pos="9345"/>
            </w:tabs>
            <w:rPr>
              <w:rFonts w:asciiTheme="minorHAnsi" w:eastAsiaTheme="minorEastAsia" w:hAnsiTheme="minorHAnsi" w:cstheme="minorBidi"/>
              <w:noProof/>
              <w:lang w:eastAsia="ru-RU"/>
            </w:rPr>
          </w:pPr>
          <w:hyperlink w:anchor="_Toc196143083" w:history="1">
            <w:r w:rsidR="00721EEB" w:rsidRPr="004B2F20">
              <w:rPr>
                <w:rStyle w:val="ab"/>
                <w:rFonts w:ascii="Times New Roman" w:hAnsi="Times New Roman"/>
                <w:noProof/>
                <w:lang w:eastAsia="en-US" w:bidi="en-US"/>
              </w:rPr>
              <w:t>Взаимодействие с акционерами и инвесторами</w:t>
            </w:r>
            <w:r w:rsidR="00721EEB">
              <w:rPr>
                <w:noProof/>
                <w:webHidden/>
              </w:rPr>
              <w:tab/>
            </w:r>
            <w:r w:rsidR="00721EEB">
              <w:rPr>
                <w:noProof/>
                <w:webHidden/>
              </w:rPr>
              <w:fldChar w:fldCharType="begin"/>
            </w:r>
            <w:r w:rsidR="00721EEB">
              <w:rPr>
                <w:noProof/>
                <w:webHidden/>
              </w:rPr>
              <w:instrText xml:space="preserve"> PAGEREF _Toc196143083 \h </w:instrText>
            </w:r>
            <w:r w:rsidR="00721EEB">
              <w:rPr>
                <w:noProof/>
                <w:webHidden/>
              </w:rPr>
            </w:r>
            <w:r w:rsidR="00721EEB">
              <w:rPr>
                <w:noProof/>
                <w:webHidden/>
              </w:rPr>
              <w:fldChar w:fldCharType="separate"/>
            </w:r>
            <w:r w:rsidR="00721EEB">
              <w:rPr>
                <w:noProof/>
                <w:webHidden/>
              </w:rPr>
              <w:t>253</w:t>
            </w:r>
            <w:r w:rsidR="00721EEB">
              <w:rPr>
                <w:noProof/>
                <w:webHidden/>
              </w:rPr>
              <w:fldChar w:fldCharType="end"/>
            </w:r>
          </w:hyperlink>
        </w:p>
        <w:p w14:paraId="486EA9DC" w14:textId="588018DF" w:rsidR="00721EEB" w:rsidRDefault="00BD1222">
          <w:pPr>
            <w:pStyle w:val="37"/>
            <w:tabs>
              <w:tab w:val="right" w:leader="dot" w:pos="9345"/>
            </w:tabs>
            <w:rPr>
              <w:rFonts w:asciiTheme="minorHAnsi" w:eastAsiaTheme="minorEastAsia" w:hAnsiTheme="minorHAnsi" w:cstheme="minorBidi"/>
              <w:noProof/>
              <w:lang w:eastAsia="ru-RU"/>
            </w:rPr>
          </w:pPr>
          <w:hyperlink w:anchor="_Toc196143084" w:history="1">
            <w:r w:rsidR="00721EEB" w:rsidRPr="004B2F20">
              <w:rPr>
                <w:rStyle w:val="ab"/>
                <w:rFonts w:ascii="Times New Roman" w:hAnsi="Times New Roman"/>
                <w:noProof/>
                <w:lang w:eastAsia="en-US" w:bidi="en-US"/>
              </w:rPr>
              <w:t>Термины и основные использованные сокращения</w:t>
            </w:r>
            <w:r w:rsidR="00721EEB">
              <w:rPr>
                <w:noProof/>
                <w:webHidden/>
              </w:rPr>
              <w:tab/>
            </w:r>
            <w:r w:rsidR="00721EEB">
              <w:rPr>
                <w:noProof/>
                <w:webHidden/>
              </w:rPr>
              <w:fldChar w:fldCharType="begin"/>
            </w:r>
            <w:r w:rsidR="00721EEB">
              <w:rPr>
                <w:noProof/>
                <w:webHidden/>
              </w:rPr>
              <w:instrText xml:space="preserve"> PAGEREF _Toc196143084 \h </w:instrText>
            </w:r>
            <w:r w:rsidR="00721EEB">
              <w:rPr>
                <w:noProof/>
                <w:webHidden/>
              </w:rPr>
            </w:r>
            <w:r w:rsidR="00721EEB">
              <w:rPr>
                <w:noProof/>
                <w:webHidden/>
              </w:rPr>
              <w:fldChar w:fldCharType="separate"/>
            </w:r>
            <w:r w:rsidR="00721EEB">
              <w:rPr>
                <w:noProof/>
                <w:webHidden/>
              </w:rPr>
              <w:t>255</w:t>
            </w:r>
            <w:r w:rsidR="00721EEB">
              <w:rPr>
                <w:noProof/>
                <w:webHidden/>
              </w:rPr>
              <w:fldChar w:fldCharType="end"/>
            </w:r>
          </w:hyperlink>
        </w:p>
        <w:p w14:paraId="587731F7" w14:textId="2CA78859" w:rsidR="00721EEB" w:rsidRDefault="00BD1222">
          <w:pPr>
            <w:pStyle w:val="37"/>
            <w:tabs>
              <w:tab w:val="right" w:leader="dot" w:pos="9345"/>
            </w:tabs>
            <w:rPr>
              <w:rFonts w:asciiTheme="minorHAnsi" w:eastAsiaTheme="minorEastAsia" w:hAnsiTheme="minorHAnsi" w:cstheme="minorBidi"/>
              <w:noProof/>
              <w:lang w:eastAsia="ru-RU"/>
            </w:rPr>
          </w:pPr>
          <w:hyperlink w:anchor="_Toc196143085" w:history="1">
            <w:r w:rsidR="00721EEB" w:rsidRPr="004B2F20">
              <w:rPr>
                <w:rStyle w:val="ab"/>
                <w:rFonts w:ascii="Times New Roman" w:hAnsi="Times New Roman"/>
                <w:noProof/>
                <w:lang w:eastAsia="en-US" w:bidi="en-US"/>
              </w:rPr>
              <w:t>Адреса и контакты</w:t>
            </w:r>
            <w:r w:rsidR="00721EEB">
              <w:rPr>
                <w:noProof/>
                <w:webHidden/>
              </w:rPr>
              <w:tab/>
            </w:r>
            <w:r w:rsidR="00721EEB">
              <w:rPr>
                <w:noProof/>
                <w:webHidden/>
              </w:rPr>
              <w:fldChar w:fldCharType="begin"/>
            </w:r>
            <w:r w:rsidR="00721EEB">
              <w:rPr>
                <w:noProof/>
                <w:webHidden/>
              </w:rPr>
              <w:instrText xml:space="preserve"> PAGEREF _Toc196143085 \h </w:instrText>
            </w:r>
            <w:r w:rsidR="00721EEB">
              <w:rPr>
                <w:noProof/>
                <w:webHidden/>
              </w:rPr>
            </w:r>
            <w:r w:rsidR="00721EEB">
              <w:rPr>
                <w:noProof/>
                <w:webHidden/>
              </w:rPr>
              <w:fldChar w:fldCharType="separate"/>
            </w:r>
            <w:r w:rsidR="00721EEB">
              <w:rPr>
                <w:noProof/>
                <w:webHidden/>
              </w:rPr>
              <w:t>256</w:t>
            </w:r>
            <w:r w:rsidR="00721EEB">
              <w:rPr>
                <w:noProof/>
                <w:webHidden/>
              </w:rPr>
              <w:fldChar w:fldCharType="end"/>
            </w:r>
          </w:hyperlink>
        </w:p>
        <w:p w14:paraId="6FC4BC40" w14:textId="29D9979D" w:rsidR="00721EEB" w:rsidRDefault="00BD1222">
          <w:pPr>
            <w:pStyle w:val="1f3"/>
            <w:rPr>
              <w:rFonts w:asciiTheme="minorHAnsi" w:eastAsiaTheme="minorEastAsia" w:hAnsiTheme="minorHAnsi" w:cstheme="minorBidi"/>
              <w:b w:val="0"/>
              <w:noProof/>
              <w:sz w:val="22"/>
              <w:szCs w:val="22"/>
              <w:lang w:eastAsia="ru-RU"/>
            </w:rPr>
          </w:pPr>
          <w:hyperlink w:anchor="_Toc196143086" w:history="1">
            <w:r w:rsidR="00721EEB" w:rsidRPr="004B2F20">
              <w:rPr>
                <w:rStyle w:val="ab"/>
                <w:bCs/>
                <w:noProof/>
                <w:lang w:eastAsia="ru-RU"/>
              </w:rPr>
              <w:t>ПРИЛОЖЕНИЯ</w:t>
            </w:r>
            <w:r w:rsidR="00721EEB">
              <w:rPr>
                <w:noProof/>
                <w:webHidden/>
              </w:rPr>
              <w:tab/>
            </w:r>
            <w:r w:rsidR="00721EEB">
              <w:rPr>
                <w:noProof/>
                <w:webHidden/>
              </w:rPr>
              <w:fldChar w:fldCharType="begin"/>
            </w:r>
            <w:r w:rsidR="00721EEB">
              <w:rPr>
                <w:noProof/>
                <w:webHidden/>
              </w:rPr>
              <w:instrText xml:space="preserve"> PAGEREF _Toc196143086 \h </w:instrText>
            </w:r>
            <w:r w:rsidR="00721EEB">
              <w:rPr>
                <w:noProof/>
                <w:webHidden/>
              </w:rPr>
            </w:r>
            <w:r w:rsidR="00721EEB">
              <w:rPr>
                <w:noProof/>
                <w:webHidden/>
              </w:rPr>
              <w:fldChar w:fldCharType="separate"/>
            </w:r>
            <w:r w:rsidR="00721EEB">
              <w:rPr>
                <w:noProof/>
                <w:webHidden/>
              </w:rPr>
              <w:t>257</w:t>
            </w:r>
            <w:r w:rsidR="00721EEB">
              <w:rPr>
                <w:noProof/>
                <w:webHidden/>
              </w:rPr>
              <w:fldChar w:fldCharType="end"/>
            </w:r>
          </w:hyperlink>
        </w:p>
        <w:p w14:paraId="032E7730" w14:textId="55897828" w:rsidR="002449C2" w:rsidRDefault="00123961">
          <w:r>
            <w:fldChar w:fldCharType="end"/>
          </w:r>
        </w:p>
      </w:sdtContent>
    </w:sdt>
    <w:p w14:paraId="289F21DD" w14:textId="77777777" w:rsidR="002449C2" w:rsidRDefault="002449C2">
      <w:pPr>
        <w:pStyle w:val="1f3"/>
        <w:rPr>
          <w:rFonts w:asciiTheme="minorHAnsi" w:eastAsiaTheme="minorEastAsia" w:hAnsiTheme="minorHAnsi" w:cstheme="minorBidi"/>
          <w:b w:val="0"/>
          <w:sz w:val="22"/>
          <w:szCs w:val="22"/>
          <w:lang w:eastAsia="ru-RU"/>
        </w:rPr>
      </w:pPr>
    </w:p>
    <w:p w14:paraId="7BE2E251" w14:textId="77777777" w:rsidR="002449C2" w:rsidRDefault="00123961">
      <w:pPr>
        <w:spacing w:after="0" w:line="360" w:lineRule="auto"/>
      </w:pPr>
      <w:r>
        <w:br w:type="page"/>
      </w:r>
    </w:p>
    <w:p w14:paraId="4A1135C3" w14:textId="77777777" w:rsidR="002449C2" w:rsidRDefault="00123961">
      <w:pPr>
        <w:keepNext/>
        <w:keepLines/>
        <w:spacing w:after="120" w:line="240" w:lineRule="auto"/>
        <w:ind w:left="360"/>
        <w:outlineLvl w:val="0"/>
        <w:rPr>
          <w:rFonts w:ascii="Times New Roman" w:eastAsia="Times New Roman" w:hAnsi="Times New Roman"/>
          <w:bCs/>
          <w:color w:val="0066CC"/>
          <w:sz w:val="36"/>
          <w:szCs w:val="28"/>
          <w:lang w:eastAsia="ru-RU"/>
        </w:rPr>
      </w:pPr>
      <w:bookmarkStart w:id="1" w:name="_Toc195174906"/>
      <w:bookmarkStart w:id="2" w:name="_Toc511807222"/>
      <w:bookmarkStart w:id="3" w:name="_Toc196142998"/>
      <w:bookmarkStart w:id="4" w:name="_Toc536544494"/>
      <w:r>
        <w:rPr>
          <w:rFonts w:ascii="Times New Roman" w:eastAsia="Times New Roman" w:hAnsi="Times New Roman"/>
          <w:bCs/>
          <w:color w:val="0066CC"/>
          <w:sz w:val="36"/>
          <w:szCs w:val="28"/>
          <w:lang w:eastAsia="ru-RU"/>
        </w:rPr>
        <w:t>О КОМПАНИИ</w:t>
      </w:r>
      <w:bookmarkEnd w:id="1"/>
      <w:bookmarkEnd w:id="2"/>
      <w:bookmarkEnd w:id="3"/>
      <w:r>
        <w:rPr>
          <w:rFonts w:ascii="Times New Roman" w:eastAsia="Times New Roman" w:hAnsi="Times New Roman"/>
          <w:bCs/>
          <w:color w:val="0066CC"/>
          <w:sz w:val="36"/>
          <w:szCs w:val="28"/>
          <w:lang w:eastAsia="ru-RU"/>
        </w:rPr>
        <w:t xml:space="preserve"> </w:t>
      </w:r>
      <w:bookmarkEnd w:id="0"/>
      <w:bookmarkEnd w:id="4"/>
    </w:p>
    <w:p w14:paraId="114848E4" w14:textId="77777777" w:rsidR="002449C2" w:rsidRDefault="00123961">
      <w:pPr>
        <w:tabs>
          <w:tab w:val="left" w:pos="142"/>
        </w:tabs>
        <w:spacing w:after="0" w:line="240" w:lineRule="auto"/>
        <w:ind w:firstLine="567"/>
        <w:jc w:val="both"/>
        <w:rPr>
          <w:rFonts w:ascii="Times New Roman" w:eastAsia="Times New Roman" w:hAnsi="Times New Roman"/>
          <w:color w:val="767171"/>
          <w:sz w:val="26"/>
          <w:szCs w:val="26"/>
          <w:lang w:eastAsia="ru-RU"/>
        </w:rPr>
      </w:pPr>
      <w:r>
        <w:rPr>
          <w:rFonts w:ascii="Times New Roman" w:eastAsia="Times New Roman" w:hAnsi="Times New Roman"/>
          <w:color w:val="767171"/>
          <w:sz w:val="26"/>
          <w:szCs w:val="26"/>
          <w:lang w:eastAsia="ru-RU"/>
        </w:rPr>
        <w:t>GRI 2-1, GRI 2-2</w:t>
      </w:r>
    </w:p>
    <w:p w14:paraId="1D211E82" w14:textId="77777777" w:rsidR="002449C2" w:rsidRDefault="00123961">
      <w:pPr>
        <w:keepNext/>
        <w:pBdr>
          <w:bottom w:val="single" w:sz="4" w:space="1" w:color="622423"/>
        </w:pBdr>
        <w:shd w:val="clear" w:color="auto" w:fill="FFFFFF"/>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5" w:name="_Toc33542742"/>
      <w:bookmarkStart w:id="6" w:name="_Toc195174907"/>
      <w:bookmarkStart w:id="7" w:name="_Toc196142999"/>
      <w:bookmarkStart w:id="8" w:name="_Toc511807214"/>
      <w:r>
        <w:rPr>
          <w:rFonts w:ascii="Times New Roman" w:eastAsia="Times New Roman" w:hAnsi="Times New Roman"/>
          <w:caps/>
          <w:color w:val="632423"/>
          <w:spacing w:val="15"/>
          <w:sz w:val="24"/>
          <w:szCs w:val="24"/>
          <w:lang w:eastAsia="en-US" w:bidi="en-US"/>
        </w:rPr>
        <w:t>Об отчете</w:t>
      </w:r>
      <w:bookmarkEnd w:id="5"/>
      <w:bookmarkEnd w:id="6"/>
      <w:bookmarkEnd w:id="7"/>
    </w:p>
    <w:p w14:paraId="1A9C263D"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Годовой отчет Публичного акционерного общества «Россети Юг» за 2024 год (далее – Отчет, Годовой отчет) направлен на информирование заинтересованных лиц о важнейших событиях и производственных и финансовых результатах работы и устойчивого развития Компании, а также воздействии на экономику и окружающую среду. </w:t>
      </w:r>
    </w:p>
    <w:p w14:paraId="7373B0CC" w14:textId="77777777" w:rsidR="002449C2" w:rsidRDefault="002449C2">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p>
    <w:p w14:paraId="38527C9E"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Отчет за 2024 год подготовлен в соответствии с международными и российскими стандартами и нормативными требованиями, включая:</w:t>
      </w:r>
    </w:p>
    <w:p w14:paraId="4F8392A3"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Федеральный закон от 22.04.1996 №39 (далее – ФЗ «О рынке ценных бумаг»);</w:t>
      </w:r>
    </w:p>
    <w:p w14:paraId="059D5DDF"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Федеральный закон 26.12.1995 №208 (далее – ФЗ «Об акционерных обществах»); </w:t>
      </w:r>
    </w:p>
    <w:p w14:paraId="0126E1A6"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Положение Банка России от 27.03.2020 №714-П «О раскрытии информации эмитентами эмиссионных ценных бумаг»;</w:t>
      </w:r>
    </w:p>
    <w:p w14:paraId="4BAB422B"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Рекомендации по раскрытию публичными акционерными обществами нефинансовой информации, связанной с деятельностью таких обществ (информационное письмо Банка России от 12.07.2021 № ИН-06-28/49);</w:t>
      </w:r>
    </w:p>
    <w:p w14:paraId="0416538D" w14:textId="77777777" w:rsidR="002449C2" w:rsidRDefault="00BD1222">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hyperlink r:id="rId8">
        <w:r w:rsidR="00123961">
          <w:rPr>
            <w:rFonts w:ascii="Times New Roman" w:eastAsia="Times New Roman" w:hAnsi="Times New Roman"/>
            <w:sz w:val="26"/>
            <w:szCs w:val="26"/>
            <w:lang w:eastAsia="ru-RU"/>
          </w:rPr>
          <w:t>Кодекс корпоративного управления, одобренный Советом директоров Банка России 21.03.2014 и рекомендованный к применению письмом Банка России от 10.04.2014 №06-52/2463</w:t>
        </w:r>
      </w:hyperlink>
      <w:r w:rsidR="00123961">
        <w:rPr>
          <w:rFonts w:ascii="Times New Roman" w:eastAsia="Times New Roman" w:hAnsi="Times New Roman"/>
          <w:sz w:val="26"/>
          <w:szCs w:val="26"/>
          <w:lang w:eastAsia="ru-RU"/>
        </w:rPr>
        <w:t xml:space="preserve"> (далее – Кодекс корпоративного управления Банка России);</w:t>
      </w:r>
    </w:p>
    <w:p w14:paraId="679004B0"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Стандарты по отчетности в области устойчивого развития GRI и др.</w:t>
      </w:r>
    </w:p>
    <w:p w14:paraId="1B10C42F" w14:textId="77777777" w:rsidR="002449C2" w:rsidRDefault="002449C2">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p>
    <w:p w14:paraId="6D42F64B"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тексте Отчета Публичное акционерное общество «Россети Юг» именуется также ПАО «Россети Юг», «Россети Юг», ПАО «МРСК Юга» (предыдущее наименование до 14.02.2022), Компания или Общество.</w:t>
      </w:r>
    </w:p>
    <w:p w14:paraId="3CEF966E"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color w:val="767171"/>
          <w:sz w:val="26"/>
          <w:szCs w:val="26"/>
          <w:lang w:eastAsia="ru-RU"/>
        </w:rPr>
      </w:pPr>
      <w:r>
        <w:rPr>
          <w:rFonts w:ascii="Times New Roman" w:eastAsia="Times New Roman" w:hAnsi="Times New Roman"/>
          <w:color w:val="767171"/>
          <w:sz w:val="26"/>
          <w:szCs w:val="26"/>
          <w:lang w:eastAsia="ru-RU"/>
        </w:rPr>
        <w:t>GRI 3-1</w:t>
      </w:r>
    </w:p>
    <w:p w14:paraId="4E6AC51D"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отчетном году мы определили темы, отражающие наиболее значимые экономические, социальные и экологические воздействия «Россети Юг». Этот процесс был организован с участием внешних и внутренних экспертов. Мы изучили их мнения, оценили темы по степени важности и составили перечень тем.</w:t>
      </w:r>
    </w:p>
    <w:p w14:paraId="7118CA7D"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color w:val="767171"/>
          <w:sz w:val="26"/>
          <w:szCs w:val="26"/>
          <w:lang w:eastAsia="ru-RU"/>
        </w:rPr>
      </w:pPr>
      <w:r>
        <w:rPr>
          <w:rFonts w:ascii="Times New Roman" w:eastAsia="Times New Roman" w:hAnsi="Times New Roman"/>
          <w:color w:val="767171"/>
          <w:sz w:val="26"/>
          <w:szCs w:val="26"/>
          <w:lang w:eastAsia="ru-RU"/>
        </w:rPr>
        <w:t>GRI 3-2</w:t>
      </w:r>
    </w:p>
    <w:p w14:paraId="5F1D1F42" w14:textId="77777777" w:rsidR="002449C2" w:rsidRDefault="002449C2">
      <w:pPr>
        <w:shd w:val="clear" w:color="auto" w:fill="FFFFFF"/>
        <w:tabs>
          <w:tab w:val="left" w:pos="142"/>
        </w:tabs>
        <w:spacing w:after="0" w:line="240" w:lineRule="auto"/>
        <w:ind w:firstLine="567"/>
        <w:jc w:val="both"/>
        <w:rPr>
          <w:rFonts w:ascii="Times New Roman" w:hAnsi="Times New Roman"/>
          <w:b/>
          <w:bCs/>
          <w:sz w:val="26"/>
          <w:szCs w:val="26"/>
        </w:rPr>
      </w:pPr>
    </w:p>
    <w:p w14:paraId="7B451EEF"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hAnsi="Times New Roman"/>
          <w:b/>
          <w:bCs/>
          <w:sz w:val="26"/>
          <w:szCs w:val="26"/>
        </w:rPr>
        <w:t>Существенные темы «Россети Юг»</w:t>
      </w:r>
    </w:p>
    <w:p w14:paraId="25C0AF9C" w14:textId="77777777" w:rsidR="002449C2" w:rsidRDefault="00123961">
      <w:pPr>
        <w:shd w:val="clear" w:color="auto" w:fill="FFFFFF"/>
        <w:tabs>
          <w:tab w:val="left" w:pos="142"/>
        </w:tabs>
        <w:spacing w:after="0" w:line="240" w:lineRule="auto"/>
        <w:ind w:firstLine="567"/>
        <w:jc w:val="both"/>
        <w:rPr>
          <w:rFonts w:ascii="Times New Roman" w:hAnsi="Times New Roman"/>
          <w:b/>
          <w:bCs/>
          <w:sz w:val="26"/>
          <w:szCs w:val="26"/>
        </w:rPr>
      </w:pPr>
      <w:r>
        <w:rPr>
          <w:rFonts w:ascii="Times New Roman" w:eastAsia="Times New Roman" w:hAnsi="Times New Roman"/>
          <w:sz w:val="26"/>
          <w:szCs w:val="26"/>
          <w:lang w:eastAsia="ru-RU"/>
        </w:rPr>
        <w:t>Ключевая тема отчета - высокая степень надежности, которую поддерживает компания в части обеспечения потребителей электроэнергией, в том числе через масштабные инвестиции, направленные на модернизацию электросетевого комплекса и на внедрение инновационных технологий.</w:t>
      </w:r>
    </w:p>
    <w:p w14:paraId="6C1DC604" w14:textId="77777777" w:rsidR="002449C2" w:rsidRDefault="002449C2">
      <w:pPr>
        <w:shd w:val="clear" w:color="auto" w:fill="FFFFFF"/>
        <w:tabs>
          <w:tab w:val="left" w:pos="142"/>
        </w:tabs>
        <w:spacing w:after="0" w:line="240" w:lineRule="auto"/>
        <w:ind w:firstLine="567"/>
        <w:jc w:val="both"/>
        <w:rPr>
          <w:rFonts w:ascii="Times New Roman" w:hAnsi="Times New Roman"/>
          <w:b/>
          <w:bCs/>
          <w:sz w:val="26"/>
          <w:szCs w:val="26"/>
        </w:rPr>
      </w:pPr>
    </w:p>
    <w:p w14:paraId="4D427932"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hAnsi="Times New Roman"/>
          <w:b/>
          <w:bCs/>
          <w:sz w:val="26"/>
          <w:szCs w:val="26"/>
        </w:rPr>
        <w:t>Тема Отчета «Наполняем энергией»</w:t>
      </w:r>
    </w:p>
    <w:p w14:paraId="0A3042D1"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Современный технический прогресс невозможен без энергетики. Компания</w:t>
      </w:r>
    </w:p>
    <w:p w14:paraId="7880029F" w14:textId="77777777" w:rsidR="002449C2" w:rsidRDefault="00123961">
      <w:pPr>
        <w:shd w:val="clear" w:color="auto" w:fill="FFFFFF"/>
        <w:tabs>
          <w:tab w:val="left" w:pos="142"/>
        </w:tabs>
        <w:spacing w:after="0" w:line="240" w:lineRule="auto"/>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является локомотивом этого прогресса, обеспечивая энергией промышленность региона в частности и энергетический суверенитет страны в целом, а также внедряя передовые технологии в свои внутренние процессы.</w:t>
      </w:r>
    </w:p>
    <w:p w14:paraId="61F17E87"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«Россети Юг» играет ключевую роль в обеспечении электроснабжения четырех южных регионов Российской Федерации. Несмотря на все сложности и вызовы отчетного года, Компания демонстрирует стабильную работу, обеспечивает надёжное электроснабжение потребителей, вводит в эксплуатацию новые объекты, присоединяет к своим сетям больницы, школы, детские сады, заботясь о благополучии каждого жителя регионов своего присутствия. Таким образом, наша Компания вносит вклад в реализацию национальных и региональных проектов, вместе со всей страной участвуя в общем деле. Мы понимаем, что основа успешного выполнения задач, которые ставит перед нами государство и общество, - это профессионализм и опыт наших работников, которые постоянно развивают новые компетенции, а также внедрение современных технологий и грамотное планирование. Убеждены, что только благодаря нашим постоянным усилиям по улучшению качества жизни людей и нашей ответственности перед обществом, мы сможем сохранить лидерство в отрасли и обеспечить нашу успешную работу в будущем.</w:t>
      </w:r>
    </w:p>
    <w:p w14:paraId="088FE91F" w14:textId="77777777" w:rsidR="002449C2" w:rsidRDefault="002449C2">
      <w:pPr>
        <w:shd w:val="clear" w:color="auto" w:fill="FFFFFF"/>
        <w:tabs>
          <w:tab w:val="left" w:pos="142"/>
        </w:tabs>
        <w:spacing w:after="0" w:line="240" w:lineRule="auto"/>
        <w:ind w:firstLine="567"/>
        <w:jc w:val="both"/>
        <w:rPr>
          <w:rFonts w:ascii="Times New Roman" w:hAnsi="Times New Roman"/>
          <w:b/>
          <w:bCs/>
          <w:sz w:val="26"/>
          <w:szCs w:val="26"/>
        </w:rPr>
      </w:pPr>
    </w:p>
    <w:p w14:paraId="13EF0934"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hAnsi="Times New Roman"/>
          <w:b/>
          <w:bCs/>
          <w:sz w:val="26"/>
          <w:szCs w:val="26"/>
        </w:rPr>
        <w:t xml:space="preserve">Границы Отчета </w:t>
      </w:r>
    </w:p>
    <w:p w14:paraId="5440D98B"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настоящем Отчете представлены также отдельные важные события в деятельности Компании, происходившие после отчетной даты – в период с 01.01.2025 до предварительного утверждения Отчета Советом директоров.</w:t>
      </w:r>
    </w:p>
    <w:p w14:paraId="56E6988A"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Настоящий Годовой отчет подготовлен на основе информации, доступной «Россети Юг» на дату составления отчета. Годовой отчет содержит обзор итогов деятельности Компании за 2024 год, а также динамику показателей за период 2022-2024 годов.</w:t>
      </w:r>
    </w:p>
    <w:p w14:paraId="6776C750"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Информация о членах органов управления и контроля Общества, членах Комитетов Совета директоров и Корпоративном секретаре, а также размере персонального вознаграждения приводится в настоящем отчете с учетом требований законодательства Российской Федерации о персональных данных.</w:t>
      </w:r>
    </w:p>
    <w:p w14:paraId="52C93874" w14:textId="77777777" w:rsidR="002449C2" w:rsidRDefault="002449C2">
      <w:pPr>
        <w:shd w:val="clear" w:color="auto" w:fill="FFFFFF"/>
        <w:tabs>
          <w:tab w:val="left" w:pos="142"/>
        </w:tabs>
        <w:spacing w:after="0" w:line="240" w:lineRule="auto"/>
        <w:ind w:firstLine="567"/>
        <w:jc w:val="both"/>
        <w:rPr>
          <w:rFonts w:ascii="Times New Roman" w:hAnsi="Times New Roman"/>
          <w:b/>
          <w:bCs/>
          <w:sz w:val="26"/>
          <w:szCs w:val="26"/>
        </w:rPr>
      </w:pPr>
    </w:p>
    <w:p w14:paraId="0C87A5AB" w14:textId="77777777" w:rsidR="002449C2" w:rsidRDefault="00123961">
      <w:pPr>
        <w:shd w:val="clear" w:color="auto" w:fill="FFFFFF"/>
        <w:tabs>
          <w:tab w:val="left" w:pos="142"/>
        </w:tabs>
        <w:spacing w:after="0" w:line="240" w:lineRule="auto"/>
        <w:ind w:firstLine="567"/>
        <w:jc w:val="both"/>
        <w:rPr>
          <w:rFonts w:ascii="Times New Roman" w:hAnsi="Times New Roman"/>
          <w:b/>
          <w:bCs/>
          <w:sz w:val="26"/>
          <w:szCs w:val="26"/>
        </w:rPr>
      </w:pPr>
      <w:r>
        <w:rPr>
          <w:rFonts w:ascii="Times New Roman" w:hAnsi="Times New Roman"/>
          <w:b/>
          <w:bCs/>
          <w:sz w:val="26"/>
          <w:szCs w:val="26"/>
        </w:rPr>
        <w:t>Заявление об ограничении ответственности</w:t>
      </w:r>
    </w:p>
    <w:p w14:paraId="4AEB3756"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Отчет содержит определенные прогнозные заявления в отношении хозяйственной деятельности, экономических показателей и финансового состояния Компании, ее планов, проектов и ожидаемых результатов. Также в Отчете могут содержаться оценки тенденций в отношении изменения цен на услуги/продукцию, объемов производства и потребления, издержек, предполагаемых расходов, перспектив развития и иных аналогичных факторов и прогнозы в отношении развития отрасли и рынков, сроков начала и окончания отдельных проектов по ведению деятельности Компании.</w:t>
      </w:r>
    </w:p>
    <w:p w14:paraId="3CB6AA25"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Компания не утверждает и не гарантирует, что результаты деятельности, обозначенные в прогнозных заявлениях, будут достигнуты. Россети Юг не несет какой-либо ответственности за убытки, которые могут понести физические или юридические лица, действовавшие, полагаясь на прогнозные заявления. Такие прогнозные заявления в каждом конкретном случае представляют собой лишь один из многих вариантов развития событий и не должны рассматриваться как наиболее вероятные.</w:t>
      </w:r>
    </w:p>
    <w:p w14:paraId="46AA275B" w14:textId="77777777" w:rsidR="002449C2" w:rsidRDefault="00123961">
      <w:pPr>
        <w:keepNext/>
        <w:pBdr>
          <w:bottom w:val="single" w:sz="4" w:space="1" w:color="622423"/>
        </w:pBdr>
        <w:spacing w:line="252" w:lineRule="auto"/>
        <w:jc w:val="center"/>
        <w:outlineLvl w:val="1"/>
        <w:rPr>
          <w:rFonts w:ascii="Times New Roman" w:eastAsia="Times New Roman" w:hAnsi="Times New Roman"/>
          <w:caps/>
          <w:color w:val="632423"/>
          <w:spacing w:val="15"/>
          <w:sz w:val="26"/>
          <w:szCs w:val="26"/>
          <w:lang w:eastAsia="en-US" w:bidi="en-US"/>
        </w:rPr>
      </w:pPr>
      <w:bookmarkStart w:id="9" w:name="_Toc195174908"/>
      <w:bookmarkStart w:id="10" w:name="_Toc196143000"/>
      <w:r>
        <w:rPr>
          <w:rFonts w:ascii="Times New Roman" w:eastAsia="Times New Roman" w:hAnsi="Times New Roman"/>
          <w:caps/>
          <w:color w:val="632423"/>
          <w:spacing w:val="15"/>
          <w:sz w:val="26"/>
          <w:szCs w:val="26"/>
          <w:lang w:eastAsia="en-US" w:bidi="en-US"/>
        </w:rPr>
        <w:t>ОбращениЕ Председателя Совета директоров                      ПАО «Россети Юг»</w:t>
      </w:r>
      <w:r>
        <w:rPr>
          <w:rFonts w:ascii="Times New Roman" w:hAnsi="Times New Roman"/>
          <w:sz w:val="26"/>
          <w:szCs w:val="26"/>
        </w:rPr>
        <w:t xml:space="preserve"> </w:t>
      </w:r>
      <w:r>
        <w:rPr>
          <w:rFonts w:ascii="Times New Roman" w:eastAsia="Times New Roman" w:hAnsi="Times New Roman"/>
          <w:caps/>
          <w:color w:val="632423"/>
          <w:spacing w:val="15"/>
          <w:sz w:val="26"/>
          <w:szCs w:val="26"/>
          <w:lang w:eastAsia="en-US" w:bidi="en-US"/>
        </w:rPr>
        <w:t>Д.В. Краинского</w:t>
      </w:r>
      <w:bookmarkEnd w:id="9"/>
      <w:bookmarkEnd w:id="10"/>
    </w:p>
    <w:p w14:paraId="08B4A6B4" w14:textId="77777777" w:rsidR="002449C2" w:rsidRDefault="00123961">
      <w:pPr>
        <w:tabs>
          <w:tab w:val="left" w:pos="142"/>
        </w:tabs>
        <w:spacing w:after="0" w:line="240" w:lineRule="auto"/>
        <w:ind w:firstLine="567"/>
        <w:jc w:val="both"/>
        <w:rPr>
          <w:rFonts w:ascii="Times New Roman" w:eastAsia="Times New Roman" w:hAnsi="Times New Roman"/>
          <w:color w:val="767171"/>
          <w:sz w:val="26"/>
          <w:szCs w:val="26"/>
          <w:lang w:eastAsia="ru-RU"/>
        </w:rPr>
      </w:pPr>
      <w:r>
        <w:rPr>
          <w:rFonts w:ascii="Times New Roman" w:eastAsia="Times New Roman" w:hAnsi="Times New Roman"/>
          <w:color w:val="767171"/>
          <w:sz w:val="26"/>
          <w:szCs w:val="26"/>
          <w:lang w:eastAsia="ru-RU"/>
        </w:rPr>
        <w:t xml:space="preserve">GRI 2-22 </w:t>
      </w:r>
    </w:p>
    <w:p w14:paraId="156BF64C" w14:textId="77777777" w:rsidR="002449C2" w:rsidRDefault="00123961">
      <w:pPr>
        <w:tabs>
          <w:tab w:val="left" w:pos="142"/>
        </w:tabs>
        <w:spacing w:after="0" w:line="240" w:lineRule="auto"/>
        <w:ind w:firstLine="567"/>
        <w:jc w:val="both"/>
        <w:rPr>
          <w:rFonts w:ascii="Times New Roman" w:eastAsia="Times New Roman" w:hAnsi="Times New Roman"/>
          <w:color w:val="767171"/>
          <w:sz w:val="26"/>
          <w:szCs w:val="26"/>
          <w:lang w:eastAsia="ru-RU"/>
        </w:rPr>
      </w:pPr>
      <w:r>
        <w:rPr>
          <w:rFonts w:ascii="Times New Roman" w:eastAsia="Times New Roman" w:hAnsi="Times New Roman"/>
          <w:color w:val="767171"/>
          <w:sz w:val="26"/>
          <w:szCs w:val="26"/>
          <w:lang w:eastAsia="ru-RU"/>
        </w:rPr>
        <w:t>GRI 203-2</w:t>
      </w:r>
    </w:p>
    <w:p w14:paraId="69D49035" w14:textId="77777777" w:rsidR="002449C2" w:rsidRDefault="00123961">
      <w:pPr>
        <w:suppressAutoHyphens w:val="0"/>
        <w:spacing w:after="120" w:line="240" w:lineRule="auto"/>
        <w:rPr>
          <w:rFonts w:ascii="Times New Roman" w:hAnsi="Times New Roman"/>
          <w:b/>
          <w:sz w:val="26"/>
          <w:szCs w:val="26"/>
          <w:lang w:eastAsia="en-US"/>
        </w:rPr>
      </w:pPr>
      <w:r>
        <w:rPr>
          <w:rFonts w:ascii="Times New Roman" w:hAnsi="Times New Roman"/>
          <w:b/>
          <w:sz w:val="26"/>
          <w:szCs w:val="26"/>
          <w:lang w:eastAsia="en-US"/>
        </w:rPr>
        <w:t>Уважаемые акционеры, инвесторы, коллеги!</w:t>
      </w:r>
    </w:p>
    <w:p w14:paraId="1AAD2FDA" w14:textId="77777777" w:rsidR="002449C2" w:rsidRDefault="00123961">
      <w:pPr>
        <w:suppressAutoHyphens w:val="0"/>
        <w:spacing w:after="120" w:line="240" w:lineRule="auto"/>
        <w:ind w:firstLine="851"/>
        <w:jc w:val="both"/>
        <w:rPr>
          <w:rFonts w:ascii="Times New Roman" w:hAnsi="Times New Roman"/>
          <w:sz w:val="26"/>
          <w:szCs w:val="26"/>
          <w:lang w:eastAsia="en-US"/>
        </w:rPr>
      </w:pPr>
      <w:r>
        <w:rPr>
          <w:rFonts w:ascii="Times New Roman" w:hAnsi="Times New Roman"/>
          <w:sz w:val="26"/>
          <w:szCs w:val="26"/>
          <w:lang w:eastAsia="en-US"/>
        </w:rPr>
        <w:t>Опыт и высокая квалификация менеджмента «Россети Юг» позволили эффективно справиться с решением поставленных задач, продолжить ввод и модернизацию энергообъектов, реализовать стратегически важные мероприятия по укреплению энергетической безопасности южных регионов страны.</w:t>
      </w:r>
    </w:p>
    <w:p w14:paraId="01117592" w14:textId="77777777" w:rsidR="002449C2" w:rsidRDefault="00123961">
      <w:pPr>
        <w:suppressAutoHyphens w:val="0"/>
        <w:spacing w:after="120" w:line="240" w:lineRule="auto"/>
        <w:ind w:firstLine="851"/>
        <w:jc w:val="both"/>
        <w:rPr>
          <w:rFonts w:ascii="Times New Roman" w:hAnsi="Times New Roman"/>
          <w:sz w:val="26"/>
          <w:szCs w:val="26"/>
          <w:lang w:eastAsia="en-US"/>
        </w:rPr>
      </w:pPr>
      <w:r>
        <w:rPr>
          <w:rFonts w:ascii="Times New Roman" w:hAnsi="Times New Roman"/>
          <w:sz w:val="26"/>
          <w:szCs w:val="26"/>
          <w:lang w:eastAsia="en-US"/>
        </w:rPr>
        <w:t>«Россети Юг» являются крупнейшей электросетевой организацией в макрорегионе, вносят весомый вклад в экономическое и социальное развитие четырех южных субъектов Российской Федерации: Астраханской, Волгоградской, Ростовской областей и Республики Калмыкия.</w:t>
      </w:r>
    </w:p>
    <w:p w14:paraId="15D81E6F" w14:textId="77777777" w:rsidR="002449C2" w:rsidRDefault="00123961">
      <w:pPr>
        <w:suppressAutoHyphens w:val="0"/>
        <w:spacing w:after="120" w:line="240" w:lineRule="auto"/>
        <w:ind w:firstLine="851"/>
        <w:jc w:val="both"/>
        <w:rPr>
          <w:rFonts w:ascii="Times New Roman" w:hAnsi="Times New Roman"/>
          <w:sz w:val="26"/>
          <w:szCs w:val="26"/>
          <w:lang w:eastAsia="en-US"/>
        </w:rPr>
      </w:pPr>
      <w:r>
        <w:rPr>
          <w:rFonts w:ascii="Times New Roman" w:hAnsi="Times New Roman"/>
          <w:sz w:val="26"/>
          <w:szCs w:val="26"/>
          <w:lang w:eastAsia="en-US"/>
        </w:rPr>
        <w:t>Ключевым событием 2024 года стало присвоение «Россети Юг» статуса системообразующей территориальной сетевой организации, что позволит Компании эффективно проводить единую техническую политику в регионах присутствия и продолжить работу по консолидации электросетевых активов.</w:t>
      </w:r>
    </w:p>
    <w:p w14:paraId="1F144B3D" w14:textId="77777777" w:rsidR="002449C2" w:rsidRDefault="002449C2">
      <w:pPr>
        <w:suppressAutoHyphens w:val="0"/>
        <w:spacing w:after="120" w:line="240" w:lineRule="auto"/>
        <w:ind w:firstLine="851"/>
        <w:jc w:val="both"/>
        <w:rPr>
          <w:rFonts w:ascii="Times New Roman" w:hAnsi="Times New Roman"/>
          <w:sz w:val="26"/>
          <w:szCs w:val="26"/>
          <w:lang w:eastAsia="en-US"/>
        </w:rPr>
      </w:pPr>
    </w:p>
    <w:p w14:paraId="68972A01" w14:textId="77777777" w:rsidR="002449C2" w:rsidRDefault="00123961">
      <w:pPr>
        <w:suppressAutoHyphens w:val="0"/>
        <w:spacing w:after="120" w:line="240" w:lineRule="auto"/>
        <w:ind w:firstLine="851"/>
        <w:jc w:val="both"/>
        <w:rPr>
          <w:rFonts w:ascii="Times New Roman" w:hAnsi="Times New Roman"/>
          <w:b/>
          <w:sz w:val="26"/>
          <w:szCs w:val="26"/>
          <w:lang w:eastAsia="en-US"/>
        </w:rPr>
      </w:pPr>
      <w:r>
        <w:rPr>
          <w:rFonts w:ascii="Times New Roman" w:hAnsi="Times New Roman"/>
          <w:b/>
          <w:sz w:val="26"/>
          <w:szCs w:val="26"/>
          <w:lang w:eastAsia="en-US"/>
        </w:rPr>
        <w:t>Стратегические цели</w:t>
      </w:r>
    </w:p>
    <w:p w14:paraId="0A334B76" w14:textId="77777777" w:rsidR="002449C2" w:rsidRDefault="00123961">
      <w:pPr>
        <w:suppressAutoHyphens w:val="0"/>
        <w:spacing w:after="120" w:line="240" w:lineRule="auto"/>
        <w:ind w:firstLine="851"/>
        <w:jc w:val="both"/>
        <w:rPr>
          <w:rFonts w:ascii="Times New Roman" w:hAnsi="Times New Roman"/>
          <w:sz w:val="26"/>
          <w:szCs w:val="26"/>
          <w:lang w:eastAsia="en-US"/>
        </w:rPr>
      </w:pPr>
      <w:r>
        <w:rPr>
          <w:rFonts w:ascii="Times New Roman" w:hAnsi="Times New Roman"/>
          <w:sz w:val="26"/>
          <w:szCs w:val="26"/>
          <w:lang w:eastAsia="en-US"/>
        </w:rPr>
        <w:t>Несмотря на сложности, обусловленные внешними вызовами, «Россети Юг» продемонстрировали стабильную работу. Благодаря высокому уровню компетенций, ответственной и профессиональной команде специалистов, менеджмент осуществлял эффективное управление экономическими рисками. Компания обеспечила выполнение показателей уровня надежности и качества оказываемых услуг.</w:t>
      </w:r>
    </w:p>
    <w:p w14:paraId="6CE296A0" w14:textId="77777777" w:rsidR="002449C2" w:rsidRDefault="00123961">
      <w:pPr>
        <w:suppressAutoHyphens w:val="0"/>
        <w:spacing w:after="120" w:line="240" w:lineRule="auto"/>
        <w:ind w:firstLine="851"/>
        <w:jc w:val="both"/>
        <w:rPr>
          <w:rFonts w:ascii="Times New Roman" w:hAnsi="Times New Roman"/>
          <w:sz w:val="26"/>
          <w:szCs w:val="26"/>
          <w:lang w:eastAsia="en-US"/>
        </w:rPr>
      </w:pPr>
      <w:r>
        <w:rPr>
          <w:rFonts w:ascii="Times New Roman" w:hAnsi="Times New Roman"/>
          <w:sz w:val="26"/>
          <w:szCs w:val="26"/>
          <w:lang w:eastAsia="en-US"/>
        </w:rPr>
        <w:t>Особое внимание уделялось достижению стратегических целей и решению приоритетных задач: технологическому и инновационному развитию, обеспечению комплексной безопасности, оптимизации логистической системы материально-технического обеспечения и централизации закупочной деятельности, сокращению потерь электроэнергии, развитию кадрового потенциала и повышению производительности труда.</w:t>
      </w:r>
    </w:p>
    <w:p w14:paraId="4BB97122" w14:textId="77777777" w:rsidR="002449C2" w:rsidRDefault="002449C2">
      <w:pPr>
        <w:suppressAutoHyphens w:val="0"/>
        <w:spacing w:after="120" w:line="240" w:lineRule="auto"/>
        <w:ind w:firstLine="851"/>
        <w:jc w:val="both"/>
        <w:rPr>
          <w:rFonts w:ascii="Times New Roman" w:hAnsi="Times New Roman"/>
          <w:sz w:val="26"/>
          <w:szCs w:val="26"/>
          <w:lang w:eastAsia="en-US"/>
        </w:rPr>
      </w:pPr>
    </w:p>
    <w:p w14:paraId="24360CAE" w14:textId="77777777" w:rsidR="002449C2" w:rsidRDefault="00123961">
      <w:pPr>
        <w:suppressAutoHyphens w:val="0"/>
        <w:spacing w:after="120" w:line="240" w:lineRule="auto"/>
        <w:ind w:firstLine="851"/>
        <w:jc w:val="both"/>
        <w:rPr>
          <w:rFonts w:ascii="Times New Roman" w:hAnsi="Times New Roman"/>
          <w:b/>
          <w:sz w:val="26"/>
          <w:szCs w:val="26"/>
          <w:lang w:eastAsia="en-US"/>
        </w:rPr>
      </w:pPr>
      <w:r>
        <w:rPr>
          <w:rFonts w:ascii="Times New Roman" w:hAnsi="Times New Roman"/>
          <w:b/>
          <w:sz w:val="26"/>
          <w:szCs w:val="26"/>
          <w:lang w:eastAsia="en-US"/>
        </w:rPr>
        <w:t>Ключевые показатели</w:t>
      </w:r>
    </w:p>
    <w:p w14:paraId="48913532" w14:textId="77777777" w:rsidR="002449C2" w:rsidRDefault="00123961">
      <w:pPr>
        <w:suppressAutoHyphens w:val="0"/>
        <w:spacing w:after="120" w:line="240" w:lineRule="auto"/>
        <w:ind w:firstLine="851"/>
        <w:jc w:val="both"/>
        <w:rPr>
          <w:rFonts w:ascii="Times New Roman" w:hAnsi="Times New Roman"/>
          <w:sz w:val="26"/>
          <w:szCs w:val="26"/>
          <w:lang w:eastAsia="en-US"/>
        </w:rPr>
      </w:pPr>
      <w:r>
        <w:rPr>
          <w:rFonts w:ascii="Times New Roman" w:hAnsi="Times New Roman"/>
          <w:sz w:val="26"/>
          <w:szCs w:val="26"/>
          <w:lang w:eastAsia="en-US"/>
        </w:rPr>
        <w:t>В отчетном году «Россети Юг» улучшили производственные показатели и обеспечили устойчивый финансовый результат благодаря планомерной работе по повышению эффективности, которую проводит менеджмент под контролем Совета директоров. По итогам 2024 года получена чистая прибыль в размере более 7 млрд рублей.</w:t>
      </w:r>
    </w:p>
    <w:p w14:paraId="05B28BAB" w14:textId="77777777" w:rsidR="002449C2" w:rsidRDefault="00123961">
      <w:pPr>
        <w:suppressAutoHyphens w:val="0"/>
        <w:spacing w:after="120" w:line="240" w:lineRule="auto"/>
        <w:ind w:firstLine="851"/>
        <w:jc w:val="both"/>
        <w:rPr>
          <w:rFonts w:ascii="Times New Roman" w:hAnsi="Times New Roman"/>
          <w:sz w:val="26"/>
          <w:szCs w:val="26"/>
          <w:lang w:eastAsia="en-US"/>
        </w:rPr>
      </w:pPr>
      <w:r>
        <w:rPr>
          <w:rFonts w:ascii="Times New Roman" w:hAnsi="Times New Roman"/>
          <w:sz w:val="26"/>
          <w:szCs w:val="26"/>
          <w:lang w:eastAsia="en-US"/>
        </w:rPr>
        <w:t>Компания реализовала ряд проектов, способствуя росту экономического потенциала регионов. Для повышения надежности и качества электроснабжения потребителей в развитие распределительной сетевой инфраструктуры инвестировано порядка 6,6 млрд рублей.</w:t>
      </w:r>
    </w:p>
    <w:p w14:paraId="2DA4E40E" w14:textId="77777777" w:rsidR="002449C2" w:rsidRDefault="00123961">
      <w:pPr>
        <w:suppressAutoHyphens w:val="0"/>
        <w:spacing w:after="120" w:line="240" w:lineRule="auto"/>
        <w:ind w:firstLine="851"/>
        <w:jc w:val="both"/>
        <w:rPr>
          <w:rFonts w:ascii="Times New Roman" w:hAnsi="Times New Roman"/>
          <w:sz w:val="26"/>
          <w:szCs w:val="26"/>
          <w:lang w:eastAsia="en-US"/>
        </w:rPr>
      </w:pPr>
      <w:r>
        <w:rPr>
          <w:rFonts w:ascii="Times New Roman" w:hAnsi="Times New Roman"/>
          <w:sz w:val="26"/>
          <w:szCs w:val="26"/>
          <w:lang w:eastAsia="en-US"/>
        </w:rPr>
        <w:t>Значительный объем мероприятий выполнен для расширения спектра дополнительных платных сервисов, которые обеспечивают рост доходов Компании внетарифных услуг.</w:t>
      </w:r>
      <w:r>
        <w:rPr>
          <w:sz w:val="26"/>
          <w:szCs w:val="26"/>
          <w:lang w:eastAsia="en-US"/>
        </w:rPr>
        <w:t xml:space="preserve"> </w:t>
      </w:r>
      <w:r>
        <w:rPr>
          <w:rFonts w:ascii="Times New Roman" w:hAnsi="Times New Roman"/>
          <w:sz w:val="26"/>
          <w:szCs w:val="26"/>
          <w:lang w:eastAsia="en-US"/>
        </w:rPr>
        <w:t>Реализованы планы по совершенствованию клиентского сервиса и форматов обслуживания потребителей.</w:t>
      </w:r>
    </w:p>
    <w:p w14:paraId="29CDCB1F" w14:textId="77777777" w:rsidR="002449C2" w:rsidRDefault="00123961">
      <w:pPr>
        <w:suppressAutoHyphens w:val="0"/>
        <w:spacing w:after="120" w:line="240" w:lineRule="auto"/>
        <w:ind w:firstLine="851"/>
        <w:jc w:val="both"/>
        <w:rPr>
          <w:rFonts w:ascii="Times New Roman" w:hAnsi="Times New Roman"/>
          <w:b/>
          <w:sz w:val="26"/>
          <w:szCs w:val="26"/>
          <w:lang w:eastAsia="en-US"/>
        </w:rPr>
      </w:pPr>
      <w:r>
        <w:rPr>
          <w:rFonts w:ascii="Times New Roman" w:hAnsi="Times New Roman"/>
          <w:b/>
          <w:sz w:val="26"/>
          <w:szCs w:val="26"/>
          <w:lang w:eastAsia="en-US"/>
        </w:rPr>
        <w:t>Эффективное управление</w:t>
      </w:r>
    </w:p>
    <w:p w14:paraId="56F63C87" w14:textId="77777777" w:rsidR="002449C2" w:rsidRDefault="00123961">
      <w:pPr>
        <w:suppressAutoHyphens w:val="0"/>
        <w:spacing w:after="120" w:line="240" w:lineRule="auto"/>
        <w:ind w:firstLine="851"/>
        <w:jc w:val="both"/>
        <w:rPr>
          <w:rFonts w:ascii="Times New Roman" w:hAnsi="Times New Roman"/>
          <w:sz w:val="26"/>
          <w:szCs w:val="26"/>
          <w:lang w:eastAsia="en-US"/>
        </w:rPr>
      </w:pPr>
      <w:r>
        <w:rPr>
          <w:rFonts w:ascii="Times New Roman" w:hAnsi="Times New Roman"/>
          <w:sz w:val="26"/>
          <w:szCs w:val="26"/>
          <w:lang w:eastAsia="en-US"/>
        </w:rPr>
        <w:t>Ключевую роль в деятельности «Россети Юг» и его стратегическом развитии играет Совет директоров, работа которого в отчетном периоде проводилась в конструктивном взаимодействии всех акционеров Компании и их представителей.</w:t>
      </w:r>
    </w:p>
    <w:p w14:paraId="3F7CDFD5" w14:textId="77777777" w:rsidR="002449C2" w:rsidRDefault="00123961">
      <w:pPr>
        <w:suppressAutoHyphens w:val="0"/>
        <w:spacing w:after="120" w:line="240" w:lineRule="auto"/>
        <w:ind w:firstLine="851"/>
        <w:jc w:val="both"/>
        <w:rPr>
          <w:rFonts w:ascii="Times New Roman" w:hAnsi="Times New Roman"/>
          <w:sz w:val="26"/>
          <w:szCs w:val="26"/>
          <w:lang w:eastAsia="en-US"/>
        </w:rPr>
      </w:pPr>
      <w:r>
        <w:rPr>
          <w:rFonts w:ascii="Times New Roman" w:hAnsi="Times New Roman"/>
          <w:sz w:val="26"/>
          <w:szCs w:val="26"/>
          <w:lang w:eastAsia="en-US"/>
        </w:rPr>
        <w:t>В 2024 году проведено 40 заседаний Совета директоров, на которых рассмотрены около 200 вопросов. Среди важных решений – утверждение внутренних документов: «Экологическая политика» и «Политика антимонопольного комплаенса», актуализация Программы модернизации (реновации) электросетевых объектов и Дорожная карта по развитию дополнительных (нетарифных) услуг. В новых редакциях утверждены Положения о Комитете по кадрам и вознаграждениям, Комитете по надежности Совета директоров, а также Положение о корпоративной поддержке работников филиалов ПАО «Россети Юг» в улучшении жилищных условий и другие.</w:t>
      </w:r>
    </w:p>
    <w:p w14:paraId="34A3D196" w14:textId="77777777" w:rsidR="002449C2" w:rsidRDefault="002449C2">
      <w:pPr>
        <w:suppressAutoHyphens w:val="0"/>
        <w:spacing w:after="120" w:line="240" w:lineRule="auto"/>
        <w:ind w:firstLine="851"/>
        <w:jc w:val="both"/>
        <w:rPr>
          <w:rFonts w:ascii="Times New Roman" w:hAnsi="Times New Roman"/>
          <w:sz w:val="26"/>
          <w:szCs w:val="26"/>
          <w:lang w:eastAsia="en-US"/>
        </w:rPr>
      </w:pPr>
    </w:p>
    <w:p w14:paraId="0BAC2DDA" w14:textId="77777777" w:rsidR="002449C2" w:rsidRDefault="00123961">
      <w:pPr>
        <w:suppressAutoHyphens w:val="0"/>
        <w:spacing w:after="120" w:line="240" w:lineRule="auto"/>
        <w:ind w:firstLine="851"/>
        <w:jc w:val="both"/>
        <w:rPr>
          <w:rFonts w:ascii="Times New Roman" w:hAnsi="Times New Roman"/>
          <w:b/>
          <w:sz w:val="26"/>
          <w:szCs w:val="26"/>
          <w:lang w:eastAsia="en-US"/>
        </w:rPr>
      </w:pPr>
      <w:r>
        <w:rPr>
          <w:rFonts w:ascii="Times New Roman" w:hAnsi="Times New Roman"/>
          <w:b/>
          <w:sz w:val="26"/>
          <w:szCs w:val="26"/>
          <w:lang w:eastAsia="en-US"/>
        </w:rPr>
        <w:t>Приоритеты</w:t>
      </w:r>
    </w:p>
    <w:p w14:paraId="6767CD2C" w14:textId="77777777" w:rsidR="002449C2" w:rsidRDefault="00123961">
      <w:pPr>
        <w:suppressAutoHyphens w:val="0"/>
        <w:spacing w:after="120" w:line="240" w:lineRule="auto"/>
        <w:ind w:firstLine="851"/>
        <w:jc w:val="both"/>
        <w:rPr>
          <w:rFonts w:ascii="Times New Roman" w:hAnsi="Times New Roman"/>
          <w:sz w:val="26"/>
          <w:szCs w:val="26"/>
          <w:lang w:eastAsia="en-US"/>
        </w:rPr>
      </w:pPr>
      <w:r>
        <w:rPr>
          <w:rFonts w:ascii="Times New Roman" w:hAnsi="Times New Roman"/>
          <w:sz w:val="26"/>
          <w:szCs w:val="26"/>
          <w:lang w:eastAsia="en-US"/>
        </w:rPr>
        <w:t>Стабильные финансово-экономические показатели, существенный технический потенциал, а также высокая квалификация менеджмента и передовые профессиональные практики свидетельствует о стабильном развитии. Компания нацелена на формирование долгосрочных, партнерских и доверительных отношений с заинтересованными сторонами. Результаты прошедшего года закладывают прочный фундамент для дальнейшей успешной работы и реализации стратегических планов.</w:t>
      </w:r>
    </w:p>
    <w:p w14:paraId="14370E0B" w14:textId="77777777" w:rsidR="002449C2" w:rsidRDefault="00123961">
      <w:pPr>
        <w:suppressAutoHyphens w:val="0"/>
        <w:spacing w:after="120" w:line="240" w:lineRule="auto"/>
        <w:ind w:firstLine="851"/>
        <w:jc w:val="both"/>
        <w:rPr>
          <w:rFonts w:ascii="Times New Roman" w:hAnsi="Times New Roman"/>
          <w:sz w:val="26"/>
          <w:szCs w:val="26"/>
          <w:lang w:eastAsia="en-US"/>
        </w:rPr>
      </w:pPr>
      <w:r>
        <w:rPr>
          <w:rFonts w:ascii="Times New Roman" w:hAnsi="Times New Roman"/>
          <w:sz w:val="26"/>
          <w:szCs w:val="26"/>
          <w:lang w:eastAsia="en-US"/>
        </w:rPr>
        <w:t>Приоритеты «Россети Юг» остаются неизменными: надежное и качественное электроснабжение потребителей, достижение ключевых показателей, информационная прозрачность, обеспечение высокого уровня организационной, операционной, инвестиционной эффективности, содействие развитию регионов присутствия.</w:t>
      </w:r>
    </w:p>
    <w:p w14:paraId="1F22758B" w14:textId="77777777" w:rsidR="002449C2" w:rsidRDefault="002449C2">
      <w:pPr>
        <w:spacing w:after="0" w:line="240" w:lineRule="auto"/>
        <w:jc w:val="both"/>
        <w:rPr>
          <w:rFonts w:ascii="Times New Roman" w:hAnsi="Times New Roman"/>
          <w:sz w:val="26"/>
          <w:szCs w:val="26"/>
          <w:lang w:eastAsia="en-US"/>
        </w:rPr>
      </w:pPr>
    </w:p>
    <w:p w14:paraId="08041C28" w14:textId="77777777" w:rsidR="002449C2" w:rsidRDefault="002449C2">
      <w:pPr>
        <w:spacing w:after="0" w:line="240" w:lineRule="auto"/>
        <w:jc w:val="both"/>
        <w:rPr>
          <w:rFonts w:ascii="Times New Roman" w:hAnsi="Times New Roman"/>
          <w:sz w:val="24"/>
          <w:szCs w:val="24"/>
          <w:lang w:eastAsia="en-US"/>
        </w:rPr>
      </w:pPr>
    </w:p>
    <w:p w14:paraId="20B8E906" w14:textId="77777777" w:rsidR="002449C2" w:rsidRDefault="00123961">
      <w:pPr>
        <w:spacing w:after="0" w:line="240" w:lineRule="auto"/>
        <w:jc w:val="both"/>
        <w:rPr>
          <w:rFonts w:ascii="Times New Roman" w:hAnsi="Times New Roman"/>
          <w:sz w:val="26"/>
          <w:szCs w:val="26"/>
          <w:lang w:eastAsia="en-US"/>
        </w:rPr>
      </w:pPr>
      <w:r>
        <w:rPr>
          <w:rFonts w:ascii="Times New Roman" w:hAnsi="Times New Roman"/>
          <w:sz w:val="26"/>
          <w:szCs w:val="26"/>
          <w:lang w:eastAsia="en-US"/>
        </w:rPr>
        <w:t>Краинский Даниил Владимирович</w:t>
      </w:r>
    </w:p>
    <w:p w14:paraId="70D05163" w14:textId="77777777" w:rsidR="002449C2" w:rsidRDefault="00123961">
      <w:pPr>
        <w:spacing w:after="0" w:line="240" w:lineRule="auto"/>
        <w:jc w:val="both"/>
        <w:rPr>
          <w:rFonts w:ascii="Times New Roman" w:hAnsi="Times New Roman"/>
          <w:sz w:val="26"/>
          <w:szCs w:val="26"/>
          <w:lang w:eastAsia="en-US"/>
        </w:rPr>
      </w:pPr>
      <w:r>
        <w:rPr>
          <w:rFonts w:ascii="Times New Roman" w:hAnsi="Times New Roman"/>
          <w:sz w:val="26"/>
          <w:szCs w:val="26"/>
          <w:lang w:eastAsia="en-US"/>
        </w:rPr>
        <w:t>Председатель Совета директоров ПАО «Россети Юг»</w:t>
      </w:r>
    </w:p>
    <w:p w14:paraId="02CF2460" w14:textId="77777777" w:rsidR="002449C2" w:rsidRDefault="002449C2">
      <w:pPr>
        <w:spacing w:after="0" w:line="259" w:lineRule="auto"/>
        <w:ind w:firstLine="709"/>
        <w:jc w:val="both"/>
        <w:rPr>
          <w:rFonts w:ascii="Times New Roman" w:hAnsi="Times New Roman"/>
          <w:sz w:val="26"/>
          <w:szCs w:val="26"/>
          <w:lang w:eastAsia="en-US"/>
        </w:rPr>
      </w:pPr>
    </w:p>
    <w:p w14:paraId="5FB32F72" w14:textId="77777777" w:rsidR="002449C2" w:rsidRDefault="002449C2">
      <w:pPr>
        <w:spacing w:after="0" w:line="259" w:lineRule="auto"/>
        <w:ind w:firstLine="709"/>
        <w:jc w:val="both"/>
        <w:rPr>
          <w:rFonts w:ascii="Times New Roman" w:hAnsi="Times New Roman"/>
          <w:sz w:val="26"/>
          <w:szCs w:val="26"/>
          <w:lang w:eastAsia="en-US"/>
        </w:rPr>
      </w:pPr>
    </w:p>
    <w:p w14:paraId="78300792" w14:textId="77777777" w:rsidR="002449C2" w:rsidRDefault="00123961">
      <w:pPr>
        <w:spacing w:after="0" w:line="259" w:lineRule="auto"/>
        <w:ind w:firstLine="709"/>
        <w:jc w:val="both"/>
        <w:rPr>
          <w:rFonts w:ascii="Times New Roman" w:hAnsi="Times New Roman"/>
          <w:sz w:val="26"/>
          <w:szCs w:val="26"/>
          <w:lang w:eastAsia="en-US"/>
        </w:rPr>
      </w:pPr>
      <w:r>
        <w:br w:type="page"/>
      </w:r>
    </w:p>
    <w:p w14:paraId="659F771B" w14:textId="77777777" w:rsidR="002449C2" w:rsidRDefault="00123961">
      <w:pPr>
        <w:keepNext/>
        <w:pBdr>
          <w:bottom w:val="single" w:sz="4" w:space="1" w:color="622423"/>
        </w:pBdr>
        <w:spacing w:line="252" w:lineRule="auto"/>
        <w:jc w:val="center"/>
        <w:outlineLvl w:val="1"/>
        <w:rPr>
          <w:rFonts w:ascii="Times New Roman" w:eastAsia="Times New Roman" w:hAnsi="Times New Roman"/>
          <w:caps/>
          <w:color w:val="632423"/>
          <w:spacing w:val="15"/>
          <w:sz w:val="26"/>
          <w:szCs w:val="26"/>
          <w:lang w:eastAsia="en-US" w:bidi="en-US"/>
        </w:rPr>
      </w:pPr>
      <w:bookmarkStart w:id="11" w:name="_Toc195174909"/>
      <w:bookmarkStart w:id="12" w:name="_Toc196143001"/>
      <w:r>
        <w:rPr>
          <w:rFonts w:ascii="Times New Roman" w:eastAsia="Times New Roman" w:hAnsi="Times New Roman"/>
          <w:caps/>
          <w:color w:val="632423"/>
          <w:spacing w:val="15"/>
          <w:sz w:val="26"/>
          <w:szCs w:val="26"/>
          <w:lang w:eastAsia="en-US" w:bidi="en-US"/>
        </w:rPr>
        <w:t xml:space="preserve">ОбращениЕ Председателя </w:t>
      </w:r>
      <w:proofErr w:type="gramStart"/>
      <w:r>
        <w:rPr>
          <w:rFonts w:ascii="Times New Roman" w:eastAsia="Times New Roman" w:hAnsi="Times New Roman"/>
          <w:caps/>
          <w:color w:val="632423"/>
          <w:spacing w:val="15"/>
          <w:sz w:val="26"/>
          <w:szCs w:val="26"/>
          <w:lang w:eastAsia="en-US" w:bidi="en-US"/>
        </w:rPr>
        <w:t xml:space="preserve">Правления,   </w:t>
      </w:r>
      <w:proofErr w:type="gramEnd"/>
      <w:r>
        <w:rPr>
          <w:rFonts w:ascii="Times New Roman" w:eastAsia="Times New Roman" w:hAnsi="Times New Roman"/>
          <w:caps/>
          <w:color w:val="632423"/>
          <w:spacing w:val="15"/>
          <w:sz w:val="26"/>
          <w:szCs w:val="26"/>
          <w:lang w:eastAsia="en-US" w:bidi="en-US"/>
        </w:rPr>
        <w:t xml:space="preserve">               Генерального директора ПАО «Россети Юг»</w:t>
      </w:r>
      <w:r>
        <w:rPr>
          <w:rFonts w:ascii="Times New Roman" w:hAnsi="Times New Roman"/>
          <w:sz w:val="26"/>
          <w:szCs w:val="26"/>
          <w:lang w:eastAsia="en-US"/>
        </w:rPr>
        <w:t xml:space="preserve"> </w:t>
      </w:r>
      <w:r>
        <w:rPr>
          <w:rFonts w:ascii="Times New Roman" w:eastAsia="Times New Roman" w:hAnsi="Times New Roman"/>
          <w:caps/>
          <w:color w:val="632423"/>
          <w:spacing w:val="15"/>
          <w:sz w:val="26"/>
          <w:szCs w:val="26"/>
          <w:lang w:eastAsia="en-US" w:bidi="en-US"/>
        </w:rPr>
        <w:t>А.А. РЫБИНА</w:t>
      </w:r>
      <w:bookmarkEnd w:id="8"/>
      <w:bookmarkEnd w:id="11"/>
      <w:bookmarkEnd w:id="12"/>
    </w:p>
    <w:p w14:paraId="31A92572" w14:textId="77777777" w:rsidR="002449C2" w:rsidRDefault="00123961">
      <w:pPr>
        <w:tabs>
          <w:tab w:val="left" w:pos="142"/>
        </w:tabs>
        <w:spacing w:after="0" w:line="240" w:lineRule="auto"/>
        <w:ind w:firstLine="567"/>
        <w:jc w:val="both"/>
        <w:rPr>
          <w:rFonts w:ascii="Times New Roman" w:eastAsia="Times New Roman" w:hAnsi="Times New Roman"/>
          <w:color w:val="767171"/>
          <w:sz w:val="26"/>
          <w:szCs w:val="26"/>
          <w:lang w:eastAsia="ru-RU"/>
        </w:rPr>
      </w:pPr>
      <w:r>
        <w:rPr>
          <w:rFonts w:ascii="Times New Roman" w:eastAsia="Times New Roman" w:hAnsi="Times New Roman"/>
          <w:color w:val="767171"/>
          <w:sz w:val="26"/>
          <w:szCs w:val="26"/>
          <w:lang w:eastAsia="ru-RU"/>
        </w:rPr>
        <w:t xml:space="preserve">GRI 2-22 </w:t>
      </w:r>
    </w:p>
    <w:p w14:paraId="410E49B3" w14:textId="77777777" w:rsidR="002449C2" w:rsidRDefault="00123961">
      <w:pPr>
        <w:tabs>
          <w:tab w:val="left" w:pos="142"/>
        </w:tabs>
        <w:spacing w:after="0" w:line="240" w:lineRule="auto"/>
        <w:ind w:firstLine="567"/>
        <w:jc w:val="both"/>
        <w:rPr>
          <w:rFonts w:ascii="Times New Roman" w:eastAsia="Times New Roman" w:hAnsi="Times New Roman"/>
          <w:color w:val="767171"/>
          <w:sz w:val="26"/>
          <w:szCs w:val="26"/>
          <w:lang w:eastAsia="ru-RU"/>
        </w:rPr>
      </w:pPr>
      <w:r>
        <w:rPr>
          <w:rFonts w:ascii="Times New Roman" w:eastAsia="Times New Roman" w:hAnsi="Times New Roman"/>
          <w:color w:val="767171"/>
          <w:sz w:val="26"/>
          <w:szCs w:val="26"/>
          <w:lang w:eastAsia="ru-RU"/>
        </w:rPr>
        <w:t>GRI 203-2</w:t>
      </w:r>
    </w:p>
    <w:p w14:paraId="5C2E3636" w14:textId="77777777" w:rsidR="002449C2" w:rsidRDefault="00123961">
      <w:pPr>
        <w:suppressAutoHyphens w:val="0"/>
        <w:spacing w:after="120" w:line="240" w:lineRule="auto"/>
        <w:ind w:firstLine="709"/>
        <w:rPr>
          <w:rFonts w:ascii="Times New Roman" w:hAnsi="Times New Roman"/>
          <w:b/>
          <w:sz w:val="26"/>
          <w:szCs w:val="26"/>
          <w:lang w:eastAsia="en-US"/>
        </w:rPr>
      </w:pPr>
      <w:r>
        <w:rPr>
          <w:rFonts w:ascii="Times New Roman" w:hAnsi="Times New Roman"/>
          <w:b/>
          <w:sz w:val="26"/>
          <w:szCs w:val="26"/>
          <w:lang w:eastAsia="en-US"/>
        </w:rPr>
        <w:t>Уважаемые акционеры, партнеры и коллеги!</w:t>
      </w:r>
    </w:p>
    <w:p w14:paraId="73E29BD1" w14:textId="77777777" w:rsidR="002449C2" w:rsidRDefault="00123961">
      <w:pPr>
        <w:suppressAutoHyphens w:val="0"/>
        <w:spacing w:after="120" w:line="240" w:lineRule="auto"/>
        <w:ind w:firstLine="709"/>
        <w:jc w:val="both"/>
        <w:rPr>
          <w:rFonts w:ascii="Times New Roman" w:hAnsi="Times New Roman"/>
          <w:sz w:val="26"/>
          <w:szCs w:val="26"/>
          <w:lang w:eastAsia="en-US"/>
        </w:rPr>
      </w:pPr>
      <w:r>
        <w:rPr>
          <w:rFonts w:ascii="Times New Roman" w:hAnsi="Times New Roman"/>
          <w:sz w:val="26"/>
          <w:szCs w:val="26"/>
          <w:lang w:eastAsia="en-US"/>
        </w:rPr>
        <w:t>2024 год для «Россети Юг» был успешным и эффективным. Положительные производственные результаты и планомерная работа по повышению эффективности при поддержке Совета директоров позволили добиться роста основных финансовых показателей. Компания реализовала масштабную ремонтную и инвестиционную программы, исполнила обязательства перед потребителями по технологическому присоединению, сохранила курс на дальнейшее устойчивое развитие.</w:t>
      </w:r>
    </w:p>
    <w:p w14:paraId="578097D6" w14:textId="77777777" w:rsidR="002449C2" w:rsidRDefault="002449C2">
      <w:pPr>
        <w:suppressAutoHyphens w:val="0"/>
        <w:spacing w:after="120" w:line="240" w:lineRule="auto"/>
        <w:ind w:firstLine="709"/>
        <w:jc w:val="both"/>
        <w:rPr>
          <w:rFonts w:ascii="Times New Roman" w:hAnsi="Times New Roman"/>
          <w:sz w:val="26"/>
          <w:szCs w:val="26"/>
          <w:lang w:eastAsia="en-US"/>
        </w:rPr>
      </w:pPr>
    </w:p>
    <w:p w14:paraId="7B4DD0C5" w14:textId="77777777" w:rsidR="002449C2" w:rsidRDefault="00123961">
      <w:pPr>
        <w:suppressAutoHyphens w:val="0"/>
        <w:spacing w:after="120" w:line="240" w:lineRule="auto"/>
        <w:ind w:firstLine="709"/>
        <w:jc w:val="both"/>
        <w:rPr>
          <w:rFonts w:ascii="Times New Roman" w:hAnsi="Times New Roman"/>
          <w:b/>
          <w:sz w:val="26"/>
          <w:szCs w:val="26"/>
          <w:lang w:eastAsia="en-US"/>
        </w:rPr>
      </w:pPr>
      <w:r>
        <w:rPr>
          <w:rFonts w:ascii="Times New Roman" w:hAnsi="Times New Roman"/>
          <w:b/>
          <w:sz w:val="26"/>
          <w:szCs w:val="26"/>
          <w:lang w:eastAsia="en-US"/>
        </w:rPr>
        <w:t>Инвестиции в надежность</w:t>
      </w:r>
    </w:p>
    <w:p w14:paraId="734F0236" w14:textId="77777777" w:rsidR="002449C2" w:rsidRDefault="00123961">
      <w:pPr>
        <w:suppressAutoHyphens w:val="0"/>
        <w:spacing w:after="120" w:line="240" w:lineRule="auto"/>
        <w:ind w:firstLine="709"/>
        <w:jc w:val="both"/>
        <w:rPr>
          <w:rFonts w:ascii="Times New Roman" w:hAnsi="Times New Roman"/>
          <w:sz w:val="26"/>
          <w:szCs w:val="26"/>
          <w:lang w:eastAsia="en-US"/>
        </w:rPr>
      </w:pPr>
      <w:r>
        <w:rPr>
          <w:rFonts w:ascii="Times New Roman" w:hAnsi="Times New Roman"/>
          <w:sz w:val="26"/>
          <w:szCs w:val="26"/>
          <w:lang w:eastAsia="en-US"/>
        </w:rPr>
        <w:t>«Россети Юг» как крупнейшая электросетевая компания юга России внесла большой вклад в развитие экономики и повышение надежности региональных энергосистем. Компания строит и модернизирует энергообъекты, создает новые энергетические мощности. Объем финансирования инвестиционной программы в отчетном периоде составил 6,6 млрд рублей. Более половины средств направлено на развитие инфраструктуры для подключения к сетям потребителей льготной категории. Всего введено в эксплуатацию 269 МВА мощности и построено 1,4 тыс. км новых линий электропередачи.</w:t>
      </w:r>
    </w:p>
    <w:p w14:paraId="3914BA25" w14:textId="77777777" w:rsidR="002449C2" w:rsidRDefault="00123961">
      <w:pPr>
        <w:suppressAutoHyphens w:val="0"/>
        <w:spacing w:after="12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Безусловным приоритетом для «Россети Юг» является реализация программы технического облуживания и ремонтов, своевременная подготовка к сезонам пиковых нагрузок. На эти цели в регионах присутствия направлено почти 3 млрд рублей. Физические показатели ремонтной программы выполнены более чем на 100 %. Благодаря этому, количество технологических нарушений в распределительной сети относительно 2023 года сократилось на 6 %, в сети 110 кВ и выше – на 9 %.</w:t>
      </w:r>
    </w:p>
    <w:p w14:paraId="6B35DFE7" w14:textId="77777777" w:rsidR="002449C2" w:rsidRDefault="00123961">
      <w:pPr>
        <w:suppressAutoHyphens w:val="0"/>
        <w:spacing w:after="12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Особое внимание уделялось мероприятиям по снижению потерь электроэнергии. Экономический эффект от их реализации – это средства на модернизацию и новое строительство. Компания выполнила плановый показатель по уровню потерь со значимым объемом экономии в размере 28 млн кВт*ч.</w:t>
      </w:r>
    </w:p>
    <w:p w14:paraId="0CDB7F2E" w14:textId="77777777" w:rsidR="002449C2" w:rsidRDefault="002449C2">
      <w:pPr>
        <w:suppressAutoHyphens w:val="0"/>
        <w:spacing w:after="120" w:line="240" w:lineRule="auto"/>
        <w:ind w:firstLine="709"/>
        <w:jc w:val="both"/>
        <w:rPr>
          <w:rFonts w:ascii="Times New Roman" w:hAnsi="Times New Roman"/>
          <w:b/>
          <w:sz w:val="26"/>
          <w:szCs w:val="26"/>
          <w:lang w:eastAsia="en-US"/>
        </w:rPr>
      </w:pPr>
    </w:p>
    <w:p w14:paraId="5BAACEAB" w14:textId="77777777" w:rsidR="002449C2" w:rsidRDefault="00123961">
      <w:pPr>
        <w:suppressAutoHyphens w:val="0"/>
        <w:spacing w:after="120" w:line="240" w:lineRule="auto"/>
        <w:ind w:firstLine="709"/>
        <w:jc w:val="both"/>
        <w:rPr>
          <w:rFonts w:ascii="Times New Roman" w:hAnsi="Times New Roman"/>
          <w:b/>
          <w:sz w:val="26"/>
          <w:szCs w:val="26"/>
          <w:lang w:eastAsia="en-US"/>
        </w:rPr>
      </w:pPr>
      <w:r>
        <w:rPr>
          <w:rFonts w:ascii="Times New Roman" w:hAnsi="Times New Roman"/>
          <w:b/>
          <w:sz w:val="26"/>
          <w:szCs w:val="26"/>
          <w:lang w:eastAsia="en-US"/>
        </w:rPr>
        <w:t xml:space="preserve">Развитие регионов </w:t>
      </w:r>
    </w:p>
    <w:p w14:paraId="42C7507C" w14:textId="77777777" w:rsidR="002449C2" w:rsidRDefault="00123961">
      <w:pPr>
        <w:suppressAutoHyphens w:val="0"/>
        <w:spacing w:after="12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По итогам года «Россети Юг» исполнили 16 тыс. договоров на технологическое присоединение и предоставили новым потребителям свыше 480 МВт мощности. Компания присоединила объекты социальной сферы, здравоохранения, образования, культуры, спорта, инфраструктуры, агропромышленного комплекса и бизнеса. Среди крупных предприятий, которые подключены к электросетям, «Сады Придонья» в Волгоградской области, Красинская солнечная электростанция в Калмыкии, Казачья ветроэлектростанция в Ростовской области.</w:t>
      </w:r>
    </w:p>
    <w:p w14:paraId="73678122" w14:textId="77777777" w:rsidR="002449C2" w:rsidRDefault="00123961">
      <w:pPr>
        <w:suppressAutoHyphens w:val="0"/>
        <w:spacing w:after="120" w:line="240" w:lineRule="auto"/>
        <w:ind w:firstLine="709"/>
        <w:jc w:val="both"/>
        <w:rPr>
          <w:rFonts w:ascii="Times New Roman" w:hAnsi="Times New Roman"/>
          <w:sz w:val="26"/>
          <w:szCs w:val="26"/>
          <w:lang w:eastAsia="en-US"/>
        </w:rPr>
      </w:pPr>
      <w:r>
        <w:rPr>
          <w:rFonts w:ascii="Times New Roman" w:hAnsi="Times New Roman"/>
          <w:sz w:val="26"/>
          <w:szCs w:val="26"/>
          <w:lang w:eastAsia="en-US"/>
        </w:rPr>
        <w:t>«Россети Юг» продолжили участие в реализации проектов по развитию инфраструктуры зарядных станций для электротранспорта, систем уличного освещения, подключению объектов в рамках национальных проектов «Образование», «Здравоохранение», «Жилье» и др.</w:t>
      </w:r>
    </w:p>
    <w:p w14:paraId="64D1D841" w14:textId="77777777" w:rsidR="002449C2" w:rsidRDefault="00123961">
      <w:pPr>
        <w:suppressAutoHyphens w:val="0"/>
        <w:spacing w:after="12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В статусе системообразующей территориальной сетевой организации «Россети Юг» продолжают планомерную работу по консолидации электросетевых активов. В отчетном периоде на баланс приняты 1,3 тыс. км линий электропередачи и 0,7 тыс. МВА трансформаторной мощности.</w:t>
      </w:r>
    </w:p>
    <w:p w14:paraId="61622CD3" w14:textId="77777777" w:rsidR="002449C2" w:rsidRDefault="002449C2">
      <w:pPr>
        <w:suppressAutoHyphens w:val="0"/>
        <w:spacing w:after="120" w:line="240" w:lineRule="auto"/>
        <w:ind w:firstLine="709"/>
        <w:jc w:val="both"/>
        <w:rPr>
          <w:rFonts w:ascii="Times New Roman" w:hAnsi="Times New Roman"/>
          <w:sz w:val="26"/>
          <w:szCs w:val="26"/>
          <w:lang w:eastAsia="en-US"/>
        </w:rPr>
      </w:pPr>
    </w:p>
    <w:p w14:paraId="0E5E741F" w14:textId="77777777" w:rsidR="002449C2" w:rsidRDefault="00123961">
      <w:pPr>
        <w:suppressAutoHyphens w:val="0"/>
        <w:spacing w:after="120" w:line="240" w:lineRule="auto"/>
        <w:ind w:firstLine="709"/>
        <w:jc w:val="both"/>
        <w:rPr>
          <w:rFonts w:ascii="Times New Roman" w:hAnsi="Times New Roman"/>
          <w:b/>
          <w:sz w:val="26"/>
          <w:szCs w:val="26"/>
          <w:lang w:eastAsia="en-US"/>
        </w:rPr>
      </w:pPr>
      <w:r>
        <w:rPr>
          <w:rFonts w:ascii="Times New Roman" w:hAnsi="Times New Roman"/>
          <w:b/>
          <w:sz w:val="26"/>
          <w:szCs w:val="26"/>
          <w:lang w:eastAsia="en-US"/>
        </w:rPr>
        <w:t>Социальная ответственность</w:t>
      </w:r>
    </w:p>
    <w:p w14:paraId="58997817" w14:textId="77777777" w:rsidR="002449C2" w:rsidRDefault="00123961">
      <w:pPr>
        <w:suppressAutoHyphens w:val="0"/>
        <w:spacing w:after="12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Компания продолжила взаимодействие с потребителями. В отчетном периоде обработано более 332 тыс. обращений, наибольшее количество которых связано с технологическим присоединением, предоставлением дополнительных видов услуг.</w:t>
      </w:r>
    </w:p>
    <w:p w14:paraId="12A0F85A" w14:textId="77777777" w:rsidR="002449C2" w:rsidRDefault="00123961">
      <w:pPr>
        <w:suppressAutoHyphens w:val="0"/>
        <w:spacing w:after="120" w:line="240" w:lineRule="auto"/>
        <w:ind w:firstLine="709"/>
        <w:jc w:val="both"/>
        <w:rPr>
          <w:rFonts w:ascii="Times New Roman" w:hAnsi="Times New Roman"/>
          <w:sz w:val="26"/>
          <w:szCs w:val="26"/>
          <w:lang w:eastAsia="en-US"/>
        </w:rPr>
      </w:pPr>
      <w:r>
        <w:rPr>
          <w:rFonts w:ascii="Times New Roman" w:hAnsi="Times New Roman"/>
          <w:sz w:val="26"/>
          <w:szCs w:val="26"/>
          <w:lang w:eastAsia="en-US"/>
        </w:rPr>
        <w:t>«Россети Юг», как социально ответственная организация, реализуют комплекс проектов по улучшению условий труда и обеспечению широкого спектра льгот и гарантий для сотрудников.</w:t>
      </w:r>
    </w:p>
    <w:p w14:paraId="4464610C" w14:textId="77777777" w:rsidR="002449C2" w:rsidRDefault="00123961">
      <w:pPr>
        <w:suppressAutoHyphens w:val="0"/>
        <w:spacing w:after="120" w:line="240" w:lineRule="auto"/>
        <w:ind w:firstLine="709"/>
        <w:jc w:val="both"/>
        <w:rPr>
          <w:rFonts w:ascii="Times New Roman" w:hAnsi="Times New Roman"/>
          <w:sz w:val="26"/>
          <w:szCs w:val="26"/>
          <w:lang w:eastAsia="en-US"/>
        </w:rPr>
      </w:pPr>
      <w:r>
        <w:rPr>
          <w:rFonts w:ascii="Times New Roman" w:hAnsi="Times New Roman"/>
          <w:sz w:val="26"/>
          <w:szCs w:val="26"/>
          <w:lang w:eastAsia="en-US"/>
        </w:rPr>
        <w:t xml:space="preserve">В рамках экологической политики «Россети Юг» направили на природоохранные мероприятия более 45 млн рублей. </w:t>
      </w:r>
    </w:p>
    <w:p w14:paraId="59EBE6B8" w14:textId="77777777" w:rsidR="002449C2" w:rsidRDefault="002449C2">
      <w:pPr>
        <w:suppressAutoHyphens w:val="0"/>
        <w:spacing w:after="120" w:line="240" w:lineRule="auto"/>
        <w:ind w:firstLine="709"/>
        <w:jc w:val="both"/>
        <w:rPr>
          <w:rFonts w:ascii="Times New Roman" w:hAnsi="Times New Roman"/>
          <w:sz w:val="26"/>
          <w:szCs w:val="26"/>
          <w:lang w:eastAsia="en-US"/>
        </w:rPr>
      </w:pPr>
    </w:p>
    <w:p w14:paraId="49FF071F" w14:textId="77777777" w:rsidR="002449C2" w:rsidRDefault="00123961">
      <w:pPr>
        <w:suppressAutoHyphens w:val="0"/>
        <w:spacing w:after="120" w:line="240" w:lineRule="auto"/>
        <w:ind w:firstLine="709"/>
        <w:jc w:val="both"/>
        <w:rPr>
          <w:rFonts w:ascii="Times New Roman" w:hAnsi="Times New Roman"/>
          <w:b/>
          <w:sz w:val="26"/>
          <w:szCs w:val="26"/>
          <w:lang w:eastAsia="en-US"/>
        </w:rPr>
      </w:pPr>
      <w:r>
        <w:rPr>
          <w:rFonts w:ascii="Times New Roman" w:hAnsi="Times New Roman"/>
          <w:b/>
          <w:sz w:val="26"/>
          <w:szCs w:val="26"/>
          <w:lang w:eastAsia="en-US"/>
        </w:rPr>
        <w:t>Устойчивое развитие</w:t>
      </w:r>
    </w:p>
    <w:p w14:paraId="57C107C7" w14:textId="77777777" w:rsidR="002449C2" w:rsidRDefault="00123961">
      <w:pPr>
        <w:suppressAutoHyphens w:val="0"/>
        <w:spacing w:after="12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Ключевыми перспективными задачами для «Россети Юг» остаются обеспечение надежного, бесперебойного электроснабжения потребителей, модернизация электросетевого комплекса, экономическая эффективность. Компания продолжает вносить вклад в развитие энергетики и экономику южных регионов страны.</w:t>
      </w:r>
    </w:p>
    <w:p w14:paraId="23543D21" w14:textId="77777777" w:rsidR="002449C2" w:rsidRDefault="00123961">
      <w:pPr>
        <w:suppressAutoHyphens w:val="0"/>
        <w:spacing w:after="120" w:line="240" w:lineRule="auto"/>
        <w:ind w:firstLine="709"/>
        <w:jc w:val="both"/>
        <w:rPr>
          <w:rFonts w:ascii="Times New Roman" w:hAnsi="Times New Roman"/>
          <w:sz w:val="26"/>
          <w:szCs w:val="26"/>
          <w:lang w:eastAsia="en-US"/>
        </w:rPr>
      </w:pPr>
      <w:r>
        <w:rPr>
          <w:rFonts w:ascii="Times New Roman" w:hAnsi="Times New Roman"/>
          <w:sz w:val="26"/>
          <w:szCs w:val="26"/>
          <w:lang w:eastAsia="en-US"/>
        </w:rPr>
        <w:t>У нас есть все необходимые условия и ресурсы для последовательной реализации стратегических задач с учетом потребностей всех заинтересованных сторон: акционеров, партнеров и жителей юга России.</w:t>
      </w:r>
    </w:p>
    <w:p w14:paraId="71B9DAAD" w14:textId="77777777" w:rsidR="002449C2" w:rsidRDefault="002449C2">
      <w:pPr>
        <w:suppressAutoHyphens w:val="0"/>
        <w:spacing w:after="0" w:line="240" w:lineRule="auto"/>
        <w:jc w:val="both"/>
        <w:rPr>
          <w:rFonts w:ascii="Times New Roman" w:hAnsi="Times New Roman"/>
          <w:sz w:val="26"/>
          <w:szCs w:val="26"/>
          <w:lang w:eastAsia="en-US"/>
        </w:rPr>
      </w:pPr>
    </w:p>
    <w:p w14:paraId="020707D4" w14:textId="77777777" w:rsidR="002449C2" w:rsidRDefault="002449C2">
      <w:pPr>
        <w:suppressAutoHyphens w:val="0"/>
        <w:spacing w:after="0" w:line="240" w:lineRule="auto"/>
        <w:jc w:val="both"/>
        <w:rPr>
          <w:rFonts w:ascii="Times New Roman" w:hAnsi="Times New Roman"/>
          <w:sz w:val="26"/>
          <w:szCs w:val="26"/>
          <w:lang w:eastAsia="en-US"/>
        </w:rPr>
      </w:pPr>
    </w:p>
    <w:p w14:paraId="62C3EF8F" w14:textId="77777777" w:rsidR="002449C2" w:rsidRDefault="002449C2">
      <w:pPr>
        <w:spacing w:after="0" w:line="240" w:lineRule="auto"/>
        <w:jc w:val="both"/>
        <w:rPr>
          <w:rFonts w:ascii="Times New Roman" w:hAnsi="Times New Roman"/>
          <w:sz w:val="26"/>
          <w:szCs w:val="26"/>
          <w:lang w:eastAsia="en-US"/>
        </w:rPr>
      </w:pPr>
    </w:p>
    <w:p w14:paraId="11CA2CDA" w14:textId="77777777" w:rsidR="002449C2" w:rsidRDefault="002449C2">
      <w:pPr>
        <w:spacing w:after="0" w:line="240" w:lineRule="auto"/>
        <w:ind w:firstLine="709"/>
        <w:jc w:val="both"/>
        <w:rPr>
          <w:rFonts w:ascii="Times New Roman" w:hAnsi="Times New Roman"/>
          <w:sz w:val="26"/>
          <w:szCs w:val="26"/>
          <w:lang w:eastAsia="en-US"/>
        </w:rPr>
      </w:pPr>
    </w:p>
    <w:p w14:paraId="142760E5" w14:textId="77777777" w:rsidR="002449C2" w:rsidRDefault="00123961">
      <w:pPr>
        <w:spacing w:after="0" w:line="240" w:lineRule="auto"/>
        <w:jc w:val="both"/>
        <w:rPr>
          <w:rFonts w:ascii="Times New Roman" w:hAnsi="Times New Roman"/>
          <w:sz w:val="26"/>
          <w:szCs w:val="26"/>
          <w:lang w:eastAsia="en-US"/>
        </w:rPr>
      </w:pPr>
      <w:r>
        <w:rPr>
          <w:rFonts w:ascii="Times New Roman" w:hAnsi="Times New Roman"/>
          <w:sz w:val="26"/>
          <w:szCs w:val="26"/>
          <w:lang w:eastAsia="en-US"/>
        </w:rPr>
        <w:t>Алексей Александрович Рыбин,</w:t>
      </w:r>
    </w:p>
    <w:p w14:paraId="45BCDF6C" w14:textId="77777777" w:rsidR="002449C2" w:rsidRDefault="00123961">
      <w:pPr>
        <w:spacing w:after="0" w:line="240" w:lineRule="auto"/>
        <w:jc w:val="both"/>
        <w:rPr>
          <w:rFonts w:ascii="Times New Roman" w:hAnsi="Times New Roman"/>
          <w:sz w:val="26"/>
          <w:szCs w:val="26"/>
          <w:lang w:eastAsia="en-US"/>
        </w:rPr>
      </w:pPr>
      <w:r>
        <w:rPr>
          <w:rFonts w:ascii="Times New Roman" w:hAnsi="Times New Roman"/>
          <w:sz w:val="26"/>
          <w:szCs w:val="26"/>
          <w:lang w:eastAsia="en-US"/>
        </w:rPr>
        <w:t>Председатель Правления,</w:t>
      </w:r>
    </w:p>
    <w:p w14:paraId="79D40ED8" w14:textId="77777777" w:rsidR="002449C2" w:rsidRDefault="00123961">
      <w:pPr>
        <w:spacing w:after="0" w:line="240" w:lineRule="auto"/>
        <w:jc w:val="both"/>
        <w:rPr>
          <w:rFonts w:ascii="Times New Roman" w:hAnsi="Times New Roman"/>
          <w:sz w:val="26"/>
          <w:szCs w:val="26"/>
          <w:lang w:eastAsia="en-US"/>
        </w:rPr>
      </w:pPr>
      <w:r>
        <w:rPr>
          <w:rFonts w:ascii="Times New Roman" w:hAnsi="Times New Roman"/>
          <w:sz w:val="26"/>
          <w:szCs w:val="26"/>
          <w:lang w:eastAsia="en-US"/>
        </w:rPr>
        <w:t>Генеральный директор ПАО «Россети Юг»</w:t>
      </w:r>
    </w:p>
    <w:p w14:paraId="574A61CA" w14:textId="77777777" w:rsidR="002449C2" w:rsidRDefault="002449C2">
      <w:pPr>
        <w:spacing w:after="0" w:line="240" w:lineRule="auto"/>
        <w:ind w:firstLine="709"/>
        <w:jc w:val="both"/>
        <w:rPr>
          <w:rFonts w:ascii="Times New Roman" w:hAnsi="Times New Roman"/>
          <w:sz w:val="26"/>
          <w:szCs w:val="26"/>
          <w:lang w:eastAsia="en-US"/>
        </w:rPr>
      </w:pPr>
    </w:p>
    <w:p w14:paraId="5B965CD2" w14:textId="77777777" w:rsidR="002449C2" w:rsidRDefault="002449C2">
      <w:pPr>
        <w:spacing w:after="0" w:line="240" w:lineRule="auto"/>
        <w:ind w:firstLine="709"/>
        <w:jc w:val="both"/>
        <w:rPr>
          <w:rFonts w:ascii="Times New Roman" w:hAnsi="Times New Roman"/>
          <w:sz w:val="26"/>
          <w:szCs w:val="26"/>
          <w:lang w:eastAsia="en-US"/>
        </w:rPr>
      </w:pPr>
    </w:p>
    <w:p w14:paraId="3273C758" w14:textId="77777777" w:rsidR="002449C2" w:rsidRDefault="00123961">
      <w:pPr>
        <w:shd w:val="clear" w:color="auto" w:fill="FFFFFF"/>
        <w:tabs>
          <w:tab w:val="left" w:pos="142"/>
        </w:tabs>
        <w:spacing w:after="0" w:line="240" w:lineRule="auto"/>
        <w:ind w:firstLine="567"/>
        <w:jc w:val="both"/>
        <w:rPr>
          <w:rFonts w:ascii="Cambria" w:eastAsia="Times New Roman" w:hAnsi="Cambria"/>
          <w:sz w:val="26"/>
          <w:szCs w:val="26"/>
          <w:lang w:eastAsia="ru-RU"/>
        </w:rPr>
      </w:pPr>
      <w:r>
        <w:br w:type="page"/>
      </w:r>
    </w:p>
    <w:p w14:paraId="1EB359C1" w14:textId="77777777" w:rsidR="002449C2" w:rsidRDefault="00123961">
      <w:pPr>
        <w:keepNext/>
        <w:pBdr>
          <w:bottom w:val="single" w:sz="4" w:space="1" w:color="622423"/>
        </w:pBdr>
        <w:spacing w:line="252" w:lineRule="auto"/>
        <w:jc w:val="center"/>
        <w:outlineLvl w:val="1"/>
        <w:rPr>
          <w:rFonts w:ascii="Times New Roman" w:eastAsia="Times New Roman" w:hAnsi="Times New Roman"/>
          <w:caps/>
          <w:color w:val="632423"/>
          <w:spacing w:val="15"/>
          <w:sz w:val="24"/>
          <w:szCs w:val="24"/>
          <w:lang w:eastAsia="en-US" w:bidi="en-US"/>
        </w:rPr>
      </w:pPr>
      <w:bookmarkStart w:id="13" w:name="_Toc484088056"/>
      <w:bookmarkStart w:id="14" w:name="_Toc195174910"/>
      <w:bookmarkStart w:id="15" w:name="_Toc196143002"/>
      <w:r>
        <w:rPr>
          <w:rFonts w:ascii="Times New Roman" w:eastAsia="Times New Roman" w:hAnsi="Times New Roman"/>
          <w:caps/>
          <w:color w:val="632423"/>
          <w:spacing w:val="15"/>
          <w:sz w:val="24"/>
          <w:szCs w:val="24"/>
          <w:lang w:eastAsia="en-US" w:bidi="en-US"/>
        </w:rPr>
        <w:t>Представление Компании</w:t>
      </w:r>
      <w:bookmarkEnd w:id="13"/>
      <w:bookmarkEnd w:id="14"/>
      <w:bookmarkEnd w:id="15"/>
    </w:p>
    <w:p w14:paraId="61871255" w14:textId="77777777" w:rsidR="002449C2" w:rsidRDefault="00123961">
      <w:pPr>
        <w:tabs>
          <w:tab w:val="left" w:pos="142"/>
        </w:tabs>
        <w:spacing w:after="0" w:line="240" w:lineRule="auto"/>
        <w:ind w:firstLine="567"/>
        <w:jc w:val="both"/>
        <w:rPr>
          <w:rFonts w:ascii="Times New Roman" w:eastAsia="Times New Roman" w:hAnsi="Times New Roman"/>
          <w:color w:val="767171"/>
          <w:sz w:val="26"/>
          <w:szCs w:val="26"/>
          <w:lang w:eastAsia="ru-RU"/>
        </w:rPr>
      </w:pPr>
      <w:r>
        <w:rPr>
          <w:rFonts w:ascii="Times New Roman" w:eastAsia="Times New Roman" w:hAnsi="Times New Roman"/>
          <w:color w:val="767171"/>
          <w:sz w:val="26"/>
          <w:szCs w:val="26"/>
          <w:lang w:eastAsia="ru-RU"/>
        </w:rPr>
        <w:t>GRI 2-6</w:t>
      </w:r>
    </w:p>
    <w:p w14:paraId="15D74330"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17 ЛЕТ ВМЕСТЕ СО СТРАНОЙ</w:t>
      </w:r>
    </w:p>
    <w:p w14:paraId="7E394906" w14:textId="77777777" w:rsidR="002449C2" w:rsidRDefault="002449C2">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p>
    <w:p w14:paraId="76B35B0B" w14:textId="77777777" w:rsidR="002449C2" w:rsidRDefault="00123961">
      <w:pPr>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История ПАО «Россети Юг» началась 28.06.2007, когда на основании решения единственного учредителя — ОАО РАО «ЕЭС России» (распоряжение ОАО РАО «ЕЭС России» от 22.06.2007 №192р) было зарегистрировано ОАО «МРСК Юга».</w:t>
      </w:r>
    </w:p>
    <w:p w14:paraId="59B8BC8A" w14:textId="77777777" w:rsidR="002449C2" w:rsidRDefault="00123961">
      <w:pPr>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Позже Правлением ОАО РАО «ЕЭС России», выполняющим функции внеочередного Общего собрания акционеров Общества (протокол от 25.12.2007 №1795пр/6), а также Общими собраниями акционеров пяти распределительных сетевых компаний (РСК): ОАО «Астраханьэнерго», ОАО «Волгоградэнерго», ОАО «Кубаньэнерго», ОАО «Ростовэнерго», ОАО «Калмэнерго» — были приняты решения о реорганизации компаний путем присоединения РСК к Обществу. В Единый государственный реестр юридических лиц (ЕРЮЛ) 31.03.2008 внесены записи о прекращении деятельности четырех из пяти РСК, присоединенных к Обществу (ОАО «Астраханьэнерго», ОАО «Волгоградэнерго», ОАО «Ростовэнерго», ОАО «Калмэнерго»). С этого момента Компания осуществляет свою деятельность в качестве единой операционной компании.</w:t>
      </w:r>
    </w:p>
    <w:p w14:paraId="1F25EA9A" w14:textId="77777777" w:rsidR="002449C2" w:rsidRDefault="00123961">
      <w:pPr>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В отношении ОАО «Кубаньэнерго» до 01.12.2010 Компания исполняла функции единоличного исполнительного органа.</w:t>
      </w:r>
    </w:p>
    <w:p w14:paraId="0CA5E213" w14:textId="77777777" w:rsidR="002449C2" w:rsidRDefault="00123961">
      <w:pPr>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 xml:space="preserve">С 20.09.2014 по 14.03.2019 (в соответствии с условиями договора о передаче полномочий единоличного исполнительного органа Управляющей организации) в отношении АО «Донэнерго» Компания осуществляла функции единоличного исполнительного органа. </w:t>
      </w:r>
    </w:p>
    <w:p w14:paraId="52DEBB5B" w14:textId="77777777" w:rsidR="002449C2" w:rsidRDefault="00123961">
      <w:pPr>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 xml:space="preserve">В апреле 2018 года Компания приняла в свое управление весь электросетевой комплекс г. Волгограда. Компания «Россети Юг» приобрела 100 % акций электросетевой компании ПАО «ВМЭС», которая осуществляла электроснабжение потребителей г. Волгограда. Таким образом, на сегодняшний день АО «ВМЭС» является дочерней структурой ПАО «Россети Юг», значительно увеличивая ее долю присутствия на рынке оказания услуг по передаче электроэнергии Волгоградской области. </w:t>
      </w:r>
    </w:p>
    <w:p w14:paraId="45C684B3" w14:textId="77777777" w:rsidR="002449C2" w:rsidRDefault="00123961">
      <w:pPr>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 xml:space="preserve">05.11.2019 акционерами Общества принято решение о переименовании Компании в Публичное акционерное общество «Россети Юг» (ПАО «Россети Юг»). Процедура по переименованию завершилась 14.02.2020. </w:t>
      </w:r>
    </w:p>
    <w:p w14:paraId="6BDD9D6B" w14:textId="77777777" w:rsidR="002449C2" w:rsidRDefault="00123961">
      <w:pPr>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В настоящее время регионами присутствия ПАО «Россети Юг» являются Астраханская, Волгоградская, Ростовская области и Республика Калмыкия.</w:t>
      </w:r>
    </w:p>
    <w:p w14:paraId="2FECFC45" w14:textId="77777777" w:rsidR="002449C2" w:rsidRDefault="002449C2">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p>
    <w:p w14:paraId="3196BA36"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С более подробной историей Компании можно ознакомиться на официальном сайте Компании в информационно-телекоммуникационной сети «Интернет» по адресу: </w:t>
      </w:r>
      <w:hyperlink r:id="rId9">
        <w:r>
          <w:rPr>
            <w:rStyle w:val="ab"/>
            <w:rFonts w:ascii="Times New Roman" w:eastAsia="Times New Roman" w:hAnsi="Times New Roman"/>
            <w:sz w:val="26"/>
            <w:szCs w:val="26"/>
            <w:lang w:eastAsia="ru-RU"/>
          </w:rPr>
          <w:t>https://rosseti-yug.ru/o-kompanii/</w:t>
        </w:r>
      </w:hyperlink>
      <w:r>
        <w:rPr>
          <w:rFonts w:ascii="Times New Roman" w:eastAsia="Times New Roman" w:hAnsi="Times New Roman"/>
          <w:sz w:val="26"/>
          <w:szCs w:val="26"/>
          <w:lang w:eastAsia="ru-RU"/>
        </w:rPr>
        <w:t>.</w:t>
      </w:r>
    </w:p>
    <w:p w14:paraId="7E72669B" w14:textId="77777777" w:rsidR="002449C2" w:rsidRDefault="00123961">
      <w:pPr>
        <w:shd w:val="clear" w:color="auto" w:fill="FFFFFF"/>
        <w:tabs>
          <w:tab w:val="left" w:pos="142"/>
        </w:tabs>
        <w:spacing w:before="120" w:after="120" w:line="240" w:lineRule="auto"/>
        <w:ind w:firstLine="567"/>
        <w:jc w:val="center"/>
        <w:rPr>
          <w:rFonts w:ascii="Cambria" w:eastAsia="Times New Roman" w:hAnsi="Cambria"/>
          <w:b/>
          <w:color w:val="4472C4"/>
          <w:sz w:val="16"/>
          <w:szCs w:val="16"/>
          <w:lang w:eastAsia="ru-RU"/>
        </w:rPr>
      </w:pPr>
      <w:r>
        <w:br w:type="page"/>
      </w:r>
    </w:p>
    <w:p w14:paraId="05D742F8" w14:textId="77777777" w:rsidR="002449C2" w:rsidRDefault="00123961">
      <w:pPr>
        <w:keepNext/>
        <w:pBdr>
          <w:bottom w:val="single" w:sz="4" w:space="1" w:color="622423"/>
        </w:pBdr>
        <w:spacing w:line="252" w:lineRule="auto"/>
        <w:jc w:val="center"/>
        <w:outlineLvl w:val="1"/>
        <w:rPr>
          <w:rFonts w:ascii="Times New Roman" w:eastAsia="Times New Roman" w:hAnsi="Times New Roman"/>
          <w:caps/>
          <w:color w:val="632423"/>
          <w:spacing w:val="15"/>
          <w:sz w:val="24"/>
          <w:szCs w:val="24"/>
          <w:lang w:eastAsia="en-US" w:bidi="en-US"/>
        </w:rPr>
      </w:pPr>
      <w:bookmarkStart w:id="16" w:name="_Toc195174911"/>
      <w:bookmarkStart w:id="17" w:name="_Toc511807213"/>
      <w:bookmarkStart w:id="18" w:name="_Toc196143003"/>
      <w:r>
        <w:rPr>
          <w:rFonts w:ascii="Times New Roman" w:eastAsia="Times New Roman" w:hAnsi="Times New Roman"/>
          <w:caps/>
          <w:color w:val="632423"/>
          <w:spacing w:val="15"/>
          <w:sz w:val="24"/>
          <w:szCs w:val="24"/>
          <w:lang w:eastAsia="en-US" w:bidi="en-US"/>
        </w:rPr>
        <w:t>География деятельности Компании</w:t>
      </w:r>
      <w:bookmarkEnd w:id="16"/>
      <w:bookmarkEnd w:id="17"/>
      <w:bookmarkEnd w:id="18"/>
      <w:r>
        <w:rPr>
          <w:rFonts w:ascii="Times New Roman" w:eastAsia="Times New Roman" w:hAnsi="Times New Roman"/>
          <w:caps/>
          <w:color w:val="632423"/>
          <w:spacing w:val="15"/>
          <w:sz w:val="24"/>
          <w:szCs w:val="24"/>
          <w:lang w:eastAsia="en-US" w:bidi="en-US"/>
        </w:rPr>
        <w:t xml:space="preserve"> </w:t>
      </w:r>
    </w:p>
    <w:p w14:paraId="2E30E4E8" w14:textId="77777777" w:rsidR="002449C2" w:rsidRDefault="00123961">
      <w:pPr>
        <w:tabs>
          <w:tab w:val="left" w:pos="142"/>
        </w:tabs>
        <w:spacing w:before="120" w:after="120" w:line="240" w:lineRule="auto"/>
        <w:ind w:firstLine="567"/>
        <w:jc w:val="center"/>
        <w:rPr>
          <w:rFonts w:ascii="Cambria" w:eastAsia="Times New Roman" w:hAnsi="Cambria" w:cs="Calibri"/>
          <w:b/>
          <w:color w:val="1D1B11"/>
          <w:sz w:val="26"/>
          <w:szCs w:val="26"/>
          <w:lang w:eastAsia="ru-RU"/>
        </w:rPr>
      </w:pPr>
      <w:r>
        <w:rPr>
          <w:rFonts w:ascii="Cambria" w:eastAsia="Times New Roman" w:hAnsi="Cambria" w:cs="Calibri"/>
          <w:b/>
          <w:color w:val="1D1B11"/>
          <w:sz w:val="26"/>
          <w:szCs w:val="26"/>
          <w:lang w:eastAsia="ru-RU"/>
        </w:rPr>
        <w:t>Регионы присутствия</w:t>
      </w:r>
    </w:p>
    <w:p w14:paraId="24CA76B1" w14:textId="77777777" w:rsidR="002449C2" w:rsidRDefault="00123961">
      <w:pPr>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ПАО «Россети Юг» объединяет распределительные сетевые комплексы Южного Федерального округа Российской Федерации: Республики Калмыкия, а также Астраханской, Волгоградской и Ростовской областей. </w:t>
      </w:r>
    </w:p>
    <w:p w14:paraId="0638390C" w14:textId="77777777" w:rsidR="002449C2" w:rsidRDefault="00123961">
      <w:pPr>
        <w:tabs>
          <w:tab w:val="left" w:pos="142"/>
        </w:tabs>
        <w:spacing w:after="0" w:line="240" w:lineRule="auto"/>
        <w:ind w:firstLine="567"/>
        <w:jc w:val="both"/>
        <w:rPr>
          <w:rFonts w:ascii="Times New Roman" w:eastAsia="Times New Roman" w:hAnsi="Times New Roman"/>
          <w:spacing w:val="20"/>
          <w:sz w:val="26"/>
          <w:szCs w:val="26"/>
          <w:lang w:eastAsia="ru-RU"/>
        </w:rPr>
      </w:pPr>
      <w:r>
        <w:rPr>
          <w:rFonts w:ascii="Times New Roman" w:eastAsia="Times New Roman" w:hAnsi="Times New Roman"/>
          <w:spacing w:val="20"/>
          <w:sz w:val="26"/>
          <w:szCs w:val="26"/>
          <w:lang w:eastAsia="ru-RU"/>
        </w:rPr>
        <w:t>Исполнительный аппарат находится в г. Ростов-на-Дону.</w:t>
      </w:r>
    </w:p>
    <w:p w14:paraId="35F1458C" w14:textId="77777777" w:rsidR="002449C2" w:rsidRDefault="00123961">
      <w:pPr>
        <w:tabs>
          <w:tab w:val="left" w:pos="142"/>
        </w:tabs>
        <w:spacing w:before="120" w:after="120" w:line="240" w:lineRule="auto"/>
        <w:ind w:firstLine="567"/>
        <w:jc w:val="center"/>
        <w:rPr>
          <w:rFonts w:ascii="Times New Roman" w:eastAsia="Times New Roman" w:hAnsi="Times New Roman"/>
          <w:b/>
          <w:color w:val="1D1B11"/>
          <w:sz w:val="26"/>
          <w:szCs w:val="26"/>
          <w:lang w:eastAsia="ru-RU"/>
        </w:rPr>
      </w:pPr>
      <w:r>
        <w:rPr>
          <w:noProof/>
          <w:lang w:eastAsia="ru-RU"/>
        </w:rPr>
        <w:drawing>
          <wp:inline distT="0" distB="0" distL="0" distR="0" wp14:anchorId="4AF50F65" wp14:editId="365C7035">
            <wp:extent cx="2968625" cy="1652905"/>
            <wp:effectExtent l="0" t="0" r="0" b="0"/>
            <wp:docPr id="1" name="_x005F_x0000_i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_x005F_x0000_i4388"/>
                    <pic:cNvPicPr>
                      <a:picLocks noChangeAspect="1" noChangeArrowheads="1"/>
                    </pic:cNvPicPr>
                  </pic:nvPicPr>
                  <pic:blipFill>
                    <a:blip r:embed="rId10"/>
                    <a:stretch>
                      <a:fillRect/>
                    </a:stretch>
                  </pic:blipFill>
                  <pic:spPr bwMode="auto">
                    <a:xfrm>
                      <a:off x="0" y="0"/>
                      <a:ext cx="2968625" cy="1652905"/>
                    </a:xfrm>
                    <a:prstGeom prst="rect">
                      <a:avLst/>
                    </a:prstGeom>
                    <a:noFill/>
                  </pic:spPr>
                </pic:pic>
              </a:graphicData>
            </a:graphic>
          </wp:inline>
        </w:drawing>
      </w:r>
    </w:p>
    <w:p w14:paraId="0405CA94" w14:textId="77777777" w:rsidR="002449C2" w:rsidRDefault="00123961">
      <w:pPr>
        <w:tabs>
          <w:tab w:val="left" w:pos="142"/>
        </w:tabs>
        <w:spacing w:before="120" w:after="120" w:line="240" w:lineRule="auto"/>
        <w:ind w:firstLine="567"/>
        <w:jc w:val="center"/>
        <w:rPr>
          <w:rFonts w:ascii="Times New Roman" w:eastAsia="Times New Roman" w:hAnsi="Times New Roman"/>
          <w:b/>
          <w:color w:val="1D1B11"/>
          <w:sz w:val="26"/>
          <w:szCs w:val="26"/>
          <w:lang w:eastAsia="ru-RU"/>
        </w:rPr>
      </w:pPr>
      <w:r>
        <w:rPr>
          <w:noProof/>
          <w:lang w:eastAsia="ru-RU"/>
        </w:rPr>
        <w:drawing>
          <wp:inline distT="0" distB="0" distL="0" distR="0" wp14:anchorId="134964EB" wp14:editId="01B13FAD">
            <wp:extent cx="2863850" cy="2597785"/>
            <wp:effectExtent l="0" t="0" r="0" b="0"/>
            <wp:docPr id="2" name="_x005F_x0000_i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_x005F_x0000_i4389"/>
                    <pic:cNvPicPr>
                      <a:picLocks noChangeAspect="1" noChangeArrowheads="1"/>
                    </pic:cNvPicPr>
                  </pic:nvPicPr>
                  <pic:blipFill>
                    <a:blip r:embed="rId11"/>
                    <a:stretch>
                      <a:fillRect/>
                    </a:stretch>
                  </pic:blipFill>
                  <pic:spPr bwMode="auto">
                    <a:xfrm>
                      <a:off x="0" y="0"/>
                      <a:ext cx="2863850" cy="2597785"/>
                    </a:xfrm>
                    <a:prstGeom prst="rect">
                      <a:avLst/>
                    </a:prstGeom>
                    <a:noFill/>
                  </pic:spPr>
                </pic:pic>
              </a:graphicData>
            </a:graphic>
          </wp:inline>
        </w:drawing>
      </w:r>
    </w:p>
    <w:p w14:paraId="6D394483" w14:textId="77777777" w:rsidR="002449C2" w:rsidRDefault="00123961">
      <w:pPr>
        <w:spacing w:after="0" w:line="240" w:lineRule="auto"/>
        <w:jc w:val="both"/>
        <w:rPr>
          <w:rFonts w:ascii="Times New Roman" w:eastAsia="Times New Roman" w:hAnsi="Times New Roman"/>
          <w:bCs/>
          <w:sz w:val="24"/>
          <w:szCs w:val="28"/>
          <w:lang w:eastAsia="ru-RU"/>
        </w:rPr>
      </w:pPr>
      <w:r>
        <w:rPr>
          <w:rFonts w:ascii="Times New Roman" w:eastAsia="Times New Roman" w:hAnsi="Times New Roman"/>
          <w:bCs/>
          <w:i/>
          <w:sz w:val="24"/>
          <w:szCs w:val="28"/>
          <w:lang w:eastAsia="ru-RU"/>
        </w:rPr>
        <w:t>Федеральная целевая программа «Культура России»</w:t>
      </w:r>
      <w:r>
        <w:rPr>
          <w:rFonts w:ascii="Times New Roman" w:eastAsia="Times New Roman" w:hAnsi="Times New Roman"/>
          <w:bCs/>
          <w:sz w:val="24"/>
          <w:szCs w:val="28"/>
          <w:lang w:eastAsia="ru-RU"/>
        </w:rPr>
        <w:t>.</w:t>
      </w:r>
    </w:p>
    <w:p w14:paraId="490650FF" w14:textId="7546F3B8" w:rsidR="002449C2" w:rsidRDefault="002449C2">
      <w:pPr>
        <w:spacing w:after="0" w:line="240" w:lineRule="auto"/>
        <w:jc w:val="both"/>
        <w:rPr>
          <w:rFonts w:ascii="Times New Roman" w:eastAsia="Times New Roman" w:hAnsi="Times New Roman"/>
          <w:bCs/>
          <w:sz w:val="24"/>
          <w:szCs w:val="28"/>
          <w:lang w:eastAsia="ru-RU"/>
        </w:rPr>
      </w:pPr>
    </w:p>
    <w:tbl>
      <w:tblPr>
        <w:tblpPr w:leftFromText="180" w:rightFromText="180" w:vertAnchor="text" w:horzAnchor="margin" w:tblpY="61"/>
        <w:tblW w:w="9355" w:type="dxa"/>
        <w:tblLayout w:type="fixed"/>
        <w:tblLook w:val="04A0" w:firstRow="1" w:lastRow="0" w:firstColumn="1" w:lastColumn="0" w:noHBand="0" w:noVBand="1"/>
      </w:tblPr>
      <w:tblGrid>
        <w:gridCol w:w="4641"/>
        <w:gridCol w:w="4714"/>
      </w:tblGrid>
      <w:tr w:rsidR="002449C2" w14:paraId="6744934B" w14:textId="77777777">
        <w:trPr>
          <w:trHeight w:val="70"/>
        </w:trPr>
        <w:tc>
          <w:tcPr>
            <w:tcW w:w="4641" w:type="dxa"/>
          </w:tcPr>
          <w:p w14:paraId="125E26C6" w14:textId="77777777" w:rsidR="002449C2" w:rsidRDefault="00123961">
            <w:pPr>
              <w:tabs>
                <w:tab w:val="left" w:pos="142"/>
              </w:tabs>
              <w:spacing w:after="120" w:line="240" w:lineRule="auto"/>
              <w:jc w:val="center"/>
              <w:rPr>
                <w:lang w:eastAsia="ru-RU"/>
              </w:rPr>
            </w:pPr>
            <w:r>
              <w:rPr>
                <w:noProof/>
                <w:lang w:eastAsia="ru-RU"/>
              </w:rPr>
              <w:drawing>
                <wp:inline distT="0" distB="0" distL="0" distR="0" wp14:anchorId="07E47B16" wp14:editId="6352A70D">
                  <wp:extent cx="2811780" cy="1874520"/>
                  <wp:effectExtent l="0" t="0" r="0" b="0"/>
                  <wp:docPr id="3" name="_x005F_x0000_i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x005F_x0000_i4390"/>
                          <pic:cNvPicPr>
                            <a:picLocks noChangeAspect="1" noChangeArrowheads="1"/>
                          </pic:cNvPicPr>
                        </pic:nvPicPr>
                        <pic:blipFill>
                          <a:blip r:embed="rId12"/>
                          <a:stretch>
                            <a:fillRect/>
                          </a:stretch>
                        </pic:blipFill>
                        <pic:spPr bwMode="auto">
                          <a:xfrm>
                            <a:off x="0" y="0"/>
                            <a:ext cx="2811780" cy="1874520"/>
                          </a:xfrm>
                          <a:prstGeom prst="rect">
                            <a:avLst/>
                          </a:prstGeom>
                          <a:noFill/>
                        </pic:spPr>
                      </pic:pic>
                    </a:graphicData>
                  </a:graphic>
                </wp:inline>
              </w:drawing>
            </w:r>
          </w:p>
        </w:tc>
        <w:tc>
          <w:tcPr>
            <w:tcW w:w="4713" w:type="dxa"/>
          </w:tcPr>
          <w:p w14:paraId="41022F21" w14:textId="77777777" w:rsidR="002449C2" w:rsidRDefault="002449C2">
            <w:pPr>
              <w:spacing w:after="0" w:line="240" w:lineRule="auto"/>
              <w:jc w:val="both"/>
              <w:rPr>
                <w:rFonts w:ascii="Times New Roman" w:eastAsia="Times New Roman" w:hAnsi="Times New Roman"/>
                <w:sz w:val="20"/>
                <w:szCs w:val="20"/>
                <w:lang w:eastAsia="ru-RU"/>
              </w:rPr>
            </w:pPr>
          </w:p>
          <w:p w14:paraId="0BD6DD7B" w14:textId="77777777" w:rsidR="002449C2" w:rsidRDefault="00123961">
            <w:pPr>
              <w:tabs>
                <w:tab w:val="left" w:pos="142"/>
              </w:tabs>
              <w:spacing w:before="120" w:after="12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«Строительство Дома культуры на 100 мест в с. Разночиновка Наримановского района Астраханской области»</w:t>
            </w:r>
          </w:p>
          <w:p w14:paraId="4CFB7F04" w14:textId="77777777" w:rsidR="002449C2" w:rsidRDefault="00123961">
            <w:pPr>
              <w:tabs>
                <w:tab w:val="left" w:pos="142"/>
              </w:tabs>
              <w:spacing w:before="120" w:after="120" w:line="240" w:lineRule="auto"/>
              <w:jc w:val="center"/>
              <w:rPr>
                <w:sz w:val="20"/>
                <w:szCs w:val="20"/>
                <w:lang w:eastAsia="ru-RU"/>
              </w:rPr>
            </w:pPr>
            <w:r>
              <w:rPr>
                <w:rFonts w:ascii="Times New Roman" w:eastAsia="Times New Roman" w:hAnsi="Times New Roman"/>
                <w:sz w:val="20"/>
                <w:szCs w:val="20"/>
                <w:lang w:eastAsia="ru-RU"/>
              </w:rPr>
              <w:t>Долгожданный дом культуры появился благодаря национальному проекту «Культура» и народной программе партии «Единая Россия». В новом Доме культуры разместили зрительный зал на 100 мест, где будут проходить различные встречи, фестивали, концерты и другие события, библиотеку, музейную и кружковую зоны. В настоящее время Дом культуры открыл свои двери не только для местных жителей, но и для их соседей из близлежащих населенных пунктов.</w:t>
            </w:r>
          </w:p>
        </w:tc>
      </w:tr>
    </w:tbl>
    <w:p w14:paraId="6E86D3E4" w14:textId="77777777" w:rsidR="004C2091" w:rsidRDefault="004C2091">
      <w:pPr>
        <w:tabs>
          <w:tab w:val="left" w:pos="142"/>
        </w:tabs>
        <w:spacing w:after="120" w:line="240" w:lineRule="auto"/>
        <w:ind w:firstLine="567"/>
        <w:jc w:val="center"/>
        <w:rPr>
          <w:rFonts w:ascii="Times New Roman" w:eastAsia="Times New Roman" w:hAnsi="Times New Roman"/>
          <w:b/>
          <w:color w:val="1D1B11"/>
          <w:sz w:val="26"/>
          <w:szCs w:val="26"/>
          <w:lang w:eastAsia="ru-RU"/>
        </w:rPr>
      </w:pPr>
    </w:p>
    <w:p w14:paraId="38A000F7" w14:textId="77777777" w:rsidR="004C2091" w:rsidRDefault="004C2091">
      <w:pPr>
        <w:spacing w:after="0" w:line="240" w:lineRule="auto"/>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br w:type="page"/>
      </w:r>
    </w:p>
    <w:p w14:paraId="4CD39217" w14:textId="457BC777" w:rsidR="002449C2" w:rsidRDefault="00123961">
      <w:pPr>
        <w:tabs>
          <w:tab w:val="left" w:pos="142"/>
        </w:tabs>
        <w:spacing w:after="12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Информация о регионах деятельности</w:t>
      </w:r>
    </w:p>
    <w:tbl>
      <w:tblPr>
        <w:tblW w:w="9493" w:type="dxa"/>
        <w:jc w:val="center"/>
        <w:tblLayout w:type="fixed"/>
        <w:tblLook w:val="04A0" w:firstRow="1" w:lastRow="0" w:firstColumn="1" w:lastColumn="0" w:noHBand="0" w:noVBand="1"/>
      </w:tblPr>
      <w:tblGrid>
        <w:gridCol w:w="4213"/>
        <w:gridCol w:w="2546"/>
        <w:gridCol w:w="2734"/>
      </w:tblGrid>
      <w:tr w:rsidR="002449C2" w14:paraId="195B9F8B" w14:textId="77777777">
        <w:trPr>
          <w:jc w:val="center"/>
        </w:trPr>
        <w:tc>
          <w:tcPr>
            <w:tcW w:w="4213" w:type="dxa"/>
            <w:tcBorders>
              <w:top w:val="single" w:sz="4" w:space="0" w:color="000000"/>
              <w:left w:val="single" w:sz="4" w:space="0" w:color="000000"/>
              <w:bottom w:val="single" w:sz="4" w:space="0" w:color="000000"/>
              <w:right w:val="single" w:sz="4" w:space="0" w:color="000000"/>
            </w:tcBorders>
            <w:shd w:val="clear" w:color="auto" w:fill="D5DCE4"/>
          </w:tcPr>
          <w:p w14:paraId="6B986122" w14:textId="77777777" w:rsidR="002449C2" w:rsidRDefault="00123961">
            <w:pPr>
              <w:spacing w:after="0" w:line="240" w:lineRule="auto"/>
              <w:jc w:val="center"/>
              <w:rPr>
                <w:rFonts w:ascii="Times New Roman" w:eastAsia="TimesNewRoman" w:hAnsi="Times New Roman"/>
                <w:b/>
                <w:sz w:val="20"/>
                <w:szCs w:val="20"/>
                <w:lang w:eastAsia="ru-RU"/>
              </w:rPr>
            </w:pPr>
            <w:r>
              <w:rPr>
                <w:rFonts w:ascii="Times New Roman" w:eastAsia="TimesNewRoman" w:hAnsi="Times New Roman"/>
                <w:b/>
                <w:sz w:val="20"/>
                <w:szCs w:val="20"/>
                <w:lang w:eastAsia="ru-RU"/>
              </w:rPr>
              <w:t>Субъекты Российской Федерации, входящие в зону ответственности</w:t>
            </w:r>
          </w:p>
        </w:tc>
        <w:tc>
          <w:tcPr>
            <w:tcW w:w="2546" w:type="dxa"/>
            <w:tcBorders>
              <w:top w:val="single" w:sz="4" w:space="0" w:color="000000"/>
              <w:left w:val="single" w:sz="4" w:space="0" w:color="000000"/>
              <w:bottom w:val="single" w:sz="4" w:space="0" w:color="000000"/>
              <w:right w:val="single" w:sz="4" w:space="0" w:color="000000"/>
            </w:tcBorders>
            <w:shd w:val="clear" w:color="auto" w:fill="D5DCE4"/>
            <w:vAlign w:val="center"/>
          </w:tcPr>
          <w:p w14:paraId="4FD33AF4" w14:textId="77777777" w:rsidR="002449C2" w:rsidRDefault="00123961">
            <w:pPr>
              <w:spacing w:after="0" w:line="240" w:lineRule="auto"/>
              <w:jc w:val="center"/>
              <w:rPr>
                <w:rFonts w:ascii="Times New Roman" w:eastAsia="TimesNewRoman" w:hAnsi="Times New Roman"/>
                <w:b/>
                <w:sz w:val="20"/>
                <w:szCs w:val="20"/>
                <w:lang w:eastAsia="ru-RU"/>
              </w:rPr>
            </w:pPr>
            <w:r>
              <w:rPr>
                <w:rFonts w:ascii="Times New Roman" w:eastAsia="TimesNewRoman" w:hAnsi="Times New Roman"/>
                <w:b/>
                <w:sz w:val="20"/>
                <w:szCs w:val="20"/>
                <w:lang w:eastAsia="ru-RU"/>
              </w:rPr>
              <w:t>Территория обслуживания,</w:t>
            </w:r>
          </w:p>
          <w:p w14:paraId="7589882A" w14:textId="77777777" w:rsidR="002449C2" w:rsidRDefault="00123961">
            <w:pPr>
              <w:spacing w:after="0" w:line="240" w:lineRule="auto"/>
              <w:jc w:val="center"/>
              <w:rPr>
                <w:rFonts w:ascii="Times New Roman" w:eastAsia="TimesNewRoman" w:hAnsi="Times New Roman"/>
                <w:b/>
                <w:sz w:val="20"/>
                <w:szCs w:val="20"/>
                <w:lang w:eastAsia="ru-RU"/>
              </w:rPr>
            </w:pPr>
            <w:r>
              <w:rPr>
                <w:rFonts w:ascii="Times New Roman" w:eastAsia="TimesNewRoman" w:hAnsi="Times New Roman"/>
                <w:b/>
                <w:sz w:val="20"/>
                <w:szCs w:val="20"/>
                <w:lang w:eastAsia="ru-RU"/>
              </w:rPr>
              <w:t xml:space="preserve"> тыс. кв. км.</w:t>
            </w:r>
          </w:p>
        </w:tc>
        <w:tc>
          <w:tcPr>
            <w:tcW w:w="2734" w:type="dxa"/>
            <w:tcBorders>
              <w:top w:val="single" w:sz="4" w:space="0" w:color="000000"/>
              <w:left w:val="single" w:sz="4" w:space="0" w:color="000000"/>
              <w:bottom w:val="single" w:sz="4" w:space="0" w:color="000000"/>
              <w:right w:val="single" w:sz="4" w:space="0" w:color="000000"/>
            </w:tcBorders>
            <w:shd w:val="clear" w:color="auto" w:fill="D5DCE4"/>
            <w:vAlign w:val="center"/>
          </w:tcPr>
          <w:p w14:paraId="3839B82E" w14:textId="77777777" w:rsidR="002449C2" w:rsidRDefault="00123961">
            <w:pPr>
              <w:spacing w:after="0" w:line="240" w:lineRule="auto"/>
              <w:jc w:val="center"/>
              <w:rPr>
                <w:rFonts w:ascii="Times New Roman" w:eastAsia="TimesNewRoman" w:hAnsi="Times New Roman"/>
                <w:b/>
                <w:sz w:val="20"/>
                <w:szCs w:val="20"/>
                <w:lang w:eastAsia="ru-RU"/>
              </w:rPr>
            </w:pPr>
            <w:r>
              <w:rPr>
                <w:rFonts w:ascii="Times New Roman" w:eastAsia="TimesNewRoman" w:hAnsi="Times New Roman"/>
                <w:b/>
                <w:sz w:val="20"/>
                <w:szCs w:val="20"/>
                <w:lang w:eastAsia="ru-RU"/>
              </w:rPr>
              <w:t>Численность населения, чел.</w:t>
            </w:r>
          </w:p>
        </w:tc>
      </w:tr>
      <w:tr w:rsidR="002449C2" w14:paraId="1934C6F7" w14:textId="77777777">
        <w:trPr>
          <w:jc w:val="center"/>
        </w:trPr>
        <w:tc>
          <w:tcPr>
            <w:tcW w:w="4213"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6B046160" w14:textId="77777777" w:rsidR="002449C2" w:rsidRDefault="00123961">
            <w:pPr>
              <w:spacing w:after="0" w:line="240" w:lineRule="auto"/>
              <w:jc w:val="both"/>
              <w:rPr>
                <w:rFonts w:ascii="Times New Roman" w:eastAsia="TimesNewRoman" w:hAnsi="Times New Roman"/>
                <w:sz w:val="20"/>
                <w:szCs w:val="20"/>
                <w:lang w:eastAsia="ru-RU"/>
              </w:rPr>
            </w:pPr>
            <w:r>
              <w:rPr>
                <w:rFonts w:ascii="Times New Roman" w:eastAsia="TimesNewRoman" w:hAnsi="Times New Roman"/>
                <w:sz w:val="20"/>
                <w:szCs w:val="20"/>
                <w:lang w:eastAsia="ru-RU"/>
              </w:rPr>
              <w:t>Астраханская область</w:t>
            </w:r>
          </w:p>
        </w:tc>
        <w:tc>
          <w:tcPr>
            <w:tcW w:w="2546" w:type="dxa"/>
            <w:tcBorders>
              <w:top w:val="single" w:sz="4" w:space="0" w:color="000000"/>
              <w:left w:val="single" w:sz="4" w:space="0" w:color="000000"/>
              <w:bottom w:val="single" w:sz="4" w:space="0" w:color="000000"/>
              <w:right w:val="single" w:sz="4" w:space="0" w:color="000000"/>
            </w:tcBorders>
            <w:vAlign w:val="center"/>
          </w:tcPr>
          <w:p w14:paraId="22187D76" w14:textId="77777777" w:rsidR="002449C2" w:rsidRDefault="00123961">
            <w:pPr>
              <w:spacing w:after="0" w:line="240" w:lineRule="auto"/>
              <w:jc w:val="both"/>
              <w:rPr>
                <w:rFonts w:ascii="Times New Roman" w:eastAsia="TimesNewRoman" w:hAnsi="Times New Roman"/>
                <w:sz w:val="20"/>
                <w:szCs w:val="20"/>
                <w:lang w:eastAsia="ru-RU"/>
              </w:rPr>
            </w:pPr>
            <w:r>
              <w:rPr>
                <w:rFonts w:ascii="Times New Roman" w:eastAsia="TimesNewRoman" w:hAnsi="Times New Roman"/>
                <w:sz w:val="20"/>
                <w:szCs w:val="20"/>
                <w:lang w:eastAsia="ru-RU"/>
              </w:rPr>
              <w:t>49,024</w:t>
            </w:r>
          </w:p>
        </w:tc>
        <w:tc>
          <w:tcPr>
            <w:tcW w:w="2734" w:type="dxa"/>
            <w:tcBorders>
              <w:top w:val="single" w:sz="4" w:space="0" w:color="000000"/>
              <w:left w:val="single" w:sz="4" w:space="0" w:color="000000"/>
              <w:bottom w:val="single" w:sz="4" w:space="0" w:color="000000"/>
              <w:right w:val="single" w:sz="4" w:space="0" w:color="000000"/>
            </w:tcBorders>
            <w:vAlign w:val="center"/>
          </w:tcPr>
          <w:p w14:paraId="2091ECC3" w14:textId="77777777" w:rsidR="002449C2" w:rsidRDefault="00123961">
            <w:pPr>
              <w:spacing w:after="0" w:line="240" w:lineRule="auto"/>
              <w:jc w:val="both"/>
              <w:rPr>
                <w:rFonts w:ascii="Times New Roman" w:eastAsia="TimesNewRoman" w:hAnsi="Times New Roman"/>
                <w:sz w:val="20"/>
                <w:szCs w:val="20"/>
                <w:lang w:eastAsia="ru-RU"/>
              </w:rPr>
            </w:pPr>
            <w:r>
              <w:rPr>
                <w:rFonts w:ascii="Times New Roman" w:eastAsia="TimesNewRoman" w:hAnsi="Times New Roman"/>
                <w:sz w:val="20"/>
                <w:szCs w:val="20"/>
                <w:lang w:eastAsia="ru-RU"/>
              </w:rPr>
              <w:t>946 429</w:t>
            </w:r>
          </w:p>
        </w:tc>
      </w:tr>
      <w:tr w:rsidR="002449C2" w14:paraId="45A265BF" w14:textId="77777777">
        <w:trPr>
          <w:jc w:val="center"/>
        </w:trPr>
        <w:tc>
          <w:tcPr>
            <w:tcW w:w="4213" w:type="dxa"/>
            <w:tcBorders>
              <w:top w:val="single" w:sz="4" w:space="0" w:color="000000"/>
              <w:left w:val="single" w:sz="4" w:space="0" w:color="000000"/>
              <w:bottom w:val="single" w:sz="4" w:space="0" w:color="000000"/>
              <w:right w:val="single" w:sz="4" w:space="0" w:color="000000"/>
            </w:tcBorders>
            <w:shd w:val="clear" w:color="auto" w:fill="E2EFD9"/>
          </w:tcPr>
          <w:p w14:paraId="18C1A835" w14:textId="77777777" w:rsidR="002449C2" w:rsidRDefault="00123961">
            <w:pPr>
              <w:spacing w:after="0" w:line="240" w:lineRule="auto"/>
              <w:jc w:val="both"/>
              <w:rPr>
                <w:rFonts w:ascii="Times New Roman" w:eastAsia="TimesNewRoman" w:hAnsi="Times New Roman"/>
                <w:sz w:val="20"/>
                <w:szCs w:val="20"/>
                <w:lang w:eastAsia="ru-RU"/>
              </w:rPr>
            </w:pPr>
            <w:r>
              <w:rPr>
                <w:rFonts w:ascii="Times New Roman" w:eastAsia="TimesNewRoman" w:hAnsi="Times New Roman"/>
                <w:sz w:val="20"/>
                <w:szCs w:val="20"/>
                <w:lang w:eastAsia="ru-RU"/>
              </w:rPr>
              <w:t>Волгоградская область</w:t>
            </w:r>
          </w:p>
        </w:tc>
        <w:tc>
          <w:tcPr>
            <w:tcW w:w="2546" w:type="dxa"/>
            <w:tcBorders>
              <w:top w:val="single" w:sz="4" w:space="0" w:color="000000"/>
              <w:left w:val="single" w:sz="4" w:space="0" w:color="000000"/>
              <w:bottom w:val="single" w:sz="4" w:space="0" w:color="000000"/>
              <w:right w:val="single" w:sz="4" w:space="0" w:color="000000"/>
            </w:tcBorders>
          </w:tcPr>
          <w:p w14:paraId="585EAEC0" w14:textId="77777777" w:rsidR="002449C2" w:rsidRDefault="00123961">
            <w:pPr>
              <w:spacing w:after="0" w:line="240" w:lineRule="auto"/>
              <w:jc w:val="both"/>
              <w:rPr>
                <w:rFonts w:ascii="Times New Roman" w:eastAsia="TimesNewRoman" w:hAnsi="Times New Roman"/>
                <w:sz w:val="20"/>
                <w:szCs w:val="20"/>
                <w:lang w:eastAsia="ru-RU"/>
              </w:rPr>
            </w:pPr>
            <w:r>
              <w:rPr>
                <w:rFonts w:ascii="Times New Roman" w:eastAsia="TimesNewRoman" w:hAnsi="Times New Roman"/>
                <w:sz w:val="20"/>
                <w:szCs w:val="20"/>
                <w:lang w:eastAsia="ru-RU"/>
              </w:rPr>
              <w:t>112, 877</w:t>
            </w:r>
          </w:p>
        </w:tc>
        <w:tc>
          <w:tcPr>
            <w:tcW w:w="2734" w:type="dxa"/>
            <w:tcBorders>
              <w:top w:val="single" w:sz="4" w:space="0" w:color="000000"/>
              <w:left w:val="single" w:sz="4" w:space="0" w:color="000000"/>
              <w:bottom w:val="single" w:sz="4" w:space="0" w:color="000000"/>
              <w:right w:val="single" w:sz="4" w:space="0" w:color="000000"/>
            </w:tcBorders>
          </w:tcPr>
          <w:p w14:paraId="4362F01D" w14:textId="77777777" w:rsidR="002449C2" w:rsidRDefault="00123961">
            <w:pPr>
              <w:spacing w:after="0" w:line="240" w:lineRule="auto"/>
              <w:jc w:val="both"/>
              <w:rPr>
                <w:rFonts w:ascii="Times New Roman" w:eastAsia="TimesNewRoman" w:hAnsi="Times New Roman"/>
                <w:sz w:val="20"/>
                <w:szCs w:val="20"/>
                <w:lang w:eastAsia="ru-RU"/>
              </w:rPr>
            </w:pPr>
            <w:r>
              <w:rPr>
                <w:rFonts w:ascii="Times New Roman" w:eastAsia="TimesNewRoman" w:hAnsi="Times New Roman"/>
                <w:sz w:val="20"/>
                <w:szCs w:val="20"/>
                <w:lang w:eastAsia="ru-RU"/>
              </w:rPr>
              <w:t>2 453 898</w:t>
            </w:r>
          </w:p>
        </w:tc>
      </w:tr>
      <w:tr w:rsidR="002449C2" w14:paraId="75C131AB" w14:textId="77777777">
        <w:trPr>
          <w:jc w:val="center"/>
        </w:trPr>
        <w:tc>
          <w:tcPr>
            <w:tcW w:w="4213" w:type="dxa"/>
            <w:tcBorders>
              <w:top w:val="single" w:sz="4" w:space="0" w:color="000000"/>
              <w:left w:val="single" w:sz="4" w:space="0" w:color="000000"/>
              <w:bottom w:val="single" w:sz="4" w:space="0" w:color="000000"/>
              <w:right w:val="single" w:sz="4" w:space="0" w:color="000000"/>
            </w:tcBorders>
            <w:shd w:val="clear" w:color="auto" w:fill="BDD6EE"/>
          </w:tcPr>
          <w:p w14:paraId="022628BB" w14:textId="77777777" w:rsidR="002449C2" w:rsidRDefault="00123961">
            <w:pPr>
              <w:spacing w:after="0" w:line="240" w:lineRule="auto"/>
              <w:jc w:val="both"/>
              <w:rPr>
                <w:rFonts w:ascii="Times New Roman" w:eastAsia="TimesNewRoman" w:hAnsi="Times New Roman"/>
                <w:sz w:val="20"/>
                <w:szCs w:val="20"/>
                <w:lang w:eastAsia="ru-RU"/>
              </w:rPr>
            </w:pPr>
            <w:r>
              <w:rPr>
                <w:rFonts w:ascii="Times New Roman" w:eastAsia="TimesNewRoman" w:hAnsi="Times New Roman"/>
                <w:sz w:val="20"/>
                <w:szCs w:val="20"/>
                <w:lang w:eastAsia="ru-RU"/>
              </w:rPr>
              <w:t>Ростовская область</w:t>
            </w:r>
          </w:p>
        </w:tc>
        <w:tc>
          <w:tcPr>
            <w:tcW w:w="2546" w:type="dxa"/>
            <w:tcBorders>
              <w:top w:val="single" w:sz="4" w:space="0" w:color="000000"/>
              <w:left w:val="single" w:sz="4" w:space="0" w:color="000000"/>
              <w:bottom w:val="single" w:sz="4" w:space="0" w:color="000000"/>
              <w:right w:val="single" w:sz="4" w:space="0" w:color="000000"/>
            </w:tcBorders>
          </w:tcPr>
          <w:p w14:paraId="0CF54755" w14:textId="77777777" w:rsidR="002449C2" w:rsidRDefault="00123961">
            <w:pPr>
              <w:spacing w:after="0" w:line="240" w:lineRule="auto"/>
              <w:jc w:val="both"/>
              <w:rPr>
                <w:rFonts w:ascii="Times New Roman" w:eastAsia="TimesNewRoman" w:hAnsi="Times New Roman"/>
                <w:sz w:val="20"/>
                <w:szCs w:val="20"/>
                <w:lang w:eastAsia="ru-RU"/>
              </w:rPr>
            </w:pPr>
            <w:r>
              <w:rPr>
                <w:rFonts w:ascii="Times New Roman" w:eastAsia="TimesNewRoman" w:hAnsi="Times New Roman"/>
                <w:sz w:val="20"/>
                <w:szCs w:val="20"/>
                <w:lang w:eastAsia="ru-RU"/>
              </w:rPr>
              <w:t>100,967</w:t>
            </w:r>
          </w:p>
        </w:tc>
        <w:tc>
          <w:tcPr>
            <w:tcW w:w="2734" w:type="dxa"/>
            <w:tcBorders>
              <w:top w:val="single" w:sz="4" w:space="0" w:color="000000"/>
              <w:left w:val="single" w:sz="4" w:space="0" w:color="000000"/>
              <w:bottom w:val="single" w:sz="4" w:space="0" w:color="000000"/>
              <w:right w:val="single" w:sz="4" w:space="0" w:color="000000"/>
            </w:tcBorders>
          </w:tcPr>
          <w:p w14:paraId="38BE409A" w14:textId="77777777" w:rsidR="002449C2" w:rsidRDefault="00123961">
            <w:pPr>
              <w:spacing w:after="0" w:line="240" w:lineRule="auto"/>
              <w:jc w:val="both"/>
              <w:rPr>
                <w:rFonts w:ascii="Times New Roman" w:eastAsia="TimesNewRoman" w:hAnsi="Times New Roman"/>
                <w:sz w:val="20"/>
                <w:szCs w:val="20"/>
                <w:lang w:eastAsia="ru-RU"/>
              </w:rPr>
            </w:pPr>
            <w:r>
              <w:rPr>
                <w:rFonts w:ascii="Times New Roman" w:eastAsia="TimesNewRoman" w:hAnsi="Times New Roman"/>
                <w:sz w:val="20"/>
                <w:szCs w:val="20"/>
                <w:lang w:eastAsia="ru-RU"/>
              </w:rPr>
              <w:t>4 152 518</w:t>
            </w:r>
          </w:p>
        </w:tc>
      </w:tr>
      <w:tr w:rsidR="002449C2" w14:paraId="553E68C4" w14:textId="77777777">
        <w:trPr>
          <w:jc w:val="center"/>
        </w:trPr>
        <w:tc>
          <w:tcPr>
            <w:tcW w:w="4213" w:type="dxa"/>
            <w:tcBorders>
              <w:top w:val="single" w:sz="4" w:space="0" w:color="000000"/>
              <w:left w:val="single" w:sz="4" w:space="0" w:color="000000"/>
              <w:bottom w:val="single" w:sz="4" w:space="0" w:color="000000"/>
              <w:right w:val="single" w:sz="4" w:space="0" w:color="000000"/>
            </w:tcBorders>
            <w:shd w:val="clear" w:color="auto" w:fill="FBE4D5"/>
          </w:tcPr>
          <w:p w14:paraId="0F9B66F5" w14:textId="77777777" w:rsidR="002449C2" w:rsidRDefault="00123961">
            <w:pPr>
              <w:spacing w:after="0" w:line="240" w:lineRule="auto"/>
              <w:jc w:val="both"/>
              <w:rPr>
                <w:rFonts w:ascii="Times New Roman" w:eastAsia="TimesNewRoman" w:hAnsi="Times New Roman"/>
                <w:sz w:val="20"/>
                <w:szCs w:val="20"/>
                <w:lang w:eastAsia="ru-RU"/>
              </w:rPr>
            </w:pPr>
            <w:r>
              <w:rPr>
                <w:rFonts w:ascii="Times New Roman" w:eastAsia="TimesNewRoman" w:hAnsi="Times New Roman"/>
                <w:sz w:val="20"/>
                <w:szCs w:val="20"/>
                <w:lang w:eastAsia="ru-RU"/>
              </w:rPr>
              <w:t>Республика Калмыкия</w:t>
            </w:r>
          </w:p>
        </w:tc>
        <w:tc>
          <w:tcPr>
            <w:tcW w:w="2546" w:type="dxa"/>
            <w:tcBorders>
              <w:top w:val="single" w:sz="4" w:space="0" w:color="000000"/>
              <w:left w:val="single" w:sz="4" w:space="0" w:color="000000"/>
              <w:bottom w:val="single" w:sz="4" w:space="0" w:color="000000"/>
              <w:right w:val="single" w:sz="4" w:space="0" w:color="000000"/>
            </w:tcBorders>
          </w:tcPr>
          <w:p w14:paraId="57C985F7" w14:textId="77777777" w:rsidR="002449C2" w:rsidRDefault="00123961">
            <w:pPr>
              <w:spacing w:after="0" w:line="240" w:lineRule="auto"/>
              <w:jc w:val="both"/>
              <w:rPr>
                <w:rFonts w:ascii="Times New Roman" w:eastAsia="TimesNewRoman" w:hAnsi="Times New Roman"/>
                <w:sz w:val="20"/>
                <w:szCs w:val="20"/>
                <w:lang w:eastAsia="ru-RU"/>
              </w:rPr>
            </w:pPr>
            <w:r>
              <w:rPr>
                <w:rFonts w:ascii="Times New Roman" w:eastAsia="TimesNewRoman" w:hAnsi="Times New Roman"/>
                <w:sz w:val="20"/>
                <w:szCs w:val="20"/>
                <w:lang w:eastAsia="ru-RU"/>
              </w:rPr>
              <w:t>74,731</w:t>
            </w:r>
          </w:p>
        </w:tc>
        <w:tc>
          <w:tcPr>
            <w:tcW w:w="2734" w:type="dxa"/>
            <w:tcBorders>
              <w:top w:val="single" w:sz="4" w:space="0" w:color="000000"/>
              <w:left w:val="single" w:sz="4" w:space="0" w:color="000000"/>
              <w:bottom w:val="single" w:sz="4" w:space="0" w:color="000000"/>
              <w:right w:val="single" w:sz="4" w:space="0" w:color="000000"/>
            </w:tcBorders>
          </w:tcPr>
          <w:p w14:paraId="69254113" w14:textId="77777777" w:rsidR="002449C2" w:rsidRDefault="00123961">
            <w:pPr>
              <w:spacing w:after="0" w:line="240" w:lineRule="auto"/>
              <w:jc w:val="both"/>
              <w:rPr>
                <w:rFonts w:ascii="Times New Roman" w:eastAsia="TimesNewRoman" w:hAnsi="Times New Roman"/>
                <w:sz w:val="20"/>
                <w:szCs w:val="20"/>
                <w:lang w:eastAsia="ru-RU"/>
              </w:rPr>
            </w:pPr>
            <w:r>
              <w:rPr>
                <w:rFonts w:ascii="Times New Roman" w:eastAsia="TimesNewRoman" w:hAnsi="Times New Roman"/>
                <w:sz w:val="20"/>
                <w:szCs w:val="20"/>
                <w:lang w:eastAsia="ru-RU"/>
              </w:rPr>
              <w:t>266 770</w:t>
            </w:r>
          </w:p>
        </w:tc>
      </w:tr>
    </w:tbl>
    <w:p w14:paraId="56461280" w14:textId="09AC3D51" w:rsidR="002449C2" w:rsidRDefault="00123961">
      <w:pPr>
        <w:tabs>
          <w:tab w:val="left" w:pos="142"/>
        </w:tabs>
        <w:spacing w:before="120"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Филиалы Общества созданы решением Совета директоров Общества 11.01.2008 (протокол от 16.01.2008 №6/2008). Все филиалы ПАО «Россети Юг», за исключением филиала ПАО «Россети Юг» - «Кубаньэнерго», действуют с 31.03.2008.</w:t>
      </w:r>
    </w:p>
    <w:p w14:paraId="59409689" w14:textId="77777777" w:rsidR="002449C2" w:rsidRDefault="00123961">
      <w:pPr>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 14.02.2020 все филиалы переименованы в филиалы ПАО «Россети Юг». Филиал ПАО «Россети Юг» - «Кубаньэнерго» операционной деятельности не ведет.</w:t>
      </w:r>
    </w:p>
    <w:p w14:paraId="1DDBDE0A" w14:textId="77777777" w:rsidR="002449C2" w:rsidRDefault="002449C2">
      <w:pPr>
        <w:tabs>
          <w:tab w:val="left" w:pos="142"/>
        </w:tabs>
        <w:spacing w:after="0" w:line="240" w:lineRule="auto"/>
        <w:ind w:firstLine="567"/>
        <w:jc w:val="both"/>
        <w:rPr>
          <w:rFonts w:ascii="Times New Roman" w:eastAsia="Times New Roman" w:hAnsi="Times New Roman"/>
          <w:sz w:val="26"/>
          <w:szCs w:val="26"/>
          <w:lang w:eastAsia="ru-RU"/>
        </w:rPr>
      </w:pPr>
    </w:p>
    <w:tbl>
      <w:tblPr>
        <w:tblW w:w="9345" w:type="dxa"/>
        <w:tblLayout w:type="fixed"/>
        <w:tblLook w:val="04A0" w:firstRow="1" w:lastRow="0" w:firstColumn="1" w:lastColumn="0" w:noHBand="0" w:noVBand="1"/>
      </w:tblPr>
      <w:tblGrid>
        <w:gridCol w:w="3281"/>
        <w:gridCol w:w="6064"/>
      </w:tblGrid>
      <w:tr w:rsidR="002449C2" w14:paraId="0A7BE564" w14:textId="77777777">
        <w:tc>
          <w:tcPr>
            <w:tcW w:w="3281" w:type="dxa"/>
            <w:tcBorders>
              <w:top w:val="single" w:sz="4" w:space="0" w:color="000000"/>
              <w:left w:val="single" w:sz="4" w:space="0" w:color="000000"/>
              <w:bottom w:val="single" w:sz="4" w:space="0" w:color="000000"/>
              <w:right w:val="single" w:sz="4" w:space="0" w:color="000000"/>
            </w:tcBorders>
            <w:shd w:val="clear" w:color="auto" w:fill="FFF2CC"/>
          </w:tcPr>
          <w:p w14:paraId="16E1D810" w14:textId="77777777" w:rsidR="002449C2" w:rsidRDefault="00123961">
            <w:pPr>
              <w:tabs>
                <w:tab w:val="left" w:pos="142"/>
              </w:tabs>
              <w:spacing w:after="0" w:line="240" w:lineRule="auto"/>
              <w:rPr>
                <w:rFonts w:ascii="Times New Roman" w:hAnsi="Times New Roman"/>
                <w:b/>
                <w:sz w:val="20"/>
                <w:szCs w:val="20"/>
                <w:lang w:eastAsia="en-US"/>
              </w:rPr>
            </w:pPr>
            <w:r>
              <w:rPr>
                <w:rFonts w:ascii="Times New Roman" w:hAnsi="Times New Roman"/>
                <w:sz w:val="20"/>
                <w:szCs w:val="20"/>
                <w:lang w:eastAsia="ru-RU"/>
              </w:rPr>
              <w:t>Филиал</w:t>
            </w:r>
            <w:r>
              <w:rPr>
                <w:rFonts w:ascii="Times New Roman" w:eastAsia="Times New Roman" w:hAnsi="Times New Roman"/>
                <w:sz w:val="20"/>
                <w:szCs w:val="20"/>
                <w:lang w:eastAsia="ru-RU"/>
              </w:rPr>
              <w:t xml:space="preserve"> </w:t>
            </w:r>
            <w:r>
              <w:rPr>
                <w:rFonts w:ascii="Times New Roman" w:hAnsi="Times New Roman"/>
                <w:sz w:val="20"/>
                <w:szCs w:val="20"/>
                <w:lang w:eastAsia="ru-RU"/>
              </w:rPr>
              <w:t>ПАО «Россети Юг» — «Астраханьэнерго»</w:t>
            </w:r>
          </w:p>
        </w:tc>
        <w:tc>
          <w:tcPr>
            <w:tcW w:w="6063" w:type="dxa"/>
            <w:tcBorders>
              <w:top w:val="single" w:sz="4" w:space="0" w:color="000000"/>
              <w:left w:val="single" w:sz="4" w:space="0" w:color="000000"/>
              <w:bottom w:val="single" w:sz="4" w:space="0" w:color="000000"/>
              <w:right w:val="single" w:sz="4" w:space="0" w:color="000000"/>
            </w:tcBorders>
          </w:tcPr>
          <w:p w14:paraId="712A9AA7" w14:textId="77777777" w:rsidR="002449C2" w:rsidRDefault="00123961">
            <w:pPr>
              <w:tabs>
                <w:tab w:val="left" w:pos="142"/>
              </w:tabs>
              <w:spacing w:after="0" w:line="240" w:lineRule="auto"/>
              <w:rPr>
                <w:rFonts w:ascii="Times New Roman" w:hAnsi="Times New Roman"/>
                <w:b/>
                <w:color w:val="0069FB"/>
                <w:sz w:val="20"/>
                <w:szCs w:val="20"/>
                <w:lang w:eastAsia="en-US"/>
              </w:rPr>
            </w:pPr>
            <w:r>
              <w:rPr>
                <w:rFonts w:ascii="Times New Roman" w:eastAsia="Times New Roman" w:hAnsi="Times New Roman"/>
                <w:sz w:val="20"/>
                <w:szCs w:val="20"/>
                <w:lang w:eastAsia="ru-RU"/>
              </w:rPr>
              <w:t>414000, г. Астрахань, ул. Советской милиции д.19</w:t>
            </w:r>
          </w:p>
        </w:tc>
      </w:tr>
      <w:tr w:rsidR="002449C2" w14:paraId="0D994521" w14:textId="77777777">
        <w:tc>
          <w:tcPr>
            <w:tcW w:w="3281" w:type="dxa"/>
            <w:tcBorders>
              <w:top w:val="single" w:sz="4" w:space="0" w:color="000000"/>
              <w:left w:val="single" w:sz="4" w:space="0" w:color="000000"/>
              <w:bottom w:val="single" w:sz="4" w:space="0" w:color="000000"/>
              <w:right w:val="single" w:sz="4" w:space="0" w:color="000000"/>
            </w:tcBorders>
            <w:shd w:val="clear" w:color="auto" w:fill="E2EFD9"/>
          </w:tcPr>
          <w:p w14:paraId="4E1BF662" w14:textId="77777777" w:rsidR="002449C2" w:rsidRDefault="00123961">
            <w:pPr>
              <w:tabs>
                <w:tab w:val="left" w:pos="142"/>
              </w:tabs>
              <w:spacing w:after="0" w:line="240" w:lineRule="auto"/>
              <w:rPr>
                <w:rFonts w:ascii="Times New Roman" w:hAnsi="Times New Roman"/>
                <w:b/>
                <w:sz w:val="20"/>
                <w:szCs w:val="20"/>
                <w:lang w:eastAsia="en-US"/>
              </w:rPr>
            </w:pPr>
            <w:r>
              <w:rPr>
                <w:rFonts w:ascii="Times New Roman" w:hAnsi="Times New Roman"/>
                <w:sz w:val="20"/>
                <w:szCs w:val="20"/>
                <w:lang w:eastAsia="ru-RU"/>
              </w:rPr>
              <w:t>Филиал ПАО «Россети Юг» — «Волгоградэнерго»</w:t>
            </w:r>
          </w:p>
        </w:tc>
        <w:tc>
          <w:tcPr>
            <w:tcW w:w="6063" w:type="dxa"/>
            <w:tcBorders>
              <w:top w:val="single" w:sz="4" w:space="0" w:color="000000"/>
              <w:left w:val="single" w:sz="4" w:space="0" w:color="000000"/>
              <w:bottom w:val="single" w:sz="4" w:space="0" w:color="000000"/>
              <w:right w:val="single" w:sz="4" w:space="0" w:color="000000"/>
            </w:tcBorders>
          </w:tcPr>
          <w:p w14:paraId="21C7EB44" w14:textId="77777777" w:rsidR="002449C2" w:rsidRDefault="00123961">
            <w:pPr>
              <w:tabs>
                <w:tab w:val="left" w:pos="142"/>
              </w:tabs>
              <w:spacing w:after="0" w:line="240" w:lineRule="auto"/>
              <w:rPr>
                <w:rFonts w:ascii="Times New Roman" w:hAnsi="Times New Roman"/>
                <w:b/>
                <w:color w:val="0069FB"/>
                <w:sz w:val="20"/>
                <w:szCs w:val="20"/>
                <w:lang w:eastAsia="en-US"/>
              </w:rPr>
            </w:pPr>
            <w:r>
              <w:rPr>
                <w:rFonts w:ascii="Times New Roman" w:eastAsia="Times New Roman" w:hAnsi="Times New Roman"/>
                <w:sz w:val="20"/>
                <w:szCs w:val="20"/>
                <w:lang w:eastAsia="ru-RU"/>
              </w:rPr>
              <w:t>400066, г. Волгоград, пр-т им. В.И.  Ленина, д. 15;</w:t>
            </w:r>
          </w:p>
        </w:tc>
      </w:tr>
      <w:tr w:rsidR="002449C2" w14:paraId="3351A0C6" w14:textId="77777777">
        <w:tc>
          <w:tcPr>
            <w:tcW w:w="3281" w:type="dxa"/>
            <w:tcBorders>
              <w:top w:val="single" w:sz="4" w:space="0" w:color="000000"/>
              <w:left w:val="single" w:sz="4" w:space="0" w:color="000000"/>
              <w:bottom w:val="single" w:sz="4" w:space="0" w:color="000000"/>
              <w:right w:val="single" w:sz="4" w:space="0" w:color="000000"/>
            </w:tcBorders>
            <w:shd w:val="clear" w:color="auto" w:fill="FBE4D5"/>
          </w:tcPr>
          <w:p w14:paraId="4BFDCA05" w14:textId="77777777" w:rsidR="002449C2" w:rsidRDefault="00123961">
            <w:pPr>
              <w:tabs>
                <w:tab w:val="left" w:pos="142"/>
              </w:tabs>
              <w:spacing w:after="0" w:line="240" w:lineRule="auto"/>
              <w:rPr>
                <w:rFonts w:ascii="Times New Roman" w:hAnsi="Times New Roman"/>
                <w:b/>
                <w:sz w:val="20"/>
                <w:szCs w:val="20"/>
                <w:lang w:eastAsia="en-US"/>
              </w:rPr>
            </w:pPr>
            <w:r>
              <w:rPr>
                <w:rFonts w:ascii="Times New Roman" w:hAnsi="Times New Roman"/>
                <w:sz w:val="20"/>
                <w:szCs w:val="20"/>
                <w:lang w:eastAsia="ru-RU"/>
              </w:rPr>
              <w:t>Филиал ПАО «Россети Юг» — «Калмэнерго»</w:t>
            </w:r>
          </w:p>
        </w:tc>
        <w:tc>
          <w:tcPr>
            <w:tcW w:w="6063" w:type="dxa"/>
            <w:tcBorders>
              <w:top w:val="single" w:sz="4" w:space="0" w:color="000000"/>
              <w:left w:val="single" w:sz="4" w:space="0" w:color="000000"/>
              <w:bottom w:val="single" w:sz="4" w:space="0" w:color="000000"/>
              <w:right w:val="single" w:sz="4" w:space="0" w:color="000000"/>
            </w:tcBorders>
          </w:tcPr>
          <w:p w14:paraId="623C0326" w14:textId="77777777" w:rsidR="002449C2" w:rsidRDefault="00123961">
            <w:pPr>
              <w:tabs>
                <w:tab w:val="left" w:pos="142"/>
              </w:tabs>
              <w:spacing w:after="0" w:line="240" w:lineRule="auto"/>
              <w:rPr>
                <w:rFonts w:ascii="Times New Roman" w:hAnsi="Times New Roman"/>
                <w:b/>
                <w:color w:val="0069FB"/>
                <w:sz w:val="20"/>
                <w:szCs w:val="20"/>
                <w:lang w:eastAsia="en-US"/>
              </w:rPr>
            </w:pPr>
            <w:r>
              <w:rPr>
                <w:rFonts w:ascii="Times New Roman" w:eastAsia="Times New Roman" w:hAnsi="Times New Roman"/>
                <w:sz w:val="20"/>
                <w:szCs w:val="20"/>
                <w:lang w:eastAsia="ru-RU"/>
              </w:rPr>
              <w:t>358007, Республика Калмыкия, г. Элиста, Северная промышленная зона-1</w:t>
            </w:r>
          </w:p>
        </w:tc>
      </w:tr>
      <w:tr w:rsidR="002449C2" w14:paraId="15617BC2" w14:textId="77777777">
        <w:tc>
          <w:tcPr>
            <w:tcW w:w="3281" w:type="dxa"/>
            <w:tcBorders>
              <w:top w:val="single" w:sz="4" w:space="0" w:color="000000"/>
              <w:left w:val="single" w:sz="4" w:space="0" w:color="000000"/>
              <w:bottom w:val="single" w:sz="4" w:space="0" w:color="000000"/>
              <w:right w:val="single" w:sz="4" w:space="0" w:color="000000"/>
            </w:tcBorders>
            <w:shd w:val="clear" w:color="auto" w:fill="EDEDED"/>
          </w:tcPr>
          <w:p w14:paraId="5D9188D8" w14:textId="77777777" w:rsidR="002449C2" w:rsidRDefault="00123961">
            <w:pPr>
              <w:tabs>
                <w:tab w:val="left" w:pos="142"/>
              </w:tabs>
              <w:spacing w:after="0" w:line="240" w:lineRule="auto"/>
              <w:rPr>
                <w:rFonts w:ascii="Times New Roman" w:hAnsi="Times New Roman"/>
                <w:b/>
                <w:sz w:val="20"/>
                <w:szCs w:val="20"/>
                <w:lang w:eastAsia="en-US"/>
              </w:rPr>
            </w:pPr>
            <w:r>
              <w:rPr>
                <w:rFonts w:ascii="Times New Roman" w:hAnsi="Times New Roman"/>
                <w:sz w:val="20"/>
                <w:szCs w:val="20"/>
                <w:lang w:eastAsia="ru-RU"/>
              </w:rPr>
              <w:t>Филиал ПАО «Россети Юг» — «Кубаньэнерго</w:t>
            </w:r>
          </w:p>
        </w:tc>
        <w:tc>
          <w:tcPr>
            <w:tcW w:w="6063" w:type="dxa"/>
            <w:tcBorders>
              <w:top w:val="single" w:sz="4" w:space="0" w:color="000000"/>
              <w:left w:val="single" w:sz="4" w:space="0" w:color="000000"/>
              <w:bottom w:val="single" w:sz="4" w:space="0" w:color="000000"/>
              <w:right w:val="single" w:sz="4" w:space="0" w:color="000000"/>
            </w:tcBorders>
          </w:tcPr>
          <w:p w14:paraId="333BBA29" w14:textId="77777777" w:rsidR="002449C2" w:rsidRDefault="00123961">
            <w:pPr>
              <w:tabs>
                <w:tab w:val="left" w:pos="0"/>
              </w:tabs>
              <w:spacing w:after="0" w:line="240" w:lineRule="auto"/>
              <w:rPr>
                <w:rFonts w:ascii="Times New Roman" w:hAnsi="Times New Roman"/>
                <w:b/>
                <w:color w:val="0069FB"/>
                <w:sz w:val="20"/>
                <w:szCs w:val="20"/>
                <w:lang w:eastAsia="en-US"/>
              </w:rPr>
            </w:pPr>
            <w:r>
              <w:rPr>
                <w:rFonts w:ascii="Times New Roman" w:eastAsia="Times New Roman" w:hAnsi="Times New Roman"/>
                <w:sz w:val="20"/>
                <w:szCs w:val="20"/>
                <w:lang w:eastAsia="ru-RU"/>
              </w:rPr>
              <w:t>353480, г. Геленджик, с. Кабардинка, ул. Мира д.12;</w:t>
            </w:r>
          </w:p>
        </w:tc>
      </w:tr>
      <w:tr w:rsidR="002449C2" w14:paraId="79A4367F" w14:textId="77777777">
        <w:tc>
          <w:tcPr>
            <w:tcW w:w="3281" w:type="dxa"/>
            <w:tcBorders>
              <w:top w:val="single" w:sz="4" w:space="0" w:color="000000"/>
              <w:left w:val="single" w:sz="4" w:space="0" w:color="000000"/>
              <w:bottom w:val="single" w:sz="4" w:space="0" w:color="000000"/>
              <w:right w:val="single" w:sz="4" w:space="0" w:color="000000"/>
            </w:tcBorders>
            <w:shd w:val="clear" w:color="auto" w:fill="D9E2F3"/>
          </w:tcPr>
          <w:p w14:paraId="57D5722E" w14:textId="77777777" w:rsidR="002449C2" w:rsidRDefault="00123961">
            <w:pPr>
              <w:tabs>
                <w:tab w:val="left" w:pos="142"/>
              </w:tabs>
              <w:spacing w:after="0" w:line="240" w:lineRule="auto"/>
              <w:rPr>
                <w:rFonts w:ascii="Times New Roman" w:hAnsi="Times New Roman"/>
                <w:b/>
                <w:sz w:val="20"/>
                <w:szCs w:val="20"/>
                <w:lang w:eastAsia="en-US"/>
              </w:rPr>
            </w:pPr>
            <w:r>
              <w:rPr>
                <w:rFonts w:ascii="Times New Roman" w:hAnsi="Times New Roman"/>
                <w:sz w:val="20"/>
                <w:szCs w:val="20"/>
                <w:lang w:eastAsia="ru-RU"/>
              </w:rPr>
              <w:t>Филиал ПАО «Россети Юг» — «Ростовэнерго»</w:t>
            </w:r>
          </w:p>
        </w:tc>
        <w:tc>
          <w:tcPr>
            <w:tcW w:w="6063" w:type="dxa"/>
            <w:tcBorders>
              <w:top w:val="single" w:sz="4" w:space="0" w:color="000000"/>
              <w:left w:val="single" w:sz="4" w:space="0" w:color="000000"/>
              <w:bottom w:val="single" w:sz="4" w:space="0" w:color="000000"/>
              <w:right w:val="single" w:sz="4" w:space="0" w:color="000000"/>
            </w:tcBorders>
          </w:tcPr>
          <w:p w14:paraId="328A2B19" w14:textId="77777777" w:rsidR="002449C2" w:rsidRDefault="00123961">
            <w:pPr>
              <w:tabs>
                <w:tab w:val="left" w:pos="142"/>
              </w:tabs>
              <w:spacing w:after="0" w:line="240" w:lineRule="auto"/>
              <w:rPr>
                <w:rFonts w:ascii="Times New Roman" w:hAnsi="Times New Roman"/>
                <w:b/>
                <w:color w:val="0069FB"/>
                <w:sz w:val="20"/>
                <w:szCs w:val="20"/>
                <w:lang w:eastAsia="en-US"/>
              </w:rPr>
            </w:pPr>
            <w:r>
              <w:rPr>
                <w:rFonts w:ascii="Times New Roman" w:eastAsia="Times New Roman" w:hAnsi="Times New Roman"/>
                <w:sz w:val="20"/>
                <w:szCs w:val="20"/>
                <w:lang w:eastAsia="ru-RU"/>
              </w:rPr>
              <w:t>344002, г. Ростов-на-Дону, ул. Большая Садовая, д. 49/42.</w:t>
            </w:r>
          </w:p>
        </w:tc>
      </w:tr>
    </w:tbl>
    <w:p w14:paraId="2BCB8CDD" w14:textId="39F1E78E" w:rsidR="002449C2" w:rsidRDefault="00123961">
      <w:pPr>
        <w:tabs>
          <w:tab w:val="left" w:pos="142"/>
        </w:tabs>
        <w:spacing w:before="120"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2023 году изменения в организационную структуру ПАО «Россети Юг» не вносились. По состоянию на 31.12.2024 действует организационная структура ПАО «Россети Юг», утвержденная Советом директоров Общества 14.02.2022 (протокол от </w:t>
      </w:r>
      <w:proofErr w:type="gramStart"/>
      <w:r>
        <w:rPr>
          <w:rFonts w:ascii="Times New Roman" w:eastAsia="Times New Roman" w:hAnsi="Times New Roman"/>
          <w:sz w:val="26"/>
          <w:szCs w:val="26"/>
          <w:lang w:eastAsia="ru-RU"/>
        </w:rPr>
        <w:t>17.02.2022  №</w:t>
      </w:r>
      <w:proofErr w:type="gramEnd"/>
      <w:r>
        <w:rPr>
          <w:rFonts w:ascii="Times New Roman" w:eastAsia="Times New Roman" w:hAnsi="Times New Roman"/>
          <w:sz w:val="26"/>
          <w:szCs w:val="26"/>
          <w:lang w:eastAsia="ru-RU"/>
        </w:rPr>
        <w:t> 466/2022).</w:t>
      </w:r>
    </w:p>
    <w:p w14:paraId="104D1126" w14:textId="77777777" w:rsidR="004C2091" w:rsidRDefault="004C2091">
      <w:pPr>
        <w:tabs>
          <w:tab w:val="left" w:pos="142"/>
        </w:tabs>
        <w:spacing w:before="120" w:after="0" w:line="240" w:lineRule="auto"/>
        <w:ind w:firstLine="567"/>
        <w:jc w:val="both"/>
        <w:rPr>
          <w:rFonts w:ascii="Times New Roman" w:eastAsia="Times New Roman" w:hAnsi="Times New Roman"/>
          <w:sz w:val="26"/>
          <w:szCs w:val="26"/>
          <w:lang w:eastAsia="ru-RU"/>
        </w:rPr>
      </w:pPr>
    </w:p>
    <w:tbl>
      <w:tblPr>
        <w:tblW w:w="9355" w:type="dxa"/>
        <w:tblLayout w:type="fixed"/>
        <w:tblLook w:val="04A0" w:firstRow="1" w:lastRow="0" w:firstColumn="1" w:lastColumn="0" w:noHBand="0" w:noVBand="1"/>
      </w:tblPr>
      <w:tblGrid>
        <w:gridCol w:w="1798"/>
        <w:gridCol w:w="7557"/>
      </w:tblGrid>
      <w:tr w:rsidR="002449C2" w14:paraId="682D6F05" w14:textId="77777777">
        <w:trPr>
          <w:trHeight w:val="1542"/>
        </w:trPr>
        <w:tc>
          <w:tcPr>
            <w:tcW w:w="1798" w:type="dxa"/>
          </w:tcPr>
          <w:p w14:paraId="6AEF9F3A" w14:textId="77777777" w:rsidR="002449C2" w:rsidRDefault="00123961">
            <w:pPr>
              <w:spacing w:after="0" w:line="240" w:lineRule="auto"/>
              <w:jc w:val="both"/>
              <w:rPr>
                <w:rFonts w:ascii="Times New Roman" w:eastAsia="Times New Roman" w:hAnsi="Times New Roman"/>
                <w:sz w:val="26"/>
                <w:szCs w:val="26"/>
                <w:lang w:eastAsia="ru-RU"/>
              </w:rPr>
            </w:pPr>
            <w:r>
              <w:rPr>
                <w:noProof/>
                <w:lang w:eastAsia="ru-RU"/>
              </w:rPr>
              <w:drawing>
                <wp:inline distT="0" distB="0" distL="0" distR="0" wp14:anchorId="74DF870F" wp14:editId="3E4D4A34">
                  <wp:extent cx="904875" cy="914400"/>
                  <wp:effectExtent l="0" t="0" r="0" b="0"/>
                  <wp:docPr id="4" name="_x005F_x0000_i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x005F_x0000_i4391"/>
                          <pic:cNvPicPr>
                            <a:picLocks noChangeAspect="1" noChangeArrowheads="1"/>
                          </pic:cNvPicPr>
                        </pic:nvPicPr>
                        <pic:blipFill>
                          <a:blip r:embed="rId13">
                            <a:extLst>
                              <a:ext uri="{96DAC541-7B7A-43D3-8B79-37D633B846F1}">
                                <asvg:svgBlip xmlns:asvg="http://schemas.microsoft.com/office/drawing/2016/SVG/main" xmlns:w10="urn:schemas-microsoft-com:office:word" xmlns:w="http://schemas.openxmlformats.org/wordprocessingml/2006/main" xmlns:v="urn:schemas-microsoft-com:vml" xmlns:o="urn:schemas-microsoft-com:office:office" xmlns="" r:embed="rId14"/>
                              </a:ext>
                            </a:extLst>
                          </a:blip>
                          <a:stretch>
                            <a:fillRect/>
                          </a:stretch>
                        </pic:blipFill>
                        <pic:spPr bwMode="auto">
                          <a:xfrm>
                            <a:off x="0" y="0"/>
                            <a:ext cx="904875" cy="914400"/>
                          </a:xfrm>
                          <a:prstGeom prst="rect">
                            <a:avLst/>
                          </a:prstGeom>
                          <a:noFill/>
                        </pic:spPr>
                      </pic:pic>
                    </a:graphicData>
                  </a:graphic>
                </wp:inline>
              </w:drawing>
            </w:r>
          </w:p>
        </w:tc>
        <w:tc>
          <w:tcPr>
            <w:tcW w:w="7556" w:type="dxa"/>
          </w:tcPr>
          <w:p w14:paraId="05BC5841"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b/>
                <w:color w:val="1D1B11"/>
                <w:sz w:val="26"/>
                <w:szCs w:val="26"/>
                <w:lang w:eastAsia="ru-RU"/>
              </w:rPr>
              <w:t>Основные активы</w:t>
            </w:r>
          </w:p>
          <w:p w14:paraId="2592638C"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Общество осуществляет деятельность на территории четырех регионов Южного федерального округа Российской Федерации — Ростовской, Волгоградской, Астраханской областей и Республики Калмыкия.</w:t>
            </w:r>
          </w:p>
          <w:p w14:paraId="7C01B298" w14:textId="77777777" w:rsidR="002449C2" w:rsidRDefault="002449C2">
            <w:pPr>
              <w:spacing w:after="0" w:line="240" w:lineRule="auto"/>
              <w:ind w:firstLine="567"/>
              <w:jc w:val="both"/>
              <w:rPr>
                <w:rFonts w:ascii="Times New Roman" w:eastAsia="Times New Roman" w:hAnsi="Times New Roman"/>
                <w:sz w:val="26"/>
                <w:szCs w:val="26"/>
                <w:lang w:eastAsia="ru-RU"/>
              </w:rPr>
            </w:pPr>
          </w:p>
        </w:tc>
      </w:tr>
      <w:tr w:rsidR="002449C2" w14:paraId="28C1C044" w14:textId="77777777">
        <w:trPr>
          <w:trHeight w:val="1958"/>
        </w:trPr>
        <w:tc>
          <w:tcPr>
            <w:tcW w:w="1798" w:type="dxa"/>
          </w:tcPr>
          <w:p w14:paraId="3209121F" w14:textId="77777777" w:rsidR="002449C2" w:rsidRDefault="00123961">
            <w:pPr>
              <w:spacing w:after="0" w:line="240" w:lineRule="auto"/>
              <w:jc w:val="both"/>
              <w:rPr>
                <w:rFonts w:ascii="Times New Roman" w:eastAsia="Times New Roman" w:hAnsi="Times New Roman"/>
                <w:b/>
                <w:color w:val="1D1B11"/>
                <w:sz w:val="26"/>
                <w:szCs w:val="26"/>
                <w:lang w:eastAsia="ru-RU"/>
              </w:rPr>
            </w:pPr>
            <w:r>
              <w:rPr>
                <w:noProof/>
                <w:lang w:eastAsia="ru-RU"/>
              </w:rPr>
              <w:drawing>
                <wp:inline distT="0" distB="0" distL="0" distR="0" wp14:anchorId="36247B31" wp14:editId="3096D986">
                  <wp:extent cx="904875" cy="885825"/>
                  <wp:effectExtent l="0" t="0" r="0" b="0"/>
                  <wp:docPr id="5" name="_x005F_x0000_i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_x005F_x0000_i4392"/>
                          <pic:cNvPicPr>
                            <a:picLocks noChangeAspect="1" noChangeArrowheads="1"/>
                          </pic:cNvPicPr>
                        </pic:nvPicPr>
                        <pic:blipFill>
                          <a:blip r:embed="rId15">
                            <a:extLst>
                              <a:ext uri="{96DAC541-7B7A-43D3-8B79-37D633B846F1}">
                                <asvg:svgBlip xmlns:asvg="http://schemas.microsoft.com/office/drawing/2016/SVG/main" xmlns:w10="urn:schemas-microsoft-com:office:word" xmlns:w="http://schemas.openxmlformats.org/wordprocessingml/2006/main" xmlns:v="urn:schemas-microsoft-com:vml" xmlns:o="urn:schemas-microsoft-com:office:office" xmlns="" r:embed="rId16"/>
                              </a:ext>
                            </a:extLst>
                          </a:blip>
                          <a:stretch>
                            <a:fillRect/>
                          </a:stretch>
                        </pic:blipFill>
                        <pic:spPr bwMode="auto">
                          <a:xfrm>
                            <a:off x="0" y="0"/>
                            <a:ext cx="904875" cy="885825"/>
                          </a:xfrm>
                          <a:prstGeom prst="rect">
                            <a:avLst/>
                          </a:prstGeom>
                          <a:noFill/>
                        </pic:spPr>
                      </pic:pic>
                    </a:graphicData>
                  </a:graphic>
                </wp:inline>
              </w:drawing>
            </w:r>
          </w:p>
        </w:tc>
        <w:tc>
          <w:tcPr>
            <w:tcW w:w="7556" w:type="dxa"/>
          </w:tcPr>
          <w:p w14:paraId="2108FA0B" w14:textId="77777777" w:rsidR="002449C2" w:rsidRDefault="00123961">
            <w:pPr>
              <w:spacing w:after="0" w:line="240" w:lineRule="auto"/>
              <w:ind w:firstLine="567"/>
              <w:jc w:val="both"/>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Основные виды деятельности Общества:</w:t>
            </w:r>
          </w:p>
          <w:p w14:paraId="706D361C" w14:textId="77777777" w:rsidR="002449C2" w:rsidRDefault="00123961">
            <w:pPr>
              <w:spacing w:after="0" w:line="240" w:lineRule="auto"/>
              <w:ind w:firstLine="567"/>
              <w:jc w:val="both"/>
              <w:rPr>
                <w:rFonts w:ascii="Times New Roman" w:eastAsia="Times New Roman" w:hAnsi="Times New Roman"/>
                <w:b/>
                <w:color w:val="1D1B11"/>
                <w:sz w:val="26"/>
                <w:szCs w:val="26"/>
                <w:lang w:eastAsia="ru-RU"/>
              </w:rPr>
            </w:pPr>
            <w:r>
              <w:rPr>
                <w:rFonts w:ascii="Times New Roman" w:eastAsia="Times New Roman" w:hAnsi="Times New Roman"/>
                <w:sz w:val="26"/>
                <w:szCs w:val="26"/>
                <w:lang w:eastAsia="ru-RU"/>
              </w:rPr>
              <w:t>Основные виды деятельности – передача электроэнергии и технологическое присоединение к распределительным сетям. Совокупная площадь территории регионов присутствия ПАО «Россети Юг» более 337 тыс. км² (1,96 % территории России), с численностью населения около 8 млн человек (5,4 % населения).</w:t>
            </w:r>
          </w:p>
        </w:tc>
      </w:tr>
    </w:tbl>
    <w:p w14:paraId="6DF44FD4" w14:textId="77777777" w:rsidR="002449C2" w:rsidRDefault="002449C2" w:rsidP="003C4544">
      <w:pPr>
        <w:spacing w:after="0" w:line="240" w:lineRule="auto"/>
        <w:rPr>
          <w:rFonts w:ascii="Times New Roman" w:eastAsia="Times New Roman" w:hAnsi="Times New Roman"/>
          <w:b/>
          <w:color w:val="1D1B11"/>
          <w:sz w:val="26"/>
          <w:szCs w:val="26"/>
          <w:lang w:eastAsia="ru-RU"/>
        </w:rPr>
      </w:pPr>
    </w:p>
    <w:p w14:paraId="275519C2" w14:textId="77777777" w:rsidR="002449C2" w:rsidRDefault="00123961">
      <w:pPr>
        <w:spacing w:after="0"/>
        <w:jc w:val="center"/>
        <w:rPr>
          <w:vanish/>
        </w:rPr>
      </w:pPr>
      <w:r>
        <w:rPr>
          <w:rFonts w:ascii="Times New Roman" w:eastAsia="Times New Roman" w:hAnsi="Times New Roman"/>
          <w:b/>
          <w:color w:val="1D1B11"/>
          <w:sz w:val="26"/>
          <w:szCs w:val="26"/>
          <w:lang w:eastAsia="ru-RU"/>
        </w:rPr>
        <w:t>Производственные активы</w:t>
      </w:r>
    </w:p>
    <w:tbl>
      <w:tblPr>
        <w:tblpPr w:leftFromText="180" w:rightFromText="180" w:vertAnchor="text" w:horzAnchor="page" w:tblpX="1597" w:tblpY="160"/>
        <w:tblW w:w="9639" w:type="dxa"/>
        <w:tblLayout w:type="fixed"/>
        <w:tblLook w:val="04A0" w:firstRow="1" w:lastRow="0" w:firstColumn="1" w:lastColumn="0" w:noHBand="0" w:noVBand="1"/>
      </w:tblPr>
      <w:tblGrid>
        <w:gridCol w:w="1814"/>
        <w:gridCol w:w="1276"/>
        <w:gridCol w:w="1418"/>
        <w:gridCol w:w="1129"/>
        <w:gridCol w:w="1417"/>
        <w:gridCol w:w="1032"/>
        <w:gridCol w:w="1553"/>
      </w:tblGrid>
      <w:tr w:rsidR="002449C2" w14:paraId="06F9AAD1" w14:textId="77777777">
        <w:trPr>
          <w:trHeight w:val="300"/>
        </w:trPr>
        <w:tc>
          <w:tcPr>
            <w:tcW w:w="1813" w:type="dxa"/>
            <w:vMerge w:val="restart"/>
            <w:tcBorders>
              <w:top w:val="single" w:sz="4" w:space="0" w:color="000000"/>
              <w:left w:val="single" w:sz="4" w:space="0" w:color="000000"/>
              <w:bottom w:val="single" w:sz="4" w:space="0" w:color="000000"/>
              <w:right w:val="single" w:sz="4" w:space="0" w:color="000000"/>
            </w:tcBorders>
            <w:shd w:val="clear" w:color="auto" w:fill="D5DCE4"/>
            <w:vAlign w:val="center"/>
          </w:tcPr>
          <w:p w14:paraId="06C9F1E2" w14:textId="77777777" w:rsidR="002449C2" w:rsidRDefault="00123961">
            <w:pPr>
              <w:spacing w:after="0" w:line="240" w:lineRule="auto"/>
              <w:jc w:val="center"/>
              <w:rPr>
                <w:rFonts w:ascii="Times New Roman" w:hAnsi="Times New Roman"/>
                <w:b/>
                <w:sz w:val="28"/>
                <w:szCs w:val="28"/>
                <w:vertAlign w:val="superscript"/>
                <w:lang w:eastAsia="en-US"/>
              </w:rPr>
            </w:pPr>
            <w:r>
              <w:rPr>
                <w:rFonts w:ascii="Times New Roman" w:hAnsi="Times New Roman"/>
                <w:b/>
                <w:sz w:val="28"/>
                <w:szCs w:val="28"/>
                <w:vertAlign w:val="superscript"/>
                <w:lang w:eastAsia="en-US"/>
              </w:rPr>
              <w:t>Наименование</w:t>
            </w:r>
          </w:p>
        </w:tc>
        <w:tc>
          <w:tcPr>
            <w:tcW w:w="2694" w:type="dxa"/>
            <w:gridSpan w:val="2"/>
            <w:tcBorders>
              <w:top w:val="single" w:sz="4" w:space="0" w:color="000000"/>
              <w:bottom w:val="single" w:sz="4" w:space="0" w:color="000000"/>
              <w:right w:val="single" w:sz="4" w:space="0" w:color="000000"/>
            </w:tcBorders>
            <w:shd w:val="clear" w:color="auto" w:fill="D5DCE4"/>
            <w:vAlign w:val="bottom"/>
          </w:tcPr>
          <w:p w14:paraId="0C512CBE" w14:textId="77777777" w:rsidR="002449C2" w:rsidRDefault="00123961">
            <w:pPr>
              <w:spacing w:after="0" w:line="240" w:lineRule="auto"/>
              <w:jc w:val="center"/>
              <w:rPr>
                <w:rFonts w:ascii="Times New Roman" w:hAnsi="Times New Roman"/>
                <w:b/>
                <w:sz w:val="28"/>
                <w:szCs w:val="28"/>
                <w:vertAlign w:val="superscript"/>
                <w:lang w:eastAsia="en-US"/>
              </w:rPr>
            </w:pPr>
            <w:r>
              <w:rPr>
                <w:rFonts w:ascii="Times New Roman" w:hAnsi="Times New Roman"/>
                <w:b/>
                <w:sz w:val="28"/>
                <w:szCs w:val="28"/>
                <w:vertAlign w:val="superscript"/>
                <w:lang w:eastAsia="en-US"/>
              </w:rPr>
              <w:t>2022</w:t>
            </w:r>
          </w:p>
        </w:tc>
        <w:tc>
          <w:tcPr>
            <w:tcW w:w="2546" w:type="dxa"/>
            <w:gridSpan w:val="2"/>
            <w:tcBorders>
              <w:top w:val="single" w:sz="4" w:space="0" w:color="000000"/>
              <w:bottom w:val="single" w:sz="4" w:space="0" w:color="000000"/>
              <w:right w:val="single" w:sz="4" w:space="0" w:color="000000"/>
            </w:tcBorders>
            <w:shd w:val="clear" w:color="auto" w:fill="D5DCE4"/>
          </w:tcPr>
          <w:p w14:paraId="212E2CFF" w14:textId="77777777" w:rsidR="002449C2" w:rsidRDefault="00123961">
            <w:pPr>
              <w:spacing w:after="0" w:line="240" w:lineRule="auto"/>
              <w:jc w:val="center"/>
              <w:rPr>
                <w:rFonts w:ascii="Times New Roman" w:hAnsi="Times New Roman"/>
                <w:b/>
                <w:sz w:val="28"/>
                <w:szCs w:val="28"/>
                <w:vertAlign w:val="superscript"/>
                <w:lang w:eastAsia="en-US"/>
              </w:rPr>
            </w:pPr>
            <w:r>
              <w:rPr>
                <w:rFonts w:ascii="Times New Roman" w:hAnsi="Times New Roman"/>
                <w:b/>
                <w:sz w:val="28"/>
                <w:szCs w:val="28"/>
                <w:vertAlign w:val="superscript"/>
                <w:lang w:eastAsia="en-US"/>
              </w:rPr>
              <w:t>2023</w:t>
            </w:r>
          </w:p>
        </w:tc>
        <w:tc>
          <w:tcPr>
            <w:tcW w:w="2585" w:type="dxa"/>
            <w:gridSpan w:val="2"/>
            <w:tcBorders>
              <w:top w:val="single" w:sz="4" w:space="0" w:color="000000"/>
              <w:bottom w:val="single" w:sz="4" w:space="0" w:color="000000"/>
              <w:right w:val="single" w:sz="4" w:space="0" w:color="000000"/>
            </w:tcBorders>
            <w:shd w:val="clear" w:color="auto" w:fill="D5DCE4"/>
          </w:tcPr>
          <w:p w14:paraId="0381006B" w14:textId="77777777" w:rsidR="002449C2" w:rsidRDefault="00123961">
            <w:pPr>
              <w:spacing w:after="0" w:line="240" w:lineRule="auto"/>
              <w:jc w:val="center"/>
              <w:rPr>
                <w:rFonts w:ascii="Times New Roman" w:hAnsi="Times New Roman"/>
                <w:b/>
                <w:sz w:val="28"/>
                <w:szCs w:val="28"/>
                <w:vertAlign w:val="superscript"/>
                <w:lang w:eastAsia="en-US"/>
              </w:rPr>
            </w:pPr>
            <w:r>
              <w:rPr>
                <w:rFonts w:ascii="Times New Roman" w:hAnsi="Times New Roman"/>
                <w:b/>
                <w:sz w:val="28"/>
                <w:szCs w:val="28"/>
                <w:vertAlign w:val="superscript"/>
                <w:lang w:eastAsia="en-US"/>
              </w:rPr>
              <w:t>2024</w:t>
            </w:r>
          </w:p>
        </w:tc>
      </w:tr>
      <w:tr w:rsidR="002449C2" w14:paraId="085893E9" w14:textId="77777777">
        <w:trPr>
          <w:trHeight w:val="252"/>
        </w:trPr>
        <w:tc>
          <w:tcPr>
            <w:tcW w:w="1813" w:type="dxa"/>
            <w:vMerge/>
            <w:tcBorders>
              <w:top w:val="single" w:sz="4" w:space="0" w:color="000000"/>
              <w:left w:val="single" w:sz="4" w:space="0" w:color="000000"/>
              <w:bottom w:val="single" w:sz="4" w:space="0" w:color="000000"/>
              <w:right w:val="single" w:sz="4" w:space="0" w:color="000000"/>
            </w:tcBorders>
            <w:shd w:val="clear" w:color="auto" w:fill="D5DCE4"/>
            <w:vAlign w:val="center"/>
          </w:tcPr>
          <w:p w14:paraId="331AD244" w14:textId="77777777" w:rsidR="002449C2" w:rsidRDefault="002449C2">
            <w:pPr>
              <w:spacing w:after="0" w:line="240" w:lineRule="auto"/>
              <w:rPr>
                <w:rFonts w:ascii="Times New Roman" w:hAnsi="Times New Roman"/>
                <w:sz w:val="28"/>
                <w:szCs w:val="28"/>
                <w:vertAlign w:val="superscript"/>
                <w:lang w:eastAsia="en-US"/>
              </w:rPr>
            </w:pPr>
          </w:p>
        </w:tc>
        <w:tc>
          <w:tcPr>
            <w:tcW w:w="1276" w:type="dxa"/>
            <w:tcBorders>
              <w:bottom w:val="single" w:sz="4" w:space="0" w:color="000000"/>
              <w:right w:val="single" w:sz="4" w:space="0" w:color="000000"/>
            </w:tcBorders>
            <w:shd w:val="clear" w:color="auto" w:fill="D5DCE4"/>
            <w:vAlign w:val="bottom"/>
          </w:tcPr>
          <w:p w14:paraId="27015957" w14:textId="77777777" w:rsidR="002449C2" w:rsidRDefault="00123961">
            <w:pPr>
              <w:spacing w:after="0" w:line="240" w:lineRule="auto"/>
              <w:jc w:val="center"/>
              <w:rPr>
                <w:rFonts w:ascii="Times New Roman" w:hAnsi="Times New Roman"/>
                <w:sz w:val="28"/>
                <w:szCs w:val="28"/>
                <w:vertAlign w:val="superscript"/>
                <w:lang w:eastAsia="en-US"/>
              </w:rPr>
            </w:pPr>
            <w:r>
              <w:rPr>
                <w:rFonts w:ascii="Times New Roman" w:hAnsi="Times New Roman"/>
                <w:sz w:val="28"/>
                <w:szCs w:val="28"/>
                <w:vertAlign w:val="superscript"/>
                <w:lang w:eastAsia="en-US"/>
              </w:rPr>
              <w:t>Кол-во (шт)</w:t>
            </w:r>
          </w:p>
        </w:tc>
        <w:tc>
          <w:tcPr>
            <w:tcW w:w="1418" w:type="dxa"/>
            <w:tcBorders>
              <w:bottom w:val="single" w:sz="4" w:space="0" w:color="000000"/>
              <w:right w:val="single" w:sz="4" w:space="0" w:color="000000"/>
            </w:tcBorders>
            <w:shd w:val="clear" w:color="auto" w:fill="D5DCE4"/>
            <w:vAlign w:val="bottom"/>
          </w:tcPr>
          <w:p w14:paraId="79CD21E3" w14:textId="77777777" w:rsidR="002449C2" w:rsidRDefault="00123961">
            <w:pPr>
              <w:spacing w:after="0" w:line="240" w:lineRule="auto"/>
              <w:jc w:val="center"/>
              <w:rPr>
                <w:rFonts w:ascii="Times New Roman" w:hAnsi="Times New Roman"/>
                <w:sz w:val="28"/>
                <w:szCs w:val="28"/>
                <w:vertAlign w:val="superscript"/>
                <w:lang w:eastAsia="en-US"/>
              </w:rPr>
            </w:pPr>
            <w:r>
              <w:rPr>
                <w:rFonts w:ascii="Times New Roman" w:hAnsi="Times New Roman"/>
                <w:sz w:val="28"/>
                <w:szCs w:val="28"/>
                <w:vertAlign w:val="superscript"/>
                <w:lang w:eastAsia="en-US"/>
              </w:rPr>
              <w:t>Протяженность по цепям (км)</w:t>
            </w:r>
          </w:p>
        </w:tc>
        <w:tc>
          <w:tcPr>
            <w:tcW w:w="1129" w:type="dxa"/>
            <w:tcBorders>
              <w:bottom w:val="single" w:sz="4" w:space="0" w:color="000000"/>
              <w:right w:val="single" w:sz="4" w:space="0" w:color="000000"/>
            </w:tcBorders>
            <w:shd w:val="clear" w:color="auto" w:fill="D5DCE4"/>
            <w:vAlign w:val="bottom"/>
          </w:tcPr>
          <w:p w14:paraId="4D9A0603" w14:textId="77777777" w:rsidR="002449C2" w:rsidRDefault="00123961">
            <w:pPr>
              <w:spacing w:after="0" w:line="240" w:lineRule="auto"/>
              <w:jc w:val="center"/>
              <w:rPr>
                <w:rFonts w:ascii="Times New Roman" w:hAnsi="Times New Roman"/>
                <w:sz w:val="28"/>
                <w:szCs w:val="28"/>
                <w:vertAlign w:val="superscript"/>
                <w:lang w:eastAsia="en-US"/>
              </w:rPr>
            </w:pPr>
            <w:r>
              <w:rPr>
                <w:rFonts w:ascii="Times New Roman" w:hAnsi="Times New Roman"/>
                <w:sz w:val="28"/>
                <w:szCs w:val="28"/>
                <w:vertAlign w:val="superscript"/>
                <w:lang w:eastAsia="en-US"/>
              </w:rPr>
              <w:t>Кол-во (шт)</w:t>
            </w:r>
          </w:p>
        </w:tc>
        <w:tc>
          <w:tcPr>
            <w:tcW w:w="1417" w:type="dxa"/>
            <w:tcBorders>
              <w:bottom w:val="single" w:sz="4" w:space="0" w:color="000000"/>
              <w:right w:val="single" w:sz="4" w:space="0" w:color="000000"/>
            </w:tcBorders>
            <w:shd w:val="clear" w:color="auto" w:fill="D5DCE4"/>
            <w:vAlign w:val="bottom"/>
          </w:tcPr>
          <w:p w14:paraId="28E5875E" w14:textId="77777777" w:rsidR="002449C2" w:rsidRDefault="00123961">
            <w:pPr>
              <w:spacing w:after="0" w:line="240" w:lineRule="auto"/>
              <w:jc w:val="center"/>
              <w:rPr>
                <w:rFonts w:ascii="Times New Roman" w:hAnsi="Times New Roman"/>
                <w:sz w:val="28"/>
                <w:szCs w:val="28"/>
                <w:vertAlign w:val="superscript"/>
                <w:lang w:eastAsia="en-US"/>
              </w:rPr>
            </w:pPr>
            <w:r>
              <w:rPr>
                <w:rFonts w:ascii="Times New Roman" w:hAnsi="Times New Roman"/>
                <w:sz w:val="28"/>
                <w:szCs w:val="28"/>
                <w:vertAlign w:val="superscript"/>
                <w:lang w:eastAsia="en-US"/>
              </w:rPr>
              <w:t>Протяженность по цепям (км)</w:t>
            </w:r>
          </w:p>
        </w:tc>
        <w:tc>
          <w:tcPr>
            <w:tcW w:w="1032" w:type="dxa"/>
            <w:tcBorders>
              <w:bottom w:val="single" w:sz="4" w:space="0" w:color="000000"/>
              <w:right w:val="single" w:sz="4" w:space="0" w:color="000000"/>
            </w:tcBorders>
            <w:shd w:val="clear" w:color="auto" w:fill="D5DCE4"/>
            <w:vAlign w:val="bottom"/>
          </w:tcPr>
          <w:p w14:paraId="0886F8AB" w14:textId="77777777" w:rsidR="002449C2" w:rsidRDefault="00123961">
            <w:pPr>
              <w:spacing w:after="0" w:line="240" w:lineRule="auto"/>
              <w:jc w:val="center"/>
              <w:rPr>
                <w:rFonts w:ascii="Times New Roman" w:hAnsi="Times New Roman"/>
                <w:sz w:val="28"/>
                <w:szCs w:val="28"/>
                <w:vertAlign w:val="superscript"/>
                <w:lang w:eastAsia="en-US"/>
              </w:rPr>
            </w:pPr>
            <w:r>
              <w:rPr>
                <w:rFonts w:ascii="Times New Roman" w:hAnsi="Times New Roman"/>
                <w:sz w:val="28"/>
                <w:szCs w:val="28"/>
                <w:vertAlign w:val="superscript"/>
                <w:lang w:eastAsia="en-US"/>
              </w:rPr>
              <w:t>Кол-во (шт)</w:t>
            </w:r>
          </w:p>
        </w:tc>
        <w:tc>
          <w:tcPr>
            <w:tcW w:w="1553" w:type="dxa"/>
            <w:tcBorders>
              <w:bottom w:val="single" w:sz="4" w:space="0" w:color="000000"/>
              <w:right w:val="single" w:sz="4" w:space="0" w:color="000000"/>
            </w:tcBorders>
            <w:shd w:val="clear" w:color="auto" w:fill="D5DCE4"/>
            <w:vAlign w:val="bottom"/>
          </w:tcPr>
          <w:p w14:paraId="3CFE7197" w14:textId="77777777" w:rsidR="002449C2" w:rsidRDefault="00123961">
            <w:pPr>
              <w:spacing w:after="0" w:line="240" w:lineRule="auto"/>
              <w:jc w:val="center"/>
              <w:rPr>
                <w:rFonts w:ascii="Times New Roman" w:hAnsi="Times New Roman"/>
                <w:sz w:val="28"/>
                <w:szCs w:val="28"/>
                <w:vertAlign w:val="superscript"/>
                <w:lang w:eastAsia="en-US"/>
              </w:rPr>
            </w:pPr>
            <w:r>
              <w:rPr>
                <w:rFonts w:ascii="Times New Roman" w:hAnsi="Times New Roman"/>
                <w:sz w:val="28"/>
                <w:szCs w:val="28"/>
                <w:vertAlign w:val="superscript"/>
                <w:lang w:eastAsia="en-US"/>
              </w:rPr>
              <w:t>Протяженность по цепям (км)</w:t>
            </w:r>
          </w:p>
        </w:tc>
      </w:tr>
      <w:tr w:rsidR="002449C2" w14:paraId="24D73CD3" w14:textId="77777777">
        <w:trPr>
          <w:trHeight w:val="300"/>
        </w:trPr>
        <w:tc>
          <w:tcPr>
            <w:tcW w:w="1813" w:type="dxa"/>
            <w:tcBorders>
              <w:left w:val="single" w:sz="4" w:space="0" w:color="000000"/>
              <w:bottom w:val="single" w:sz="4" w:space="0" w:color="000000"/>
              <w:right w:val="single" w:sz="4" w:space="0" w:color="000000"/>
            </w:tcBorders>
            <w:vAlign w:val="bottom"/>
          </w:tcPr>
          <w:p w14:paraId="492F1441" w14:textId="77777777" w:rsidR="002449C2" w:rsidRDefault="00123961">
            <w:pPr>
              <w:spacing w:after="0" w:line="240" w:lineRule="auto"/>
              <w:jc w:val="center"/>
              <w:rPr>
                <w:rFonts w:ascii="Times New Roman" w:hAnsi="Times New Roman"/>
                <w:sz w:val="28"/>
                <w:szCs w:val="28"/>
                <w:vertAlign w:val="superscript"/>
                <w:lang w:eastAsia="en-US"/>
              </w:rPr>
            </w:pPr>
            <w:r>
              <w:rPr>
                <w:rFonts w:ascii="Times New Roman" w:hAnsi="Times New Roman"/>
                <w:sz w:val="28"/>
                <w:szCs w:val="28"/>
                <w:vertAlign w:val="superscript"/>
                <w:lang w:eastAsia="en-US"/>
              </w:rPr>
              <w:t>ЛЭП 0,4 кВ и выше</w:t>
            </w:r>
          </w:p>
        </w:tc>
        <w:tc>
          <w:tcPr>
            <w:tcW w:w="1276" w:type="dxa"/>
            <w:tcBorders>
              <w:bottom w:val="single" w:sz="4" w:space="0" w:color="000000"/>
              <w:right w:val="single" w:sz="4" w:space="0" w:color="000000"/>
            </w:tcBorders>
            <w:vAlign w:val="center"/>
          </w:tcPr>
          <w:p w14:paraId="2E28EDD0"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69754</w:t>
            </w:r>
          </w:p>
        </w:tc>
        <w:tc>
          <w:tcPr>
            <w:tcW w:w="1418" w:type="dxa"/>
            <w:tcBorders>
              <w:bottom w:val="single" w:sz="4" w:space="0" w:color="000000"/>
              <w:right w:val="single" w:sz="4" w:space="0" w:color="000000"/>
            </w:tcBorders>
            <w:vAlign w:val="center"/>
          </w:tcPr>
          <w:p w14:paraId="73380320"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163756,4</w:t>
            </w:r>
          </w:p>
        </w:tc>
        <w:tc>
          <w:tcPr>
            <w:tcW w:w="1129" w:type="dxa"/>
            <w:tcBorders>
              <w:bottom w:val="single" w:sz="4" w:space="0" w:color="000000"/>
              <w:right w:val="single" w:sz="4" w:space="0" w:color="000000"/>
            </w:tcBorders>
          </w:tcPr>
          <w:p w14:paraId="46DCD62A"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70 034</w:t>
            </w:r>
          </w:p>
        </w:tc>
        <w:tc>
          <w:tcPr>
            <w:tcW w:w="1417" w:type="dxa"/>
            <w:tcBorders>
              <w:bottom w:val="single" w:sz="4" w:space="0" w:color="000000"/>
              <w:right w:val="single" w:sz="4" w:space="0" w:color="000000"/>
            </w:tcBorders>
          </w:tcPr>
          <w:p w14:paraId="2110E6B2"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164 300,4</w:t>
            </w:r>
          </w:p>
        </w:tc>
        <w:tc>
          <w:tcPr>
            <w:tcW w:w="1032" w:type="dxa"/>
            <w:tcBorders>
              <w:bottom w:val="single" w:sz="4" w:space="0" w:color="000000"/>
              <w:right w:val="single" w:sz="4" w:space="0" w:color="000000"/>
            </w:tcBorders>
          </w:tcPr>
          <w:p w14:paraId="206F018C"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71 129</w:t>
            </w:r>
          </w:p>
        </w:tc>
        <w:tc>
          <w:tcPr>
            <w:tcW w:w="1553" w:type="dxa"/>
            <w:tcBorders>
              <w:bottom w:val="single" w:sz="4" w:space="0" w:color="000000"/>
              <w:right w:val="single" w:sz="4" w:space="0" w:color="000000"/>
            </w:tcBorders>
          </w:tcPr>
          <w:p w14:paraId="5D9B2B41"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165 287,177</w:t>
            </w:r>
          </w:p>
        </w:tc>
      </w:tr>
    </w:tbl>
    <w:p w14:paraId="704526D1" w14:textId="7221CC48" w:rsidR="002449C2" w:rsidRDefault="00123961">
      <w:pPr>
        <w:tabs>
          <w:tab w:val="left" w:pos="142"/>
        </w:tabs>
        <w:spacing w:before="120" w:after="12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Количество и мощность подстанций Общества</w:t>
      </w:r>
    </w:p>
    <w:tbl>
      <w:tblPr>
        <w:tblW w:w="9634" w:type="dxa"/>
        <w:jc w:val="right"/>
        <w:tblLayout w:type="fixed"/>
        <w:tblLook w:val="04A0" w:firstRow="1" w:lastRow="0" w:firstColumn="1" w:lastColumn="0" w:noHBand="0" w:noVBand="1"/>
      </w:tblPr>
      <w:tblGrid>
        <w:gridCol w:w="1147"/>
        <w:gridCol w:w="1276"/>
        <w:gridCol w:w="1412"/>
        <w:gridCol w:w="1418"/>
        <w:gridCol w:w="1387"/>
        <w:gridCol w:w="1410"/>
        <w:gridCol w:w="1584"/>
      </w:tblGrid>
      <w:tr w:rsidR="002449C2" w14:paraId="3FD6071C" w14:textId="77777777" w:rsidTr="004C2091">
        <w:trPr>
          <w:jc w:val="right"/>
        </w:trPr>
        <w:tc>
          <w:tcPr>
            <w:tcW w:w="1147" w:type="dxa"/>
            <w:vMerge w:val="restart"/>
            <w:tcBorders>
              <w:top w:val="single" w:sz="4" w:space="0" w:color="000000"/>
              <w:left w:val="single" w:sz="4" w:space="0" w:color="000000"/>
              <w:bottom w:val="single" w:sz="4" w:space="0" w:color="000000"/>
              <w:right w:val="single" w:sz="4" w:space="0" w:color="000000"/>
            </w:tcBorders>
            <w:shd w:val="clear" w:color="auto" w:fill="D5DCE4"/>
          </w:tcPr>
          <w:p w14:paraId="27EF1AA9" w14:textId="77777777" w:rsidR="002449C2" w:rsidRDefault="00123961">
            <w:pPr>
              <w:spacing w:after="0" w:line="240" w:lineRule="auto"/>
              <w:jc w:val="center"/>
              <w:rPr>
                <w:rFonts w:ascii="Times New Roman" w:hAnsi="Times New Roman"/>
                <w:b/>
                <w:sz w:val="20"/>
                <w:szCs w:val="20"/>
                <w:vertAlign w:val="superscript"/>
                <w:lang w:eastAsia="en-US"/>
              </w:rPr>
            </w:pPr>
            <w:r>
              <w:rPr>
                <w:rFonts w:ascii="Times New Roman" w:hAnsi="Times New Roman"/>
                <w:b/>
                <w:sz w:val="28"/>
                <w:szCs w:val="28"/>
                <w:vertAlign w:val="superscript"/>
                <w:lang w:eastAsia="en-US"/>
              </w:rPr>
              <w:t>Наименование</w:t>
            </w:r>
          </w:p>
        </w:tc>
        <w:tc>
          <w:tcPr>
            <w:tcW w:w="2688" w:type="dxa"/>
            <w:gridSpan w:val="2"/>
            <w:tcBorders>
              <w:top w:val="single" w:sz="4" w:space="0" w:color="000000"/>
              <w:left w:val="single" w:sz="4" w:space="0" w:color="000000"/>
              <w:bottom w:val="single" w:sz="4" w:space="0" w:color="000000"/>
              <w:right w:val="single" w:sz="4" w:space="0" w:color="000000"/>
            </w:tcBorders>
            <w:shd w:val="clear" w:color="auto" w:fill="D5DCE4"/>
          </w:tcPr>
          <w:p w14:paraId="1ADE8D41" w14:textId="77777777" w:rsidR="002449C2" w:rsidRDefault="00123961">
            <w:pPr>
              <w:spacing w:after="0" w:line="240" w:lineRule="auto"/>
              <w:jc w:val="center"/>
              <w:rPr>
                <w:rFonts w:ascii="Times New Roman" w:hAnsi="Times New Roman"/>
                <w:b/>
                <w:sz w:val="28"/>
                <w:szCs w:val="28"/>
                <w:vertAlign w:val="superscript"/>
                <w:lang w:eastAsia="en-US"/>
              </w:rPr>
            </w:pPr>
            <w:r>
              <w:rPr>
                <w:rFonts w:ascii="Times New Roman" w:hAnsi="Times New Roman"/>
                <w:b/>
                <w:sz w:val="28"/>
                <w:szCs w:val="28"/>
                <w:vertAlign w:val="superscript"/>
                <w:lang w:eastAsia="en-US"/>
              </w:rPr>
              <w:t>2022</w:t>
            </w:r>
          </w:p>
        </w:tc>
        <w:tc>
          <w:tcPr>
            <w:tcW w:w="2805" w:type="dxa"/>
            <w:gridSpan w:val="2"/>
            <w:tcBorders>
              <w:top w:val="single" w:sz="4" w:space="0" w:color="000000"/>
              <w:left w:val="single" w:sz="4" w:space="0" w:color="000000"/>
              <w:bottom w:val="single" w:sz="4" w:space="0" w:color="000000"/>
              <w:right w:val="single" w:sz="4" w:space="0" w:color="000000"/>
            </w:tcBorders>
            <w:shd w:val="clear" w:color="auto" w:fill="D5DCE4"/>
          </w:tcPr>
          <w:p w14:paraId="66DDB181" w14:textId="77777777" w:rsidR="002449C2" w:rsidRDefault="00123961">
            <w:pPr>
              <w:spacing w:after="0" w:line="240" w:lineRule="auto"/>
              <w:jc w:val="center"/>
              <w:rPr>
                <w:rFonts w:ascii="Times New Roman" w:hAnsi="Times New Roman"/>
                <w:b/>
                <w:sz w:val="28"/>
                <w:szCs w:val="28"/>
                <w:vertAlign w:val="superscript"/>
                <w:lang w:eastAsia="en-US"/>
              </w:rPr>
            </w:pPr>
            <w:r>
              <w:rPr>
                <w:rFonts w:ascii="Times New Roman" w:hAnsi="Times New Roman"/>
                <w:b/>
                <w:sz w:val="28"/>
                <w:szCs w:val="28"/>
                <w:vertAlign w:val="superscript"/>
                <w:lang w:eastAsia="en-US"/>
              </w:rPr>
              <w:t>2023</w:t>
            </w:r>
          </w:p>
        </w:tc>
        <w:tc>
          <w:tcPr>
            <w:tcW w:w="2994" w:type="dxa"/>
            <w:gridSpan w:val="2"/>
            <w:tcBorders>
              <w:top w:val="single" w:sz="4" w:space="0" w:color="000000"/>
              <w:left w:val="single" w:sz="4" w:space="0" w:color="000000"/>
              <w:bottom w:val="single" w:sz="4" w:space="0" w:color="000000"/>
              <w:right w:val="single" w:sz="4" w:space="0" w:color="000000"/>
            </w:tcBorders>
            <w:shd w:val="clear" w:color="auto" w:fill="D5DCE4"/>
          </w:tcPr>
          <w:p w14:paraId="61EF9939" w14:textId="77777777" w:rsidR="002449C2" w:rsidRDefault="00123961">
            <w:pPr>
              <w:spacing w:after="0" w:line="240" w:lineRule="auto"/>
              <w:jc w:val="center"/>
              <w:rPr>
                <w:rFonts w:ascii="Times New Roman" w:hAnsi="Times New Roman"/>
                <w:b/>
                <w:sz w:val="28"/>
                <w:szCs w:val="28"/>
                <w:vertAlign w:val="superscript"/>
                <w:lang w:eastAsia="en-US"/>
              </w:rPr>
            </w:pPr>
            <w:r>
              <w:rPr>
                <w:rFonts w:ascii="Times New Roman" w:hAnsi="Times New Roman"/>
                <w:b/>
                <w:sz w:val="28"/>
                <w:szCs w:val="28"/>
                <w:vertAlign w:val="superscript"/>
                <w:lang w:eastAsia="en-US"/>
              </w:rPr>
              <w:t>2024</w:t>
            </w:r>
          </w:p>
        </w:tc>
      </w:tr>
      <w:tr w:rsidR="002449C2" w14:paraId="0D8B0EB3" w14:textId="77777777" w:rsidTr="004C2091">
        <w:trPr>
          <w:jc w:val="right"/>
        </w:trPr>
        <w:tc>
          <w:tcPr>
            <w:tcW w:w="1147" w:type="dxa"/>
            <w:vMerge/>
            <w:tcBorders>
              <w:top w:val="single" w:sz="4" w:space="0" w:color="000000"/>
              <w:left w:val="single" w:sz="4" w:space="0" w:color="000000"/>
              <w:bottom w:val="single" w:sz="4" w:space="0" w:color="000000"/>
              <w:right w:val="single" w:sz="4" w:space="0" w:color="000000"/>
            </w:tcBorders>
            <w:shd w:val="clear" w:color="auto" w:fill="D5DCE4"/>
          </w:tcPr>
          <w:p w14:paraId="10DB8A20" w14:textId="77777777" w:rsidR="002449C2" w:rsidRDefault="002449C2">
            <w:pPr>
              <w:spacing w:after="0" w:line="240" w:lineRule="auto"/>
              <w:jc w:val="center"/>
              <w:rPr>
                <w:rFonts w:ascii="Times New Roman" w:hAnsi="Times New Roman"/>
                <w:b/>
                <w:sz w:val="20"/>
                <w:szCs w:val="20"/>
                <w:vertAlign w:val="superscript"/>
                <w:lang w:eastAsia="en-US"/>
              </w:rPr>
            </w:pPr>
          </w:p>
        </w:tc>
        <w:tc>
          <w:tcPr>
            <w:tcW w:w="1276" w:type="dxa"/>
            <w:tcBorders>
              <w:top w:val="single" w:sz="4" w:space="0" w:color="000000"/>
              <w:left w:val="single" w:sz="4" w:space="0" w:color="000000"/>
              <w:bottom w:val="single" w:sz="4" w:space="0" w:color="000000"/>
              <w:right w:val="single" w:sz="4" w:space="0" w:color="000000"/>
            </w:tcBorders>
            <w:shd w:val="clear" w:color="auto" w:fill="D5DCE4"/>
          </w:tcPr>
          <w:p w14:paraId="514EB601" w14:textId="77777777" w:rsidR="002449C2" w:rsidRDefault="00123961">
            <w:pPr>
              <w:spacing w:after="0" w:line="240" w:lineRule="auto"/>
              <w:jc w:val="center"/>
              <w:rPr>
                <w:rFonts w:ascii="Times New Roman" w:hAnsi="Times New Roman"/>
                <w:b/>
                <w:sz w:val="28"/>
                <w:szCs w:val="28"/>
                <w:vertAlign w:val="superscript"/>
                <w:lang w:eastAsia="en-US"/>
              </w:rPr>
            </w:pPr>
            <w:r>
              <w:rPr>
                <w:rFonts w:ascii="Times New Roman" w:hAnsi="Times New Roman"/>
                <w:b/>
                <w:sz w:val="28"/>
                <w:szCs w:val="28"/>
                <w:vertAlign w:val="superscript"/>
                <w:lang w:eastAsia="en-US"/>
              </w:rPr>
              <w:t>Количество</w:t>
            </w:r>
          </w:p>
        </w:tc>
        <w:tc>
          <w:tcPr>
            <w:tcW w:w="1412" w:type="dxa"/>
            <w:tcBorders>
              <w:top w:val="single" w:sz="4" w:space="0" w:color="000000"/>
              <w:left w:val="single" w:sz="4" w:space="0" w:color="000000"/>
              <w:bottom w:val="single" w:sz="4" w:space="0" w:color="000000"/>
              <w:right w:val="single" w:sz="4" w:space="0" w:color="000000"/>
            </w:tcBorders>
            <w:shd w:val="clear" w:color="auto" w:fill="D5DCE4"/>
          </w:tcPr>
          <w:p w14:paraId="53A93009" w14:textId="77777777" w:rsidR="002449C2" w:rsidRDefault="00123961">
            <w:pPr>
              <w:spacing w:after="0" w:line="240" w:lineRule="auto"/>
              <w:jc w:val="center"/>
              <w:rPr>
                <w:rFonts w:ascii="Times New Roman" w:hAnsi="Times New Roman"/>
                <w:b/>
                <w:sz w:val="28"/>
                <w:szCs w:val="28"/>
                <w:vertAlign w:val="superscript"/>
                <w:lang w:eastAsia="en-US"/>
              </w:rPr>
            </w:pPr>
            <w:r>
              <w:rPr>
                <w:rFonts w:ascii="Times New Roman" w:hAnsi="Times New Roman"/>
                <w:b/>
                <w:sz w:val="28"/>
                <w:szCs w:val="28"/>
                <w:vertAlign w:val="superscript"/>
                <w:lang w:eastAsia="en-US"/>
              </w:rPr>
              <w:t>МВА</w:t>
            </w:r>
          </w:p>
        </w:tc>
        <w:tc>
          <w:tcPr>
            <w:tcW w:w="1418" w:type="dxa"/>
            <w:tcBorders>
              <w:top w:val="single" w:sz="4" w:space="0" w:color="000000"/>
              <w:left w:val="single" w:sz="4" w:space="0" w:color="000000"/>
              <w:bottom w:val="single" w:sz="4" w:space="0" w:color="000000"/>
              <w:right w:val="single" w:sz="4" w:space="0" w:color="000000"/>
            </w:tcBorders>
            <w:shd w:val="clear" w:color="auto" w:fill="D5DCE4"/>
          </w:tcPr>
          <w:p w14:paraId="1CA4A3C9" w14:textId="77777777" w:rsidR="002449C2" w:rsidRDefault="00123961">
            <w:pPr>
              <w:spacing w:after="0" w:line="240" w:lineRule="auto"/>
              <w:jc w:val="center"/>
              <w:rPr>
                <w:rFonts w:ascii="Times New Roman" w:hAnsi="Times New Roman"/>
                <w:b/>
                <w:sz w:val="28"/>
                <w:szCs w:val="28"/>
                <w:vertAlign w:val="superscript"/>
                <w:lang w:eastAsia="en-US"/>
              </w:rPr>
            </w:pPr>
            <w:r>
              <w:rPr>
                <w:rFonts w:ascii="Times New Roman" w:hAnsi="Times New Roman"/>
                <w:b/>
                <w:sz w:val="28"/>
                <w:szCs w:val="28"/>
                <w:vertAlign w:val="superscript"/>
                <w:lang w:eastAsia="en-US"/>
              </w:rPr>
              <w:t>Количество</w:t>
            </w:r>
          </w:p>
        </w:tc>
        <w:tc>
          <w:tcPr>
            <w:tcW w:w="1387" w:type="dxa"/>
            <w:tcBorders>
              <w:top w:val="single" w:sz="4" w:space="0" w:color="000000"/>
              <w:left w:val="single" w:sz="4" w:space="0" w:color="000000"/>
              <w:bottom w:val="single" w:sz="4" w:space="0" w:color="000000"/>
              <w:right w:val="single" w:sz="4" w:space="0" w:color="000000"/>
            </w:tcBorders>
            <w:shd w:val="clear" w:color="auto" w:fill="D5DCE4"/>
          </w:tcPr>
          <w:p w14:paraId="732C19AD" w14:textId="77777777" w:rsidR="002449C2" w:rsidRDefault="00123961">
            <w:pPr>
              <w:spacing w:after="0" w:line="240" w:lineRule="auto"/>
              <w:jc w:val="center"/>
              <w:rPr>
                <w:rFonts w:ascii="Times New Roman" w:hAnsi="Times New Roman"/>
                <w:b/>
                <w:sz w:val="28"/>
                <w:szCs w:val="28"/>
                <w:vertAlign w:val="superscript"/>
                <w:lang w:eastAsia="en-US"/>
              </w:rPr>
            </w:pPr>
            <w:r>
              <w:rPr>
                <w:rFonts w:ascii="Times New Roman" w:hAnsi="Times New Roman"/>
                <w:b/>
                <w:sz w:val="28"/>
                <w:szCs w:val="28"/>
                <w:vertAlign w:val="superscript"/>
                <w:lang w:eastAsia="en-US"/>
              </w:rPr>
              <w:t>МВА</w:t>
            </w:r>
          </w:p>
        </w:tc>
        <w:tc>
          <w:tcPr>
            <w:tcW w:w="1410" w:type="dxa"/>
            <w:tcBorders>
              <w:top w:val="single" w:sz="4" w:space="0" w:color="000000"/>
              <w:left w:val="single" w:sz="4" w:space="0" w:color="000000"/>
              <w:bottom w:val="single" w:sz="4" w:space="0" w:color="000000"/>
              <w:right w:val="single" w:sz="4" w:space="0" w:color="000000"/>
            </w:tcBorders>
            <w:shd w:val="clear" w:color="auto" w:fill="D5DCE4"/>
          </w:tcPr>
          <w:p w14:paraId="7DE202DF" w14:textId="77777777" w:rsidR="002449C2" w:rsidRDefault="00123961">
            <w:pPr>
              <w:spacing w:after="0" w:line="240" w:lineRule="auto"/>
              <w:jc w:val="center"/>
              <w:rPr>
                <w:rFonts w:ascii="Times New Roman" w:hAnsi="Times New Roman"/>
                <w:b/>
                <w:sz w:val="28"/>
                <w:szCs w:val="28"/>
                <w:vertAlign w:val="superscript"/>
                <w:lang w:eastAsia="en-US"/>
              </w:rPr>
            </w:pPr>
            <w:r>
              <w:rPr>
                <w:rFonts w:ascii="Times New Roman" w:hAnsi="Times New Roman"/>
                <w:b/>
                <w:sz w:val="28"/>
                <w:szCs w:val="28"/>
                <w:vertAlign w:val="superscript"/>
                <w:lang w:eastAsia="en-US"/>
              </w:rPr>
              <w:t>Количество</w:t>
            </w:r>
          </w:p>
        </w:tc>
        <w:tc>
          <w:tcPr>
            <w:tcW w:w="1584" w:type="dxa"/>
            <w:tcBorders>
              <w:top w:val="single" w:sz="4" w:space="0" w:color="000000"/>
              <w:left w:val="single" w:sz="4" w:space="0" w:color="000000"/>
              <w:bottom w:val="single" w:sz="4" w:space="0" w:color="000000"/>
              <w:right w:val="single" w:sz="4" w:space="0" w:color="000000"/>
            </w:tcBorders>
            <w:shd w:val="clear" w:color="auto" w:fill="D5DCE4"/>
          </w:tcPr>
          <w:p w14:paraId="62951D1F" w14:textId="77777777" w:rsidR="002449C2" w:rsidRDefault="00123961">
            <w:pPr>
              <w:spacing w:after="0" w:line="240" w:lineRule="auto"/>
              <w:jc w:val="center"/>
              <w:rPr>
                <w:rFonts w:ascii="Times New Roman" w:hAnsi="Times New Roman"/>
                <w:b/>
                <w:sz w:val="28"/>
                <w:szCs w:val="28"/>
                <w:vertAlign w:val="superscript"/>
                <w:lang w:eastAsia="en-US"/>
              </w:rPr>
            </w:pPr>
            <w:r>
              <w:rPr>
                <w:rFonts w:ascii="Times New Roman" w:hAnsi="Times New Roman"/>
                <w:b/>
                <w:sz w:val="28"/>
                <w:szCs w:val="28"/>
                <w:vertAlign w:val="superscript"/>
                <w:lang w:eastAsia="en-US"/>
              </w:rPr>
              <w:t>МВА</w:t>
            </w:r>
          </w:p>
        </w:tc>
      </w:tr>
      <w:tr w:rsidR="002449C2" w14:paraId="184CAADC" w14:textId="77777777" w:rsidTr="004C2091">
        <w:trPr>
          <w:jc w:val="right"/>
        </w:trPr>
        <w:tc>
          <w:tcPr>
            <w:tcW w:w="1147" w:type="dxa"/>
            <w:tcBorders>
              <w:top w:val="single" w:sz="4" w:space="0" w:color="000000"/>
              <w:left w:val="single" w:sz="4" w:space="0" w:color="000000"/>
              <w:bottom w:val="single" w:sz="4" w:space="0" w:color="000000"/>
              <w:right w:val="single" w:sz="4" w:space="0" w:color="000000"/>
            </w:tcBorders>
            <w:vAlign w:val="center"/>
          </w:tcPr>
          <w:p w14:paraId="2ABF93BD"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ПС 35 кВ и выше</w:t>
            </w:r>
          </w:p>
        </w:tc>
        <w:tc>
          <w:tcPr>
            <w:tcW w:w="1276" w:type="dxa"/>
            <w:tcBorders>
              <w:top w:val="single" w:sz="4" w:space="0" w:color="000000"/>
              <w:left w:val="single" w:sz="4" w:space="0" w:color="000000"/>
              <w:bottom w:val="single" w:sz="4" w:space="0" w:color="000000"/>
              <w:right w:val="single" w:sz="4" w:space="0" w:color="000000"/>
            </w:tcBorders>
            <w:vAlign w:val="center"/>
          </w:tcPr>
          <w:p w14:paraId="129381AB"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1213</w:t>
            </w:r>
          </w:p>
        </w:tc>
        <w:tc>
          <w:tcPr>
            <w:tcW w:w="1412" w:type="dxa"/>
            <w:tcBorders>
              <w:top w:val="single" w:sz="4" w:space="0" w:color="000000"/>
              <w:left w:val="single" w:sz="4" w:space="0" w:color="000000"/>
              <w:bottom w:val="single" w:sz="4" w:space="0" w:color="000000"/>
              <w:right w:val="single" w:sz="4" w:space="0" w:color="000000"/>
            </w:tcBorders>
            <w:vAlign w:val="center"/>
          </w:tcPr>
          <w:p w14:paraId="3FE245F4"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18984,8</w:t>
            </w:r>
          </w:p>
        </w:tc>
        <w:tc>
          <w:tcPr>
            <w:tcW w:w="1418" w:type="dxa"/>
            <w:tcBorders>
              <w:top w:val="single" w:sz="4" w:space="0" w:color="000000"/>
              <w:left w:val="single" w:sz="4" w:space="0" w:color="000000"/>
              <w:bottom w:val="single" w:sz="4" w:space="0" w:color="000000"/>
              <w:right w:val="single" w:sz="4" w:space="0" w:color="000000"/>
            </w:tcBorders>
            <w:vAlign w:val="center"/>
          </w:tcPr>
          <w:p w14:paraId="66A26A65"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1214</w:t>
            </w:r>
          </w:p>
        </w:tc>
        <w:tc>
          <w:tcPr>
            <w:tcW w:w="1387" w:type="dxa"/>
            <w:tcBorders>
              <w:top w:val="single" w:sz="4" w:space="0" w:color="000000"/>
              <w:left w:val="single" w:sz="4" w:space="0" w:color="000000"/>
              <w:bottom w:val="single" w:sz="4" w:space="0" w:color="000000"/>
              <w:right w:val="single" w:sz="4" w:space="0" w:color="000000"/>
            </w:tcBorders>
            <w:vAlign w:val="center"/>
          </w:tcPr>
          <w:p w14:paraId="7FD88CD7"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18985,4</w:t>
            </w:r>
          </w:p>
        </w:tc>
        <w:tc>
          <w:tcPr>
            <w:tcW w:w="1410" w:type="dxa"/>
            <w:tcBorders>
              <w:top w:val="single" w:sz="4" w:space="0" w:color="000000"/>
              <w:left w:val="single" w:sz="4" w:space="0" w:color="000000"/>
              <w:bottom w:val="single" w:sz="4" w:space="0" w:color="000000"/>
              <w:right w:val="single" w:sz="4" w:space="0" w:color="000000"/>
            </w:tcBorders>
            <w:vAlign w:val="center"/>
          </w:tcPr>
          <w:p w14:paraId="31A00061"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1221</w:t>
            </w:r>
          </w:p>
        </w:tc>
        <w:tc>
          <w:tcPr>
            <w:tcW w:w="1584" w:type="dxa"/>
            <w:tcBorders>
              <w:top w:val="single" w:sz="4" w:space="0" w:color="000000"/>
              <w:left w:val="single" w:sz="4" w:space="0" w:color="000000"/>
              <w:bottom w:val="single" w:sz="4" w:space="0" w:color="000000"/>
              <w:right w:val="single" w:sz="4" w:space="0" w:color="000000"/>
            </w:tcBorders>
            <w:vAlign w:val="center"/>
          </w:tcPr>
          <w:p w14:paraId="623B4ED8"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19207</w:t>
            </w:r>
          </w:p>
        </w:tc>
      </w:tr>
      <w:tr w:rsidR="002449C2" w14:paraId="094256FA" w14:textId="77777777" w:rsidTr="004C2091">
        <w:trPr>
          <w:trHeight w:val="60"/>
          <w:jc w:val="right"/>
        </w:trPr>
        <w:tc>
          <w:tcPr>
            <w:tcW w:w="1147" w:type="dxa"/>
            <w:tcBorders>
              <w:top w:val="single" w:sz="4" w:space="0" w:color="000000"/>
              <w:left w:val="single" w:sz="4" w:space="0" w:color="000000"/>
              <w:bottom w:val="single" w:sz="4" w:space="0" w:color="000000"/>
              <w:right w:val="single" w:sz="4" w:space="0" w:color="000000"/>
            </w:tcBorders>
            <w:vAlign w:val="center"/>
          </w:tcPr>
          <w:p w14:paraId="50436D19"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ТП, РП 6-10/0,38 кВ</w:t>
            </w:r>
          </w:p>
        </w:tc>
        <w:tc>
          <w:tcPr>
            <w:tcW w:w="1276" w:type="dxa"/>
            <w:tcBorders>
              <w:top w:val="single" w:sz="4" w:space="0" w:color="000000"/>
              <w:left w:val="single" w:sz="4" w:space="0" w:color="000000"/>
              <w:bottom w:val="single" w:sz="4" w:space="0" w:color="000000"/>
              <w:right w:val="single" w:sz="4" w:space="0" w:color="000000"/>
            </w:tcBorders>
            <w:vAlign w:val="center"/>
          </w:tcPr>
          <w:p w14:paraId="45BD343E"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32878</w:t>
            </w:r>
          </w:p>
        </w:tc>
        <w:tc>
          <w:tcPr>
            <w:tcW w:w="1412" w:type="dxa"/>
            <w:tcBorders>
              <w:top w:val="single" w:sz="4" w:space="0" w:color="000000"/>
              <w:left w:val="single" w:sz="4" w:space="0" w:color="000000"/>
              <w:bottom w:val="single" w:sz="4" w:space="0" w:color="000000"/>
              <w:right w:val="single" w:sz="4" w:space="0" w:color="000000"/>
            </w:tcBorders>
            <w:vAlign w:val="center"/>
          </w:tcPr>
          <w:p w14:paraId="068A1867"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5779,1</w:t>
            </w:r>
          </w:p>
        </w:tc>
        <w:tc>
          <w:tcPr>
            <w:tcW w:w="1418" w:type="dxa"/>
            <w:tcBorders>
              <w:top w:val="single" w:sz="4" w:space="0" w:color="000000"/>
              <w:left w:val="single" w:sz="4" w:space="0" w:color="000000"/>
              <w:bottom w:val="single" w:sz="4" w:space="0" w:color="000000"/>
              <w:right w:val="single" w:sz="4" w:space="0" w:color="000000"/>
            </w:tcBorders>
            <w:vAlign w:val="center"/>
          </w:tcPr>
          <w:p w14:paraId="7AD6CDC7"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33 410</w:t>
            </w:r>
          </w:p>
        </w:tc>
        <w:tc>
          <w:tcPr>
            <w:tcW w:w="1387" w:type="dxa"/>
            <w:tcBorders>
              <w:top w:val="single" w:sz="4" w:space="0" w:color="000000"/>
              <w:left w:val="single" w:sz="4" w:space="0" w:color="000000"/>
              <w:bottom w:val="single" w:sz="4" w:space="0" w:color="000000"/>
              <w:right w:val="single" w:sz="4" w:space="0" w:color="000000"/>
            </w:tcBorders>
            <w:vAlign w:val="center"/>
          </w:tcPr>
          <w:p w14:paraId="1DA14B7F"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5 866,06</w:t>
            </w:r>
          </w:p>
        </w:tc>
        <w:tc>
          <w:tcPr>
            <w:tcW w:w="1410" w:type="dxa"/>
            <w:tcBorders>
              <w:top w:val="single" w:sz="4" w:space="0" w:color="000000"/>
              <w:left w:val="single" w:sz="4" w:space="0" w:color="000000"/>
              <w:bottom w:val="single" w:sz="4" w:space="0" w:color="000000"/>
              <w:right w:val="single" w:sz="4" w:space="0" w:color="000000"/>
            </w:tcBorders>
            <w:vAlign w:val="center"/>
          </w:tcPr>
          <w:p w14:paraId="4FDA18E2" w14:textId="77777777" w:rsidR="002449C2" w:rsidRDefault="00123961">
            <w:pPr>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34 044</w:t>
            </w:r>
          </w:p>
        </w:tc>
        <w:tc>
          <w:tcPr>
            <w:tcW w:w="1584" w:type="dxa"/>
            <w:tcBorders>
              <w:top w:val="single" w:sz="4" w:space="0" w:color="000000"/>
              <w:left w:val="single" w:sz="4" w:space="0" w:color="000000"/>
              <w:bottom w:val="single" w:sz="4" w:space="0" w:color="000000"/>
              <w:right w:val="single" w:sz="4" w:space="0" w:color="000000"/>
            </w:tcBorders>
            <w:vAlign w:val="center"/>
          </w:tcPr>
          <w:p w14:paraId="7CF97675" w14:textId="77777777" w:rsidR="002449C2" w:rsidRDefault="00123961">
            <w:pPr>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6 008,01</w:t>
            </w:r>
          </w:p>
        </w:tc>
      </w:tr>
      <w:tr w:rsidR="002449C2" w14:paraId="363E3FB6" w14:textId="77777777" w:rsidTr="004C2091">
        <w:trPr>
          <w:jc w:val="right"/>
        </w:trPr>
        <w:tc>
          <w:tcPr>
            <w:tcW w:w="1147" w:type="dxa"/>
            <w:tcBorders>
              <w:top w:val="single" w:sz="4" w:space="0" w:color="000000"/>
              <w:left w:val="single" w:sz="4" w:space="0" w:color="000000"/>
              <w:bottom w:val="single" w:sz="4" w:space="0" w:color="000000"/>
              <w:right w:val="single" w:sz="4" w:space="0" w:color="000000"/>
            </w:tcBorders>
            <w:vAlign w:val="center"/>
          </w:tcPr>
          <w:p w14:paraId="510F5AA9"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Итого</w:t>
            </w:r>
          </w:p>
        </w:tc>
        <w:tc>
          <w:tcPr>
            <w:tcW w:w="1276" w:type="dxa"/>
            <w:tcBorders>
              <w:top w:val="single" w:sz="4" w:space="0" w:color="000000"/>
              <w:left w:val="single" w:sz="4" w:space="0" w:color="000000"/>
              <w:bottom w:val="single" w:sz="4" w:space="0" w:color="000000"/>
              <w:right w:val="single" w:sz="4" w:space="0" w:color="000000"/>
            </w:tcBorders>
            <w:vAlign w:val="center"/>
          </w:tcPr>
          <w:p w14:paraId="5515D4D1"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34091</w:t>
            </w:r>
          </w:p>
        </w:tc>
        <w:tc>
          <w:tcPr>
            <w:tcW w:w="1412" w:type="dxa"/>
            <w:tcBorders>
              <w:top w:val="single" w:sz="4" w:space="0" w:color="000000"/>
              <w:left w:val="single" w:sz="4" w:space="0" w:color="000000"/>
              <w:bottom w:val="single" w:sz="4" w:space="0" w:color="000000"/>
              <w:right w:val="single" w:sz="4" w:space="0" w:color="000000"/>
            </w:tcBorders>
            <w:vAlign w:val="center"/>
          </w:tcPr>
          <w:p w14:paraId="41924472"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24763,8</w:t>
            </w:r>
          </w:p>
        </w:tc>
        <w:tc>
          <w:tcPr>
            <w:tcW w:w="1418" w:type="dxa"/>
            <w:tcBorders>
              <w:top w:val="single" w:sz="4" w:space="0" w:color="000000"/>
              <w:left w:val="single" w:sz="4" w:space="0" w:color="000000"/>
              <w:bottom w:val="single" w:sz="4" w:space="0" w:color="000000"/>
              <w:right w:val="single" w:sz="4" w:space="0" w:color="000000"/>
            </w:tcBorders>
            <w:vAlign w:val="center"/>
          </w:tcPr>
          <w:p w14:paraId="2358A02F"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34 624</w:t>
            </w:r>
          </w:p>
        </w:tc>
        <w:tc>
          <w:tcPr>
            <w:tcW w:w="1387" w:type="dxa"/>
            <w:tcBorders>
              <w:top w:val="single" w:sz="4" w:space="0" w:color="000000"/>
              <w:left w:val="single" w:sz="4" w:space="0" w:color="000000"/>
              <w:bottom w:val="single" w:sz="4" w:space="0" w:color="000000"/>
              <w:right w:val="single" w:sz="4" w:space="0" w:color="000000"/>
            </w:tcBorders>
            <w:vAlign w:val="center"/>
          </w:tcPr>
          <w:p w14:paraId="1A05EB97"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24 851,44</w:t>
            </w:r>
          </w:p>
        </w:tc>
        <w:tc>
          <w:tcPr>
            <w:tcW w:w="1410" w:type="dxa"/>
            <w:tcBorders>
              <w:top w:val="single" w:sz="4" w:space="0" w:color="000000"/>
              <w:left w:val="single" w:sz="4" w:space="0" w:color="000000"/>
              <w:bottom w:val="single" w:sz="4" w:space="0" w:color="000000"/>
              <w:right w:val="single" w:sz="4" w:space="0" w:color="000000"/>
            </w:tcBorders>
            <w:vAlign w:val="center"/>
          </w:tcPr>
          <w:p w14:paraId="702BC264" w14:textId="77777777" w:rsidR="002449C2" w:rsidRDefault="00123961">
            <w:pPr>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35 265</w:t>
            </w:r>
          </w:p>
        </w:tc>
        <w:tc>
          <w:tcPr>
            <w:tcW w:w="1584" w:type="dxa"/>
            <w:tcBorders>
              <w:top w:val="single" w:sz="4" w:space="0" w:color="000000"/>
              <w:left w:val="single" w:sz="4" w:space="0" w:color="000000"/>
              <w:bottom w:val="single" w:sz="4" w:space="0" w:color="000000"/>
              <w:right w:val="single" w:sz="4" w:space="0" w:color="000000"/>
            </w:tcBorders>
            <w:vAlign w:val="center"/>
          </w:tcPr>
          <w:p w14:paraId="59CD5B8E" w14:textId="77777777" w:rsidR="002449C2" w:rsidRDefault="00123961">
            <w:pPr>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25 215,05</w:t>
            </w:r>
          </w:p>
        </w:tc>
      </w:tr>
    </w:tbl>
    <w:p w14:paraId="0D1EFCE4" w14:textId="292C6B45" w:rsidR="002449C2" w:rsidRDefault="00123961">
      <w:pPr>
        <w:tabs>
          <w:tab w:val="left" w:pos="142"/>
        </w:tabs>
        <w:spacing w:before="120" w:after="12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Динамика изменения у.е. Общества</w:t>
      </w:r>
    </w:p>
    <w:tbl>
      <w:tblPr>
        <w:tblW w:w="9640" w:type="dxa"/>
        <w:tblInd w:w="-289" w:type="dxa"/>
        <w:tblLayout w:type="fixed"/>
        <w:tblLook w:val="04A0" w:firstRow="1" w:lastRow="0" w:firstColumn="1" w:lastColumn="0" w:noHBand="0" w:noVBand="1"/>
      </w:tblPr>
      <w:tblGrid>
        <w:gridCol w:w="4366"/>
        <w:gridCol w:w="1843"/>
        <w:gridCol w:w="1849"/>
        <w:gridCol w:w="1582"/>
      </w:tblGrid>
      <w:tr w:rsidR="002449C2" w14:paraId="18687267" w14:textId="77777777" w:rsidTr="00D86BD0">
        <w:trPr>
          <w:trHeight w:val="756"/>
        </w:trPr>
        <w:tc>
          <w:tcPr>
            <w:tcW w:w="4366" w:type="dxa"/>
            <w:tcBorders>
              <w:top w:val="single" w:sz="4" w:space="0" w:color="000000"/>
              <w:left w:val="single" w:sz="4" w:space="0" w:color="000000"/>
              <w:bottom w:val="single" w:sz="4" w:space="0" w:color="000000"/>
              <w:right w:val="single" w:sz="4" w:space="0" w:color="000000"/>
            </w:tcBorders>
            <w:shd w:val="clear" w:color="auto" w:fill="D5DCE4"/>
            <w:vAlign w:val="center"/>
          </w:tcPr>
          <w:p w14:paraId="78D86D26" w14:textId="77777777" w:rsidR="002449C2" w:rsidRDefault="00123961">
            <w:pPr>
              <w:spacing w:after="0" w:line="240" w:lineRule="auto"/>
              <w:jc w:val="center"/>
              <w:rPr>
                <w:rFonts w:ascii="Times New Roman" w:hAnsi="Times New Roman"/>
                <w:b/>
                <w:sz w:val="28"/>
                <w:szCs w:val="28"/>
                <w:vertAlign w:val="superscript"/>
                <w:lang w:eastAsia="en-US"/>
              </w:rPr>
            </w:pPr>
            <w:r>
              <w:rPr>
                <w:rFonts w:ascii="Times New Roman" w:hAnsi="Times New Roman"/>
                <w:b/>
                <w:sz w:val="28"/>
                <w:szCs w:val="28"/>
                <w:vertAlign w:val="superscript"/>
                <w:lang w:eastAsia="en-US"/>
              </w:rPr>
              <w:t>Вид оборудования</w:t>
            </w:r>
          </w:p>
        </w:tc>
        <w:tc>
          <w:tcPr>
            <w:tcW w:w="1843" w:type="dxa"/>
            <w:tcBorders>
              <w:top w:val="single" w:sz="4" w:space="0" w:color="000000"/>
              <w:bottom w:val="single" w:sz="4" w:space="0" w:color="000000"/>
              <w:right w:val="single" w:sz="4" w:space="0" w:color="000000"/>
            </w:tcBorders>
            <w:shd w:val="clear" w:color="auto" w:fill="D5DCE4"/>
            <w:vAlign w:val="center"/>
          </w:tcPr>
          <w:p w14:paraId="21E03F18" w14:textId="77777777" w:rsidR="002449C2" w:rsidRDefault="00123961">
            <w:pPr>
              <w:spacing w:after="0" w:line="240" w:lineRule="auto"/>
              <w:jc w:val="center"/>
              <w:rPr>
                <w:rFonts w:ascii="Times New Roman" w:hAnsi="Times New Roman"/>
                <w:b/>
                <w:sz w:val="28"/>
                <w:szCs w:val="28"/>
                <w:vertAlign w:val="superscript"/>
                <w:lang w:eastAsia="en-US"/>
              </w:rPr>
            </w:pPr>
            <w:r>
              <w:rPr>
                <w:rFonts w:ascii="Times New Roman" w:hAnsi="Times New Roman"/>
                <w:b/>
                <w:sz w:val="28"/>
                <w:szCs w:val="28"/>
                <w:vertAlign w:val="superscript"/>
                <w:lang w:eastAsia="en-US"/>
              </w:rPr>
              <w:t>Количество У.Е. на 01.01.2023</w:t>
            </w:r>
          </w:p>
        </w:tc>
        <w:tc>
          <w:tcPr>
            <w:tcW w:w="1849" w:type="dxa"/>
            <w:tcBorders>
              <w:top w:val="single" w:sz="4" w:space="0" w:color="000000"/>
              <w:bottom w:val="single" w:sz="4" w:space="0" w:color="000000"/>
              <w:right w:val="single" w:sz="4" w:space="0" w:color="000000"/>
            </w:tcBorders>
            <w:shd w:val="clear" w:color="auto" w:fill="D5DCE4"/>
          </w:tcPr>
          <w:p w14:paraId="32E151F6" w14:textId="77777777" w:rsidR="002449C2" w:rsidRDefault="00123961">
            <w:pPr>
              <w:spacing w:after="0" w:line="240" w:lineRule="auto"/>
              <w:jc w:val="center"/>
              <w:rPr>
                <w:rFonts w:ascii="Times New Roman" w:hAnsi="Times New Roman"/>
                <w:b/>
                <w:sz w:val="28"/>
                <w:szCs w:val="28"/>
                <w:vertAlign w:val="superscript"/>
                <w:lang w:eastAsia="en-US"/>
              </w:rPr>
            </w:pPr>
            <w:r>
              <w:rPr>
                <w:rFonts w:ascii="Times New Roman" w:hAnsi="Times New Roman"/>
                <w:b/>
                <w:sz w:val="28"/>
                <w:szCs w:val="28"/>
                <w:vertAlign w:val="superscript"/>
                <w:lang w:eastAsia="en-US"/>
              </w:rPr>
              <w:t>Количество У.Е. на 01.01.2024</w:t>
            </w:r>
          </w:p>
        </w:tc>
        <w:tc>
          <w:tcPr>
            <w:tcW w:w="1582" w:type="dxa"/>
            <w:tcBorders>
              <w:top w:val="single" w:sz="4" w:space="0" w:color="000000"/>
              <w:bottom w:val="single" w:sz="4" w:space="0" w:color="000000"/>
              <w:right w:val="single" w:sz="4" w:space="0" w:color="000000"/>
            </w:tcBorders>
            <w:shd w:val="clear" w:color="auto" w:fill="D5DCE4"/>
          </w:tcPr>
          <w:p w14:paraId="091226D5" w14:textId="77777777" w:rsidR="002449C2" w:rsidRDefault="00123961">
            <w:pPr>
              <w:spacing w:after="0" w:line="240" w:lineRule="auto"/>
              <w:jc w:val="center"/>
              <w:rPr>
                <w:rFonts w:ascii="Times New Roman" w:hAnsi="Times New Roman"/>
                <w:b/>
                <w:sz w:val="28"/>
                <w:szCs w:val="28"/>
                <w:vertAlign w:val="superscript"/>
                <w:lang w:eastAsia="en-US"/>
              </w:rPr>
            </w:pPr>
            <w:r>
              <w:rPr>
                <w:rFonts w:ascii="Times New Roman" w:hAnsi="Times New Roman"/>
                <w:b/>
                <w:sz w:val="28"/>
                <w:szCs w:val="28"/>
                <w:vertAlign w:val="superscript"/>
                <w:lang w:eastAsia="en-US"/>
              </w:rPr>
              <w:t>Количество У.Е. на 01.01.2025</w:t>
            </w:r>
          </w:p>
        </w:tc>
      </w:tr>
      <w:tr w:rsidR="002449C2" w14:paraId="19AC3097" w14:textId="77777777" w:rsidTr="00D86BD0">
        <w:trPr>
          <w:trHeight w:val="186"/>
        </w:trPr>
        <w:tc>
          <w:tcPr>
            <w:tcW w:w="4366" w:type="dxa"/>
            <w:tcBorders>
              <w:left w:val="single" w:sz="4" w:space="0" w:color="000000"/>
              <w:bottom w:val="single" w:sz="4" w:space="0" w:color="000000"/>
              <w:right w:val="single" w:sz="4" w:space="0" w:color="000000"/>
            </w:tcBorders>
            <w:vAlign w:val="center"/>
          </w:tcPr>
          <w:p w14:paraId="79F995A8"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ЛЭП 0,4-110 кВ</w:t>
            </w:r>
          </w:p>
        </w:tc>
        <w:tc>
          <w:tcPr>
            <w:tcW w:w="1843" w:type="dxa"/>
            <w:tcBorders>
              <w:bottom w:val="single" w:sz="4" w:space="0" w:color="000000"/>
              <w:right w:val="single" w:sz="4" w:space="0" w:color="000000"/>
            </w:tcBorders>
            <w:vAlign w:val="center"/>
          </w:tcPr>
          <w:p w14:paraId="76EF4FBB"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229 773,11</w:t>
            </w:r>
          </w:p>
        </w:tc>
        <w:tc>
          <w:tcPr>
            <w:tcW w:w="1849" w:type="dxa"/>
            <w:tcBorders>
              <w:top w:val="single" w:sz="4" w:space="0" w:color="000000"/>
              <w:bottom w:val="single" w:sz="4" w:space="0" w:color="000000"/>
              <w:right w:val="single" w:sz="4" w:space="0" w:color="000000"/>
            </w:tcBorders>
          </w:tcPr>
          <w:p w14:paraId="55D2A2F5"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230 668,965</w:t>
            </w:r>
          </w:p>
        </w:tc>
        <w:tc>
          <w:tcPr>
            <w:tcW w:w="1582" w:type="dxa"/>
            <w:tcBorders>
              <w:top w:val="single" w:sz="4" w:space="0" w:color="000000"/>
              <w:bottom w:val="single" w:sz="4" w:space="0" w:color="000000"/>
              <w:right w:val="single" w:sz="4" w:space="0" w:color="000000"/>
            </w:tcBorders>
          </w:tcPr>
          <w:p w14:paraId="0CC26BBF"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232 140,16</w:t>
            </w:r>
          </w:p>
        </w:tc>
      </w:tr>
      <w:tr w:rsidR="002449C2" w14:paraId="48CFF931" w14:textId="77777777" w:rsidTr="00D86BD0">
        <w:trPr>
          <w:trHeight w:val="223"/>
        </w:trPr>
        <w:tc>
          <w:tcPr>
            <w:tcW w:w="4366" w:type="dxa"/>
            <w:tcBorders>
              <w:left w:val="single" w:sz="4" w:space="0" w:color="000000"/>
              <w:bottom w:val="single" w:sz="4" w:space="0" w:color="000000"/>
              <w:right w:val="single" w:sz="4" w:space="0" w:color="000000"/>
            </w:tcBorders>
            <w:vAlign w:val="center"/>
          </w:tcPr>
          <w:p w14:paraId="7DD0DF27"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ПС 35-110 кВ и ТП 0,4-10 кВ</w:t>
            </w:r>
          </w:p>
        </w:tc>
        <w:tc>
          <w:tcPr>
            <w:tcW w:w="1843" w:type="dxa"/>
            <w:tcBorders>
              <w:bottom w:val="single" w:sz="4" w:space="0" w:color="000000"/>
              <w:right w:val="single" w:sz="4" w:space="0" w:color="000000"/>
            </w:tcBorders>
            <w:vAlign w:val="center"/>
          </w:tcPr>
          <w:p w14:paraId="510DD440"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329 777,60</w:t>
            </w:r>
          </w:p>
        </w:tc>
        <w:tc>
          <w:tcPr>
            <w:tcW w:w="1849" w:type="dxa"/>
            <w:tcBorders>
              <w:top w:val="single" w:sz="4" w:space="0" w:color="000000"/>
              <w:bottom w:val="single" w:sz="4" w:space="0" w:color="000000"/>
              <w:right w:val="single" w:sz="4" w:space="0" w:color="000000"/>
            </w:tcBorders>
          </w:tcPr>
          <w:p w14:paraId="1A948979"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331 544,498</w:t>
            </w:r>
          </w:p>
        </w:tc>
        <w:tc>
          <w:tcPr>
            <w:tcW w:w="1582" w:type="dxa"/>
            <w:tcBorders>
              <w:top w:val="single" w:sz="4" w:space="0" w:color="000000"/>
              <w:bottom w:val="single" w:sz="4" w:space="0" w:color="000000"/>
              <w:right w:val="single" w:sz="4" w:space="0" w:color="000000"/>
            </w:tcBorders>
          </w:tcPr>
          <w:p w14:paraId="4F6AA1DA"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335 622,19</w:t>
            </w:r>
          </w:p>
        </w:tc>
      </w:tr>
      <w:tr w:rsidR="002449C2" w14:paraId="41B0E623" w14:textId="77777777" w:rsidTr="00D86BD0">
        <w:trPr>
          <w:trHeight w:val="131"/>
        </w:trPr>
        <w:tc>
          <w:tcPr>
            <w:tcW w:w="4366" w:type="dxa"/>
            <w:tcBorders>
              <w:left w:val="single" w:sz="4" w:space="0" w:color="000000"/>
              <w:bottom w:val="single" w:sz="4" w:space="0" w:color="000000"/>
              <w:right w:val="single" w:sz="4" w:space="0" w:color="000000"/>
            </w:tcBorders>
            <w:vAlign w:val="center"/>
          </w:tcPr>
          <w:p w14:paraId="6D97B433"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ИТОГО ОСНОВНОЕ ОБОРУДОВАНИЕ</w:t>
            </w:r>
          </w:p>
        </w:tc>
        <w:tc>
          <w:tcPr>
            <w:tcW w:w="1843" w:type="dxa"/>
            <w:tcBorders>
              <w:bottom w:val="single" w:sz="4" w:space="0" w:color="000000"/>
              <w:right w:val="single" w:sz="4" w:space="0" w:color="000000"/>
            </w:tcBorders>
            <w:vAlign w:val="center"/>
          </w:tcPr>
          <w:p w14:paraId="6FE8FBD7"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559 550,71</w:t>
            </w:r>
          </w:p>
        </w:tc>
        <w:tc>
          <w:tcPr>
            <w:tcW w:w="1849" w:type="dxa"/>
            <w:tcBorders>
              <w:top w:val="single" w:sz="4" w:space="0" w:color="000000"/>
              <w:bottom w:val="single" w:sz="4" w:space="0" w:color="000000"/>
              <w:right w:val="single" w:sz="4" w:space="0" w:color="000000"/>
            </w:tcBorders>
          </w:tcPr>
          <w:p w14:paraId="581255EC"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562 213,463</w:t>
            </w:r>
          </w:p>
        </w:tc>
        <w:tc>
          <w:tcPr>
            <w:tcW w:w="1582" w:type="dxa"/>
            <w:tcBorders>
              <w:top w:val="single" w:sz="4" w:space="0" w:color="000000"/>
              <w:bottom w:val="single" w:sz="4" w:space="0" w:color="000000"/>
              <w:right w:val="single" w:sz="4" w:space="0" w:color="000000"/>
            </w:tcBorders>
          </w:tcPr>
          <w:p w14:paraId="52773173"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567 762,35</w:t>
            </w:r>
          </w:p>
        </w:tc>
      </w:tr>
      <w:tr w:rsidR="002449C2" w14:paraId="04B411E2" w14:textId="77777777" w:rsidTr="00D86BD0">
        <w:trPr>
          <w:trHeight w:val="323"/>
        </w:trPr>
        <w:tc>
          <w:tcPr>
            <w:tcW w:w="4366" w:type="dxa"/>
            <w:tcBorders>
              <w:left w:val="single" w:sz="4" w:space="0" w:color="000000"/>
              <w:bottom w:val="single" w:sz="4" w:space="0" w:color="000000"/>
              <w:right w:val="single" w:sz="4" w:space="0" w:color="000000"/>
            </w:tcBorders>
            <w:vAlign w:val="center"/>
          </w:tcPr>
          <w:p w14:paraId="3A79B2FE"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СДТУ</w:t>
            </w:r>
          </w:p>
        </w:tc>
        <w:tc>
          <w:tcPr>
            <w:tcW w:w="1843" w:type="dxa"/>
            <w:tcBorders>
              <w:bottom w:val="single" w:sz="4" w:space="0" w:color="000000"/>
              <w:right w:val="single" w:sz="4" w:space="0" w:color="000000"/>
            </w:tcBorders>
            <w:vAlign w:val="center"/>
          </w:tcPr>
          <w:p w14:paraId="69D491CA"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506 635,43</w:t>
            </w:r>
          </w:p>
        </w:tc>
        <w:tc>
          <w:tcPr>
            <w:tcW w:w="1849" w:type="dxa"/>
            <w:tcBorders>
              <w:top w:val="single" w:sz="4" w:space="0" w:color="000000"/>
              <w:bottom w:val="single" w:sz="4" w:space="0" w:color="000000"/>
              <w:right w:val="single" w:sz="4" w:space="0" w:color="000000"/>
            </w:tcBorders>
          </w:tcPr>
          <w:p w14:paraId="1AE9D238"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506 701,00</w:t>
            </w:r>
          </w:p>
        </w:tc>
        <w:tc>
          <w:tcPr>
            <w:tcW w:w="1582" w:type="dxa"/>
            <w:tcBorders>
              <w:top w:val="single" w:sz="4" w:space="0" w:color="000000"/>
              <w:bottom w:val="single" w:sz="4" w:space="0" w:color="000000"/>
              <w:right w:val="single" w:sz="4" w:space="0" w:color="000000"/>
            </w:tcBorders>
          </w:tcPr>
          <w:p w14:paraId="17326E09"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506 701,02</w:t>
            </w:r>
          </w:p>
        </w:tc>
      </w:tr>
      <w:tr w:rsidR="002449C2" w14:paraId="67898EEE" w14:textId="77777777" w:rsidTr="00D86BD0">
        <w:trPr>
          <w:trHeight w:val="300"/>
        </w:trPr>
        <w:tc>
          <w:tcPr>
            <w:tcW w:w="4366" w:type="dxa"/>
            <w:tcBorders>
              <w:left w:val="single" w:sz="4" w:space="0" w:color="000000"/>
              <w:bottom w:val="single" w:sz="4" w:space="0" w:color="000000"/>
              <w:right w:val="single" w:sz="4" w:space="0" w:color="000000"/>
            </w:tcBorders>
            <w:vAlign w:val="center"/>
          </w:tcPr>
          <w:p w14:paraId="0B1ED0F0"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АИИС КУЭ</w:t>
            </w:r>
          </w:p>
        </w:tc>
        <w:tc>
          <w:tcPr>
            <w:tcW w:w="1843" w:type="dxa"/>
            <w:tcBorders>
              <w:bottom w:val="single" w:sz="4" w:space="0" w:color="000000"/>
              <w:right w:val="single" w:sz="4" w:space="0" w:color="000000"/>
            </w:tcBorders>
            <w:vAlign w:val="center"/>
          </w:tcPr>
          <w:p w14:paraId="384245C1"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85 978,46</w:t>
            </w:r>
          </w:p>
        </w:tc>
        <w:tc>
          <w:tcPr>
            <w:tcW w:w="1849" w:type="dxa"/>
            <w:tcBorders>
              <w:top w:val="single" w:sz="4" w:space="0" w:color="000000"/>
              <w:bottom w:val="single" w:sz="4" w:space="0" w:color="000000"/>
              <w:right w:val="single" w:sz="4" w:space="0" w:color="000000"/>
            </w:tcBorders>
          </w:tcPr>
          <w:p w14:paraId="617ACA4A"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88 052,92</w:t>
            </w:r>
          </w:p>
        </w:tc>
        <w:tc>
          <w:tcPr>
            <w:tcW w:w="1582" w:type="dxa"/>
            <w:tcBorders>
              <w:top w:val="single" w:sz="4" w:space="0" w:color="000000"/>
              <w:bottom w:val="single" w:sz="4" w:space="0" w:color="000000"/>
              <w:right w:val="single" w:sz="4" w:space="0" w:color="000000"/>
            </w:tcBorders>
          </w:tcPr>
          <w:p w14:paraId="3EAF562B"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88 351,79</w:t>
            </w:r>
          </w:p>
        </w:tc>
      </w:tr>
      <w:tr w:rsidR="002449C2" w14:paraId="4202D34A" w14:textId="77777777" w:rsidTr="00D86BD0">
        <w:trPr>
          <w:trHeight w:val="139"/>
        </w:trPr>
        <w:tc>
          <w:tcPr>
            <w:tcW w:w="4366" w:type="dxa"/>
            <w:tcBorders>
              <w:left w:val="single" w:sz="4" w:space="0" w:color="000000"/>
              <w:bottom w:val="single" w:sz="4" w:space="0" w:color="000000"/>
              <w:right w:val="single" w:sz="4" w:space="0" w:color="000000"/>
            </w:tcBorders>
            <w:vAlign w:val="center"/>
          </w:tcPr>
          <w:p w14:paraId="233D1C1A"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Прочее</w:t>
            </w:r>
          </w:p>
        </w:tc>
        <w:tc>
          <w:tcPr>
            <w:tcW w:w="1843" w:type="dxa"/>
            <w:tcBorders>
              <w:bottom w:val="single" w:sz="4" w:space="0" w:color="000000"/>
              <w:right w:val="single" w:sz="4" w:space="0" w:color="000000"/>
            </w:tcBorders>
            <w:vAlign w:val="center"/>
          </w:tcPr>
          <w:p w14:paraId="7A6BCA8A"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47 832,94</w:t>
            </w:r>
          </w:p>
        </w:tc>
        <w:tc>
          <w:tcPr>
            <w:tcW w:w="1849" w:type="dxa"/>
            <w:tcBorders>
              <w:top w:val="single" w:sz="4" w:space="0" w:color="000000"/>
              <w:bottom w:val="single" w:sz="4" w:space="0" w:color="000000"/>
              <w:right w:val="single" w:sz="4" w:space="0" w:color="000000"/>
            </w:tcBorders>
          </w:tcPr>
          <w:p w14:paraId="1445F9B6"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48 077,61</w:t>
            </w:r>
          </w:p>
        </w:tc>
        <w:tc>
          <w:tcPr>
            <w:tcW w:w="1582" w:type="dxa"/>
            <w:tcBorders>
              <w:top w:val="single" w:sz="4" w:space="0" w:color="000000"/>
              <w:bottom w:val="single" w:sz="4" w:space="0" w:color="000000"/>
              <w:right w:val="single" w:sz="4" w:space="0" w:color="000000"/>
            </w:tcBorders>
          </w:tcPr>
          <w:p w14:paraId="5B896C0B"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48 153,46</w:t>
            </w:r>
          </w:p>
        </w:tc>
      </w:tr>
      <w:tr w:rsidR="002449C2" w14:paraId="04089C0E" w14:textId="77777777" w:rsidTr="00D86BD0">
        <w:trPr>
          <w:trHeight w:val="300"/>
        </w:trPr>
        <w:tc>
          <w:tcPr>
            <w:tcW w:w="4366" w:type="dxa"/>
            <w:tcBorders>
              <w:left w:val="single" w:sz="4" w:space="0" w:color="000000"/>
              <w:bottom w:val="single" w:sz="4" w:space="0" w:color="000000"/>
              <w:right w:val="single" w:sz="4" w:space="0" w:color="000000"/>
            </w:tcBorders>
            <w:vAlign w:val="center"/>
          </w:tcPr>
          <w:p w14:paraId="017089F0"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ИТОГО ПРОЧЕЕ ОБОРУДОВАНИЕ</w:t>
            </w:r>
          </w:p>
        </w:tc>
        <w:tc>
          <w:tcPr>
            <w:tcW w:w="1843" w:type="dxa"/>
            <w:tcBorders>
              <w:bottom w:val="single" w:sz="4" w:space="0" w:color="000000"/>
              <w:right w:val="single" w:sz="4" w:space="0" w:color="000000"/>
            </w:tcBorders>
            <w:vAlign w:val="center"/>
          </w:tcPr>
          <w:p w14:paraId="55687DAD"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640 446,83</w:t>
            </w:r>
          </w:p>
        </w:tc>
        <w:tc>
          <w:tcPr>
            <w:tcW w:w="1849" w:type="dxa"/>
            <w:tcBorders>
              <w:top w:val="single" w:sz="4" w:space="0" w:color="000000"/>
              <w:bottom w:val="single" w:sz="4" w:space="0" w:color="000000"/>
              <w:right w:val="single" w:sz="4" w:space="0" w:color="000000"/>
            </w:tcBorders>
          </w:tcPr>
          <w:p w14:paraId="24AA2640"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642 831,536</w:t>
            </w:r>
          </w:p>
        </w:tc>
        <w:tc>
          <w:tcPr>
            <w:tcW w:w="1582" w:type="dxa"/>
            <w:tcBorders>
              <w:top w:val="single" w:sz="4" w:space="0" w:color="000000"/>
              <w:bottom w:val="single" w:sz="4" w:space="0" w:color="000000"/>
              <w:right w:val="single" w:sz="4" w:space="0" w:color="000000"/>
            </w:tcBorders>
          </w:tcPr>
          <w:p w14:paraId="2E8A205F" w14:textId="77777777" w:rsidR="002449C2" w:rsidRDefault="00123961">
            <w:pPr>
              <w:spacing w:after="0" w:line="240" w:lineRule="auto"/>
              <w:jc w:val="center"/>
              <w:rPr>
                <w:rFonts w:ascii="Times New Roman" w:hAnsi="Times New Roman"/>
                <w:bCs/>
                <w:color w:val="000000"/>
                <w:sz w:val="20"/>
                <w:szCs w:val="20"/>
                <w:lang w:eastAsia="en-US"/>
              </w:rPr>
            </w:pPr>
            <w:r>
              <w:rPr>
                <w:rFonts w:ascii="Times New Roman" w:hAnsi="Times New Roman"/>
                <w:bCs/>
                <w:color w:val="000000"/>
                <w:sz w:val="20"/>
                <w:szCs w:val="20"/>
                <w:lang w:eastAsia="en-US"/>
              </w:rPr>
              <w:t>643 206,27</w:t>
            </w:r>
          </w:p>
        </w:tc>
      </w:tr>
      <w:tr w:rsidR="002449C2" w14:paraId="064D222B" w14:textId="77777777" w:rsidTr="00D86BD0">
        <w:trPr>
          <w:trHeight w:val="300"/>
        </w:trPr>
        <w:tc>
          <w:tcPr>
            <w:tcW w:w="4366" w:type="dxa"/>
            <w:tcBorders>
              <w:left w:val="single" w:sz="4" w:space="0" w:color="000000"/>
              <w:bottom w:val="single" w:sz="4" w:space="0" w:color="000000"/>
              <w:right w:val="single" w:sz="4" w:space="0" w:color="000000"/>
            </w:tcBorders>
            <w:shd w:val="clear" w:color="auto" w:fill="D5DCE4"/>
            <w:vAlign w:val="center"/>
          </w:tcPr>
          <w:p w14:paraId="595779C2" w14:textId="77777777" w:rsidR="002449C2" w:rsidRDefault="00123961">
            <w:pPr>
              <w:spacing w:after="160" w:line="259" w:lineRule="auto"/>
              <w:jc w:val="center"/>
              <w:rPr>
                <w:rFonts w:ascii="Times New Roman" w:hAnsi="Times New Roman"/>
                <w:sz w:val="28"/>
                <w:szCs w:val="28"/>
                <w:vertAlign w:val="superscript"/>
                <w:lang w:eastAsia="en-US"/>
              </w:rPr>
            </w:pPr>
            <w:r>
              <w:rPr>
                <w:rFonts w:ascii="Times New Roman" w:hAnsi="Times New Roman"/>
                <w:sz w:val="28"/>
                <w:szCs w:val="28"/>
                <w:vertAlign w:val="superscript"/>
                <w:lang w:eastAsia="en-US"/>
              </w:rPr>
              <w:t>ИТОГО ПАО «Россети Юг»</w:t>
            </w:r>
          </w:p>
        </w:tc>
        <w:tc>
          <w:tcPr>
            <w:tcW w:w="1843" w:type="dxa"/>
            <w:tcBorders>
              <w:bottom w:val="single" w:sz="4" w:space="0" w:color="000000"/>
              <w:right w:val="single" w:sz="4" w:space="0" w:color="000000"/>
            </w:tcBorders>
            <w:shd w:val="clear" w:color="auto" w:fill="D5DCE4"/>
            <w:vAlign w:val="center"/>
          </w:tcPr>
          <w:p w14:paraId="0BE6FBEB" w14:textId="77777777" w:rsidR="002449C2" w:rsidRDefault="00123961">
            <w:pPr>
              <w:spacing w:after="160" w:line="259" w:lineRule="auto"/>
              <w:jc w:val="center"/>
              <w:rPr>
                <w:rFonts w:ascii="Times New Roman" w:hAnsi="Times New Roman"/>
                <w:sz w:val="28"/>
                <w:szCs w:val="28"/>
                <w:vertAlign w:val="superscript"/>
                <w:lang w:eastAsia="en-US"/>
              </w:rPr>
            </w:pPr>
            <w:r>
              <w:rPr>
                <w:rFonts w:ascii="Times New Roman" w:hAnsi="Times New Roman"/>
                <w:sz w:val="28"/>
                <w:szCs w:val="28"/>
                <w:vertAlign w:val="superscript"/>
                <w:lang w:eastAsia="en-US"/>
              </w:rPr>
              <w:t>1 199 997,54</w:t>
            </w:r>
          </w:p>
        </w:tc>
        <w:tc>
          <w:tcPr>
            <w:tcW w:w="1849" w:type="dxa"/>
            <w:tcBorders>
              <w:top w:val="single" w:sz="4" w:space="0" w:color="000000"/>
              <w:bottom w:val="single" w:sz="4" w:space="0" w:color="000000"/>
              <w:right w:val="single" w:sz="4" w:space="0" w:color="000000"/>
            </w:tcBorders>
            <w:shd w:val="clear" w:color="auto" w:fill="D5DCE4"/>
          </w:tcPr>
          <w:p w14:paraId="375B2430" w14:textId="77777777" w:rsidR="002449C2" w:rsidRDefault="00123961">
            <w:pPr>
              <w:spacing w:after="160" w:line="259" w:lineRule="auto"/>
              <w:jc w:val="center"/>
              <w:rPr>
                <w:rFonts w:ascii="Times New Roman" w:hAnsi="Times New Roman"/>
                <w:sz w:val="28"/>
                <w:szCs w:val="28"/>
                <w:vertAlign w:val="superscript"/>
                <w:lang w:eastAsia="en-US"/>
              </w:rPr>
            </w:pPr>
            <w:r>
              <w:rPr>
                <w:rFonts w:ascii="Times New Roman" w:hAnsi="Times New Roman"/>
                <w:sz w:val="28"/>
                <w:szCs w:val="28"/>
                <w:vertAlign w:val="superscript"/>
                <w:lang w:eastAsia="en-US"/>
              </w:rPr>
              <w:t>1 205 045,00</w:t>
            </w:r>
          </w:p>
        </w:tc>
        <w:tc>
          <w:tcPr>
            <w:tcW w:w="1582" w:type="dxa"/>
            <w:tcBorders>
              <w:top w:val="single" w:sz="4" w:space="0" w:color="000000"/>
              <w:bottom w:val="single" w:sz="4" w:space="0" w:color="000000"/>
              <w:right w:val="single" w:sz="4" w:space="0" w:color="000000"/>
            </w:tcBorders>
            <w:shd w:val="clear" w:color="auto" w:fill="D5DCE4"/>
          </w:tcPr>
          <w:p w14:paraId="3E8819A8" w14:textId="77777777" w:rsidR="002449C2" w:rsidRDefault="00123961">
            <w:pPr>
              <w:spacing w:after="160" w:line="259" w:lineRule="auto"/>
              <w:jc w:val="center"/>
              <w:rPr>
                <w:rFonts w:ascii="Times New Roman" w:hAnsi="Times New Roman"/>
                <w:sz w:val="28"/>
                <w:szCs w:val="28"/>
                <w:vertAlign w:val="superscript"/>
                <w:lang w:eastAsia="en-US"/>
              </w:rPr>
            </w:pPr>
            <w:r>
              <w:rPr>
                <w:rFonts w:ascii="Times New Roman" w:hAnsi="Times New Roman"/>
                <w:sz w:val="28"/>
                <w:szCs w:val="28"/>
                <w:vertAlign w:val="superscript"/>
                <w:lang w:eastAsia="en-US"/>
              </w:rPr>
              <w:t>1 210 968,62</w:t>
            </w:r>
          </w:p>
        </w:tc>
      </w:tr>
    </w:tbl>
    <w:p w14:paraId="7566FB37" w14:textId="77777777" w:rsidR="004C2091" w:rsidRDefault="004C2091">
      <w:pPr>
        <w:spacing w:before="120" w:after="0" w:line="240" w:lineRule="auto"/>
        <w:ind w:firstLine="567"/>
        <w:jc w:val="both"/>
        <w:rPr>
          <w:rFonts w:ascii="Times New Roman" w:eastAsia="Times New Roman" w:hAnsi="Times New Roman"/>
          <w:sz w:val="26"/>
          <w:szCs w:val="26"/>
          <w:lang w:eastAsia="ru-RU"/>
        </w:rPr>
      </w:pPr>
    </w:p>
    <w:p w14:paraId="582480D2" w14:textId="5C138F22" w:rsidR="002449C2" w:rsidRDefault="00123961">
      <w:pPr>
        <w:spacing w:before="120"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 итогам 2024 года наблюдается прирост объемов электросетевого оборудования. Увеличение физических объемов связано с новым строительством объектов электроэнергетики в рамках инвестиционной деятельности и заключением договор арены, а также реализацией мероприятий по принятию на баланс Общества бесхозяйных объектов.</w:t>
      </w:r>
    </w:p>
    <w:p w14:paraId="0B6ED0C8"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19" w:name="_Toc195174912"/>
      <w:bookmarkStart w:id="20" w:name="_Toc196143004"/>
      <w:r>
        <w:rPr>
          <w:rFonts w:ascii="Times New Roman" w:eastAsia="Times New Roman" w:hAnsi="Times New Roman"/>
          <w:caps/>
          <w:color w:val="632423"/>
          <w:spacing w:val="15"/>
          <w:sz w:val="24"/>
          <w:szCs w:val="24"/>
          <w:lang w:eastAsia="en-US" w:bidi="en-US"/>
        </w:rPr>
        <w:t>Бизнес-модель</w:t>
      </w:r>
      <w:bookmarkEnd w:id="19"/>
      <w:bookmarkEnd w:id="20"/>
    </w:p>
    <w:tbl>
      <w:tblPr>
        <w:tblW w:w="10599" w:type="dxa"/>
        <w:tblInd w:w="-425" w:type="dxa"/>
        <w:tblLayout w:type="fixed"/>
        <w:tblLook w:val="04A0" w:firstRow="1" w:lastRow="0" w:firstColumn="1" w:lastColumn="0" w:noHBand="0" w:noVBand="1"/>
      </w:tblPr>
      <w:tblGrid>
        <w:gridCol w:w="239"/>
        <w:gridCol w:w="3210"/>
        <w:gridCol w:w="105"/>
        <w:gridCol w:w="1976"/>
        <w:gridCol w:w="105"/>
        <w:gridCol w:w="4728"/>
        <w:gridCol w:w="236"/>
      </w:tblGrid>
      <w:tr w:rsidR="002449C2" w14:paraId="77B726C5" w14:textId="77777777">
        <w:trPr>
          <w:trHeight w:val="130"/>
        </w:trPr>
        <w:tc>
          <w:tcPr>
            <w:tcW w:w="238" w:type="dxa"/>
          </w:tcPr>
          <w:p w14:paraId="354C4FFD" w14:textId="77777777" w:rsidR="002449C2" w:rsidRDefault="002449C2">
            <w:pPr>
              <w:spacing w:after="0" w:line="240" w:lineRule="auto"/>
              <w:ind w:right="-108"/>
              <w:jc w:val="center"/>
              <w:rPr>
                <w:rFonts w:ascii="Times New Roman" w:eastAsia="Times New Roman" w:hAnsi="Times New Roman"/>
                <w:b/>
                <w:sz w:val="26"/>
                <w:szCs w:val="26"/>
                <w:lang w:eastAsia="ar-SA"/>
              </w:rPr>
            </w:pPr>
          </w:p>
        </w:tc>
        <w:tc>
          <w:tcPr>
            <w:tcW w:w="10360" w:type="dxa"/>
            <w:gridSpan w:val="6"/>
            <w:vAlign w:val="center"/>
          </w:tcPr>
          <w:p w14:paraId="4BA573C0" w14:textId="77777777" w:rsidR="002449C2" w:rsidRDefault="00123961">
            <w:pPr>
              <w:spacing w:after="0" w:line="240" w:lineRule="auto"/>
              <w:ind w:right="-108"/>
              <w:jc w:val="center"/>
              <w:rPr>
                <w:rFonts w:ascii="Times New Roman" w:eastAsia="Times New Roman" w:hAnsi="Times New Roman"/>
                <w:b/>
                <w:sz w:val="26"/>
                <w:szCs w:val="26"/>
                <w:lang w:eastAsia="ar-SA"/>
              </w:rPr>
            </w:pPr>
            <w:r>
              <w:rPr>
                <w:rFonts w:ascii="Times New Roman" w:eastAsia="Times New Roman" w:hAnsi="Times New Roman"/>
                <w:b/>
                <w:sz w:val="26"/>
                <w:szCs w:val="26"/>
                <w:lang w:eastAsia="ar-SA"/>
              </w:rPr>
              <w:t>Россети Юг входит в состав крупнейшей энергосистемы мира – группу компаний Россети</w:t>
            </w:r>
          </w:p>
          <w:p w14:paraId="25567A99" w14:textId="77777777" w:rsidR="002449C2" w:rsidRDefault="00123961">
            <w:pPr>
              <w:spacing w:after="0" w:line="240" w:lineRule="auto"/>
              <w:rPr>
                <w:rFonts w:ascii="Times New Roman" w:hAnsi="Times New Roman"/>
                <w:b/>
                <w:bCs/>
                <w:lang w:eastAsia="en-US"/>
              </w:rPr>
            </w:pPr>
            <w:r>
              <w:rPr>
                <w:rFonts w:ascii="Times New Roman" w:hAnsi="Times New Roman"/>
                <w:b/>
                <w:bCs/>
                <w:lang w:eastAsia="en-US"/>
              </w:rPr>
              <w:t>Стратегические цели:</w:t>
            </w:r>
          </w:p>
          <w:p w14:paraId="01A9FE00" w14:textId="77777777" w:rsidR="002449C2" w:rsidRDefault="00123961">
            <w:pPr>
              <w:numPr>
                <w:ilvl w:val="0"/>
                <w:numId w:val="40"/>
              </w:numPr>
              <w:spacing w:after="0" w:line="240" w:lineRule="auto"/>
              <w:contextualSpacing/>
              <w:rPr>
                <w:rFonts w:ascii="Times New Roman" w:hAnsi="Times New Roman"/>
                <w:b/>
                <w:bCs/>
                <w:lang w:eastAsia="en-US"/>
              </w:rPr>
            </w:pPr>
            <w:r>
              <w:rPr>
                <w:rFonts w:ascii="Times New Roman" w:hAnsi="Times New Roman"/>
                <w:lang w:eastAsia="en-US"/>
              </w:rPr>
              <w:t>Обеспечение надежности и качества энергоснабжения на заданном уровне</w:t>
            </w:r>
          </w:p>
          <w:p w14:paraId="7182053D" w14:textId="77777777" w:rsidR="002449C2" w:rsidRDefault="00123961">
            <w:pPr>
              <w:numPr>
                <w:ilvl w:val="0"/>
                <w:numId w:val="40"/>
              </w:numPr>
              <w:spacing w:after="0" w:line="240" w:lineRule="auto"/>
              <w:contextualSpacing/>
              <w:rPr>
                <w:rFonts w:ascii="Times New Roman" w:hAnsi="Times New Roman"/>
                <w:lang w:eastAsia="en-US"/>
              </w:rPr>
            </w:pPr>
            <w:r>
              <w:rPr>
                <w:rFonts w:ascii="Times New Roman" w:hAnsi="Times New Roman"/>
                <w:lang w:eastAsia="en-US"/>
              </w:rPr>
              <w:t>Повышение совокупной доходности акционеров</w:t>
            </w:r>
          </w:p>
          <w:p w14:paraId="240FDAB1" w14:textId="77777777" w:rsidR="002449C2" w:rsidRDefault="00123961">
            <w:pPr>
              <w:numPr>
                <w:ilvl w:val="0"/>
                <w:numId w:val="40"/>
              </w:numPr>
              <w:spacing w:after="0" w:line="240" w:lineRule="auto"/>
              <w:contextualSpacing/>
              <w:rPr>
                <w:rFonts w:ascii="Times New Roman" w:eastAsia="Times New Roman" w:hAnsi="Times New Roman"/>
                <w:b/>
                <w:lang w:eastAsia="ar-SA"/>
              </w:rPr>
            </w:pPr>
            <w:r>
              <w:rPr>
                <w:rFonts w:ascii="Times New Roman" w:hAnsi="Times New Roman"/>
                <w:lang w:eastAsia="en-US"/>
              </w:rPr>
              <w:t>Обеспечение устойчивости к изменениям мирового и локального рынка электроэнергии</w:t>
            </w:r>
          </w:p>
          <w:p w14:paraId="0F457C1D" w14:textId="77777777" w:rsidR="002449C2" w:rsidRDefault="002449C2">
            <w:pPr>
              <w:shd w:val="clear" w:color="auto" w:fill="FFFFFF"/>
              <w:spacing w:after="0" w:line="240" w:lineRule="auto"/>
              <w:ind w:right="466"/>
              <w:jc w:val="both"/>
              <w:rPr>
                <w:rFonts w:ascii="Times New Roman" w:eastAsia="Times New Roman" w:hAnsi="Times New Roman"/>
                <w:b/>
                <w:lang w:eastAsia="ar-SA"/>
              </w:rPr>
            </w:pPr>
          </w:p>
        </w:tc>
      </w:tr>
      <w:tr w:rsidR="002449C2" w14:paraId="7687308D" w14:textId="77777777">
        <w:trPr>
          <w:trHeight w:val="130"/>
        </w:trPr>
        <w:tc>
          <w:tcPr>
            <w:tcW w:w="238" w:type="dxa"/>
          </w:tcPr>
          <w:p w14:paraId="48574349" w14:textId="77777777" w:rsidR="002449C2" w:rsidRDefault="002449C2">
            <w:pPr>
              <w:shd w:val="clear" w:color="auto" w:fill="FFFFFF"/>
              <w:spacing w:after="0" w:line="240" w:lineRule="auto"/>
              <w:jc w:val="both"/>
              <w:rPr>
                <w:rFonts w:ascii="Times New Roman" w:eastAsia="Times New Roman" w:hAnsi="Times New Roman"/>
                <w:lang w:eastAsia="ar-SA"/>
              </w:rPr>
            </w:pPr>
          </w:p>
        </w:tc>
        <w:tc>
          <w:tcPr>
            <w:tcW w:w="3315" w:type="dxa"/>
            <w:gridSpan w:val="2"/>
            <w:vAlign w:val="center"/>
          </w:tcPr>
          <w:p w14:paraId="56BD1AC4" w14:textId="77777777" w:rsidR="002449C2" w:rsidRDefault="002449C2">
            <w:pPr>
              <w:shd w:val="clear" w:color="auto" w:fill="FFFFFF"/>
              <w:spacing w:after="0" w:line="240" w:lineRule="auto"/>
              <w:jc w:val="both"/>
              <w:rPr>
                <w:rFonts w:ascii="Times New Roman" w:eastAsia="Times New Roman" w:hAnsi="Times New Roman"/>
                <w:lang w:eastAsia="ar-SA"/>
              </w:rPr>
            </w:pPr>
          </w:p>
        </w:tc>
        <w:tc>
          <w:tcPr>
            <w:tcW w:w="2081" w:type="dxa"/>
            <w:gridSpan w:val="2"/>
            <w:vAlign w:val="center"/>
          </w:tcPr>
          <w:p w14:paraId="2FB8A37A" w14:textId="77777777" w:rsidR="002449C2" w:rsidRDefault="002449C2">
            <w:pPr>
              <w:spacing w:after="0" w:line="240" w:lineRule="auto"/>
              <w:jc w:val="both"/>
              <w:rPr>
                <w:rFonts w:ascii="Times New Roman" w:eastAsia="Times New Roman" w:hAnsi="Times New Roman"/>
                <w:lang w:eastAsia="ar-SA"/>
              </w:rPr>
            </w:pPr>
          </w:p>
        </w:tc>
        <w:tc>
          <w:tcPr>
            <w:tcW w:w="4964" w:type="dxa"/>
            <w:gridSpan w:val="2"/>
            <w:vAlign w:val="center"/>
          </w:tcPr>
          <w:p w14:paraId="596443BB" w14:textId="77777777" w:rsidR="002449C2" w:rsidRDefault="002449C2">
            <w:pPr>
              <w:shd w:val="clear" w:color="auto" w:fill="FFFFFF"/>
              <w:spacing w:after="0" w:line="240" w:lineRule="auto"/>
              <w:jc w:val="both"/>
              <w:rPr>
                <w:rFonts w:ascii="Times New Roman" w:eastAsia="Times New Roman" w:hAnsi="Times New Roman"/>
                <w:lang w:eastAsia="ar-SA"/>
              </w:rPr>
            </w:pPr>
          </w:p>
        </w:tc>
      </w:tr>
      <w:tr w:rsidR="002449C2" w14:paraId="06450C9C" w14:textId="77777777">
        <w:trPr>
          <w:trHeight w:val="130"/>
        </w:trPr>
        <w:tc>
          <w:tcPr>
            <w:tcW w:w="3448" w:type="dxa"/>
            <w:gridSpan w:val="2"/>
            <w:shd w:val="clear" w:color="auto" w:fill="auto"/>
            <w:vAlign w:val="center"/>
          </w:tcPr>
          <w:p w14:paraId="3B5E8656" w14:textId="77777777" w:rsidR="002449C2" w:rsidRDefault="00123961">
            <w:pPr>
              <w:spacing w:after="0" w:line="240" w:lineRule="auto"/>
              <w:jc w:val="both"/>
              <w:rPr>
                <w:rFonts w:ascii="Times New Roman" w:eastAsia="Times New Roman" w:hAnsi="Times New Roman"/>
                <w:lang w:eastAsia="ar-SA"/>
              </w:rPr>
            </w:pPr>
            <w:r>
              <w:rPr>
                <w:rFonts w:ascii="Times New Roman" w:eastAsia="Times New Roman" w:hAnsi="Times New Roman"/>
                <w:b/>
                <w:lang w:eastAsia="ar-SA"/>
              </w:rPr>
              <w:t>Установленная мощность</w:t>
            </w:r>
          </w:p>
          <w:p w14:paraId="3454677C" w14:textId="77777777" w:rsidR="002449C2" w:rsidRDefault="00123961">
            <w:pPr>
              <w:spacing w:after="0" w:line="240" w:lineRule="auto"/>
              <w:jc w:val="both"/>
              <w:rPr>
                <w:rFonts w:ascii="Times New Roman" w:eastAsia="Times New Roman" w:hAnsi="Times New Roman"/>
                <w:lang w:eastAsia="ar-SA"/>
              </w:rPr>
            </w:pPr>
            <w:r>
              <w:rPr>
                <w:rFonts w:ascii="Times New Roman" w:eastAsia="Times New Roman" w:hAnsi="Times New Roman"/>
                <w:lang w:eastAsia="ru-RU"/>
              </w:rPr>
              <w:t xml:space="preserve">25 215,05 </w:t>
            </w:r>
            <w:r>
              <w:rPr>
                <w:rFonts w:ascii="Times New Roman" w:eastAsia="Times New Roman" w:hAnsi="Times New Roman"/>
                <w:lang w:eastAsia="ar-SA"/>
              </w:rPr>
              <w:t>МВА</w:t>
            </w:r>
          </w:p>
          <w:p w14:paraId="2512DC83" w14:textId="77777777" w:rsidR="002449C2" w:rsidRDefault="002449C2">
            <w:pPr>
              <w:spacing w:after="0" w:line="240" w:lineRule="auto"/>
              <w:jc w:val="both"/>
              <w:rPr>
                <w:rFonts w:ascii="Times New Roman" w:eastAsia="Times New Roman" w:hAnsi="Times New Roman"/>
                <w:lang w:eastAsia="ar-SA"/>
              </w:rPr>
            </w:pPr>
          </w:p>
          <w:p w14:paraId="5FA2469C" w14:textId="77777777" w:rsidR="002449C2" w:rsidRDefault="00123961">
            <w:pPr>
              <w:spacing w:after="0" w:line="240" w:lineRule="auto"/>
              <w:jc w:val="both"/>
              <w:rPr>
                <w:rFonts w:ascii="Times New Roman" w:eastAsia="Times New Roman" w:hAnsi="Times New Roman"/>
                <w:i/>
                <w:lang w:eastAsia="ar-SA"/>
              </w:rPr>
            </w:pPr>
            <w:r>
              <w:rPr>
                <w:rFonts w:ascii="Times New Roman" w:eastAsia="Times New Roman" w:hAnsi="Times New Roman"/>
                <w:i/>
                <w:lang w:eastAsia="ar-SA"/>
              </w:rPr>
              <w:t xml:space="preserve">ПС – 35-220 кВ – </w:t>
            </w:r>
            <w:r>
              <w:rPr>
                <w:rFonts w:ascii="Times New Roman" w:eastAsia="Times New Roman" w:hAnsi="Times New Roman"/>
                <w:lang w:eastAsia="ru-RU"/>
              </w:rPr>
              <w:t>19 207</w:t>
            </w:r>
            <w:r>
              <w:rPr>
                <w:rFonts w:ascii="Times New Roman" w:eastAsia="Times New Roman" w:hAnsi="Times New Roman"/>
                <w:i/>
                <w:lang w:eastAsia="ar-SA"/>
              </w:rPr>
              <w:t xml:space="preserve"> МВА</w:t>
            </w:r>
          </w:p>
          <w:p w14:paraId="6F7BB146" w14:textId="77777777" w:rsidR="002449C2" w:rsidRDefault="00123961">
            <w:pPr>
              <w:spacing w:after="0" w:line="240" w:lineRule="auto"/>
              <w:jc w:val="both"/>
              <w:rPr>
                <w:rFonts w:ascii="Times New Roman" w:eastAsia="Times New Roman" w:hAnsi="Times New Roman"/>
                <w:i/>
                <w:lang w:eastAsia="ar-SA"/>
              </w:rPr>
            </w:pPr>
            <w:r>
              <w:rPr>
                <w:rFonts w:ascii="Times New Roman" w:eastAsia="Times New Roman" w:hAnsi="Times New Roman"/>
                <w:i/>
                <w:lang w:eastAsia="ar-SA"/>
              </w:rPr>
              <w:t>ПС 6-10 (35)/0,4 –6008</w:t>
            </w:r>
            <w:r>
              <w:rPr>
                <w:rFonts w:ascii="Times New Roman" w:eastAsia="Times New Roman" w:hAnsi="Times New Roman"/>
                <w:lang w:eastAsia="ru-RU"/>
              </w:rPr>
              <w:t xml:space="preserve">,01 </w:t>
            </w:r>
            <w:r>
              <w:rPr>
                <w:rFonts w:ascii="Times New Roman" w:eastAsia="Times New Roman" w:hAnsi="Times New Roman"/>
                <w:i/>
                <w:lang w:eastAsia="ar-SA"/>
              </w:rPr>
              <w:t>МВА</w:t>
            </w:r>
          </w:p>
          <w:p w14:paraId="774CCC21" w14:textId="77777777" w:rsidR="002449C2" w:rsidRDefault="002449C2">
            <w:pPr>
              <w:spacing w:after="0" w:line="240" w:lineRule="auto"/>
              <w:jc w:val="both"/>
              <w:rPr>
                <w:rFonts w:ascii="Times New Roman" w:eastAsia="Times New Roman" w:hAnsi="Times New Roman"/>
                <w:i/>
                <w:lang w:eastAsia="ar-SA"/>
              </w:rPr>
            </w:pPr>
          </w:p>
          <w:p w14:paraId="583FF803" w14:textId="77777777" w:rsidR="002449C2" w:rsidRDefault="00123961">
            <w:pPr>
              <w:spacing w:after="0" w:line="240" w:lineRule="auto"/>
              <w:jc w:val="both"/>
              <w:rPr>
                <w:rFonts w:ascii="Times New Roman" w:eastAsia="Times New Roman" w:hAnsi="Times New Roman"/>
                <w:i/>
                <w:lang w:eastAsia="ar-SA"/>
              </w:rPr>
            </w:pPr>
            <w:r>
              <w:rPr>
                <w:rFonts w:ascii="Times New Roman" w:eastAsia="Times New Roman" w:hAnsi="Times New Roman"/>
                <w:b/>
                <w:lang w:eastAsia="ar-SA"/>
              </w:rPr>
              <w:t>Протяженность воздушных линий по цепям</w:t>
            </w:r>
            <w:r>
              <w:rPr>
                <w:rFonts w:ascii="Times New Roman" w:eastAsia="Times New Roman" w:hAnsi="Times New Roman"/>
                <w:i/>
                <w:lang w:eastAsia="ar-SA"/>
              </w:rPr>
              <w:t xml:space="preserve"> </w:t>
            </w:r>
            <w:r>
              <w:rPr>
                <w:rFonts w:ascii="Times New Roman" w:eastAsia="Times New Roman" w:hAnsi="Times New Roman"/>
                <w:lang w:eastAsia="ru-RU"/>
              </w:rPr>
              <w:t>165 287</w:t>
            </w:r>
            <w:r>
              <w:rPr>
                <w:rFonts w:ascii="Times New Roman" w:eastAsia="Times New Roman" w:hAnsi="Times New Roman"/>
                <w:i/>
                <w:lang w:eastAsia="ar-SA"/>
              </w:rPr>
              <w:t xml:space="preserve"> км.</w:t>
            </w:r>
          </w:p>
          <w:p w14:paraId="291A65D4" w14:textId="77777777" w:rsidR="002449C2" w:rsidRDefault="002449C2">
            <w:pPr>
              <w:spacing w:after="0" w:line="240" w:lineRule="auto"/>
              <w:jc w:val="both"/>
              <w:rPr>
                <w:rFonts w:ascii="Times New Roman" w:eastAsia="Times New Roman" w:hAnsi="Times New Roman"/>
                <w:b/>
                <w:lang w:eastAsia="ar-SA"/>
              </w:rPr>
            </w:pPr>
          </w:p>
          <w:p w14:paraId="74C14E94" w14:textId="77777777" w:rsidR="002449C2" w:rsidRDefault="00123961">
            <w:pPr>
              <w:spacing w:after="0" w:line="240" w:lineRule="auto"/>
              <w:jc w:val="both"/>
              <w:rPr>
                <w:rFonts w:ascii="Times New Roman" w:eastAsia="Times New Roman" w:hAnsi="Times New Roman"/>
                <w:b/>
                <w:lang w:eastAsia="ar-SA"/>
              </w:rPr>
            </w:pPr>
            <w:r>
              <w:rPr>
                <w:rFonts w:ascii="Times New Roman" w:eastAsia="Times New Roman" w:hAnsi="Times New Roman"/>
                <w:b/>
                <w:lang w:eastAsia="ar-SA"/>
              </w:rPr>
              <w:t>Потребители</w:t>
            </w:r>
          </w:p>
          <w:p w14:paraId="36F0786E" w14:textId="77777777" w:rsidR="002449C2" w:rsidRDefault="00123961">
            <w:pPr>
              <w:spacing w:after="0" w:line="240" w:lineRule="auto"/>
              <w:jc w:val="both"/>
              <w:rPr>
                <w:rFonts w:ascii="Times New Roman" w:eastAsia="Times New Roman" w:hAnsi="Times New Roman"/>
                <w:lang w:eastAsia="ar-SA"/>
              </w:rPr>
            </w:pPr>
            <w:r>
              <w:rPr>
                <w:rFonts w:ascii="Times New Roman" w:hAnsi="Times New Roman"/>
                <w:lang w:eastAsia="en-US"/>
              </w:rPr>
              <w:t>Введено в эксплуатацию 115 МВА мощности, построено 681 км линий электропередачи.</w:t>
            </w:r>
          </w:p>
          <w:p w14:paraId="4248E6C2" w14:textId="77777777" w:rsidR="002449C2" w:rsidRDefault="002449C2">
            <w:pPr>
              <w:shd w:val="clear" w:color="auto" w:fill="FFFFFF"/>
              <w:spacing w:after="0" w:line="240" w:lineRule="auto"/>
              <w:jc w:val="both"/>
              <w:rPr>
                <w:rFonts w:ascii="Times New Roman" w:eastAsia="Times New Roman" w:hAnsi="Times New Roman"/>
                <w:b/>
                <w:lang w:eastAsia="ar-SA"/>
              </w:rPr>
            </w:pPr>
          </w:p>
          <w:p w14:paraId="01C96F4E" w14:textId="77777777" w:rsidR="002449C2" w:rsidRDefault="00123961">
            <w:pPr>
              <w:shd w:val="clear" w:color="auto" w:fill="FFFFFF"/>
              <w:spacing w:after="0" w:line="240" w:lineRule="auto"/>
              <w:rPr>
                <w:rFonts w:ascii="Times New Roman" w:hAnsi="Times New Roman"/>
                <w:b/>
                <w:bCs/>
                <w:kern w:val="2"/>
                <w:lang w:eastAsia="en-US"/>
              </w:rPr>
            </w:pPr>
            <w:r>
              <w:rPr>
                <w:rFonts w:ascii="Times New Roman" w:hAnsi="Times New Roman"/>
                <w:b/>
                <w:bCs/>
                <w:kern w:val="2"/>
                <w:lang w:eastAsia="en-US"/>
              </w:rPr>
              <w:t>Интеллектуальный капитал</w:t>
            </w:r>
          </w:p>
          <w:p w14:paraId="27BFBA1C" w14:textId="77777777" w:rsidR="002449C2" w:rsidRDefault="00123961">
            <w:pPr>
              <w:shd w:val="clear" w:color="auto" w:fill="FFFFFF"/>
              <w:spacing w:after="0" w:line="240" w:lineRule="auto"/>
              <w:rPr>
                <w:rFonts w:ascii="Times New Roman" w:hAnsi="Times New Roman"/>
                <w:kern w:val="2"/>
                <w:lang w:eastAsia="en-US"/>
              </w:rPr>
            </w:pPr>
            <w:r>
              <w:rPr>
                <w:rFonts w:ascii="Times New Roman" w:hAnsi="Times New Roman"/>
                <w:kern w:val="2"/>
                <w:lang w:eastAsia="en-US"/>
              </w:rPr>
              <w:t>Результаты НИОКР- 32, 227</w:t>
            </w:r>
            <w:r>
              <w:rPr>
                <w:rFonts w:ascii="Times New Roman" w:hAnsi="Times New Roman"/>
                <w:bCs/>
                <w:kern w:val="2"/>
                <w:lang w:eastAsia="en-US"/>
              </w:rPr>
              <w:t xml:space="preserve"> </w:t>
            </w:r>
            <w:r>
              <w:rPr>
                <w:rFonts w:ascii="Times New Roman" w:hAnsi="Times New Roman"/>
                <w:kern w:val="2"/>
                <w:lang w:eastAsia="en-US"/>
              </w:rPr>
              <w:t>млн руб.</w:t>
            </w:r>
          </w:p>
          <w:p w14:paraId="0153958D" w14:textId="77777777" w:rsidR="002449C2" w:rsidRDefault="002449C2">
            <w:pPr>
              <w:shd w:val="clear" w:color="auto" w:fill="FFFFFF"/>
              <w:spacing w:after="0" w:line="240" w:lineRule="auto"/>
              <w:jc w:val="both"/>
              <w:rPr>
                <w:rFonts w:ascii="Times New Roman" w:eastAsia="Times New Roman" w:hAnsi="Times New Roman"/>
                <w:b/>
                <w:lang w:eastAsia="ar-SA"/>
              </w:rPr>
            </w:pPr>
          </w:p>
          <w:p w14:paraId="7E9CF060" w14:textId="77777777" w:rsidR="002449C2" w:rsidRDefault="002449C2">
            <w:pPr>
              <w:shd w:val="clear" w:color="auto" w:fill="FFFFFF"/>
              <w:spacing w:after="0" w:line="240" w:lineRule="auto"/>
              <w:jc w:val="both"/>
              <w:rPr>
                <w:rFonts w:ascii="Times New Roman" w:eastAsia="Times New Roman" w:hAnsi="Times New Roman"/>
                <w:b/>
                <w:lang w:eastAsia="ar-SA"/>
              </w:rPr>
            </w:pPr>
          </w:p>
          <w:p w14:paraId="65BE8EE1" w14:textId="77777777" w:rsidR="002449C2" w:rsidRDefault="00123961">
            <w:pPr>
              <w:shd w:val="clear" w:color="auto" w:fill="FFFFFF"/>
              <w:spacing w:after="0" w:line="240" w:lineRule="auto"/>
              <w:jc w:val="both"/>
              <w:rPr>
                <w:rFonts w:ascii="Times New Roman" w:eastAsia="Times New Roman" w:hAnsi="Times New Roman"/>
                <w:b/>
                <w:lang w:eastAsia="ar-SA"/>
              </w:rPr>
            </w:pPr>
            <w:r>
              <w:rPr>
                <w:rFonts w:ascii="Times New Roman" w:eastAsia="Times New Roman" w:hAnsi="Times New Roman"/>
                <w:b/>
                <w:lang w:eastAsia="ar-SA"/>
              </w:rPr>
              <w:t>Человеческий капитал</w:t>
            </w:r>
          </w:p>
          <w:p w14:paraId="5A7C4ACB" w14:textId="77777777" w:rsidR="002449C2" w:rsidRDefault="00123961">
            <w:pPr>
              <w:shd w:val="clear" w:color="auto" w:fill="FFFFFF"/>
              <w:spacing w:after="0" w:line="240" w:lineRule="auto"/>
              <w:jc w:val="both"/>
              <w:rPr>
                <w:rFonts w:ascii="Times New Roman" w:eastAsia="Times New Roman" w:hAnsi="Times New Roman"/>
                <w:lang w:eastAsia="ru-RU"/>
              </w:rPr>
            </w:pPr>
            <w:r>
              <w:rPr>
                <w:rFonts w:ascii="Times New Roman" w:eastAsia="Times New Roman" w:hAnsi="Times New Roman"/>
                <w:lang w:eastAsia="ar-SA"/>
              </w:rPr>
              <w:t xml:space="preserve">Среднесписочная численность персонала </w:t>
            </w:r>
            <w:r>
              <w:rPr>
                <w:rFonts w:ascii="Times New Roman" w:eastAsia="Times New Roman" w:hAnsi="Times New Roman"/>
                <w:lang w:eastAsia="ru-RU"/>
              </w:rPr>
              <w:t>12 956 человек</w:t>
            </w:r>
          </w:p>
          <w:p w14:paraId="6D4E2DA7" w14:textId="77777777" w:rsidR="002449C2" w:rsidRDefault="002449C2">
            <w:pPr>
              <w:shd w:val="clear" w:color="auto" w:fill="FFFFFF"/>
              <w:spacing w:after="0" w:line="240" w:lineRule="auto"/>
              <w:jc w:val="both"/>
              <w:rPr>
                <w:rFonts w:ascii="Times New Roman" w:eastAsia="Times New Roman" w:hAnsi="Times New Roman"/>
                <w:lang w:eastAsia="ar-SA"/>
              </w:rPr>
            </w:pPr>
          </w:p>
          <w:p w14:paraId="6B3A4CB0" w14:textId="77777777" w:rsidR="002449C2" w:rsidRDefault="002449C2">
            <w:pPr>
              <w:shd w:val="clear" w:color="auto" w:fill="FFFFFF"/>
              <w:spacing w:after="0" w:line="240" w:lineRule="auto"/>
              <w:jc w:val="both"/>
              <w:rPr>
                <w:rFonts w:ascii="Times New Roman" w:eastAsia="Times New Roman" w:hAnsi="Times New Roman"/>
                <w:lang w:eastAsia="ar-SA"/>
              </w:rPr>
            </w:pPr>
          </w:p>
        </w:tc>
        <w:tc>
          <w:tcPr>
            <w:tcW w:w="2081" w:type="dxa"/>
            <w:gridSpan w:val="2"/>
            <w:shd w:val="clear" w:color="auto" w:fill="auto"/>
            <w:vAlign w:val="center"/>
          </w:tcPr>
          <w:p w14:paraId="369CE0DE" w14:textId="77777777" w:rsidR="002449C2" w:rsidRDefault="00123961">
            <w:pPr>
              <w:spacing w:after="0" w:line="240" w:lineRule="auto"/>
              <w:ind w:right="-108"/>
              <w:rPr>
                <w:rFonts w:ascii="Times New Roman" w:eastAsia="Times New Roman" w:hAnsi="Times New Roman"/>
                <w:b/>
                <w:lang w:eastAsia="ar-SA"/>
              </w:rPr>
            </w:pPr>
            <w:r>
              <w:rPr>
                <w:rFonts w:ascii="Times New Roman" w:eastAsia="Times New Roman" w:hAnsi="Times New Roman"/>
                <w:b/>
                <w:lang w:eastAsia="ar-SA"/>
              </w:rPr>
              <w:t>ВИДЫ ДЕЯТЕЛЬНОСТИ:</w:t>
            </w:r>
          </w:p>
          <w:p w14:paraId="3B6B71E6" w14:textId="77777777" w:rsidR="002449C2" w:rsidRDefault="00123961">
            <w:pPr>
              <w:spacing w:after="0" w:line="240" w:lineRule="auto"/>
              <w:ind w:right="-108"/>
              <w:rPr>
                <w:rFonts w:ascii="Times New Roman" w:eastAsia="Times New Roman" w:hAnsi="Times New Roman"/>
                <w:b/>
                <w:color w:val="000000" w:themeColor="text1"/>
                <w:lang w:eastAsia="ar-SA"/>
              </w:rPr>
            </w:pPr>
            <w:r>
              <w:rPr>
                <w:rFonts w:ascii="Times New Roman" w:eastAsia="Times New Roman" w:hAnsi="Times New Roman"/>
                <w:b/>
                <w:color w:val="000000" w:themeColor="text1"/>
                <w:lang w:eastAsia="ar-SA"/>
              </w:rPr>
              <w:t>Выручка от оказания услуг по передаче электрической энергии</w:t>
            </w:r>
          </w:p>
          <w:p w14:paraId="23FD68D0" w14:textId="77777777" w:rsidR="002449C2" w:rsidRDefault="00123961">
            <w:pPr>
              <w:spacing w:after="0" w:line="240" w:lineRule="auto"/>
              <w:ind w:right="-108"/>
              <w:rPr>
                <w:rFonts w:ascii="Times New Roman" w:eastAsia="Times New Roman" w:hAnsi="Times New Roman"/>
                <w:color w:val="000000" w:themeColor="text1"/>
                <w:lang w:eastAsia="ar-SA"/>
              </w:rPr>
            </w:pPr>
            <w:r>
              <w:rPr>
                <w:rFonts w:ascii="Times New Roman" w:eastAsia="Times New Roman" w:hAnsi="Times New Roman"/>
                <w:color w:val="000000" w:themeColor="text1"/>
                <w:lang w:eastAsia="ar-SA"/>
              </w:rPr>
              <w:t>48 066 млн рублей без НДС</w:t>
            </w:r>
          </w:p>
          <w:p w14:paraId="4BAAA863" w14:textId="77777777" w:rsidR="002449C2" w:rsidRDefault="002449C2">
            <w:pPr>
              <w:spacing w:after="0" w:line="240" w:lineRule="auto"/>
              <w:ind w:right="-108"/>
              <w:rPr>
                <w:rFonts w:ascii="Times New Roman" w:eastAsia="Times New Roman" w:hAnsi="Times New Roman"/>
                <w:b/>
                <w:lang w:eastAsia="ar-SA"/>
              </w:rPr>
            </w:pPr>
          </w:p>
          <w:p w14:paraId="6D0AB9F9" w14:textId="77777777" w:rsidR="002449C2" w:rsidRDefault="00123961">
            <w:pPr>
              <w:spacing w:after="0" w:line="240" w:lineRule="auto"/>
              <w:ind w:right="-108"/>
              <w:rPr>
                <w:rFonts w:ascii="Times New Roman" w:eastAsia="Times New Roman" w:hAnsi="Times New Roman"/>
                <w:b/>
                <w:lang w:eastAsia="ar-SA"/>
              </w:rPr>
            </w:pPr>
            <w:r>
              <w:rPr>
                <w:rFonts w:ascii="Times New Roman" w:eastAsia="Times New Roman" w:hAnsi="Times New Roman"/>
                <w:b/>
                <w:lang w:eastAsia="ar-SA"/>
              </w:rPr>
              <w:t>Выручка от технологического присоединения</w:t>
            </w:r>
          </w:p>
          <w:p w14:paraId="4F8D87C2" w14:textId="77777777" w:rsidR="002449C2" w:rsidRDefault="00123961">
            <w:pPr>
              <w:spacing w:after="0" w:line="240" w:lineRule="auto"/>
              <w:jc w:val="both"/>
              <w:rPr>
                <w:rFonts w:ascii="Times New Roman" w:eastAsia="Times New Roman" w:hAnsi="Times New Roman"/>
                <w:lang w:eastAsia="ar-SA"/>
              </w:rPr>
            </w:pPr>
            <w:r>
              <w:rPr>
                <w:rFonts w:ascii="Times New Roman" w:eastAsia="Times New Roman" w:hAnsi="Times New Roman"/>
                <w:lang w:eastAsia="ar-SA"/>
              </w:rPr>
              <w:t>1 002 млн рублей без НДС</w:t>
            </w:r>
          </w:p>
          <w:p w14:paraId="039DF286" w14:textId="77777777" w:rsidR="002449C2" w:rsidRDefault="002449C2">
            <w:pPr>
              <w:spacing w:after="0" w:line="240" w:lineRule="auto"/>
              <w:jc w:val="both"/>
              <w:rPr>
                <w:rFonts w:ascii="Times New Roman" w:eastAsia="Times New Roman" w:hAnsi="Times New Roman"/>
                <w:lang w:eastAsia="ar-SA"/>
              </w:rPr>
            </w:pPr>
          </w:p>
          <w:p w14:paraId="5D6DB85F" w14:textId="77777777" w:rsidR="002449C2" w:rsidRDefault="00123961">
            <w:pPr>
              <w:spacing w:after="0" w:line="240" w:lineRule="auto"/>
              <w:jc w:val="both"/>
              <w:rPr>
                <w:rFonts w:ascii="Times New Roman" w:eastAsia="Times New Roman" w:hAnsi="Times New Roman"/>
                <w:b/>
                <w:lang w:eastAsia="ar-SA"/>
              </w:rPr>
            </w:pPr>
            <w:r>
              <w:rPr>
                <w:rFonts w:ascii="Times New Roman" w:eastAsia="Times New Roman" w:hAnsi="Times New Roman"/>
                <w:b/>
                <w:lang w:eastAsia="ar-SA"/>
              </w:rPr>
              <w:t>Выручка от продажи электроэнергии</w:t>
            </w:r>
          </w:p>
          <w:p w14:paraId="55470F78" w14:textId="77777777" w:rsidR="002449C2" w:rsidRDefault="00123961">
            <w:pPr>
              <w:spacing w:after="0" w:line="240" w:lineRule="auto"/>
              <w:jc w:val="both"/>
              <w:rPr>
                <w:rFonts w:ascii="Times New Roman" w:eastAsia="Times New Roman" w:hAnsi="Times New Roman"/>
                <w:lang w:eastAsia="ar-SA"/>
              </w:rPr>
            </w:pPr>
            <w:r>
              <w:rPr>
                <w:rFonts w:ascii="Times New Roman" w:eastAsia="Times New Roman" w:hAnsi="Times New Roman"/>
                <w:lang w:eastAsia="ar-SA"/>
              </w:rPr>
              <w:t>1 450 млн руб.</w:t>
            </w:r>
          </w:p>
          <w:p w14:paraId="22294B35" w14:textId="77777777" w:rsidR="002449C2" w:rsidRDefault="002449C2">
            <w:pPr>
              <w:spacing w:after="0" w:line="240" w:lineRule="auto"/>
              <w:jc w:val="both"/>
              <w:rPr>
                <w:rFonts w:ascii="Times New Roman" w:eastAsia="Times New Roman" w:hAnsi="Times New Roman"/>
                <w:lang w:eastAsia="ar-SA"/>
              </w:rPr>
            </w:pPr>
          </w:p>
          <w:p w14:paraId="2536F737" w14:textId="77777777" w:rsidR="002449C2" w:rsidRDefault="00123961">
            <w:pPr>
              <w:spacing w:after="0" w:line="240" w:lineRule="auto"/>
              <w:rPr>
                <w:rFonts w:ascii="Times New Roman" w:eastAsia="Times New Roman" w:hAnsi="Times New Roman"/>
                <w:b/>
                <w:lang w:eastAsia="ar-SA"/>
              </w:rPr>
            </w:pPr>
            <w:r>
              <w:rPr>
                <w:rFonts w:ascii="Times New Roman" w:eastAsia="Times New Roman" w:hAnsi="Times New Roman"/>
                <w:b/>
                <w:lang w:eastAsia="ar-SA"/>
              </w:rPr>
              <w:t>Выручка от прочей деятельности</w:t>
            </w:r>
          </w:p>
          <w:p w14:paraId="48B6ACFB" w14:textId="77777777" w:rsidR="002449C2" w:rsidRDefault="00123961">
            <w:pPr>
              <w:spacing w:after="0" w:line="240" w:lineRule="auto"/>
              <w:jc w:val="both"/>
              <w:rPr>
                <w:rFonts w:ascii="Times New Roman" w:eastAsia="Times New Roman" w:hAnsi="Times New Roman"/>
                <w:lang w:eastAsia="ar-SA"/>
              </w:rPr>
            </w:pPr>
            <w:r>
              <w:rPr>
                <w:rFonts w:ascii="Times New Roman" w:eastAsia="Times New Roman" w:hAnsi="Times New Roman"/>
                <w:lang w:eastAsia="ar-SA"/>
              </w:rPr>
              <w:t>747,3 млн руб.</w:t>
            </w:r>
          </w:p>
          <w:p w14:paraId="2316F546" w14:textId="77777777" w:rsidR="002449C2" w:rsidRDefault="002449C2">
            <w:pPr>
              <w:shd w:val="clear" w:color="auto" w:fill="FFFFFF"/>
              <w:spacing w:after="160" w:line="259" w:lineRule="auto"/>
              <w:rPr>
                <w:rFonts w:ascii="Times New Roman" w:hAnsi="Times New Roman"/>
                <w:b/>
                <w:bCs/>
                <w:kern w:val="2"/>
                <w:lang w:eastAsia="en-US"/>
              </w:rPr>
            </w:pPr>
          </w:p>
          <w:p w14:paraId="42CC3AF9" w14:textId="77777777" w:rsidR="002449C2" w:rsidRDefault="00123961">
            <w:pPr>
              <w:shd w:val="clear" w:color="auto" w:fill="FFFFFF"/>
              <w:spacing w:after="160" w:line="259" w:lineRule="auto"/>
              <w:rPr>
                <w:rFonts w:ascii="Times New Roman" w:hAnsi="Times New Roman"/>
                <w:b/>
                <w:bCs/>
                <w:kern w:val="2"/>
                <w:lang w:eastAsia="en-US"/>
              </w:rPr>
            </w:pPr>
            <w:r>
              <w:rPr>
                <w:rFonts w:ascii="Times New Roman" w:hAnsi="Times New Roman"/>
                <w:b/>
                <w:bCs/>
                <w:kern w:val="2"/>
                <w:lang w:eastAsia="en-US"/>
              </w:rPr>
              <w:t>EBITDA</w:t>
            </w:r>
          </w:p>
          <w:p w14:paraId="2FFF334E" w14:textId="246B29D8" w:rsidR="002449C2" w:rsidRDefault="00123961">
            <w:pPr>
              <w:shd w:val="clear" w:color="auto" w:fill="FFFFFF"/>
              <w:spacing w:after="0" w:line="240" w:lineRule="auto"/>
              <w:jc w:val="both"/>
              <w:rPr>
                <w:rFonts w:ascii="Times New Roman" w:hAnsi="Times New Roman"/>
                <w:kern w:val="2"/>
                <w:lang w:eastAsia="en-US"/>
              </w:rPr>
            </w:pPr>
            <w:r>
              <w:rPr>
                <w:rFonts w:ascii="Times New Roman" w:hAnsi="Times New Roman"/>
                <w:kern w:val="2"/>
                <w:lang w:eastAsia="en-US"/>
              </w:rPr>
              <w:t>8 240 млн руб</w:t>
            </w:r>
          </w:p>
          <w:p w14:paraId="6C6010CC" w14:textId="77777777" w:rsidR="002449C2" w:rsidRDefault="002449C2">
            <w:pPr>
              <w:spacing w:after="0" w:line="240" w:lineRule="auto"/>
              <w:jc w:val="both"/>
              <w:rPr>
                <w:rFonts w:ascii="Times New Roman" w:eastAsia="Times New Roman" w:hAnsi="Times New Roman"/>
                <w:lang w:eastAsia="ar-SA"/>
              </w:rPr>
            </w:pPr>
          </w:p>
        </w:tc>
        <w:tc>
          <w:tcPr>
            <w:tcW w:w="4833" w:type="dxa"/>
            <w:gridSpan w:val="2"/>
            <w:shd w:val="clear" w:color="auto" w:fill="auto"/>
            <w:vAlign w:val="center"/>
          </w:tcPr>
          <w:p w14:paraId="3C715DAB" w14:textId="77777777" w:rsidR="002449C2" w:rsidRDefault="002449C2">
            <w:pPr>
              <w:spacing w:after="0" w:line="240" w:lineRule="auto"/>
              <w:jc w:val="both"/>
              <w:rPr>
                <w:rFonts w:ascii="Times New Roman" w:eastAsia="Times New Roman" w:hAnsi="Times New Roman"/>
                <w:b/>
                <w:bCs/>
                <w:lang w:eastAsia="ar-SA"/>
              </w:rPr>
            </w:pPr>
          </w:p>
          <w:p w14:paraId="642330D3" w14:textId="77777777" w:rsidR="002449C2" w:rsidRDefault="00123961">
            <w:pPr>
              <w:spacing w:after="0" w:line="240" w:lineRule="auto"/>
              <w:jc w:val="both"/>
              <w:rPr>
                <w:rFonts w:ascii="Times New Roman" w:eastAsia="Times New Roman" w:hAnsi="Times New Roman"/>
                <w:b/>
                <w:bCs/>
                <w:lang w:eastAsia="ar-SA"/>
              </w:rPr>
            </w:pPr>
            <w:r>
              <w:rPr>
                <w:rFonts w:ascii="Times New Roman" w:eastAsia="Times New Roman" w:hAnsi="Times New Roman"/>
                <w:b/>
                <w:bCs/>
                <w:lang w:eastAsia="ar-SA"/>
              </w:rPr>
              <w:t>27 989 млн кВтч отпуск в сеть,</w:t>
            </w:r>
          </w:p>
          <w:p w14:paraId="35150856" w14:textId="77777777" w:rsidR="002449C2" w:rsidRDefault="00123961">
            <w:pPr>
              <w:spacing w:after="0" w:line="240" w:lineRule="auto"/>
              <w:jc w:val="both"/>
              <w:rPr>
                <w:rFonts w:ascii="Times New Roman" w:eastAsia="Times New Roman" w:hAnsi="Times New Roman"/>
                <w:b/>
                <w:bCs/>
                <w:lang w:eastAsia="ar-SA"/>
              </w:rPr>
            </w:pPr>
            <w:r>
              <w:rPr>
                <w:rFonts w:ascii="Times New Roman" w:eastAsia="Times New Roman" w:hAnsi="Times New Roman"/>
                <w:b/>
                <w:bCs/>
                <w:lang w:eastAsia="ar-SA"/>
              </w:rPr>
              <w:t>25485 млн кВтч отпуск из сети,</w:t>
            </w:r>
          </w:p>
          <w:p w14:paraId="02EDA47C" w14:textId="77777777" w:rsidR="002449C2" w:rsidRDefault="00123961">
            <w:pPr>
              <w:spacing w:after="0" w:line="240" w:lineRule="auto"/>
              <w:jc w:val="both"/>
              <w:rPr>
                <w:rFonts w:ascii="Times New Roman" w:eastAsia="Times New Roman" w:hAnsi="Times New Roman"/>
                <w:lang w:eastAsia="ru-RU"/>
              </w:rPr>
            </w:pPr>
            <w:r>
              <w:rPr>
                <w:rFonts w:ascii="Times New Roman" w:eastAsia="Times New Roman" w:hAnsi="Times New Roman"/>
                <w:b/>
                <w:bCs/>
                <w:lang w:eastAsia="ar-SA"/>
              </w:rPr>
              <w:t>8,95% уровень потерь электроэнергии</w:t>
            </w:r>
          </w:p>
          <w:p w14:paraId="71CBE955" w14:textId="77777777" w:rsidR="002449C2" w:rsidRDefault="002449C2">
            <w:pPr>
              <w:spacing w:after="0" w:line="240" w:lineRule="auto"/>
              <w:jc w:val="both"/>
              <w:rPr>
                <w:rFonts w:ascii="Times New Roman" w:eastAsia="Times New Roman" w:hAnsi="Times New Roman"/>
                <w:lang w:eastAsia="ru-RU"/>
              </w:rPr>
            </w:pPr>
          </w:p>
          <w:p w14:paraId="36C35C3D" w14:textId="77777777" w:rsidR="002449C2" w:rsidRDefault="00123961">
            <w:pPr>
              <w:spacing w:after="0" w:line="240" w:lineRule="auto"/>
              <w:jc w:val="both"/>
              <w:rPr>
                <w:rFonts w:ascii="Times New Roman" w:eastAsia="Times New Roman" w:hAnsi="Times New Roman"/>
                <w:lang w:eastAsia="ar-SA"/>
              </w:rPr>
            </w:pPr>
            <w:r>
              <w:rPr>
                <w:rFonts w:ascii="Times New Roman" w:eastAsia="Times New Roman" w:hAnsi="Times New Roman"/>
                <w:lang w:eastAsia="ru-RU"/>
              </w:rPr>
              <w:t xml:space="preserve">16 340 </w:t>
            </w:r>
            <w:r>
              <w:rPr>
                <w:rFonts w:ascii="Times New Roman" w:eastAsia="Times New Roman" w:hAnsi="Times New Roman"/>
                <w:lang w:eastAsia="ar-SA"/>
              </w:rPr>
              <w:t>шт. исполненных договоров</w:t>
            </w:r>
          </w:p>
          <w:p w14:paraId="7FB67263" w14:textId="77777777" w:rsidR="002449C2" w:rsidRDefault="00123961">
            <w:pPr>
              <w:spacing w:after="0" w:line="240" w:lineRule="auto"/>
              <w:jc w:val="both"/>
              <w:rPr>
                <w:rFonts w:ascii="Times New Roman" w:eastAsia="Times New Roman" w:hAnsi="Times New Roman"/>
                <w:lang w:eastAsia="ar-SA"/>
              </w:rPr>
            </w:pPr>
            <w:r>
              <w:rPr>
                <w:rFonts w:ascii="Times New Roman" w:eastAsia="Times New Roman" w:hAnsi="Times New Roman"/>
                <w:lang w:eastAsia="ar-SA"/>
              </w:rPr>
              <w:t>481 МВт присоединенная мощность</w:t>
            </w:r>
          </w:p>
          <w:p w14:paraId="154F4531" w14:textId="77777777" w:rsidR="002449C2" w:rsidRDefault="002449C2">
            <w:pPr>
              <w:spacing w:after="0" w:line="240" w:lineRule="auto"/>
              <w:jc w:val="both"/>
              <w:rPr>
                <w:rFonts w:ascii="Times New Roman" w:eastAsia="Times New Roman" w:hAnsi="Times New Roman"/>
                <w:b/>
                <w:lang w:eastAsia="ar-SA"/>
              </w:rPr>
            </w:pPr>
          </w:p>
          <w:p w14:paraId="1D1E1AC8" w14:textId="77777777" w:rsidR="002449C2" w:rsidRDefault="00123961">
            <w:pPr>
              <w:spacing w:after="0" w:line="240" w:lineRule="auto"/>
              <w:jc w:val="both"/>
              <w:rPr>
                <w:rFonts w:ascii="Times New Roman" w:eastAsia="Times New Roman" w:hAnsi="Times New Roman"/>
                <w:b/>
                <w:lang w:eastAsia="ar-SA"/>
              </w:rPr>
            </w:pPr>
            <w:r>
              <w:rPr>
                <w:rFonts w:ascii="Times New Roman" w:eastAsia="Times New Roman" w:hAnsi="Times New Roman"/>
                <w:b/>
                <w:lang w:eastAsia="ar-SA"/>
              </w:rPr>
              <w:t>Поставщики и подрядчики</w:t>
            </w:r>
          </w:p>
          <w:p w14:paraId="26F6240E" w14:textId="77777777" w:rsidR="002449C2" w:rsidRDefault="00123961">
            <w:pPr>
              <w:spacing w:after="0" w:line="240" w:lineRule="auto"/>
              <w:jc w:val="both"/>
              <w:rPr>
                <w:rFonts w:ascii="Times New Roman" w:eastAsia="Times New Roman" w:hAnsi="Times New Roman"/>
                <w:lang w:eastAsia="ar-SA"/>
              </w:rPr>
            </w:pPr>
            <w:r>
              <w:rPr>
                <w:rFonts w:ascii="Times New Roman" w:eastAsia="Times New Roman" w:hAnsi="Times New Roman"/>
                <w:lang w:eastAsia="ar-SA"/>
              </w:rPr>
              <w:t>929 шт. произведено закупок</w:t>
            </w:r>
          </w:p>
          <w:p w14:paraId="4BD1E5CE" w14:textId="77777777" w:rsidR="002449C2" w:rsidRDefault="00123961">
            <w:pPr>
              <w:spacing w:after="0" w:line="240" w:lineRule="auto"/>
              <w:jc w:val="both"/>
              <w:rPr>
                <w:rFonts w:ascii="Times New Roman" w:eastAsia="Times New Roman" w:hAnsi="Times New Roman"/>
                <w:lang w:eastAsia="ar-SA"/>
              </w:rPr>
            </w:pPr>
            <w:r>
              <w:rPr>
                <w:rFonts w:ascii="Times New Roman" w:eastAsia="Times New Roman" w:hAnsi="Times New Roman"/>
                <w:lang w:eastAsia="ar-SA"/>
              </w:rPr>
              <w:t>39,5 млрд руб. общая сумма закупок</w:t>
            </w:r>
          </w:p>
          <w:p w14:paraId="4E69FCEE" w14:textId="77777777" w:rsidR="002449C2" w:rsidRDefault="002449C2">
            <w:pPr>
              <w:shd w:val="clear" w:color="auto" w:fill="FFFFFF"/>
              <w:spacing w:after="0" w:line="240" w:lineRule="auto"/>
              <w:jc w:val="both"/>
              <w:rPr>
                <w:rFonts w:ascii="Times New Roman" w:eastAsia="Times New Roman" w:hAnsi="Times New Roman"/>
                <w:lang w:eastAsia="ar-SA"/>
              </w:rPr>
            </w:pPr>
          </w:p>
        </w:tc>
        <w:tc>
          <w:tcPr>
            <w:tcW w:w="236" w:type="dxa"/>
          </w:tcPr>
          <w:p w14:paraId="53192248" w14:textId="77777777" w:rsidR="002449C2" w:rsidRDefault="002449C2"/>
        </w:tc>
      </w:tr>
    </w:tbl>
    <w:p w14:paraId="22017818"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21" w:name="_Toc195174913"/>
      <w:bookmarkStart w:id="22" w:name="_Toc196143005"/>
      <w:r>
        <w:rPr>
          <w:rFonts w:ascii="Times New Roman" w:eastAsia="Times New Roman" w:hAnsi="Times New Roman"/>
          <w:caps/>
          <w:color w:val="632423"/>
          <w:spacing w:val="15"/>
          <w:sz w:val="24"/>
          <w:szCs w:val="24"/>
          <w:lang w:eastAsia="en-US" w:bidi="en-US"/>
        </w:rPr>
        <w:t>Ключевые показатели и события года</w:t>
      </w:r>
      <w:bookmarkEnd w:id="21"/>
      <w:bookmarkEnd w:id="22"/>
      <w:r>
        <w:rPr>
          <w:rFonts w:ascii="Times New Roman" w:eastAsia="Times New Roman" w:hAnsi="Times New Roman"/>
          <w:caps/>
          <w:color w:val="632423"/>
          <w:spacing w:val="15"/>
          <w:sz w:val="24"/>
          <w:szCs w:val="24"/>
          <w:lang w:eastAsia="en-US" w:bidi="en-US"/>
        </w:rPr>
        <w:t xml:space="preserve"> </w:t>
      </w:r>
    </w:p>
    <w:p w14:paraId="2D68E5C5"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ar-SA"/>
        </w:rPr>
      </w:pPr>
      <w:r>
        <w:rPr>
          <w:rFonts w:ascii="Times New Roman" w:eastAsia="Times New Roman" w:hAnsi="Times New Roman"/>
          <w:sz w:val="26"/>
          <w:szCs w:val="26"/>
          <w:lang w:eastAsia="ar-SA"/>
        </w:rPr>
        <w:t>Компания «Россети Юг» продолжает обеспечивать надежное и бесперебойное энергоснабжение потребителей.</w:t>
      </w:r>
    </w:p>
    <w:tbl>
      <w:tblPr>
        <w:tblW w:w="3933" w:type="dxa"/>
        <w:tblLayout w:type="fixed"/>
        <w:tblLook w:val="04A0" w:firstRow="1" w:lastRow="0" w:firstColumn="1" w:lastColumn="0" w:noHBand="0" w:noVBand="1"/>
      </w:tblPr>
      <w:tblGrid>
        <w:gridCol w:w="1031"/>
        <w:gridCol w:w="971"/>
        <w:gridCol w:w="966"/>
        <w:gridCol w:w="965"/>
      </w:tblGrid>
      <w:tr w:rsidR="002449C2" w14:paraId="2B6B6C55" w14:textId="77777777">
        <w:trPr>
          <w:trHeight w:val="659"/>
        </w:trPr>
        <w:tc>
          <w:tcPr>
            <w:tcW w:w="1030" w:type="dxa"/>
          </w:tcPr>
          <w:p w14:paraId="2C43811F" w14:textId="77777777" w:rsidR="002449C2" w:rsidRDefault="00123961">
            <w:pPr>
              <w:spacing w:after="0"/>
              <w:jc w:val="center"/>
              <w:rPr>
                <w:rFonts w:ascii="Times New Roman" w:eastAsia="Times New Roman" w:hAnsi="Times New Roman"/>
                <w:b/>
                <w:sz w:val="26"/>
                <w:szCs w:val="26"/>
                <w:lang w:eastAsia="ru-RU"/>
              </w:rPr>
            </w:pPr>
            <w:r>
              <w:rPr>
                <w:noProof/>
                <w:lang w:eastAsia="ru-RU"/>
              </w:rPr>
              <w:drawing>
                <wp:inline distT="0" distB="0" distL="0" distR="0" wp14:anchorId="2623B18A" wp14:editId="425EB607">
                  <wp:extent cx="462915" cy="438785"/>
                  <wp:effectExtent l="0" t="0" r="0" b="0"/>
                  <wp:docPr id="6" name="_x005F_x0000_i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_x005F_x0000_i4393"/>
                          <pic:cNvPicPr>
                            <a:picLocks noChangeAspect="1" noChangeArrowheads="1"/>
                          </pic:cNvPicPr>
                        </pic:nvPicPr>
                        <pic:blipFill>
                          <a:blip r:embed="rId17">
                            <a:extLst>
                              <a:ext uri="{96DAC541-7B7A-43D3-8B79-37D633B846F1}">
                                <asvg:svgBlip xmlns:asvg="http://schemas.microsoft.com/office/drawing/2016/SVG/main" xmlns:w10="urn:schemas-microsoft-com:office:word" xmlns:w="http://schemas.openxmlformats.org/wordprocessingml/2006/main" xmlns:v="urn:schemas-microsoft-com:vml" xmlns:o="urn:schemas-microsoft-com:office:office" xmlns="" r:embed="rId18"/>
                              </a:ext>
                            </a:extLst>
                          </a:blip>
                          <a:stretch>
                            <a:fillRect/>
                          </a:stretch>
                        </pic:blipFill>
                        <pic:spPr bwMode="auto">
                          <a:xfrm>
                            <a:off x="0" y="0"/>
                            <a:ext cx="462915" cy="438785"/>
                          </a:xfrm>
                          <a:prstGeom prst="rect">
                            <a:avLst/>
                          </a:prstGeom>
                          <a:noFill/>
                        </pic:spPr>
                      </pic:pic>
                    </a:graphicData>
                  </a:graphic>
                </wp:inline>
              </w:drawing>
            </w:r>
          </w:p>
        </w:tc>
        <w:tc>
          <w:tcPr>
            <w:tcW w:w="971" w:type="dxa"/>
          </w:tcPr>
          <w:p w14:paraId="34BD51D6" w14:textId="77777777" w:rsidR="002449C2" w:rsidRDefault="00123961">
            <w:pPr>
              <w:spacing w:after="0"/>
              <w:jc w:val="center"/>
              <w:rPr>
                <w:rFonts w:ascii="Times New Roman" w:eastAsia="Times New Roman" w:hAnsi="Times New Roman"/>
                <w:b/>
                <w:sz w:val="26"/>
                <w:szCs w:val="26"/>
                <w:lang w:eastAsia="ru-RU"/>
              </w:rPr>
            </w:pPr>
            <w:r>
              <w:rPr>
                <w:noProof/>
                <w:lang w:eastAsia="ru-RU"/>
              </w:rPr>
              <w:drawing>
                <wp:inline distT="0" distB="0" distL="0" distR="0" wp14:anchorId="4679FB8A" wp14:editId="50B3C488">
                  <wp:extent cx="479425" cy="448310"/>
                  <wp:effectExtent l="0" t="0" r="0" b="0"/>
                  <wp:docPr id="7" name="_x005F_x0000_i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_x005F_x0000_i4394"/>
                          <pic:cNvPicPr>
                            <a:picLocks noChangeAspect="1" noChangeArrowheads="1"/>
                          </pic:cNvPicPr>
                        </pic:nvPicPr>
                        <pic:blipFill>
                          <a:blip r:embed="rId19">
                            <a:extLst>
                              <a:ext uri="{96DAC541-7B7A-43D3-8B79-37D633B846F1}">
                                <asvg:svgBlip xmlns:asvg="http://schemas.microsoft.com/office/drawing/2016/SVG/main" xmlns:w10="urn:schemas-microsoft-com:office:word" xmlns:w="http://schemas.openxmlformats.org/wordprocessingml/2006/main" xmlns:v="urn:schemas-microsoft-com:vml" xmlns:o="urn:schemas-microsoft-com:office:office" xmlns="" r:embed="rId20"/>
                              </a:ext>
                            </a:extLst>
                          </a:blip>
                          <a:stretch>
                            <a:fillRect/>
                          </a:stretch>
                        </pic:blipFill>
                        <pic:spPr bwMode="auto">
                          <a:xfrm>
                            <a:off x="0" y="0"/>
                            <a:ext cx="479425" cy="448310"/>
                          </a:xfrm>
                          <a:prstGeom prst="rect">
                            <a:avLst/>
                          </a:prstGeom>
                          <a:noFill/>
                        </pic:spPr>
                      </pic:pic>
                    </a:graphicData>
                  </a:graphic>
                </wp:inline>
              </w:drawing>
            </w:r>
          </w:p>
        </w:tc>
        <w:tc>
          <w:tcPr>
            <w:tcW w:w="966" w:type="dxa"/>
          </w:tcPr>
          <w:p w14:paraId="5DF954D5" w14:textId="77777777" w:rsidR="002449C2" w:rsidRDefault="00123961">
            <w:pPr>
              <w:spacing w:after="0"/>
              <w:jc w:val="center"/>
              <w:rPr>
                <w:rFonts w:ascii="Times New Roman" w:eastAsia="Times New Roman" w:hAnsi="Times New Roman"/>
                <w:b/>
                <w:sz w:val="26"/>
                <w:szCs w:val="26"/>
                <w:lang w:eastAsia="ru-RU"/>
              </w:rPr>
            </w:pPr>
            <w:r>
              <w:rPr>
                <w:noProof/>
                <w:lang w:eastAsia="ru-RU"/>
              </w:rPr>
              <w:drawing>
                <wp:inline distT="0" distB="0" distL="0" distR="0" wp14:anchorId="1B8788B9" wp14:editId="3994E997">
                  <wp:extent cx="475615" cy="466725"/>
                  <wp:effectExtent l="0" t="0" r="0" b="0"/>
                  <wp:docPr id="8" name="_x005F_x0000_i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_x005F_x0000_i4395"/>
                          <pic:cNvPicPr>
                            <a:picLocks noChangeAspect="1" noChangeArrowheads="1"/>
                          </pic:cNvPicPr>
                        </pic:nvPicPr>
                        <pic:blipFill>
                          <a:blip r:embed="rId21">
                            <a:extLst>
                              <a:ext uri="{96DAC541-7B7A-43D3-8B79-37D633B846F1}">
                                <asvg:svgBlip xmlns:asvg="http://schemas.microsoft.com/office/drawing/2016/SVG/main" xmlns:w10="urn:schemas-microsoft-com:office:word" xmlns:w="http://schemas.openxmlformats.org/wordprocessingml/2006/main" xmlns:v="urn:schemas-microsoft-com:vml" xmlns:o="urn:schemas-microsoft-com:office:office" xmlns="" r:embed="rId22"/>
                              </a:ext>
                            </a:extLst>
                          </a:blip>
                          <a:stretch>
                            <a:fillRect/>
                          </a:stretch>
                        </pic:blipFill>
                        <pic:spPr bwMode="auto">
                          <a:xfrm>
                            <a:off x="0" y="0"/>
                            <a:ext cx="475615" cy="466725"/>
                          </a:xfrm>
                          <a:prstGeom prst="rect">
                            <a:avLst/>
                          </a:prstGeom>
                          <a:noFill/>
                        </pic:spPr>
                      </pic:pic>
                    </a:graphicData>
                  </a:graphic>
                </wp:inline>
              </w:drawing>
            </w:r>
          </w:p>
        </w:tc>
        <w:tc>
          <w:tcPr>
            <w:tcW w:w="965" w:type="dxa"/>
          </w:tcPr>
          <w:p w14:paraId="41386444" w14:textId="77777777" w:rsidR="002449C2" w:rsidRDefault="002449C2">
            <w:pPr>
              <w:spacing w:after="0"/>
              <w:jc w:val="center"/>
              <w:rPr>
                <w:rFonts w:ascii="Times New Roman" w:eastAsia="Times New Roman" w:hAnsi="Times New Roman"/>
                <w:b/>
                <w:sz w:val="26"/>
                <w:szCs w:val="26"/>
                <w:lang w:eastAsia="ru-RU"/>
              </w:rPr>
            </w:pPr>
          </w:p>
        </w:tc>
      </w:tr>
    </w:tbl>
    <w:p w14:paraId="5327B45F" w14:textId="5CAFC624" w:rsidR="002449C2" w:rsidRDefault="00123961">
      <w:pPr>
        <w:tabs>
          <w:tab w:val="left" w:pos="142"/>
        </w:tabs>
        <w:spacing w:before="120" w:after="12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 xml:space="preserve">Передача электроэнергии и потери </w:t>
      </w:r>
    </w:p>
    <w:p w14:paraId="353F82E5" w14:textId="77777777" w:rsidR="002449C2" w:rsidRDefault="00123961">
      <w:pPr>
        <w:shd w:val="clear" w:color="auto" w:fill="FFFFFF"/>
        <w:spacing w:after="120" w:line="240" w:lineRule="auto"/>
        <w:ind w:firstLine="567"/>
        <w:jc w:val="both"/>
        <w:rPr>
          <w:rFonts w:ascii="Times New Roman" w:eastAsia="Times New Roman" w:hAnsi="Times New Roman"/>
          <w:color w:val="000000"/>
          <w:spacing w:val="20"/>
          <w:sz w:val="26"/>
          <w:szCs w:val="26"/>
          <w:lang w:eastAsia="ar-SA"/>
        </w:rPr>
      </w:pPr>
      <w:r>
        <w:rPr>
          <w:rFonts w:ascii="Times New Roman" w:eastAsia="Times New Roman" w:hAnsi="Times New Roman"/>
          <w:color w:val="000000"/>
          <w:spacing w:val="20"/>
          <w:sz w:val="26"/>
          <w:szCs w:val="26"/>
          <w:lang w:eastAsia="ar-SA"/>
        </w:rPr>
        <w:t>Уровень потерь электрической энергии в 2024 году уменьшился в сравнении с 2023 годом на 0,15 п.п.</w:t>
      </w:r>
    </w:p>
    <w:tbl>
      <w:tblPr>
        <w:tblW w:w="8223" w:type="dxa"/>
        <w:jc w:val="center"/>
        <w:tblLayout w:type="fixed"/>
        <w:tblLook w:val="04A0" w:firstRow="1" w:lastRow="0" w:firstColumn="1" w:lastColumn="0" w:noHBand="0" w:noVBand="1"/>
      </w:tblPr>
      <w:tblGrid>
        <w:gridCol w:w="3118"/>
        <w:gridCol w:w="1277"/>
        <w:gridCol w:w="1276"/>
        <w:gridCol w:w="1274"/>
        <w:gridCol w:w="1278"/>
      </w:tblGrid>
      <w:tr w:rsidR="002449C2" w14:paraId="5509E531" w14:textId="77777777">
        <w:trPr>
          <w:jc w:val="center"/>
        </w:trPr>
        <w:tc>
          <w:tcPr>
            <w:tcW w:w="3118" w:type="dxa"/>
            <w:tcBorders>
              <w:top w:val="single" w:sz="4" w:space="0" w:color="000000"/>
              <w:left w:val="single" w:sz="4" w:space="0" w:color="000000"/>
              <w:bottom w:val="single" w:sz="4" w:space="0" w:color="000000"/>
              <w:right w:val="single" w:sz="4" w:space="0" w:color="000000"/>
            </w:tcBorders>
          </w:tcPr>
          <w:p w14:paraId="28813713" w14:textId="77777777" w:rsidR="002449C2" w:rsidRDefault="002449C2">
            <w:pPr>
              <w:shd w:val="clear" w:color="auto" w:fill="FFFFFF"/>
              <w:spacing w:after="0" w:line="240" w:lineRule="auto"/>
              <w:jc w:val="both"/>
              <w:rPr>
                <w:rFonts w:ascii="Times New Roman" w:eastAsia="Times New Roman" w:hAnsi="Times New Roman"/>
                <w:color w:val="000000"/>
                <w:sz w:val="20"/>
                <w:szCs w:val="20"/>
                <w:lang w:eastAsia="ru-RU"/>
              </w:rPr>
            </w:pPr>
          </w:p>
        </w:tc>
        <w:tc>
          <w:tcPr>
            <w:tcW w:w="1277" w:type="dxa"/>
            <w:tcBorders>
              <w:top w:val="single" w:sz="4" w:space="0" w:color="000000"/>
              <w:left w:val="single" w:sz="4" w:space="0" w:color="000000"/>
              <w:bottom w:val="single" w:sz="4" w:space="0" w:color="000000"/>
              <w:right w:val="single" w:sz="4" w:space="0" w:color="000000"/>
            </w:tcBorders>
            <w:vAlign w:val="center"/>
          </w:tcPr>
          <w:p w14:paraId="002AA67A" w14:textId="77777777" w:rsidR="002449C2" w:rsidRDefault="00123961">
            <w:pPr>
              <w:shd w:val="clear" w:color="auto" w:fill="FFFFFF"/>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color w:val="000000"/>
                <w:sz w:val="20"/>
                <w:szCs w:val="20"/>
                <w:lang w:eastAsia="ru-RU"/>
              </w:rPr>
              <w:t>2022</w:t>
            </w:r>
          </w:p>
        </w:tc>
        <w:tc>
          <w:tcPr>
            <w:tcW w:w="1276" w:type="dxa"/>
            <w:tcBorders>
              <w:top w:val="single" w:sz="4" w:space="0" w:color="000000"/>
              <w:left w:val="single" w:sz="4" w:space="0" w:color="000000"/>
              <w:bottom w:val="single" w:sz="4" w:space="0" w:color="000000"/>
              <w:right w:val="single" w:sz="4" w:space="0" w:color="000000"/>
            </w:tcBorders>
            <w:vAlign w:val="center"/>
          </w:tcPr>
          <w:p w14:paraId="7F41503D" w14:textId="77777777" w:rsidR="002449C2" w:rsidRDefault="00123961">
            <w:pPr>
              <w:shd w:val="clear" w:color="auto" w:fill="FFFFFF"/>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color w:val="000000"/>
                <w:sz w:val="20"/>
                <w:szCs w:val="20"/>
                <w:lang w:eastAsia="ru-RU"/>
              </w:rPr>
              <w:t>2023</w:t>
            </w:r>
          </w:p>
        </w:tc>
        <w:tc>
          <w:tcPr>
            <w:tcW w:w="1274" w:type="dxa"/>
            <w:tcBorders>
              <w:top w:val="single" w:sz="4" w:space="0" w:color="000000"/>
              <w:left w:val="single" w:sz="4" w:space="0" w:color="000000"/>
              <w:bottom w:val="single" w:sz="4" w:space="0" w:color="000000"/>
              <w:right w:val="single" w:sz="4" w:space="0" w:color="000000"/>
            </w:tcBorders>
            <w:vAlign w:val="center"/>
          </w:tcPr>
          <w:p w14:paraId="07B01DAA" w14:textId="77777777" w:rsidR="002449C2" w:rsidRDefault="00123961">
            <w:pPr>
              <w:shd w:val="clear" w:color="auto" w:fill="FFFFFF"/>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color w:val="000000"/>
                <w:sz w:val="20"/>
                <w:szCs w:val="20"/>
                <w:lang w:eastAsia="ru-RU"/>
              </w:rPr>
              <w:t>2024</w:t>
            </w:r>
          </w:p>
        </w:tc>
        <w:tc>
          <w:tcPr>
            <w:tcW w:w="1278" w:type="dxa"/>
            <w:vMerge w:val="restart"/>
            <w:tcBorders>
              <w:left w:val="single" w:sz="4" w:space="0" w:color="000000"/>
            </w:tcBorders>
          </w:tcPr>
          <w:p w14:paraId="0A6EBB08" w14:textId="77777777" w:rsidR="002449C2" w:rsidRDefault="00123961">
            <w:pPr>
              <w:shd w:val="clear" w:color="auto" w:fill="FFFFFF"/>
              <w:spacing w:after="0" w:line="240" w:lineRule="auto"/>
              <w:jc w:val="center"/>
              <w:rPr>
                <w:rFonts w:ascii="Times New Roman" w:eastAsia="Times New Roman" w:hAnsi="Times New Roman"/>
                <w:b/>
                <w:color w:val="000000"/>
                <w:sz w:val="20"/>
                <w:szCs w:val="20"/>
                <w:lang w:eastAsia="ru-RU"/>
              </w:rPr>
            </w:pPr>
            <w:r>
              <w:rPr>
                <w:noProof/>
                <w:lang w:eastAsia="ru-RU"/>
              </w:rPr>
              <w:drawing>
                <wp:inline distT="0" distB="0" distL="0" distR="0" wp14:anchorId="20D20B2B" wp14:editId="350324C6">
                  <wp:extent cx="408305" cy="402590"/>
                  <wp:effectExtent l="0" t="0" r="0" b="0"/>
                  <wp:docPr id="9" name="_x005F_x0000_s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_x005F_x0000_s4386"/>
                          <pic:cNvPicPr>
                            <a:picLocks noChangeAspect="1" noChangeArrowheads="1"/>
                          </pic:cNvPicPr>
                        </pic:nvPicPr>
                        <pic:blipFill>
                          <a:blip r:embed="rId23"/>
                          <a:stretch>
                            <a:fillRect/>
                          </a:stretch>
                        </pic:blipFill>
                        <pic:spPr bwMode="auto">
                          <a:xfrm>
                            <a:off x="0" y="0"/>
                            <a:ext cx="408305" cy="402590"/>
                          </a:xfrm>
                          <a:prstGeom prst="rect">
                            <a:avLst/>
                          </a:prstGeom>
                          <a:noFill/>
                        </pic:spPr>
                      </pic:pic>
                    </a:graphicData>
                  </a:graphic>
                </wp:inline>
              </w:drawing>
            </w:r>
          </w:p>
        </w:tc>
      </w:tr>
      <w:tr w:rsidR="002449C2" w14:paraId="5D2CDF68" w14:textId="77777777">
        <w:trPr>
          <w:jc w:val="center"/>
        </w:trPr>
        <w:tc>
          <w:tcPr>
            <w:tcW w:w="3118" w:type="dxa"/>
            <w:tcBorders>
              <w:top w:val="single" w:sz="4" w:space="0" w:color="000000"/>
              <w:left w:val="single" w:sz="4" w:space="0" w:color="000000"/>
              <w:bottom w:val="single" w:sz="4" w:space="0" w:color="000000"/>
              <w:right w:val="single" w:sz="4" w:space="0" w:color="000000"/>
            </w:tcBorders>
          </w:tcPr>
          <w:p w14:paraId="77AA66FC" w14:textId="77777777" w:rsidR="002449C2" w:rsidRDefault="00123961">
            <w:pPr>
              <w:shd w:val="clear" w:color="auto" w:fill="FFFFFF"/>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Отпуск в сеть, млн кВт·ч</w:t>
            </w:r>
          </w:p>
        </w:tc>
        <w:tc>
          <w:tcPr>
            <w:tcW w:w="1277" w:type="dxa"/>
            <w:tcBorders>
              <w:top w:val="single" w:sz="4" w:space="0" w:color="000000"/>
              <w:left w:val="single" w:sz="4" w:space="0" w:color="000000"/>
              <w:bottom w:val="single" w:sz="4" w:space="0" w:color="000000"/>
              <w:right w:val="single" w:sz="4" w:space="0" w:color="000000"/>
            </w:tcBorders>
            <w:vAlign w:val="center"/>
          </w:tcPr>
          <w:p w14:paraId="5F3DB7BF"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26 587</w:t>
            </w:r>
          </w:p>
        </w:tc>
        <w:tc>
          <w:tcPr>
            <w:tcW w:w="1276" w:type="dxa"/>
            <w:tcBorders>
              <w:top w:val="single" w:sz="4" w:space="0" w:color="000000"/>
              <w:left w:val="single" w:sz="4" w:space="0" w:color="000000"/>
              <w:bottom w:val="single" w:sz="4" w:space="0" w:color="000000"/>
              <w:right w:val="single" w:sz="4" w:space="0" w:color="000000"/>
            </w:tcBorders>
            <w:vAlign w:val="center"/>
          </w:tcPr>
          <w:p w14:paraId="5DBF114C"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27 062</w:t>
            </w:r>
          </w:p>
        </w:tc>
        <w:tc>
          <w:tcPr>
            <w:tcW w:w="1274" w:type="dxa"/>
            <w:tcBorders>
              <w:top w:val="single" w:sz="4" w:space="0" w:color="000000"/>
              <w:left w:val="single" w:sz="4" w:space="0" w:color="000000"/>
              <w:bottom w:val="single" w:sz="4" w:space="0" w:color="000000"/>
              <w:right w:val="single" w:sz="4" w:space="0" w:color="000000"/>
            </w:tcBorders>
            <w:vAlign w:val="center"/>
          </w:tcPr>
          <w:p w14:paraId="06077491"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27 989</w:t>
            </w:r>
          </w:p>
        </w:tc>
        <w:tc>
          <w:tcPr>
            <w:tcW w:w="1278" w:type="dxa"/>
            <w:vMerge/>
            <w:tcBorders>
              <w:top w:val="single" w:sz="4" w:space="0" w:color="000000"/>
              <w:left w:val="single" w:sz="4" w:space="0" w:color="000000"/>
            </w:tcBorders>
          </w:tcPr>
          <w:p w14:paraId="670F9DFD" w14:textId="77777777" w:rsidR="002449C2" w:rsidRDefault="002449C2">
            <w:pPr>
              <w:shd w:val="clear" w:color="auto" w:fill="FFFFFF"/>
              <w:spacing w:after="0" w:line="240" w:lineRule="auto"/>
              <w:jc w:val="center"/>
              <w:rPr>
                <w:rFonts w:ascii="Times New Roman" w:eastAsia="Times New Roman" w:hAnsi="Times New Roman"/>
                <w:sz w:val="20"/>
                <w:szCs w:val="20"/>
                <w:lang w:eastAsia="ru-RU"/>
              </w:rPr>
            </w:pPr>
          </w:p>
        </w:tc>
      </w:tr>
      <w:tr w:rsidR="002449C2" w14:paraId="427DED75" w14:textId="77777777">
        <w:trPr>
          <w:jc w:val="center"/>
        </w:trPr>
        <w:tc>
          <w:tcPr>
            <w:tcW w:w="3118" w:type="dxa"/>
            <w:tcBorders>
              <w:top w:val="single" w:sz="4" w:space="0" w:color="000000"/>
              <w:left w:val="single" w:sz="4" w:space="0" w:color="000000"/>
              <w:bottom w:val="single" w:sz="4" w:space="0" w:color="000000"/>
              <w:right w:val="single" w:sz="4" w:space="0" w:color="000000"/>
            </w:tcBorders>
          </w:tcPr>
          <w:p w14:paraId="1D837339" w14:textId="77777777" w:rsidR="002449C2" w:rsidRDefault="00123961">
            <w:pPr>
              <w:shd w:val="clear" w:color="auto" w:fill="FFFFFF"/>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Отпуск из сети потребителям и ТСО, млн кВт·ч</w:t>
            </w:r>
          </w:p>
        </w:tc>
        <w:tc>
          <w:tcPr>
            <w:tcW w:w="1277" w:type="dxa"/>
            <w:tcBorders>
              <w:top w:val="single" w:sz="4" w:space="0" w:color="000000"/>
              <w:left w:val="single" w:sz="4" w:space="0" w:color="000000"/>
              <w:bottom w:val="single" w:sz="4" w:space="0" w:color="000000"/>
              <w:right w:val="single" w:sz="4" w:space="0" w:color="000000"/>
            </w:tcBorders>
            <w:vAlign w:val="center"/>
          </w:tcPr>
          <w:p w14:paraId="56E80E66"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24 121</w:t>
            </w:r>
          </w:p>
        </w:tc>
        <w:tc>
          <w:tcPr>
            <w:tcW w:w="1276" w:type="dxa"/>
            <w:tcBorders>
              <w:top w:val="single" w:sz="4" w:space="0" w:color="000000"/>
              <w:left w:val="single" w:sz="4" w:space="0" w:color="000000"/>
              <w:bottom w:val="single" w:sz="4" w:space="0" w:color="000000"/>
              <w:right w:val="single" w:sz="4" w:space="0" w:color="000000"/>
            </w:tcBorders>
            <w:vAlign w:val="center"/>
          </w:tcPr>
          <w:p w14:paraId="1F7D3DD7"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24 601</w:t>
            </w:r>
          </w:p>
        </w:tc>
        <w:tc>
          <w:tcPr>
            <w:tcW w:w="1274" w:type="dxa"/>
            <w:tcBorders>
              <w:top w:val="single" w:sz="4" w:space="0" w:color="000000"/>
              <w:left w:val="single" w:sz="4" w:space="0" w:color="000000"/>
              <w:bottom w:val="single" w:sz="4" w:space="0" w:color="000000"/>
              <w:right w:val="single" w:sz="4" w:space="0" w:color="000000"/>
            </w:tcBorders>
            <w:vAlign w:val="center"/>
          </w:tcPr>
          <w:p w14:paraId="22BA3254"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25 485</w:t>
            </w:r>
          </w:p>
        </w:tc>
        <w:tc>
          <w:tcPr>
            <w:tcW w:w="1278" w:type="dxa"/>
            <w:vMerge/>
            <w:tcBorders>
              <w:top w:val="single" w:sz="4" w:space="0" w:color="000000"/>
              <w:left w:val="single" w:sz="4" w:space="0" w:color="000000"/>
            </w:tcBorders>
          </w:tcPr>
          <w:p w14:paraId="5C299675" w14:textId="77777777" w:rsidR="002449C2" w:rsidRDefault="002449C2">
            <w:pPr>
              <w:shd w:val="clear" w:color="auto" w:fill="FFFFFF"/>
              <w:spacing w:after="0" w:line="240" w:lineRule="auto"/>
              <w:jc w:val="center"/>
              <w:rPr>
                <w:rFonts w:ascii="Times New Roman" w:eastAsia="Times New Roman" w:hAnsi="Times New Roman"/>
                <w:sz w:val="20"/>
                <w:szCs w:val="20"/>
                <w:lang w:eastAsia="ru-RU"/>
              </w:rPr>
            </w:pPr>
          </w:p>
        </w:tc>
      </w:tr>
      <w:tr w:rsidR="002449C2" w14:paraId="2F9335C3" w14:textId="77777777">
        <w:trPr>
          <w:jc w:val="center"/>
        </w:trPr>
        <w:tc>
          <w:tcPr>
            <w:tcW w:w="3118" w:type="dxa"/>
            <w:tcBorders>
              <w:top w:val="single" w:sz="4" w:space="0" w:color="000000"/>
              <w:left w:val="single" w:sz="4" w:space="0" w:color="000000"/>
              <w:bottom w:val="single" w:sz="4" w:space="0" w:color="000000"/>
              <w:right w:val="single" w:sz="4" w:space="0" w:color="000000"/>
            </w:tcBorders>
          </w:tcPr>
          <w:p w14:paraId="740B6B01"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Потери в сетях, %</w:t>
            </w:r>
          </w:p>
        </w:tc>
        <w:tc>
          <w:tcPr>
            <w:tcW w:w="1277" w:type="dxa"/>
            <w:tcBorders>
              <w:top w:val="single" w:sz="4" w:space="0" w:color="000000"/>
              <w:left w:val="single" w:sz="4" w:space="0" w:color="000000"/>
              <w:bottom w:val="single" w:sz="4" w:space="0" w:color="000000"/>
              <w:right w:val="single" w:sz="4" w:space="0" w:color="000000"/>
            </w:tcBorders>
            <w:vAlign w:val="center"/>
          </w:tcPr>
          <w:p w14:paraId="75150CD5"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9,28</w:t>
            </w:r>
          </w:p>
        </w:tc>
        <w:tc>
          <w:tcPr>
            <w:tcW w:w="1276" w:type="dxa"/>
            <w:tcBorders>
              <w:top w:val="single" w:sz="4" w:space="0" w:color="000000"/>
              <w:left w:val="single" w:sz="4" w:space="0" w:color="000000"/>
              <w:bottom w:val="single" w:sz="4" w:space="0" w:color="000000"/>
              <w:right w:val="single" w:sz="4" w:space="0" w:color="000000"/>
            </w:tcBorders>
            <w:vAlign w:val="center"/>
          </w:tcPr>
          <w:p w14:paraId="439A30CE"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9,09*</w:t>
            </w:r>
          </w:p>
        </w:tc>
        <w:tc>
          <w:tcPr>
            <w:tcW w:w="1274" w:type="dxa"/>
            <w:tcBorders>
              <w:top w:val="single" w:sz="4" w:space="0" w:color="000000"/>
              <w:left w:val="single" w:sz="4" w:space="0" w:color="000000"/>
              <w:bottom w:val="single" w:sz="4" w:space="0" w:color="000000"/>
              <w:right w:val="single" w:sz="4" w:space="0" w:color="000000"/>
            </w:tcBorders>
            <w:vAlign w:val="center"/>
          </w:tcPr>
          <w:p w14:paraId="0D4F1832"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8,95</w:t>
            </w:r>
          </w:p>
        </w:tc>
        <w:tc>
          <w:tcPr>
            <w:tcW w:w="1278" w:type="dxa"/>
            <w:vMerge/>
            <w:tcBorders>
              <w:top w:val="single" w:sz="4" w:space="0" w:color="000000"/>
              <w:left w:val="single" w:sz="4" w:space="0" w:color="000000"/>
            </w:tcBorders>
          </w:tcPr>
          <w:p w14:paraId="2E5FE2F9" w14:textId="77777777" w:rsidR="002449C2" w:rsidRDefault="002449C2">
            <w:pPr>
              <w:shd w:val="clear" w:color="auto" w:fill="FFFFFF"/>
              <w:spacing w:after="0" w:line="240" w:lineRule="auto"/>
              <w:jc w:val="center"/>
              <w:rPr>
                <w:rFonts w:ascii="Times New Roman" w:eastAsia="Times New Roman" w:hAnsi="Times New Roman"/>
                <w:sz w:val="20"/>
                <w:szCs w:val="20"/>
                <w:lang w:eastAsia="ru-RU"/>
              </w:rPr>
            </w:pPr>
          </w:p>
        </w:tc>
      </w:tr>
    </w:tbl>
    <w:p w14:paraId="3D82425F" w14:textId="77777777" w:rsidR="002449C2" w:rsidRDefault="002449C2">
      <w:pPr>
        <w:shd w:val="clear" w:color="auto" w:fill="FFFFFF"/>
        <w:spacing w:after="120" w:line="240" w:lineRule="auto"/>
        <w:ind w:firstLine="567"/>
        <w:jc w:val="both"/>
        <w:rPr>
          <w:rFonts w:ascii="Times New Roman" w:hAnsi="Times New Roman"/>
          <w:sz w:val="18"/>
          <w:szCs w:val="18"/>
          <w:lang w:eastAsia="ru-RU"/>
        </w:rPr>
      </w:pPr>
    </w:p>
    <w:p w14:paraId="493909C2" w14:textId="77777777" w:rsidR="002449C2" w:rsidRDefault="00123961">
      <w:pPr>
        <w:shd w:val="clear" w:color="auto" w:fill="FFFFFF"/>
        <w:spacing w:after="120" w:line="240" w:lineRule="auto"/>
        <w:ind w:firstLine="567"/>
        <w:jc w:val="both"/>
        <w:rPr>
          <w:rFonts w:ascii="Times New Roman" w:hAnsi="Times New Roman"/>
          <w:lang w:eastAsia="ru-RU"/>
        </w:rPr>
      </w:pPr>
      <w:r>
        <w:rPr>
          <w:rFonts w:ascii="Times New Roman" w:hAnsi="Times New Roman"/>
          <w:lang w:eastAsia="ru-RU"/>
        </w:rPr>
        <w:t>*с учетом роста потерь электроэнергии за счет увеличения сальдо-перетока из сетей ФСК в филиале «Астраханьэнерго», а также роста нагрузочных потерь электрической энергии в филиале «Калмэнерго», обусловленного перетоком электроэнергии, вырабатываемой ВИЭ, в смежные субъекты Российской Федерации – Ростовскую область и Ставропольский край.</w:t>
      </w:r>
    </w:p>
    <w:p w14:paraId="2C3829C0" w14:textId="77777777" w:rsidR="002449C2" w:rsidRDefault="00123961">
      <w:pPr>
        <w:shd w:val="clear" w:color="auto" w:fill="FFFFFF"/>
        <w:spacing w:after="0" w:line="240" w:lineRule="auto"/>
        <w:ind w:firstLine="709"/>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ПАО «Россети Юг» первым инициировало работу по созданию судебной практики в части взыскания платы за неосновательное обогащение потребителей электроэнергии, осуществивших вмешательство в работу интеллектуальных приборов учёта электроэнергии, установленных на границе балансовой принадлежности и принадлежащих на праве собственности Обществу.</w:t>
      </w:r>
    </w:p>
    <w:p w14:paraId="01A66F2A" w14:textId="77777777" w:rsidR="002449C2" w:rsidRDefault="00123961">
      <w:pPr>
        <w:shd w:val="clear" w:color="auto" w:fill="FFFFFF"/>
        <w:spacing w:after="0" w:line="240" w:lineRule="auto"/>
        <w:ind w:firstLine="709"/>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ПАО «Россети Юг» по итогам 2024 года достигло среднего опроса приборов учета электрической энергии на уровне 95,67%, что является наивысшим показателем по всем ДО ПАО «Россети». Данных результатов удалось добиться благодаря увеличению штатных единиц инженеров АСКУЭ в филиалах ПАО «Россети Юг», а также ежедневного мониторинга и анализа уровня опроса приборов учета, выявления возможных причин отсутствия опроса и принятия оперативного решения по восстановлению опроса.</w:t>
      </w:r>
    </w:p>
    <w:p w14:paraId="295C22D4" w14:textId="306D902F" w:rsidR="002449C2" w:rsidRDefault="00123961">
      <w:pPr>
        <w:spacing w:before="120" w:after="120" w:line="240" w:lineRule="auto"/>
        <w:jc w:val="center"/>
        <w:rPr>
          <w:rFonts w:ascii="Times New Roman" w:eastAsia="Times New Roman" w:hAnsi="Times New Roman"/>
          <w:b/>
          <w:sz w:val="24"/>
          <w:szCs w:val="24"/>
          <w:lang w:eastAsia="ru-RU"/>
        </w:rPr>
      </w:pPr>
      <w:r>
        <w:rPr>
          <w:noProof/>
          <w:highlight w:val="yellow"/>
          <w:lang w:eastAsia="ru-RU"/>
        </w:rPr>
        <mc:AlternateContent>
          <mc:Choice Requires="wps">
            <w:drawing>
              <wp:anchor distT="5080" distB="5080" distL="5080" distR="5080" simplePos="0" relativeHeight="91" behindDoc="0" locked="0" layoutInCell="1" allowOverlap="1" wp14:anchorId="54A68397" wp14:editId="13131286">
                <wp:simplePos x="0" y="0"/>
                <wp:positionH relativeFrom="column">
                  <wp:posOffset>0</wp:posOffset>
                </wp:positionH>
                <wp:positionV relativeFrom="paragraph">
                  <wp:posOffset>635</wp:posOffset>
                </wp:positionV>
                <wp:extent cx="635000" cy="635000"/>
                <wp:effectExtent l="5080" t="5080" r="5080" b="5080"/>
                <wp:wrapNone/>
                <wp:docPr id="10" name="AutoShape 25" hidden="1"/>
                <wp:cNvGraphicFramePr/>
                <a:graphic xmlns:a="http://schemas.openxmlformats.org/drawingml/2006/main">
                  <a:graphicData uri="http://schemas.microsoft.com/office/word/2010/wordprocessingShape">
                    <wps:wsp>
                      <wps:cNvSpPr/>
                      <wps:spPr>
                        <a:xfrm>
                          <a:off x="0" y="0"/>
                          <a:ext cx="635040" cy="635040"/>
                        </a:xfrm>
                        <a:prstGeom prst="rect">
                          <a:avLst/>
                        </a:prstGeom>
                        <a:solidFill>
                          <a:srgbClr val="FFFFFF"/>
                        </a:solidFill>
                        <a:ln w="9525">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w:pict>
              <v:rect w14:anchorId="586A40F1" id="AutoShape 25" o:spid="_x0000_s1026" style="position:absolute;margin-left:0;margin-top:.05pt;width:50pt;height:50pt;z-index:91;visibility:hidden;mso-wrap-style:square;mso-wrap-distance-left:.4pt;mso-wrap-distance-top:.4pt;mso-wrap-distance-right:.4pt;mso-wrap-distance-bottom:.4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">
                <v:stroke joinstyle="round"/>
              </v:rect>
            </w:pict>
          </mc:Fallback>
        </mc:AlternateContent>
      </w:r>
      <w:r>
        <w:rPr>
          <w:rFonts w:ascii="Times New Roman" w:eastAsia="Times New Roman" w:hAnsi="Times New Roman"/>
          <w:b/>
          <w:sz w:val="24"/>
          <w:szCs w:val="24"/>
          <w:lang w:eastAsia="ru-RU"/>
        </w:rPr>
        <w:t>Динамика потерь электроэнергии в 2020 – 2024 гг.</w:t>
      </w:r>
    </w:p>
    <w:p w14:paraId="4EB0EDD7" w14:textId="77777777" w:rsidR="002449C2" w:rsidRDefault="002449C2">
      <w:pPr>
        <w:shd w:val="clear" w:color="auto" w:fill="FFFFFF"/>
        <w:spacing w:before="120" w:after="120"/>
        <w:jc w:val="center"/>
        <w:rPr>
          <w:highlight w:val="yellow"/>
          <w:lang w:eastAsia="ru-RU"/>
        </w:rPr>
      </w:pPr>
    </w:p>
    <w:p w14:paraId="74A12E3D" w14:textId="77777777" w:rsidR="002449C2" w:rsidRDefault="00123961">
      <w:pPr>
        <w:shd w:val="clear" w:color="auto" w:fill="FFFFFF"/>
        <w:spacing w:before="120" w:after="120"/>
        <w:jc w:val="center"/>
        <w:rPr>
          <w:highlight w:val="yellow"/>
          <w:lang w:eastAsia="ru-RU"/>
        </w:rPr>
      </w:pPr>
      <w:r>
        <w:rPr>
          <w:noProof/>
          <w:lang w:eastAsia="ru-RU"/>
        </w:rPr>
        <w:drawing>
          <wp:inline distT="0" distB="0" distL="0" distR="0" wp14:anchorId="5DBA49E9" wp14:editId="4EB2686E">
            <wp:extent cx="5321300" cy="3202940"/>
            <wp:effectExtent l="0" t="0" r="0" b="0"/>
            <wp:docPr id="11"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26"/>
                    <pic:cNvPicPr>
                      <a:picLocks noChangeAspect="1" noChangeArrowheads="1"/>
                    </pic:cNvPicPr>
                  </pic:nvPicPr>
                  <pic:blipFill>
                    <a:blip r:embed="rId24"/>
                    <a:stretch>
                      <a:fillRect/>
                    </a:stretch>
                  </pic:blipFill>
                  <pic:spPr bwMode="auto">
                    <a:xfrm>
                      <a:off x="0" y="0"/>
                      <a:ext cx="5321300" cy="3202940"/>
                    </a:xfrm>
                    <a:prstGeom prst="rect">
                      <a:avLst/>
                    </a:prstGeom>
                    <a:noFill/>
                  </pic:spPr>
                </pic:pic>
              </a:graphicData>
            </a:graphic>
          </wp:inline>
        </w:drawing>
      </w:r>
    </w:p>
    <w:p w14:paraId="5579AAFD" w14:textId="3EEB22EE" w:rsidR="002449C2" w:rsidRDefault="00123961">
      <w:pPr>
        <w:shd w:val="clear" w:color="auto" w:fill="FFFFFF"/>
        <w:spacing w:after="0" w:line="240" w:lineRule="auto"/>
        <w:jc w:val="both"/>
        <w:rPr>
          <w:rFonts w:ascii="Times New Roman" w:eastAsia="Times New Roman" w:hAnsi="Times New Roman"/>
          <w:bCs/>
          <w:i/>
          <w:sz w:val="24"/>
          <w:szCs w:val="28"/>
          <w:lang w:eastAsia="ru-RU"/>
        </w:rPr>
      </w:pPr>
      <w:r>
        <w:rPr>
          <w:rFonts w:ascii="Times New Roman" w:eastAsia="Times New Roman" w:hAnsi="Times New Roman"/>
          <w:bCs/>
          <w:i/>
          <w:sz w:val="24"/>
          <w:szCs w:val="28"/>
          <w:lang w:eastAsia="ru-RU"/>
        </w:rPr>
        <w:t>Национальный проект «Образование»</w:t>
      </w:r>
    </w:p>
    <w:tbl>
      <w:tblPr>
        <w:tblpPr w:leftFromText="180" w:rightFromText="180" w:vertAnchor="text" w:horzAnchor="margin" w:tblpY="61"/>
        <w:tblW w:w="9355" w:type="dxa"/>
        <w:tblLayout w:type="fixed"/>
        <w:tblLook w:val="04A0" w:firstRow="1" w:lastRow="0" w:firstColumn="1" w:lastColumn="0" w:noHBand="0" w:noVBand="1"/>
      </w:tblPr>
      <w:tblGrid>
        <w:gridCol w:w="4191"/>
        <w:gridCol w:w="5164"/>
      </w:tblGrid>
      <w:tr w:rsidR="002449C2" w14:paraId="25E5F609" w14:textId="77777777">
        <w:trPr>
          <w:trHeight w:val="58"/>
        </w:trPr>
        <w:tc>
          <w:tcPr>
            <w:tcW w:w="4191" w:type="dxa"/>
          </w:tcPr>
          <w:p w14:paraId="37A19449" w14:textId="77777777" w:rsidR="002449C2" w:rsidRDefault="00123961">
            <w:pPr>
              <w:shd w:val="clear" w:color="auto" w:fill="FFFFFF"/>
              <w:tabs>
                <w:tab w:val="left" w:pos="142"/>
              </w:tabs>
              <w:spacing w:after="120" w:line="240" w:lineRule="auto"/>
              <w:jc w:val="center"/>
              <w:rPr>
                <w:sz w:val="20"/>
                <w:szCs w:val="20"/>
                <w:lang w:eastAsia="ru-RU"/>
              </w:rPr>
            </w:pPr>
            <w:r>
              <w:rPr>
                <w:noProof/>
                <w:lang w:eastAsia="ru-RU"/>
              </w:rPr>
              <w:drawing>
                <wp:inline distT="0" distB="0" distL="0" distR="0" wp14:anchorId="2D5D164F" wp14:editId="672DA013">
                  <wp:extent cx="2523490" cy="1997710"/>
                  <wp:effectExtent l="0" t="0" r="0" b="0"/>
                  <wp:docPr id="12" name="_x005F_x0000_i4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_x005F_x0000_i4398"/>
                          <pic:cNvPicPr>
                            <a:picLocks noChangeAspect="1" noChangeArrowheads="1"/>
                          </pic:cNvPicPr>
                        </pic:nvPicPr>
                        <pic:blipFill>
                          <a:blip r:embed="rId25"/>
                          <a:stretch>
                            <a:fillRect/>
                          </a:stretch>
                        </pic:blipFill>
                        <pic:spPr bwMode="auto">
                          <a:xfrm>
                            <a:off x="0" y="0"/>
                            <a:ext cx="2523490" cy="1997710"/>
                          </a:xfrm>
                          <a:prstGeom prst="rect">
                            <a:avLst/>
                          </a:prstGeom>
                          <a:noFill/>
                        </pic:spPr>
                      </pic:pic>
                    </a:graphicData>
                  </a:graphic>
                </wp:inline>
              </w:drawing>
            </w:r>
          </w:p>
        </w:tc>
        <w:tc>
          <w:tcPr>
            <w:tcW w:w="5163" w:type="dxa"/>
          </w:tcPr>
          <w:p w14:paraId="4CC28F55" w14:textId="77777777" w:rsidR="002449C2" w:rsidRDefault="00123961">
            <w:pPr>
              <w:shd w:val="clear" w:color="auto" w:fill="FFFFFF"/>
              <w:spacing w:after="0" w:line="240" w:lineRule="auto"/>
              <w:jc w:val="center"/>
              <w:rPr>
                <w:rFonts w:ascii="Times New Roman" w:eastAsia="Times New Roman" w:hAnsi="Times New Roman"/>
                <w:bCs/>
                <w:i/>
                <w:sz w:val="20"/>
                <w:szCs w:val="20"/>
                <w:lang w:eastAsia="ru-RU"/>
              </w:rPr>
            </w:pPr>
            <w:r>
              <w:rPr>
                <w:rFonts w:ascii="Times New Roman" w:eastAsia="Times New Roman" w:hAnsi="Times New Roman"/>
                <w:bCs/>
                <w:i/>
                <w:sz w:val="20"/>
                <w:szCs w:val="20"/>
                <w:lang w:eastAsia="ru-RU"/>
              </w:rPr>
              <w:t>«Общеобразовательная школа (1280 мест) г. Волгоград.</w:t>
            </w:r>
          </w:p>
          <w:p w14:paraId="5F018F69" w14:textId="77777777" w:rsidR="002449C2" w:rsidRDefault="00123961">
            <w:pPr>
              <w:shd w:val="clear" w:color="auto" w:fill="FFFFFF"/>
              <w:spacing w:after="0" w:line="240" w:lineRule="auto"/>
              <w:jc w:val="center"/>
              <w:rPr>
                <w:rFonts w:ascii="Times New Roman" w:eastAsia="Times New Roman" w:hAnsi="Times New Roman"/>
                <w:bCs/>
                <w:i/>
                <w:sz w:val="20"/>
                <w:szCs w:val="20"/>
                <w:lang w:eastAsia="ru-RU"/>
              </w:rPr>
            </w:pPr>
            <w:r>
              <w:rPr>
                <w:rFonts w:ascii="Times New Roman" w:eastAsia="Times New Roman" w:hAnsi="Times New Roman"/>
                <w:bCs/>
                <w:i/>
                <w:sz w:val="20"/>
                <w:szCs w:val="20"/>
                <w:lang w:eastAsia="ru-RU"/>
              </w:rPr>
              <w:t>Объект реализуется в рамках регионального проекта «Современная школа» национального проекта «Образование». Здание школы переменной этажности (от двух до четырех этажей) возведено в микрорайоне перспективной застройки на улице Кортоева. В новом учебном заведении предусмотрен 51 просторный учебный кабинет, а также два спортзала, актовый зал на 700 зрителей, театральная студия, лингафонные классы, библиотека и другие функциональные помещения. Благоустроена прилегающая территория. Школа оснащена современным оборудованием. Здание адаптировано для комфортного обучения детей с ограниченными физическими возможностями.</w:t>
            </w:r>
          </w:p>
          <w:p w14:paraId="59E79FB0" w14:textId="77777777" w:rsidR="002449C2" w:rsidRDefault="002449C2">
            <w:pPr>
              <w:shd w:val="clear" w:color="auto" w:fill="FFFFFF"/>
              <w:tabs>
                <w:tab w:val="left" w:pos="142"/>
              </w:tabs>
              <w:spacing w:after="0" w:line="240" w:lineRule="auto"/>
              <w:jc w:val="center"/>
              <w:rPr>
                <w:rFonts w:ascii="Times New Roman" w:eastAsia="Times New Roman" w:hAnsi="Times New Roman"/>
                <w:bCs/>
                <w:sz w:val="20"/>
                <w:szCs w:val="20"/>
                <w:lang w:eastAsia="ru-RU"/>
              </w:rPr>
            </w:pPr>
          </w:p>
        </w:tc>
      </w:tr>
    </w:tbl>
    <w:p w14:paraId="021C7B9C" w14:textId="77777777" w:rsidR="002449C2" w:rsidRDefault="00123961">
      <w:pPr>
        <w:shd w:val="clear" w:color="auto" w:fill="FFFFFF"/>
        <w:tabs>
          <w:tab w:val="left" w:pos="142"/>
        </w:tabs>
        <w:spacing w:after="12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Технологическое присоединение к сетям</w:t>
      </w:r>
    </w:p>
    <w:p w14:paraId="19BEB5F7" w14:textId="77777777" w:rsidR="002449C2" w:rsidRDefault="00123961" w:rsidP="003C4544">
      <w:pPr>
        <w:shd w:val="clear" w:color="auto" w:fill="FFFFFF"/>
        <w:spacing w:after="0" w:line="240" w:lineRule="auto"/>
        <w:ind w:firstLine="567"/>
        <w:jc w:val="both"/>
        <w:rPr>
          <w:rFonts w:ascii="Times New Roman" w:eastAsia="Times New Roman" w:hAnsi="Times New Roman"/>
          <w:sz w:val="26"/>
          <w:szCs w:val="26"/>
          <w:lang w:eastAsia="ar-SA"/>
        </w:rPr>
      </w:pPr>
      <w:r>
        <w:rPr>
          <w:rFonts w:ascii="Times New Roman" w:eastAsia="Times New Roman" w:hAnsi="Times New Roman"/>
          <w:sz w:val="26"/>
          <w:szCs w:val="26"/>
          <w:lang w:eastAsia="ar-SA"/>
        </w:rPr>
        <w:t>Выручка Общества от услуг по технологическому присоединению в 2024 году составила 1 002 млн рублей без НДС, при плане 797 млн рублей без НДС. Рост относительно плана составил 26 %.</w:t>
      </w:r>
    </w:p>
    <w:p w14:paraId="4457713E" w14:textId="77777777" w:rsidR="002449C2" w:rsidRDefault="00123961" w:rsidP="003C4544">
      <w:pPr>
        <w:shd w:val="clear" w:color="auto" w:fill="FFFFFF"/>
        <w:spacing w:after="0" w:line="240" w:lineRule="auto"/>
        <w:ind w:firstLine="567"/>
        <w:jc w:val="both"/>
        <w:rPr>
          <w:rFonts w:ascii="Times New Roman" w:eastAsia="Times New Roman" w:hAnsi="Times New Roman"/>
          <w:sz w:val="26"/>
          <w:szCs w:val="26"/>
          <w:lang w:eastAsia="ar-SA"/>
        </w:rPr>
      </w:pPr>
      <w:r>
        <w:rPr>
          <w:rFonts w:ascii="Times New Roman" w:eastAsia="Times New Roman" w:hAnsi="Times New Roman"/>
          <w:sz w:val="26"/>
          <w:szCs w:val="26"/>
          <w:lang w:eastAsia="ar-SA"/>
        </w:rPr>
        <w:t>Отклонение показателя связано с закрытием объемов выручки выше прогнозных значений по категориям присоединения «до 150 кВт».</w:t>
      </w:r>
    </w:p>
    <w:p w14:paraId="69A01DF4" w14:textId="77777777" w:rsidR="002449C2" w:rsidRDefault="00123961">
      <w:pPr>
        <w:shd w:val="clear" w:color="auto" w:fill="FFFFFF"/>
        <w:spacing w:after="120" w:line="240" w:lineRule="auto"/>
        <w:ind w:firstLine="567"/>
        <w:jc w:val="both"/>
        <w:rPr>
          <w:rFonts w:ascii="Cambria" w:eastAsia="Times New Roman" w:hAnsi="Cambria"/>
          <w:sz w:val="26"/>
          <w:szCs w:val="26"/>
          <w:lang w:eastAsia="ar-SA"/>
        </w:rPr>
      </w:pPr>
      <w:r>
        <w:rPr>
          <w:noProof/>
          <w:lang w:eastAsia="ru-RU"/>
        </w:rPr>
        <w:drawing>
          <wp:inline distT="0" distB="0" distL="0" distR="0" wp14:anchorId="5C62EEC3" wp14:editId="5A6EA453">
            <wp:extent cx="5949950" cy="2243455"/>
            <wp:effectExtent l="0" t="0" r="0" b="0"/>
            <wp:docPr id="13" name="_x005F_x0000_s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_x005F_x0000_s4385"/>
                    <pic:cNvPicPr>
                      <a:picLocks noChangeAspect="1" noChangeArrowheads="1"/>
                    </pic:cNvPicPr>
                  </pic:nvPicPr>
                  <pic:blipFill>
                    <a:blip r:embed="rId26"/>
                    <a:stretch>
                      <a:fillRect/>
                    </a:stretch>
                  </pic:blipFill>
                  <pic:spPr bwMode="auto">
                    <a:xfrm>
                      <a:off x="0" y="0"/>
                      <a:ext cx="5949950" cy="2243455"/>
                    </a:xfrm>
                    <a:prstGeom prst="rect">
                      <a:avLst/>
                    </a:prstGeom>
                    <a:noFill/>
                  </pic:spPr>
                </pic:pic>
              </a:graphicData>
            </a:graphic>
          </wp:inline>
        </w:drawing>
      </w:r>
    </w:p>
    <w:p w14:paraId="1D32D637" w14:textId="77777777" w:rsidR="002449C2" w:rsidRDefault="00123961">
      <w:pPr>
        <w:tabs>
          <w:tab w:val="left" w:pos="0"/>
        </w:tabs>
        <w:spacing w:after="0" w:line="240" w:lineRule="auto"/>
        <w:ind w:firstLine="567"/>
        <w:rPr>
          <w:rFonts w:ascii="Times New Roman" w:eastAsia="Times New Roman" w:hAnsi="Times New Roman"/>
          <w:b/>
          <w:sz w:val="26"/>
          <w:szCs w:val="26"/>
          <w:lang w:eastAsia="ru-RU"/>
        </w:rPr>
      </w:pPr>
      <w:r>
        <w:rPr>
          <w:rFonts w:ascii="Times New Roman" w:eastAsia="Times New Roman" w:hAnsi="Times New Roman"/>
          <w:b/>
          <w:sz w:val="26"/>
          <w:szCs w:val="26"/>
          <w:lang w:eastAsia="ru-RU"/>
        </w:rPr>
        <w:t>Сведения о планах по технологическому присоединению</w:t>
      </w:r>
    </w:p>
    <w:tbl>
      <w:tblPr>
        <w:tblW w:w="9355" w:type="dxa"/>
        <w:tblLayout w:type="fixed"/>
        <w:tblLook w:val="04A0" w:firstRow="1" w:lastRow="0" w:firstColumn="1" w:lastColumn="0" w:noHBand="0" w:noVBand="1"/>
      </w:tblPr>
      <w:tblGrid>
        <w:gridCol w:w="958"/>
        <w:gridCol w:w="3153"/>
        <w:gridCol w:w="5244"/>
      </w:tblGrid>
      <w:tr w:rsidR="002449C2" w14:paraId="5FE60252" w14:textId="77777777" w:rsidTr="004C2091">
        <w:tc>
          <w:tcPr>
            <w:tcW w:w="958" w:type="dxa"/>
          </w:tcPr>
          <w:p w14:paraId="4250B5E6" w14:textId="77777777" w:rsidR="002449C2" w:rsidRDefault="00123961">
            <w:pPr>
              <w:tabs>
                <w:tab w:val="left" w:pos="0"/>
              </w:tabs>
              <w:spacing w:after="0" w:line="240" w:lineRule="auto"/>
              <w:jc w:val="both"/>
              <w:rPr>
                <w:rFonts w:ascii="Times New Roman" w:hAnsi="Times New Roman"/>
                <w:sz w:val="26"/>
                <w:szCs w:val="26"/>
                <w:lang w:eastAsia="en-US"/>
              </w:rPr>
            </w:pPr>
            <w:r>
              <w:rPr>
                <w:noProof/>
                <w:lang w:eastAsia="ru-RU"/>
              </w:rPr>
              <w:drawing>
                <wp:inline distT="0" distB="0" distL="0" distR="0" wp14:anchorId="61A2FD29" wp14:editId="44D6F525">
                  <wp:extent cx="408305" cy="408305"/>
                  <wp:effectExtent l="0" t="0" r="0" b="0"/>
                  <wp:docPr id="14" name="_x005F_x0000_s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_x005F_x0000_s4387"/>
                          <pic:cNvPicPr>
                            <a:picLocks noChangeAspect="1" noChangeArrowheads="1"/>
                          </pic:cNvPicPr>
                        </pic:nvPicPr>
                        <pic:blipFill>
                          <a:blip r:embed="rId27"/>
                          <a:stretch>
                            <a:fillRect/>
                          </a:stretch>
                        </pic:blipFill>
                        <pic:spPr bwMode="auto">
                          <a:xfrm>
                            <a:off x="0" y="0"/>
                            <a:ext cx="408305" cy="408305"/>
                          </a:xfrm>
                          <a:prstGeom prst="rect">
                            <a:avLst/>
                          </a:prstGeom>
                          <a:noFill/>
                        </pic:spPr>
                      </pic:pic>
                    </a:graphicData>
                  </a:graphic>
                </wp:inline>
              </w:drawing>
            </w:r>
          </w:p>
        </w:tc>
        <w:tc>
          <w:tcPr>
            <w:tcW w:w="8397" w:type="dxa"/>
            <w:gridSpan w:val="2"/>
          </w:tcPr>
          <w:p w14:paraId="2D5F220E" w14:textId="77777777" w:rsidR="002449C2" w:rsidRDefault="00123961">
            <w:pPr>
              <w:tabs>
                <w:tab w:val="left" w:pos="0"/>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Плановый показатель по выручке от оказания услуг по технологическому присоединению на 2025 год сформирован в размере 1 405 млн рублей без НДС, плановое значение объема присоединяемой мощности на 2025 год составляет 615 МВт.</w:t>
            </w:r>
          </w:p>
          <w:p w14:paraId="35AA4356" w14:textId="77777777" w:rsidR="002449C2" w:rsidRDefault="002449C2">
            <w:pPr>
              <w:tabs>
                <w:tab w:val="left" w:pos="0"/>
              </w:tabs>
              <w:spacing w:after="0" w:line="240" w:lineRule="auto"/>
              <w:jc w:val="both"/>
              <w:rPr>
                <w:rFonts w:ascii="Times New Roman" w:hAnsi="Times New Roman"/>
                <w:sz w:val="26"/>
                <w:szCs w:val="26"/>
                <w:lang w:eastAsia="en-US"/>
              </w:rPr>
            </w:pPr>
          </w:p>
        </w:tc>
      </w:tr>
      <w:tr w:rsidR="002449C2" w14:paraId="7104C7F4" w14:textId="77777777" w:rsidTr="004C2091">
        <w:tc>
          <w:tcPr>
            <w:tcW w:w="4111" w:type="dxa"/>
            <w:gridSpan w:val="2"/>
          </w:tcPr>
          <w:p w14:paraId="15F3F9F4" w14:textId="77777777" w:rsidR="002449C2" w:rsidRDefault="00123961">
            <w:pPr>
              <w:spacing w:after="120" w:line="240" w:lineRule="auto"/>
              <w:jc w:val="both"/>
            </w:pPr>
            <w:r>
              <w:rPr>
                <w:rFonts w:ascii="Times New Roman" w:hAnsi="Times New Roman"/>
                <w:i/>
                <w:sz w:val="20"/>
                <w:szCs w:val="20"/>
              </w:rPr>
              <w:t xml:space="preserve"> </w:t>
            </w:r>
            <w:r>
              <w:rPr>
                <w:noProof/>
                <w:lang w:eastAsia="ru-RU"/>
              </w:rPr>
              <w:drawing>
                <wp:inline distT="0" distB="0" distL="0" distR="0" wp14:anchorId="058771D3" wp14:editId="0DC99A17">
                  <wp:extent cx="2438400" cy="1619241"/>
                  <wp:effectExtent l="0" t="0" r="0" b="635"/>
                  <wp:docPr id="15" name="_x005F_x0000_i4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_x005F_x0000_i4401"/>
                          <pic:cNvPicPr>
                            <a:picLocks noChangeAspect="1" noChangeArrowheads="1"/>
                          </pic:cNvPicPr>
                        </pic:nvPicPr>
                        <pic:blipFill>
                          <a:blip r:embed="rId28"/>
                          <a:stretch>
                            <a:fillRect/>
                          </a:stretch>
                        </pic:blipFill>
                        <pic:spPr bwMode="auto">
                          <a:xfrm>
                            <a:off x="0" y="0"/>
                            <a:ext cx="2450050" cy="1626977"/>
                          </a:xfrm>
                          <a:prstGeom prst="rect">
                            <a:avLst/>
                          </a:prstGeom>
                          <a:noFill/>
                        </pic:spPr>
                      </pic:pic>
                    </a:graphicData>
                  </a:graphic>
                </wp:inline>
              </w:drawing>
            </w:r>
          </w:p>
        </w:tc>
        <w:tc>
          <w:tcPr>
            <w:tcW w:w="5244" w:type="dxa"/>
          </w:tcPr>
          <w:p w14:paraId="4BC8CA46" w14:textId="77777777" w:rsidR="002449C2" w:rsidRDefault="00123961">
            <w:pPr>
              <w:spacing w:after="120" w:line="240" w:lineRule="auto"/>
              <w:jc w:val="both"/>
              <w:rPr>
                <w:rFonts w:ascii="Times New Roman" w:hAnsi="Times New Roman"/>
                <w:i/>
                <w:sz w:val="20"/>
                <w:szCs w:val="20"/>
              </w:rPr>
            </w:pPr>
            <w:r>
              <w:rPr>
                <w:rFonts w:ascii="Times New Roman" w:eastAsia="Roboto Condensed" w:hAnsi="Times New Roman"/>
                <w:i/>
                <w:color w:val="313131"/>
                <w:sz w:val="20"/>
                <w:szCs w:val="20"/>
                <w:lang w:eastAsia="en-US"/>
              </w:rPr>
              <w:t>В рамках реализации II этапа проекта по обеспечению электроснабжения Багаевского гидроузла, строительство которого ведётся в Ростовской области, «Россети Юг» реконструируют подстанцию 110 кВ. После завершения работ мощность энергообъекта увеличится с 16,3 до 20 МВА. Багаевский гидроузел – один из крупнейших объектов транспортной инфраструктуры, который возводится на территории Ростовской области в рамках государственного заказа. Цель проекта – повышение транспортной доступности и улучшение условий работы водохозяйственного комплекса региона, а также обеспечение надежности и безопасности судоходства крупнотоннажного флота на Нижнем Дону. Вводится в эксплуатацию гидроузел будет поэтапно в 2025-2026 годах.</w:t>
            </w:r>
          </w:p>
        </w:tc>
      </w:tr>
    </w:tbl>
    <w:p w14:paraId="23A3ABB1" w14:textId="77777777" w:rsidR="009A76B3" w:rsidRDefault="009A76B3">
      <w:pPr>
        <w:shd w:val="clear" w:color="auto" w:fill="FFFFFF"/>
        <w:spacing w:after="120" w:line="240" w:lineRule="auto"/>
        <w:ind w:firstLine="567"/>
        <w:jc w:val="both"/>
        <w:rPr>
          <w:highlight w:val="yellow"/>
        </w:rPr>
      </w:pPr>
    </w:p>
    <w:p w14:paraId="7E8C0B21" w14:textId="77777777" w:rsidR="002449C2" w:rsidRDefault="00123961" w:rsidP="003C4544">
      <w:pPr>
        <w:shd w:val="clear" w:color="auto" w:fill="FFFFFF"/>
        <w:spacing w:after="120" w:line="240" w:lineRule="auto"/>
        <w:ind w:firstLine="567"/>
        <w:jc w:val="center"/>
        <w:rPr>
          <w:rFonts w:ascii="Times New Roman" w:hAnsi="Times New Roman"/>
          <w:b/>
          <w:color w:val="000000"/>
          <w:sz w:val="26"/>
          <w:szCs w:val="26"/>
          <w:lang w:eastAsia="en-US"/>
        </w:rPr>
      </w:pPr>
      <w:r>
        <w:rPr>
          <w:rFonts w:ascii="Times New Roman" w:hAnsi="Times New Roman"/>
          <w:b/>
          <w:color w:val="000000"/>
          <w:sz w:val="26"/>
          <w:szCs w:val="26"/>
          <w:lang w:eastAsia="en-US"/>
        </w:rPr>
        <w:t>Информация о технологических нарушениях</w:t>
      </w:r>
    </w:p>
    <w:p w14:paraId="5D93FFF3" w14:textId="77777777" w:rsidR="002449C2" w:rsidRDefault="00123961">
      <w:pPr>
        <w:shd w:val="clear" w:color="auto" w:fill="FFFFFF"/>
        <w:spacing w:after="0" w:line="240" w:lineRule="auto"/>
        <w:jc w:val="center"/>
        <w:rPr>
          <w:rFonts w:ascii="Times New Roman" w:hAnsi="Times New Roman"/>
          <w:sz w:val="26"/>
          <w:szCs w:val="26"/>
          <w:lang w:eastAsia="en-US"/>
        </w:rPr>
      </w:pPr>
      <w:r>
        <w:rPr>
          <w:rFonts w:ascii="Times New Roman" w:hAnsi="Times New Roman"/>
          <w:sz w:val="26"/>
          <w:szCs w:val="26"/>
          <w:lang w:eastAsia="en-US"/>
        </w:rPr>
        <w:t>Статистика аварийности в электросетевом комплексе ПАО «Россети Юг»</w:t>
      </w:r>
    </w:p>
    <w:p w14:paraId="11CEFD00"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Выполнение комплекса мер по техническому обслуживанию и ремонту электрических сетей, намеченных мероприятий по повышению надёжности, программ модернизации и замены оборудования позволило не допустить в 2024 году крупных и значимых аварий, расследуемых под председательством Федеральной службы по экологическому, технологическому и атомному надзору.</w:t>
      </w:r>
    </w:p>
    <w:p w14:paraId="4CCC95CF"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Количество аварий в сети 0,4 кВ и выше в 2024 году снизилось на 6% относительно 2023 года (с 15 783 аварий в 2023 году до 14792 аварий в 2024 году).</w:t>
      </w:r>
    </w:p>
    <w:p w14:paraId="5F9BF180"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Удельная аварийность в 2024 году снизилась относительно 2023 года на 7 %.</w:t>
      </w:r>
    </w:p>
    <w:p w14:paraId="7C8CAA64"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сети 110 кВ и выше количество технологических нарушений снизилось на 9% (с 1001 до 908 аварий).</w:t>
      </w:r>
    </w:p>
    <w:p w14:paraId="3B71B7F0"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Средняя длительность перерывов электроснабжения потребителей в сети 0,4 кВ и выше составила 2,2 часа.</w:t>
      </w:r>
    </w:p>
    <w:p w14:paraId="14AA4489"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Аварийность по сроку службы повреждаемого оборудования распределилась следующим образом:</w:t>
      </w:r>
    </w:p>
    <w:p w14:paraId="63140725"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4"/>
          <w:szCs w:val="24"/>
          <w:lang w:eastAsia="ru-RU"/>
        </w:rPr>
      </w:pPr>
      <w:r>
        <w:rPr>
          <w:noProof/>
          <w:lang w:eastAsia="ru-RU"/>
        </w:rPr>
        <w:drawing>
          <wp:inline distT="0" distB="0" distL="0" distR="0" wp14:anchorId="31BAB692" wp14:editId="62FABA3B">
            <wp:extent cx="4857750" cy="2542540"/>
            <wp:effectExtent l="0" t="0" r="0" b="0"/>
            <wp:docPr id="16" name="_x005F_x0000_i4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_x005F_x0000_i4402"/>
                    <pic:cNvPicPr>
                      <a:picLocks noChangeAspect="1" noChangeArrowheads="1"/>
                    </pic:cNvPicPr>
                  </pic:nvPicPr>
                  <pic:blipFill>
                    <a:blip r:embed="rId29"/>
                    <a:stretch>
                      <a:fillRect/>
                    </a:stretch>
                  </pic:blipFill>
                  <pic:spPr bwMode="auto">
                    <a:xfrm>
                      <a:off x="0" y="0"/>
                      <a:ext cx="4857750" cy="2542540"/>
                    </a:xfrm>
                    <a:prstGeom prst="rect">
                      <a:avLst/>
                    </a:prstGeom>
                    <a:noFill/>
                  </pic:spPr>
                </pic:pic>
              </a:graphicData>
            </a:graphic>
          </wp:inline>
        </w:drawing>
      </w:r>
    </w:p>
    <w:p w14:paraId="12630C4F"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Наибольшее количество аварий произошло на оборудовании со сроком эксплуатации свыше 25 лет и составляет 87%.</w:t>
      </w:r>
    </w:p>
    <w:p w14:paraId="7CDBDB75" w14:textId="77777777" w:rsidR="002449C2" w:rsidRDefault="00123961">
      <w:pPr>
        <w:shd w:val="clear" w:color="auto" w:fill="FFFFFF"/>
        <w:tabs>
          <w:tab w:val="left" w:pos="142"/>
        </w:tabs>
        <w:spacing w:before="120" w:after="120" w:line="240" w:lineRule="auto"/>
        <w:jc w:val="center"/>
        <w:rPr>
          <w:rFonts w:ascii="Times New Roman" w:hAnsi="Times New Roman"/>
          <w:b/>
          <w:color w:val="000000"/>
          <w:sz w:val="26"/>
          <w:szCs w:val="26"/>
          <w:lang w:eastAsia="en-US"/>
        </w:rPr>
      </w:pPr>
      <w:r>
        <w:rPr>
          <w:rFonts w:ascii="Times New Roman" w:hAnsi="Times New Roman"/>
          <w:b/>
          <w:color w:val="000000"/>
          <w:sz w:val="26"/>
          <w:szCs w:val="26"/>
          <w:lang w:eastAsia="en-US"/>
        </w:rPr>
        <w:t>Производственные показатели в части надежности и пожарной безопасности</w:t>
      </w:r>
    </w:p>
    <w:tbl>
      <w:tblPr>
        <w:tblW w:w="9209" w:type="dxa"/>
        <w:jc w:val="center"/>
        <w:tblLayout w:type="fixed"/>
        <w:tblLook w:val="04A0" w:firstRow="1" w:lastRow="0" w:firstColumn="1" w:lastColumn="0" w:noHBand="0" w:noVBand="1"/>
      </w:tblPr>
      <w:tblGrid>
        <w:gridCol w:w="4112"/>
        <w:gridCol w:w="708"/>
        <w:gridCol w:w="1130"/>
        <w:gridCol w:w="1141"/>
        <w:gridCol w:w="989"/>
        <w:gridCol w:w="1129"/>
      </w:tblGrid>
      <w:tr w:rsidR="002449C2" w14:paraId="5805708F" w14:textId="77777777">
        <w:trPr>
          <w:cantSplit/>
          <w:trHeight w:val="709"/>
          <w:jc w:val="center"/>
        </w:trPr>
        <w:tc>
          <w:tcPr>
            <w:tcW w:w="4111" w:type="dxa"/>
            <w:vMerge w:val="restart"/>
            <w:tcBorders>
              <w:top w:val="single" w:sz="4" w:space="0" w:color="000000"/>
              <w:left w:val="single" w:sz="4" w:space="0" w:color="000000"/>
              <w:bottom w:val="single" w:sz="4" w:space="0" w:color="000000"/>
              <w:right w:val="single" w:sz="4" w:space="0" w:color="000000"/>
            </w:tcBorders>
            <w:vAlign w:val="center"/>
          </w:tcPr>
          <w:p w14:paraId="197F1084" w14:textId="77777777" w:rsidR="002449C2" w:rsidRDefault="00123961">
            <w:pPr>
              <w:widowControl w:val="0"/>
              <w:shd w:val="clear" w:color="auto" w:fill="FFFFFF"/>
              <w:spacing w:after="5" w:line="252" w:lineRule="auto"/>
              <w:ind w:left="-113" w:right="-114"/>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Показатели</w:t>
            </w: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14:paraId="3AA958EB" w14:textId="77777777" w:rsidR="002449C2" w:rsidRDefault="00123961">
            <w:pPr>
              <w:widowControl w:val="0"/>
              <w:shd w:val="clear" w:color="auto" w:fill="FFFFFF"/>
              <w:tabs>
                <w:tab w:val="left" w:pos="40"/>
              </w:tabs>
              <w:spacing w:after="5" w:line="252" w:lineRule="auto"/>
              <w:ind w:left="-111" w:right="-112"/>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Ед.изм.</w:t>
            </w:r>
          </w:p>
        </w:tc>
        <w:tc>
          <w:tcPr>
            <w:tcW w:w="4389" w:type="dxa"/>
            <w:gridSpan w:val="4"/>
            <w:tcBorders>
              <w:top w:val="single" w:sz="4" w:space="0" w:color="000000"/>
              <w:left w:val="single" w:sz="4" w:space="0" w:color="000000"/>
              <w:bottom w:val="single" w:sz="4" w:space="0" w:color="000000"/>
              <w:right w:val="single" w:sz="4" w:space="0" w:color="000000"/>
            </w:tcBorders>
            <w:vAlign w:val="center"/>
          </w:tcPr>
          <w:p w14:paraId="0DC4F55C" w14:textId="77777777" w:rsidR="002449C2" w:rsidRDefault="00123961">
            <w:pPr>
              <w:widowControl w:val="0"/>
              <w:shd w:val="clear" w:color="auto" w:fill="FFFFFF"/>
              <w:spacing w:after="5" w:line="252"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Период</w:t>
            </w:r>
          </w:p>
        </w:tc>
      </w:tr>
      <w:tr w:rsidR="002449C2" w14:paraId="16415D15" w14:textId="77777777">
        <w:trPr>
          <w:cantSplit/>
          <w:jc w:val="center"/>
        </w:trPr>
        <w:tc>
          <w:tcPr>
            <w:tcW w:w="4111" w:type="dxa"/>
            <w:vMerge/>
            <w:tcBorders>
              <w:top w:val="single" w:sz="4" w:space="0" w:color="000000"/>
              <w:left w:val="single" w:sz="4" w:space="0" w:color="000000"/>
              <w:bottom w:val="single" w:sz="4" w:space="0" w:color="000000"/>
              <w:right w:val="single" w:sz="4" w:space="0" w:color="000000"/>
            </w:tcBorders>
          </w:tcPr>
          <w:p w14:paraId="63BC093F" w14:textId="77777777" w:rsidR="002449C2" w:rsidRDefault="002449C2">
            <w:pPr>
              <w:widowControl w:val="0"/>
              <w:shd w:val="clear" w:color="auto" w:fill="FFFFFF"/>
              <w:spacing w:after="5" w:line="252" w:lineRule="auto"/>
              <w:ind w:left="426" w:right="-143" w:hanging="426"/>
              <w:jc w:val="center"/>
              <w:rPr>
                <w:rFonts w:ascii="Times New Roman" w:eastAsia="Times New Roman" w:hAnsi="Times New Roman"/>
                <w:b/>
                <w:bCs/>
                <w:color w:val="000000"/>
                <w:sz w:val="20"/>
                <w:szCs w:val="20"/>
                <w:lang w:eastAsia="ru-RU"/>
              </w:rPr>
            </w:pPr>
          </w:p>
        </w:tc>
        <w:tc>
          <w:tcPr>
            <w:tcW w:w="708" w:type="dxa"/>
            <w:vMerge/>
            <w:tcBorders>
              <w:top w:val="single" w:sz="4" w:space="0" w:color="000000"/>
              <w:left w:val="single" w:sz="4" w:space="0" w:color="000000"/>
              <w:bottom w:val="single" w:sz="4" w:space="0" w:color="000000"/>
              <w:right w:val="single" w:sz="4" w:space="0" w:color="000000"/>
            </w:tcBorders>
          </w:tcPr>
          <w:p w14:paraId="3FBB93EC" w14:textId="77777777" w:rsidR="002449C2" w:rsidRDefault="002449C2">
            <w:pPr>
              <w:widowControl w:val="0"/>
              <w:shd w:val="clear" w:color="auto" w:fill="FFFFFF"/>
              <w:tabs>
                <w:tab w:val="left" w:pos="40"/>
              </w:tabs>
              <w:spacing w:after="5" w:line="252" w:lineRule="auto"/>
              <w:ind w:left="426" w:right="-143" w:hanging="426"/>
              <w:jc w:val="both"/>
              <w:rPr>
                <w:rFonts w:ascii="Times New Roman" w:eastAsia="Times New Roman" w:hAnsi="Times New Roman"/>
                <w:b/>
                <w:bCs/>
                <w:color w:val="000000"/>
                <w:sz w:val="20"/>
                <w:szCs w:val="20"/>
                <w:lang w:eastAsia="ru-RU"/>
              </w:rPr>
            </w:pPr>
          </w:p>
        </w:tc>
        <w:tc>
          <w:tcPr>
            <w:tcW w:w="1130" w:type="dxa"/>
            <w:tcBorders>
              <w:top w:val="single" w:sz="4" w:space="0" w:color="000000"/>
              <w:left w:val="single" w:sz="4" w:space="0" w:color="000000"/>
              <w:bottom w:val="single" w:sz="4" w:space="0" w:color="000000"/>
              <w:right w:val="single" w:sz="4" w:space="0" w:color="000000"/>
            </w:tcBorders>
          </w:tcPr>
          <w:p w14:paraId="1A269D01" w14:textId="77777777" w:rsidR="002449C2" w:rsidRDefault="00123961">
            <w:pPr>
              <w:widowControl w:val="0"/>
              <w:shd w:val="clear" w:color="auto" w:fill="FFFFFF"/>
              <w:spacing w:after="5" w:line="252" w:lineRule="auto"/>
              <w:ind w:left="-96" w:right="-122"/>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2022 год</w:t>
            </w:r>
          </w:p>
          <w:p w14:paraId="5661E1CA" w14:textId="77777777" w:rsidR="002449C2" w:rsidRDefault="00123961">
            <w:pPr>
              <w:widowControl w:val="0"/>
              <w:shd w:val="clear" w:color="auto" w:fill="FFFFFF"/>
              <w:spacing w:after="5" w:line="252" w:lineRule="auto"/>
              <w:ind w:left="-96" w:right="-122"/>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факт</w:t>
            </w:r>
          </w:p>
        </w:tc>
        <w:tc>
          <w:tcPr>
            <w:tcW w:w="1141" w:type="dxa"/>
            <w:tcBorders>
              <w:top w:val="single" w:sz="4" w:space="0" w:color="000000"/>
              <w:left w:val="single" w:sz="4" w:space="0" w:color="000000"/>
              <w:bottom w:val="single" w:sz="4" w:space="0" w:color="000000"/>
              <w:right w:val="single" w:sz="4" w:space="0" w:color="000000"/>
            </w:tcBorders>
          </w:tcPr>
          <w:p w14:paraId="041FE598" w14:textId="77777777" w:rsidR="002449C2" w:rsidRDefault="00123961">
            <w:pPr>
              <w:widowControl w:val="0"/>
              <w:shd w:val="clear" w:color="auto" w:fill="FFFFFF"/>
              <w:spacing w:after="5" w:line="252" w:lineRule="auto"/>
              <w:ind w:left="-113" w:right="-138"/>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2023 год</w:t>
            </w:r>
          </w:p>
          <w:p w14:paraId="56B79836" w14:textId="77777777" w:rsidR="002449C2" w:rsidRDefault="00123961">
            <w:pPr>
              <w:widowControl w:val="0"/>
              <w:shd w:val="clear" w:color="auto" w:fill="FFFFFF"/>
              <w:spacing w:after="5" w:line="252" w:lineRule="auto"/>
              <w:ind w:left="-113" w:right="-138"/>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факт</w:t>
            </w:r>
          </w:p>
        </w:tc>
        <w:tc>
          <w:tcPr>
            <w:tcW w:w="989" w:type="dxa"/>
            <w:tcBorders>
              <w:top w:val="single" w:sz="4" w:space="0" w:color="000000"/>
              <w:left w:val="single" w:sz="4" w:space="0" w:color="000000"/>
              <w:bottom w:val="single" w:sz="4" w:space="0" w:color="000000"/>
              <w:right w:val="single" w:sz="4" w:space="0" w:color="000000"/>
            </w:tcBorders>
          </w:tcPr>
          <w:p w14:paraId="5C573EF6" w14:textId="77777777" w:rsidR="002449C2" w:rsidRDefault="00123961">
            <w:pPr>
              <w:widowControl w:val="0"/>
              <w:shd w:val="clear" w:color="auto" w:fill="FFFFFF"/>
              <w:spacing w:after="5" w:line="252" w:lineRule="auto"/>
              <w:ind w:left="-100" w:right="-143"/>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2024 год</w:t>
            </w:r>
          </w:p>
          <w:p w14:paraId="1A173A10" w14:textId="77777777" w:rsidR="002449C2" w:rsidRDefault="00123961">
            <w:pPr>
              <w:widowControl w:val="0"/>
              <w:shd w:val="clear" w:color="auto" w:fill="FFFFFF"/>
              <w:spacing w:after="5" w:line="252" w:lineRule="auto"/>
              <w:ind w:left="-100" w:right="-143"/>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факт</w:t>
            </w:r>
          </w:p>
        </w:tc>
        <w:tc>
          <w:tcPr>
            <w:tcW w:w="1129" w:type="dxa"/>
            <w:tcBorders>
              <w:top w:val="single" w:sz="4" w:space="0" w:color="000000"/>
              <w:left w:val="single" w:sz="4" w:space="0" w:color="000000"/>
              <w:bottom w:val="single" w:sz="4" w:space="0" w:color="000000"/>
              <w:right w:val="single" w:sz="4" w:space="0" w:color="000000"/>
            </w:tcBorders>
          </w:tcPr>
          <w:p w14:paraId="081B315C" w14:textId="77777777" w:rsidR="002449C2" w:rsidRDefault="00123961">
            <w:pPr>
              <w:widowControl w:val="0"/>
              <w:shd w:val="clear" w:color="auto" w:fill="FFFFFF"/>
              <w:spacing w:after="5" w:line="252" w:lineRule="auto"/>
              <w:ind w:left="-107" w:right="-143"/>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изменение 2024/2023, %</w:t>
            </w:r>
          </w:p>
        </w:tc>
      </w:tr>
      <w:tr w:rsidR="002449C2" w14:paraId="2BCBE368" w14:textId="77777777">
        <w:trPr>
          <w:cantSplit/>
          <w:jc w:val="center"/>
        </w:trPr>
        <w:tc>
          <w:tcPr>
            <w:tcW w:w="4111" w:type="dxa"/>
            <w:tcBorders>
              <w:top w:val="single" w:sz="4" w:space="0" w:color="000000"/>
              <w:left w:val="single" w:sz="4" w:space="0" w:color="000000"/>
              <w:bottom w:val="single" w:sz="4" w:space="0" w:color="000000"/>
              <w:right w:val="single" w:sz="4" w:space="0" w:color="000000"/>
            </w:tcBorders>
          </w:tcPr>
          <w:p w14:paraId="649CAD1E"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w:t>
            </w:r>
          </w:p>
        </w:tc>
        <w:tc>
          <w:tcPr>
            <w:tcW w:w="708" w:type="dxa"/>
            <w:tcBorders>
              <w:top w:val="single" w:sz="4" w:space="0" w:color="000000"/>
              <w:left w:val="single" w:sz="4" w:space="0" w:color="000000"/>
              <w:bottom w:val="single" w:sz="4" w:space="0" w:color="000000"/>
              <w:right w:val="single" w:sz="4" w:space="0" w:color="000000"/>
            </w:tcBorders>
          </w:tcPr>
          <w:p w14:paraId="69AA4478" w14:textId="77777777" w:rsidR="002449C2" w:rsidRDefault="00123961">
            <w:pPr>
              <w:widowControl w:val="0"/>
              <w:shd w:val="clear" w:color="auto" w:fill="FFFFFF"/>
              <w:tabs>
                <w:tab w:val="left" w:pos="40"/>
              </w:tabs>
              <w:spacing w:after="5" w:line="252" w:lineRule="auto"/>
              <w:ind w:left="-112" w:right="-143"/>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2</w:t>
            </w:r>
          </w:p>
        </w:tc>
        <w:tc>
          <w:tcPr>
            <w:tcW w:w="1130" w:type="dxa"/>
            <w:tcBorders>
              <w:top w:val="single" w:sz="4" w:space="0" w:color="000000"/>
              <w:left w:val="single" w:sz="4" w:space="0" w:color="000000"/>
              <w:bottom w:val="single" w:sz="4" w:space="0" w:color="000000"/>
              <w:right w:val="single" w:sz="4" w:space="0" w:color="000000"/>
            </w:tcBorders>
          </w:tcPr>
          <w:p w14:paraId="44119100" w14:textId="77777777" w:rsidR="002449C2" w:rsidRDefault="00123961">
            <w:pPr>
              <w:widowControl w:val="0"/>
              <w:shd w:val="clear" w:color="auto" w:fill="FFFFFF"/>
              <w:spacing w:after="5" w:line="252" w:lineRule="auto"/>
              <w:ind w:left="-110" w:right="-143"/>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3</w:t>
            </w:r>
          </w:p>
        </w:tc>
        <w:tc>
          <w:tcPr>
            <w:tcW w:w="1141" w:type="dxa"/>
            <w:tcBorders>
              <w:top w:val="single" w:sz="4" w:space="0" w:color="000000"/>
              <w:left w:val="single" w:sz="4" w:space="0" w:color="000000"/>
              <w:bottom w:val="single" w:sz="4" w:space="0" w:color="000000"/>
              <w:right w:val="single" w:sz="4" w:space="0" w:color="000000"/>
            </w:tcBorders>
          </w:tcPr>
          <w:p w14:paraId="70F48BEE" w14:textId="77777777" w:rsidR="002449C2" w:rsidRDefault="00123961">
            <w:pPr>
              <w:widowControl w:val="0"/>
              <w:shd w:val="clear" w:color="auto" w:fill="FFFFFF"/>
              <w:spacing w:after="5" w:line="252" w:lineRule="auto"/>
              <w:ind w:left="-107" w:right="-143"/>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4</w:t>
            </w:r>
          </w:p>
        </w:tc>
        <w:tc>
          <w:tcPr>
            <w:tcW w:w="989" w:type="dxa"/>
            <w:tcBorders>
              <w:top w:val="single" w:sz="4" w:space="0" w:color="000000"/>
              <w:left w:val="single" w:sz="4" w:space="0" w:color="000000"/>
              <w:bottom w:val="single" w:sz="4" w:space="0" w:color="000000"/>
              <w:right w:val="single" w:sz="4" w:space="0" w:color="000000"/>
            </w:tcBorders>
          </w:tcPr>
          <w:p w14:paraId="70A92EFB" w14:textId="77777777" w:rsidR="002449C2" w:rsidRDefault="00123961">
            <w:pPr>
              <w:widowControl w:val="0"/>
              <w:shd w:val="clear" w:color="auto" w:fill="FFFFFF"/>
              <w:spacing w:after="5" w:line="252" w:lineRule="auto"/>
              <w:ind w:left="-108" w:right="-143"/>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5</w:t>
            </w:r>
          </w:p>
        </w:tc>
        <w:tc>
          <w:tcPr>
            <w:tcW w:w="1129" w:type="dxa"/>
            <w:tcBorders>
              <w:top w:val="single" w:sz="4" w:space="0" w:color="000000"/>
              <w:left w:val="single" w:sz="4" w:space="0" w:color="000000"/>
              <w:bottom w:val="single" w:sz="4" w:space="0" w:color="000000"/>
              <w:right w:val="single" w:sz="4" w:space="0" w:color="000000"/>
            </w:tcBorders>
          </w:tcPr>
          <w:p w14:paraId="257C4766" w14:textId="77777777" w:rsidR="002449C2" w:rsidRDefault="00123961">
            <w:pPr>
              <w:widowControl w:val="0"/>
              <w:shd w:val="clear" w:color="auto" w:fill="FFFFFF"/>
              <w:spacing w:after="5" w:line="252" w:lineRule="auto"/>
              <w:ind w:left="-105" w:right="-143" w:hanging="4"/>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6</w:t>
            </w:r>
          </w:p>
        </w:tc>
      </w:tr>
      <w:tr w:rsidR="002449C2" w14:paraId="6FED7DFB" w14:textId="77777777">
        <w:trPr>
          <w:cantSplit/>
          <w:trHeight w:val="357"/>
          <w:jc w:val="center"/>
        </w:trPr>
        <w:tc>
          <w:tcPr>
            <w:tcW w:w="9208" w:type="dxa"/>
            <w:gridSpan w:val="6"/>
            <w:tcBorders>
              <w:top w:val="single" w:sz="4" w:space="0" w:color="000000"/>
              <w:left w:val="single" w:sz="4" w:space="0" w:color="000000"/>
              <w:bottom w:val="single" w:sz="4" w:space="0" w:color="000000"/>
              <w:right w:val="single" w:sz="4" w:space="0" w:color="000000"/>
            </w:tcBorders>
          </w:tcPr>
          <w:p w14:paraId="47DFCDF8" w14:textId="77777777" w:rsidR="002449C2" w:rsidRDefault="00123961">
            <w:pPr>
              <w:widowControl w:val="0"/>
              <w:shd w:val="clear" w:color="auto" w:fill="FFFFFF"/>
              <w:spacing w:after="5" w:line="252" w:lineRule="auto"/>
              <w:ind w:right="-143"/>
              <w:jc w:val="center"/>
              <w:rPr>
                <w:rFonts w:ascii="Times New Roman" w:eastAsia="Times New Roman" w:hAnsi="Times New Roman"/>
                <w:bCs/>
                <w:color w:val="000000"/>
                <w:sz w:val="20"/>
                <w:szCs w:val="20"/>
                <w:lang w:eastAsia="ru-RU"/>
              </w:rPr>
            </w:pPr>
            <w:r>
              <w:rPr>
                <w:rFonts w:ascii="Times New Roman" w:eastAsia="Times New Roman" w:hAnsi="Times New Roman"/>
                <w:b/>
                <w:bCs/>
                <w:color w:val="000000"/>
                <w:sz w:val="20"/>
                <w:szCs w:val="20"/>
                <w:lang w:eastAsia="ru-RU"/>
              </w:rPr>
              <w:t>Показатели надежности электросетевого комплекса</w:t>
            </w:r>
          </w:p>
        </w:tc>
      </w:tr>
      <w:tr w:rsidR="002449C2" w14:paraId="31ED436B" w14:textId="77777777">
        <w:trPr>
          <w:cantSplit/>
          <w:trHeight w:val="357"/>
          <w:jc w:val="center"/>
        </w:trPr>
        <w:tc>
          <w:tcPr>
            <w:tcW w:w="4111" w:type="dxa"/>
            <w:tcBorders>
              <w:top w:val="single" w:sz="4" w:space="0" w:color="000000"/>
              <w:left w:val="single" w:sz="4" w:space="0" w:color="000000"/>
              <w:bottom w:val="single" w:sz="4" w:space="0" w:color="000000"/>
              <w:right w:val="single" w:sz="4" w:space="0" w:color="000000"/>
            </w:tcBorders>
          </w:tcPr>
          <w:p w14:paraId="0506ECB0"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П</w:t>
            </w:r>
            <w:r>
              <w:rPr>
                <w:rFonts w:ascii="Times New Roman" w:eastAsia="Times New Roman" w:hAnsi="Times New Roman"/>
                <w:bCs/>
                <w:color w:val="000000"/>
                <w:sz w:val="24"/>
                <w:szCs w:val="24"/>
                <w:vertAlign w:val="subscript"/>
                <w:lang w:val="en-US" w:eastAsia="ru-RU"/>
              </w:rPr>
              <w:t>saidi</w:t>
            </w:r>
          </w:p>
        </w:tc>
        <w:tc>
          <w:tcPr>
            <w:tcW w:w="708" w:type="dxa"/>
            <w:tcBorders>
              <w:top w:val="single" w:sz="4" w:space="0" w:color="000000"/>
              <w:left w:val="single" w:sz="4" w:space="0" w:color="000000"/>
              <w:bottom w:val="single" w:sz="4" w:space="0" w:color="000000"/>
              <w:right w:val="single" w:sz="4" w:space="0" w:color="000000"/>
            </w:tcBorders>
          </w:tcPr>
          <w:p w14:paraId="75B2E1FE"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час.</w:t>
            </w:r>
          </w:p>
        </w:tc>
        <w:tc>
          <w:tcPr>
            <w:tcW w:w="1130" w:type="dxa"/>
            <w:tcBorders>
              <w:top w:val="single" w:sz="4" w:space="0" w:color="000000"/>
              <w:left w:val="single" w:sz="4" w:space="0" w:color="000000"/>
              <w:bottom w:val="single" w:sz="4" w:space="0" w:color="000000"/>
              <w:right w:val="single" w:sz="4" w:space="0" w:color="000000"/>
            </w:tcBorders>
          </w:tcPr>
          <w:p w14:paraId="6A94C71B" w14:textId="77777777" w:rsidR="002449C2" w:rsidRDefault="00123961">
            <w:pPr>
              <w:widowControl w:val="0"/>
              <w:shd w:val="clear" w:color="auto" w:fill="FFFFFF"/>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3,251</w:t>
            </w:r>
          </w:p>
        </w:tc>
        <w:tc>
          <w:tcPr>
            <w:tcW w:w="1141" w:type="dxa"/>
            <w:tcBorders>
              <w:top w:val="single" w:sz="4" w:space="0" w:color="000000"/>
              <w:left w:val="single" w:sz="4" w:space="0" w:color="000000"/>
              <w:bottom w:val="single" w:sz="4" w:space="0" w:color="000000"/>
              <w:right w:val="single" w:sz="4" w:space="0" w:color="000000"/>
            </w:tcBorders>
          </w:tcPr>
          <w:p w14:paraId="68A73E22" w14:textId="77777777" w:rsidR="002449C2" w:rsidRDefault="00123961">
            <w:pPr>
              <w:widowControl w:val="0"/>
              <w:shd w:val="clear" w:color="auto" w:fill="FFFFFF"/>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3,418</w:t>
            </w:r>
          </w:p>
        </w:tc>
        <w:tc>
          <w:tcPr>
            <w:tcW w:w="989" w:type="dxa"/>
            <w:tcBorders>
              <w:top w:val="single" w:sz="4" w:space="0" w:color="000000"/>
              <w:left w:val="single" w:sz="4" w:space="0" w:color="000000"/>
              <w:bottom w:val="single" w:sz="4" w:space="0" w:color="000000"/>
              <w:right w:val="single" w:sz="4" w:space="0" w:color="000000"/>
            </w:tcBorders>
          </w:tcPr>
          <w:p w14:paraId="73078AB2" w14:textId="77777777" w:rsidR="002449C2" w:rsidRDefault="00123961">
            <w:pPr>
              <w:widowControl w:val="0"/>
              <w:shd w:val="clear" w:color="auto" w:fill="FFFFFF"/>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3,388</w:t>
            </w:r>
          </w:p>
        </w:tc>
        <w:tc>
          <w:tcPr>
            <w:tcW w:w="1129" w:type="dxa"/>
            <w:tcBorders>
              <w:top w:val="single" w:sz="4" w:space="0" w:color="000000"/>
              <w:left w:val="single" w:sz="4" w:space="0" w:color="000000"/>
              <w:bottom w:val="single" w:sz="4" w:space="0" w:color="000000"/>
              <w:right w:val="single" w:sz="4" w:space="0" w:color="000000"/>
            </w:tcBorders>
            <w:vAlign w:val="center"/>
          </w:tcPr>
          <w:p w14:paraId="0360C188" w14:textId="77777777" w:rsidR="002449C2" w:rsidRDefault="00123961">
            <w:pPr>
              <w:widowControl w:val="0"/>
              <w:shd w:val="clear" w:color="auto" w:fill="FFFFFF"/>
              <w:spacing w:after="5" w:line="252" w:lineRule="auto"/>
              <w:ind w:left="-105" w:right="-143"/>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w:t>
            </w:r>
          </w:p>
        </w:tc>
      </w:tr>
      <w:tr w:rsidR="002449C2" w14:paraId="6ABEEA51" w14:textId="77777777">
        <w:trPr>
          <w:cantSplit/>
          <w:trHeight w:val="70"/>
          <w:jc w:val="center"/>
        </w:trPr>
        <w:tc>
          <w:tcPr>
            <w:tcW w:w="4111" w:type="dxa"/>
            <w:tcBorders>
              <w:top w:val="single" w:sz="4" w:space="0" w:color="000000"/>
              <w:left w:val="single" w:sz="4" w:space="0" w:color="000000"/>
              <w:bottom w:val="single" w:sz="4" w:space="0" w:color="000000"/>
              <w:right w:val="single" w:sz="4" w:space="0" w:color="000000"/>
            </w:tcBorders>
          </w:tcPr>
          <w:p w14:paraId="76401E82"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П</w:t>
            </w:r>
            <w:r>
              <w:rPr>
                <w:rFonts w:ascii="Times New Roman" w:eastAsia="Times New Roman" w:hAnsi="Times New Roman"/>
                <w:bCs/>
                <w:color w:val="000000"/>
                <w:sz w:val="24"/>
                <w:szCs w:val="24"/>
                <w:vertAlign w:val="subscript"/>
                <w:lang w:val="en-US" w:eastAsia="ru-RU"/>
              </w:rPr>
              <w:t>saifi</w:t>
            </w:r>
          </w:p>
        </w:tc>
        <w:tc>
          <w:tcPr>
            <w:tcW w:w="708" w:type="dxa"/>
            <w:tcBorders>
              <w:top w:val="single" w:sz="4" w:space="0" w:color="000000"/>
              <w:left w:val="single" w:sz="4" w:space="0" w:color="000000"/>
              <w:bottom w:val="single" w:sz="4" w:space="0" w:color="000000"/>
              <w:right w:val="single" w:sz="4" w:space="0" w:color="000000"/>
            </w:tcBorders>
          </w:tcPr>
          <w:p w14:paraId="14DF5BBD"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шт.</w:t>
            </w:r>
          </w:p>
        </w:tc>
        <w:tc>
          <w:tcPr>
            <w:tcW w:w="1130" w:type="dxa"/>
            <w:tcBorders>
              <w:top w:val="single" w:sz="4" w:space="0" w:color="000000"/>
              <w:left w:val="single" w:sz="4" w:space="0" w:color="000000"/>
              <w:bottom w:val="single" w:sz="4" w:space="0" w:color="000000"/>
              <w:right w:val="single" w:sz="4" w:space="0" w:color="000000"/>
            </w:tcBorders>
          </w:tcPr>
          <w:p w14:paraId="57CF1489" w14:textId="77777777" w:rsidR="002449C2" w:rsidRDefault="00123961">
            <w:pPr>
              <w:widowControl w:val="0"/>
              <w:shd w:val="clear" w:color="auto" w:fill="FFFFFF"/>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2,123</w:t>
            </w:r>
          </w:p>
        </w:tc>
        <w:tc>
          <w:tcPr>
            <w:tcW w:w="1141" w:type="dxa"/>
            <w:tcBorders>
              <w:top w:val="single" w:sz="4" w:space="0" w:color="000000"/>
              <w:left w:val="single" w:sz="4" w:space="0" w:color="000000"/>
              <w:bottom w:val="single" w:sz="4" w:space="0" w:color="000000"/>
              <w:right w:val="single" w:sz="4" w:space="0" w:color="000000"/>
            </w:tcBorders>
          </w:tcPr>
          <w:p w14:paraId="3E53B26C" w14:textId="77777777" w:rsidR="002449C2" w:rsidRDefault="00123961">
            <w:pPr>
              <w:widowControl w:val="0"/>
              <w:shd w:val="clear" w:color="auto" w:fill="FFFFFF"/>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2,289</w:t>
            </w:r>
          </w:p>
        </w:tc>
        <w:tc>
          <w:tcPr>
            <w:tcW w:w="989" w:type="dxa"/>
            <w:tcBorders>
              <w:top w:val="single" w:sz="4" w:space="0" w:color="000000"/>
              <w:left w:val="single" w:sz="4" w:space="0" w:color="000000"/>
              <w:bottom w:val="single" w:sz="4" w:space="0" w:color="000000"/>
              <w:right w:val="single" w:sz="4" w:space="0" w:color="000000"/>
            </w:tcBorders>
          </w:tcPr>
          <w:p w14:paraId="2BF0AD3B" w14:textId="77777777" w:rsidR="002449C2" w:rsidRDefault="00123961">
            <w:pPr>
              <w:widowControl w:val="0"/>
              <w:shd w:val="clear" w:color="auto" w:fill="FFFFFF"/>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2,146</w:t>
            </w:r>
          </w:p>
        </w:tc>
        <w:tc>
          <w:tcPr>
            <w:tcW w:w="1129" w:type="dxa"/>
            <w:tcBorders>
              <w:top w:val="single" w:sz="4" w:space="0" w:color="000000"/>
              <w:left w:val="single" w:sz="4" w:space="0" w:color="000000"/>
              <w:bottom w:val="single" w:sz="4" w:space="0" w:color="000000"/>
              <w:right w:val="single" w:sz="4" w:space="0" w:color="000000"/>
            </w:tcBorders>
            <w:vAlign w:val="center"/>
          </w:tcPr>
          <w:p w14:paraId="4B327BA9" w14:textId="77777777" w:rsidR="002449C2" w:rsidRDefault="00123961">
            <w:pPr>
              <w:widowControl w:val="0"/>
              <w:shd w:val="clear" w:color="auto" w:fill="FFFFFF"/>
              <w:spacing w:after="5" w:line="252" w:lineRule="auto"/>
              <w:ind w:left="-109" w:right="-14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w:t>
            </w:r>
          </w:p>
        </w:tc>
      </w:tr>
      <w:tr w:rsidR="002449C2" w14:paraId="5B11BFF2" w14:textId="77777777">
        <w:trPr>
          <w:cantSplit/>
          <w:jc w:val="center"/>
        </w:trPr>
        <w:tc>
          <w:tcPr>
            <w:tcW w:w="4111" w:type="dxa"/>
            <w:tcBorders>
              <w:top w:val="single" w:sz="4" w:space="0" w:color="000000"/>
              <w:left w:val="single" w:sz="4" w:space="0" w:color="000000"/>
              <w:bottom w:val="single" w:sz="4" w:space="0" w:color="000000"/>
              <w:right w:val="single" w:sz="4" w:space="0" w:color="000000"/>
            </w:tcBorders>
          </w:tcPr>
          <w:p w14:paraId="39302328" w14:textId="77777777" w:rsidR="002449C2" w:rsidRDefault="00123961">
            <w:pPr>
              <w:widowControl w:val="0"/>
              <w:shd w:val="clear" w:color="auto" w:fill="FFFFFF"/>
              <w:spacing w:after="5" w:line="252" w:lineRule="auto"/>
              <w:ind w:left="22" w:right="-143" w:hanging="22"/>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Количество технологических нарушений (аварий) в сети 110 кВ и выше</w:t>
            </w:r>
          </w:p>
        </w:tc>
        <w:tc>
          <w:tcPr>
            <w:tcW w:w="708" w:type="dxa"/>
            <w:tcBorders>
              <w:top w:val="single" w:sz="4" w:space="0" w:color="000000"/>
              <w:left w:val="single" w:sz="4" w:space="0" w:color="000000"/>
              <w:bottom w:val="single" w:sz="4" w:space="0" w:color="000000"/>
              <w:right w:val="single" w:sz="4" w:space="0" w:color="000000"/>
            </w:tcBorders>
            <w:vAlign w:val="center"/>
          </w:tcPr>
          <w:p w14:paraId="06C1876F"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шт.</w:t>
            </w:r>
          </w:p>
        </w:tc>
        <w:tc>
          <w:tcPr>
            <w:tcW w:w="1130" w:type="dxa"/>
            <w:tcBorders>
              <w:top w:val="single" w:sz="4" w:space="0" w:color="000000"/>
              <w:left w:val="single" w:sz="4" w:space="0" w:color="000000"/>
              <w:bottom w:val="single" w:sz="4" w:space="0" w:color="000000"/>
              <w:right w:val="single" w:sz="4" w:space="0" w:color="000000"/>
            </w:tcBorders>
            <w:vAlign w:val="center"/>
          </w:tcPr>
          <w:p w14:paraId="49754EE4" w14:textId="77777777" w:rsidR="002449C2" w:rsidRDefault="00123961">
            <w:pPr>
              <w:widowControl w:val="0"/>
              <w:shd w:val="clear" w:color="auto" w:fill="FFFFFF"/>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840</w:t>
            </w:r>
          </w:p>
        </w:tc>
        <w:tc>
          <w:tcPr>
            <w:tcW w:w="1141" w:type="dxa"/>
            <w:tcBorders>
              <w:top w:val="single" w:sz="4" w:space="0" w:color="000000"/>
              <w:left w:val="single" w:sz="4" w:space="0" w:color="000000"/>
              <w:bottom w:val="single" w:sz="4" w:space="0" w:color="000000"/>
              <w:right w:val="single" w:sz="4" w:space="0" w:color="000000"/>
            </w:tcBorders>
            <w:vAlign w:val="center"/>
          </w:tcPr>
          <w:p w14:paraId="3460690E" w14:textId="77777777" w:rsidR="002449C2" w:rsidRDefault="00123961">
            <w:pPr>
              <w:widowControl w:val="0"/>
              <w:shd w:val="clear" w:color="auto" w:fill="FFFFFF"/>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1001</w:t>
            </w:r>
          </w:p>
        </w:tc>
        <w:tc>
          <w:tcPr>
            <w:tcW w:w="989" w:type="dxa"/>
            <w:tcBorders>
              <w:top w:val="single" w:sz="4" w:space="0" w:color="000000"/>
              <w:left w:val="single" w:sz="4" w:space="0" w:color="000000"/>
              <w:bottom w:val="single" w:sz="4" w:space="0" w:color="000000"/>
              <w:right w:val="single" w:sz="4" w:space="0" w:color="000000"/>
            </w:tcBorders>
            <w:vAlign w:val="center"/>
          </w:tcPr>
          <w:p w14:paraId="71AB0AF6" w14:textId="77777777" w:rsidR="002449C2" w:rsidRDefault="00123961">
            <w:pPr>
              <w:widowControl w:val="0"/>
              <w:shd w:val="clear" w:color="auto" w:fill="FFFFFF"/>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908</w:t>
            </w:r>
          </w:p>
        </w:tc>
        <w:tc>
          <w:tcPr>
            <w:tcW w:w="1129" w:type="dxa"/>
            <w:tcBorders>
              <w:top w:val="single" w:sz="4" w:space="0" w:color="000000"/>
              <w:left w:val="single" w:sz="4" w:space="0" w:color="000000"/>
              <w:bottom w:val="single" w:sz="4" w:space="0" w:color="000000"/>
              <w:right w:val="single" w:sz="4" w:space="0" w:color="000000"/>
            </w:tcBorders>
            <w:vAlign w:val="center"/>
          </w:tcPr>
          <w:p w14:paraId="49D06725" w14:textId="77777777" w:rsidR="002449C2" w:rsidRDefault="00123961">
            <w:pPr>
              <w:widowControl w:val="0"/>
              <w:shd w:val="clear" w:color="auto" w:fill="FFFFFF"/>
              <w:spacing w:after="5" w:line="252" w:lineRule="auto"/>
              <w:ind w:left="-109" w:right="-14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w:t>
            </w:r>
          </w:p>
        </w:tc>
      </w:tr>
      <w:tr w:rsidR="002449C2" w14:paraId="6358113D" w14:textId="77777777">
        <w:trPr>
          <w:cantSplit/>
          <w:jc w:val="center"/>
        </w:trPr>
        <w:tc>
          <w:tcPr>
            <w:tcW w:w="9208" w:type="dxa"/>
            <w:gridSpan w:val="6"/>
            <w:tcBorders>
              <w:top w:val="single" w:sz="4" w:space="0" w:color="000000"/>
              <w:left w:val="single" w:sz="4" w:space="0" w:color="000000"/>
              <w:bottom w:val="single" w:sz="4" w:space="0" w:color="000000"/>
              <w:right w:val="single" w:sz="4" w:space="0" w:color="000000"/>
            </w:tcBorders>
          </w:tcPr>
          <w:p w14:paraId="52FD8805"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
                <w:color w:val="000000"/>
                <w:sz w:val="20"/>
                <w:szCs w:val="20"/>
                <w:lang w:eastAsia="ru-RU"/>
              </w:rPr>
              <w:t> Пожарная безопасность</w:t>
            </w:r>
          </w:p>
        </w:tc>
      </w:tr>
      <w:tr w:rsidR="002449C2" w14:paraId="4FAE1215" w14:textId="77777777">
        <w:trPr>
          <w:cantSplit/>
          <w:trHeight w:val="371"/>
          <w:jc w:val="center"/>
        </w:trPr>
        <w:tc>
          <w:tcPr>
            <w:tcW w:w="4111" w:type="dxa"/>
            <w:tcBorders>
              <w:top w:val="single" w:sz="4" w:space="0" w:color="000000"/>
              <w:left w:val="single" w:sz="4" w:space="0" w:color="000000"/>
              <w:bottom w:val="single" w:sz="4" w:space="0" w:color="000000"/>
              <w:right w:val="single" w:sz="4" w:space="0" w:color="000000"/>
            </w:tcBorders>
            <w:vAlign w:val="center"/>
          </w:tcPr>
          <w:p w14:paraId="449A40CE" w14:textId="77777777" w:rsidR="002449C2" w:rsidRDefault="00123961">
            <w:pPr>
              <w:widowControl w:val="0"/>
              <w:shd w:val="clear" w:color="auto" w:fill="FFFFFF"/>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Количество пожаров</w:t>
            </w:r>
          </w:p>
        </w:tc>
        <w:tc>
          <w:tcPr>
            <w:tcW w:w="708" w:type="dxa"/>
            <w:tcBorders>
              <w:top w:val="single" w:sz="4" w:space="0" w:color="000000"/>
              <w:left w:val="single" w:sz="4" w:space="0" w:color="000000"/>
              <w:bottom w:val="single" w:sz="4" w:space="0" w:color="000000"/>
              <w:right w:val="single" w:sz="4" w:space="0" w:color="000000"/>
            </w:tcBorders>
            <w:vAlign w:val="center"/>
          </w:tcPr>
          <w:p w14:paraId="6CB4EB09" w14:textId="77777777" w:rsidR="002449C2" w:rsidRDefault="00123961">
            <w:pPr>
              <w:widowControl w:val="0"/>
              <w:shd w:val="clear" w:color="auto" w:fill="FFFFFF"/>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ед.</w:t>
            </w:r>
          </w:p>
        </w:tc>
        <w:tc>
          <w:tcPr>
            <w:tcW w:w="1130" w:type="dxa"/>
            <w:tcBorders>
              <w:top w:val="single" w:sz="4" w:space="0" w:color="000000"/>
              <w:left w:val="single" w:sz="4" w:space="0" w:color="000000"/>
              <w:bottom w:val="single" w:sz="4" w:space="0" w:color="000000"/>
              <w:right w:val="single" w:sz="4" w:space="0" w:color="000000"/>
            </w:tcBorders>
            <w:vAlign w:val="center"/>
          </w:tcPr>
          <w:p w14:paraId="73A9AE0E" w14:textId="77777777" w:rsidR="002449C2" w:rsidRDefault="00123961">
            <w:pPr>
              <w:widowControl w:val="0"/>
              <w:shd w:val="clear" w:color="auto" w:fill="FFFFFF"/>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w:t>
            </w:r>
          </w:p>
        </w:tc>
        <w:tc>
          <w:tcPr>
            <w:tcW w:w="1141" w:type="dxa"/>
            <w:tcBorders>
              <w:top w:val="single" w:sz="4" w:space="0" w:color="000000"/>
              <w:left w:val="single" w:sz="4" w:space="0" w:color="000000"/>
              <w:bottom w:val="single" w:sz="4" w:space="0" w:color="000000"/>
              <w:right w:val="single" w:sz="4" w:space="0" w:color="000000"/>
            </w:tcBorders>
            <w:vAlign w:val="center"/>
          </w:tcPr>
          <w:p w14:paraId="4F873D9B" w14:textId="77777777" w:rsidR="002449C2" w:rsidRDefault="00123961">
            <w:pPr>
              <w:widowControl w:val="0"/>
              <w:shd w:val="clear" w:color="auto" w:fill="FFFFFF"/>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w:t>
            </w:r>
          </w:p>
        </w:tc>
        <w:tc>
          <w:tcPr>
            <w:tcW w:w="989" w:type="dxa"/>
            <w:tcBorders>
              <w:top w:val="single" w:sz="4" w:space="0" w:color="000000"/>
              <w:left w:val="single" w:sz="4" w:space="0" w:color="000000"/>
              <w:bottom w:val="single" w:sz="4" w:space="0" w:color="000000"/>
              <w:right w:val="single" w:sz="4" w:space="0" w:color="000000"/>
            </w:tcBorders>
            <w:vAlign w:val="center"/>
          </w:tcPr>
          <w:p w14:paraId="12533A27" w14:textId="77777777" w:rsidR="002449C2" w:rsidRDefault="00123961">
            <w:pPr>
              <w:widowControl w:val="0"/>
              <w:shd w:val="clear" w:color="auto" w:fill="FFFFFF"/>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w:t>
            </w:r>
          </w:p>
        </w:tc>
        <w:tc>
          <w:tcPr>
            <w:tcW w:w="1129" w:type="dxa"/>
            <w:tcBorders>
              <w:top w:val="single" w:sz="4" w:space="0" w:color="000000"/>
              <w:left w:val="single" w:sz="4" w:space="0" w:color="000000"/>
              <w:bottom w:val="single" w:sz="4" w:space="0" w:color="000000"/>
              <w:right w:val="single" w:sz="4" w:space="0" w:color="000000"/>
            </w:tcBorders>
            <w:vAlign w:val="center"/>
          </w:tcPr>
          <w:p w14:paraId="1DEAB1A7" w14:textId="77777777" w:rsidR="002449C2" w:rsidRDefault="00123961">
            <w:pPr>
              <w:widowControl w:val="0"/>
              <w:shd w:val="clear" w:color="auto" w:fill="FFFFFF"/>
              <w:spacing w:after="5" w:line="252" w:lineRule="auto"/>
              <w:ind w:right="-14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Рост в 12 раз</w:t>
            </w:r>
          </w:p>
        </w:tc>
      </w:tr>
    </w:tbl>
    <w:p w14:paraId="63F8953B" w14:textId="77777777" w:rsidR="002449C2" w:rsidRDefault="002449C2">
      <w:pPr>
        <w:shd w:val="clear" w:color="auto" w:fill="FFFFFF"/>
        <w:tabs>
          <w:tab w:val="left" w:pos="142"/>
          <w:tab w:val="left" w:pos="993"/>
        </w:tabs>
        <w:spacing w:after="0" w:line="240" w:lineRule="auto"/>
        <w:ind w:firstLine="709"/>
        <w:contextualSpacing/>
        <w:jc w:val="both"/>
        <w:rPr>
          <w:rFonts w:ascii="Times New Roman" w:eastAsia="Times New Roman" w:hAnsi="Times New Roman"/>
          <w:sz w:val="24"/>
          <w:szCs w:val="24"/>
          <w:lang w:eastAsia="ru-RU"/>
        </w:rPr>
      </w:pPr>
    </w:p>
    <w:p w14:paraId="5281DDF6" w14:textId="77777777" w:rsidR="002449C2" w:rsidRDefault="00123961">
      <w:pPr>
        <w:shd w:val="clear" w:color="auto" w:fill="FFFFFF"/>
        <w:tabs>
          <w:tab w:val="left" w:pos="142"/>
          <w:tab w:val="left" w:pos="993"/>
        </w:tabs>
        <w:spacing w:after="0" w:line="240"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По итогам 2024 года с учетом допустимого коэффициента отклонения не допущено превышения значений, установленных региональными органами тарифного регулирования. Данные показатели выполнены во всех филиалах Общества. </w:t>
      </w:r>
    </w:p>
    <w:p w14:paraId="5B2D04ED" w14:textId="77777777" w:rsidR="002449C2" w:rsidRDefault="00123961">
      <w:pPr>
        <w:shd w:val="clear" w:color="auto" w:fill="FFFFFF"/>
        <w:tabs>
          <w:tab w:val="left" w:pos="142"/>
        </w:tabs>
        <w:spacing w:before="120" w:after="120" w:line="240" w:lineRule="auto"/>
        <w:jc w:val="center"/>
        <w:rPr>
          <w:rFonts w:ascii="Times New Roman" w:hAnsi="Times New Roman"/>
          <w:b/>
          <w:color w:val="000000"/>
          <w:sz w:val="26"/>
          <w:szCs w:val="26"/>
          <w:lang w:eastAsia="en-US"/>
        </w:rPr>
      </w:pPr>
      <w:r>
        <w:rPr>
          <w:rFonts w:ascii="Times New Roman" w:hAnsi="Times New Roman"/>
          <w:b/>
          <w:color w:val="000000"/>
          <w:sz w:val="26"/>
          <w:szCs w:val="26"/>
          <w:lang w:eastAsia="en-US"/>
        </w:rPr>
        <w:t>Готовность к ликвидации возможных технологических нарушений</w:t>
      </w:r>
    </w:p>
    <w:p w14:paraId="6922DAC7" w14:textId="77777777" w:rsidR="002449C2" w:rsidRDefault="00123961">
      <w:pPr>
        <w:shd w:val="clear" w:color="auto" w:fill="FFFFFF"/>
        <w:tabs>
          <w:tab w:val="left" w:pos="142"/>
          <w:tab w:val="left" w:pos="993"/>
        </w:tabs>
        <w:spacing w:after="0" w:line="240"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Независимо от времени года и погодных условий сотрудниками ПАО «Россети Юг» обеспечена готовность к ликвидации возможных технологических нарушений: 670 бригады (3398 чел., 1671 ед. техники), в том числе 44 мобильные бригады (263 чел. и 115 ед. техники) подготовлены для проведения аварийно-восстановительных работ и ликвидации масштабных отключений, и при необходимости могут быть направлены на помощь другим ДО ПАО «Россети». Дополнительно 209 бригад подрядных организаций могут участвовать в работах по восстановлению электроснабжения. Имеется 333 резервных источника электроснабжения общей мощностью 13,9 МВт.</w:t>
      </w:r>
    </w:p>
    <w:p w14:paraId="792FE699" w14:textId="77777777" w:rsidR="002449C2" w:rsidRDefault="00123961">
      <w:pPr>
        <w:shd w:val="clear" w:color="auto" w:fill="FFFFFF"/>
        <w:tabs>
          <w:tab w:val="left" w:pos="142"/>
          <w:tab w:val="left" w:pos="993"/>
        </w:tabs>
        <w:spacing w:after="0" w:line="240"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Для управления силами и средствами в повседневной деятельности подготовлены пункты управления в аппарате управления, в филиалах ПАО «Россети Юг», в РЭС разработаны и поддерживаются в актуальном состоянии распорядительные, справочные документы. На постоянной основе организовывается обучение с привлечением 100% руководящего состава и всего остального персонала ПАО «Россети Юг» в области предупреждения и ликвидации чрезвычайных ситуаций природного и техногенного характера.</w:t>
      </w:r>
    </w:p>
    <w:p w14:paraId="3DAE6169" w14:textId="77777777" w:rsidR="002449C2" w:rsidRDefault="00123961">
      <w:pPr>
        <w:shd w:val="clear" w:color="auto" w:fill="FFFFFF"/>
        <w:tabs>
          <w:tab w:val="left" w:pos="142"/>
          <w:tab w:val="left" w:pos="993"/>
        </w:tabs>
        <w:spacing w:after="0" w:line="240"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Для отработки практических навыков ликвидации аварийных ситуаций проведено 8 совместных учений со штабами по обеспечению безопасности электроснабжения субъектов Российской Федерации, территориальными органами исполнительной власти и местного самоуправления, Министерством Российской Федерации по делам гражданской обороны, чрезвычайным ситуациям и ликвидации последствий стихийных бедствий, организациями ЖКХ.</w:t>
      </w:r>
    </w:p>
    <w:p w14:paraId="65DBCD49" w14:textId="77777777" w:rsidR="002449C2" w:rsidRDefault="00123961">
      <w:pPr>
        <w:shd w:val="clear" w:color="auto" w:fill="FFFFFF"/>
        <w:tabs>
          <w:tab w:val="left" w:pos="142"/>
        </w:tabs>
        <w:spacing w:before="120" w:after="120" w:line="240" w:lineRule="auto"/>
        <w:jc w:val="center"/>
        <w:rPr>
          <w:rFonts w:ascii="Times New Roman" w:hAnsi="Times New Roman"/>
          <w:b/>
          <w:color w:val="000000"/>
          <w:sz w:val="26"/>
          <w:szCs w:val="26"/>
          <w:lang w:eastAsia="en-US"/>
        </w:rPr>
      </w:pPr>
      <w:r>
        <w:rPr>
          <w:rFonts w:ascii="Times New Roman" w:hAnsi="Times New Roman"/>
          <w:b/>
          <w:color w:val="000000"/>
          <w:sz w:val="26"/>
          <w:szCs w:val="26"/>
          <w:lang w:eastAsia="en-US"/>
        </w:rPr>
        <w:t xml:space="preserve">EBITDA, Чистая прибыль </w:t>
      </w:r>
    </w:p>
    <w:p w14:paraId="3C5F690C" w14:textId="77777777" w:rsidR="002449C2" w:rsidRDefault="00123961">
      <w:pPr>
        <w:shd w:val="clear" w:color="auto" w:fill="FFFFFF"/>
        <w:spacing w:after="12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Показатель EBITDA по сравнению с 2023 годом снизился на 1 501 млн рублей.</w:t>
      </w:r>
    </w:p>
    <w:tbl>
      <w:tblPr>
        <w:tblW w:w="6237" w:type="dxa"/>
        <w:jc w:val="center"/>
        <w:tblLayout w:type="fixed"/>
        <w:tblLook w:val="04A0" w:firstRow="1" w:lastRow="0" w:firstColumn="1" w:lastColumn="0" w:noHBand="0" w:noVBand="1"/>
      </w:tblPr>
      <w:tblGrid>
        <w:gridCol w:w="3261"/>
        <w:gridCol w:w="994"/>
        <w:gridCol w:w="990"/>
        <w:gridCol w:w="992"/>
      </w:tblGrid>
      <w:tr w:rsidR="002449C2" w14:paraId="1C7A571E" w14:textId="77777777">
        <w:trPr>
          <w:jc w:val="center"/>
        </w:trPr>
        <w:tc>
          <w:tcPr>
            <w:tcW w:w="3260" w:type="dxa"/>
            <w:tcBorders>
              <w:top w:val="single" w:sz="4" w:space="0" w:color="000000"/>
              <w:left w:val="single" w:sz="4" w:space="0" w:color="000000"/>
              <w:bottom w:val="single" w:sz="4" w:space="0" w:color="000000"/>
              <w:right w:val="single" w:sz="4" w:space="0" w:color="000000"/>
            </w:tcBorders>
          </w:tcPr>
          <w:p w14:paraId="334DD10B" w14:textId="77777777" w:rsidR="002449C2" w:rsidRDefault="002449C2">
            <w:pPr>
              <w:shd w:val="clear" w:color="auto" w:fill="FFFFFF"/>
              <w:spacing w:after="0" w:line="240" w:lineRule="auto"/>
              <w:jc w:val="both"/>
              <w:rPr>
                <w:rFonts w:ascii="Times New Roman" w:eastAsia="Times New Roman" w:hAnsi="Times New Roman"/>
                <w:b/>
                <w:color w:val="000000"/>
                <w:sz w:val="20"/>
                <w:szCs w:val="20"/>
                <w:lang w:eastAsia="ru-RU"/>
              </w:rPr>
            </w:pPr>
          </w:p>
        </w:tc>
        <w:tc>
          <w:tcPr>
            <w:tcW w:w="994" w:type="dxa"/>
            <w:tcBorders>
              <w:top w:val="single" w:sz="4" w:space="0" w:color="000000"/>
              <w:left w:val="single" w:sz="4" w:space="0" w:color="000000"/>
              <w:bottom w:val="single" w:sz="4" w:space="0" w:color="000000"/>
              <w:right w:val="single" w:sz="4" w:space="0" w:color="000000"/>
            </w:tcBorders>
            <w:vAlign w:val="center"/>
          </w:tcPr>
          <w:p w14:paraId="4B596B1D" w14:textId="77777777" w:rsidR="002449C2" w:rsidRDefault="00123961">
            <w:pPr>
              <w:shd w:val="clear" w:color="auto" w:fill="FFFFFF"/>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w:t>
            </w:r>
            <w:r>
              <w:rPr>
                <w:rFonts w:ascii="Times New Roman" w:eastAsia="Times New Roman" w:hAnsi="Times New Roman"/>
                <w:b/>
                <w:sz w:val="20"/>
                <w:szCs w:val="20"/>
                <w:lang w:val="en-US" w:eastAsia="ru-RU"/>
              </w:rPr>
              <w:t>2</w:t>
            </w:r>
            <w:r>
              <w:rPr>
                <w:rFonts w:ascii="Times New Roman" w:eastAsia="Times New Roman" w:hAnsi="Times New Roman"/>
                <w:b/>
                <w:sz w:val="20"/>
                <w:szCs w:val="20"/>
                <w:lang w:eastAsia="ru-RU"/>
              </w:rPr>
              <w:t>2</w:t>
            </w:r>
          </w:p>
        </w:tc>
        <w:tc>
          <w:tcPr>
            <w:tcW w:w="990" w:type="dxa"/>
            <w:tcBorders>
              <w:top w:val="single" w:sz="4" w:space="0" w:color="000000"/>
              <w:left w:val="single" w:sz="4" w:space="0" w:color="000000"/>
              <w:bottom w:val="single" w:sz="4" w:space="0" w:color="000000"/>
              <w:right w:val="single" w:sz="4" w:space="0" w:color="000000"/>
            </w:tcBorders>
            <w:vAlign w:val="center"/>
          </w:tcPr>
          <w:p w14:paraId="406F0264" w14:textId="77777777" w:rsidR="002449C2" w:rsidRDefault="00123961">
            <w:pPr>
              <w:shd w:val="clear" w:color="auto" w:fill="FFFFFF"/>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w:t>
            </w:r>
            <w:r>
              <w:rPr>
                <w:rFonts w:ascii="Times New Roman" w:eastAsia="Times New Roman" w:hAnsi="Times New Roman"/>
                <w:b/>
                <w:sz w:val="20"/>
                <w:szCs w:val="20"/>
                <w:lang w:val="en-US" w:eastAsia="ru-RU"/>
              </w:rPr>
              <w:t>2</w:t>
            </w:r>
            <w:r>
              <w:rPr>
                <w:rFonts w:ascii="Times New Roman" w:eastAsia="Times New Roman" w:hAnsi="Times New Roman"/>
                <w:b/>
                <w:sz w:val="20"/>
                <w:szCs w:val="20"/>
                <w:lang w:eastAsia="ru-RU"/>
              </w:rPr>
              <w:t>3</w:t>
            </w:r>
          </w:p>
        </w:tc>
        <w:tc>
          <w:tcPr>
            <w:tcW w:w="992" w:type="dxa"/>
            <w:tcBorders>
              <w:top w:val="single" w:sz="4" w:space="0" w:color="000000"/>
              <w:left w:val="single" w:sz="4" w:space="0" w:color="000000"/>
              <w:bottom w:val="single" w:sz="4" w:space="0" w:color="000000"/>
              <w:right w:val="single" w:sz="4" w:space="0" w:color="000000"/>
            </w:tcBorders>
          </w:tcPr>
          <w:p w14:paraId="7DBB7B69" w14:textId="77777777" w:rsidR="002449C2" w:rsidRDefault="00123961">
            <w:pPr>
              <w:shd w:val="clear" w:color="auto" w:fill="FFFFFF"/>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2024</w:t>
            </w:r>
          </w:p>
        </w:tc>
      </w:tr>
      <w:tr w:rsidR="002449C2" w14:paraId="5BCAF907" w14:textId="77777777">
        <w:trPr>
          <w:jc w:val="center"/>
        </w:trPr>
        <w:tc>
          <w:tcPr>
            <w:tcW w:w="3260" w:type="dxa"/>
            <w:tcBorders>
              <w:top w:val="single" w:sz="4" w:space="0" w:color="000000"/>
              <w:left w:val="single" w:sz="4" w:space="0" w:color="000000"/>
              <w:bottom w:val="single" w:sz="4" w:space="0" w:color="000000"/>
              <w:right w:val="single" w:sz="4" w:space="0" w:color="000000"/>
            </w:tcBorders>
          </w:tcPr>
          <w:p w14:paraId="1C6CEA00" w14:textId="77777777" w:rsidR="002449C2" w:rsidRDefault="00123961">
            <w:pPr>
              <w:shd w:val="clear" w:color="auto" w:fill="FFFFFF"/>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EBITDA, млн руб.</w:t>
            </w:r>
          </w:p>
        </w:tc>
        <w:tc>
          <w:tcPr>
            <w:tcW w:w="994" w:type="dxa"/>
            <w:tcBorders>
              <w:bottom w:val="single" w:sz="8" w:space="0" w:color="000000"/>
              <w:right w:val="single" w:sz="8" w:space="0" w:color="000000"/>
            </w:tcBorders>
            <w:shd w:val="clear" w:color="000000" w:fill="FFFFFF"/>
            <w:vAlign w:val="center"/>
          </w:tcPr>
          <w:p w14:paraId="1959BC26"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4 932</w:t>
            </w:r>
          </w:p>
        </w:tc>
        <w:tc>
          <w:tcPr>
            <w:tcW w:w="990" w:type="dxa"/>
            <w:tcBorders>
              <w:bottom w:val="single" w:sz="8" w:space="0" w:color="000000"/>
              <w:right w:val="single" w:sz="8" w:space="0" w:color="000000"/>
            </w:tcBorders>
            <w:shd w:val="clear" w:color="000000" w:fill="FFFFFF"/>
          </w:tcPr>
          <w:p w14:paraId="2293AF7C"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9 741</w:t>
            </w:r>
          </w:p>
        </w:tc>
        <w:tc>
          <w:tcPr>
            <w:tcW w:w="992" w:type="dxa"/>
            <w:tcBorders>
              <w:bottom w:val="single" w:sz="8" w:space="0" w:color="000000"/>
              <w:right w:val="single" w:sz="8" w:space="0" w:color="000000"/>
            </w:tcBorders>
            <w:shd w:val="clear" w:color="000000" w:fill="FFFFFF"/>
          </w:tcPr>
          <w:p w14:paraId="16BFEBEF"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8 240</w:t>
            </w:r>
          </w:p>
        </w:tc>
      </w:tr>
      <w:tr w:rsidR="002449C2" w14:paraId="664ABA28" w14:textId="77777777">
        <w:trPr>
          <w:jc w:val="center"/>
        </w:trPr>
        <w:tc>
          <w:tcPr>
            <w:tcW w:w="3260" w:type="dxa"/>
            <w:tcBorders>
              <w:top w:val="single" w:sz="4" w:space="0" w:color="000000"/>
              <w:left w:val="single" w:sz="4" w:space="0" w:color="000000"/>
              <w:bottom w:val="single" w:sz="4" w:space="0" w:color="000000"/>
              <w:right w:val="single" w:sz="4" w:space="0" w:color="000000"/>
            </w:tcBorders>
          </w:tcPr>
          <w:p w14:paraId="14C06D25" w14:textId="77777777" w:rsidR="002449C2" w:rsidRDefault="00123961">
            <w:pPr>
              <w:shd w:val="clear" w:color="auto" w:fill="FFFFFF"/>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Чистая прибыль, млн руб.</w:t>
            </w:r>
          </w:p>
        </w:tc>
        <w:tc>
          <w:tcPr>
            <w:tcW w:w="994" w:type="dxa"/>
            <w:tcBorders>
              <w:bottom w:val="single" w:sz="8" w:space="0" w:color="000000"/>
              <w:right w:val="single" w:sz="8" w:space="0" w:color="000000"/>
            </w:tcBorders>
            <w:vAlign w:val="center"/>
          </w:tcPr>
          <w:p w14:paraId="3527D1A0"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-559</w:t>
            </w:r>
          </w:p>
        </w:tc>
        <w:tc>
          <w:tcPr>
            <w:tcW w:w="990" w:type="dxa"/>
            <w:tcBorders>
              <w:bottom w:val="single" w:sz="8" w:space="0" w:color="000000"/>
              <w:right w:val="single" w:sz="8" w:space="0" w:color="000000"/>
            </w:tcBorders>
          </w:tcPr>
          <w:p w14:paraId="53A1AEE8"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2 431</w:t>
            </w:r>
          </w:p>
        </w:tc>
        <w:tc>
          <w:tcPr>
            <w:tcW w:w="992" w:type="dxa"/>
            <w:tcBorders>
              <w:bottom w:val="single" w:sz="8" w:space="0" w:color="000000"/>
              <w:right w:val="single" w:sz="8" w:space="0" w:color="000000"/>
            </w:tcBorders>
          </w:tcPr>
          <w:p w14:paraId="7CBFD491"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7 225</w:t>
            </w:r>
          </w:p>
        </w:tc>
      </w:tr>
    </w:tbl>
    <w:p w14:paraId="5BD4778E" w14:textId="77777777" w:rsidR="002449C2" w:rsidRDefault="00123961">
      <w:pPr>
        <w:shd w:val="clear" w:color="auto" w:fill="FFFFFF"/>
        <w:tabs>
          <w:tab w:val="left" w:pos="142"/>
        </w:tabs>
        <w:spacing w:before="120" w:after="120" w:line="240" w:lineRule="auto"/>
        <w:jc w:val="center"/>
        <w:rPr>
          <w:rFonts w:ascii="Times New Roman" w:hAnsi="Times New Roman"/>
          <w:b/>
          <w:color w:val="000000"/>
          <w:sz w:val="26"/>
          <w:szCs w:val="26"/>
          <w:lang w:eastAsia="en-US"/>
        </w:rPr>
      </w:pPr>
      <w:r>
        <w:rPr>
          <w:rFonts w:ascii="Times New Roman" w:hAnsi="Times New Roman"/>
          <w:b/>
          <w:color w:val="000000"/>
          <w:sz w:val="26"/>
          <w:szCs w:val="26"/>
          <w:lang w:eastAsia="en-US"/>
        </w:rPr>
        <w:t xml:space="preserve">События года </w:t>
      </w:r>
    </w:p>
    <w:tbl>
      <w:tblPr>
        <w:tblW w:w="9923" w:type="dxa"/>
        <w:tblInd w:w="-289" w:type="dxa"/>
        <w:tblLayout w:type="fixed"/>
        <w:tblLook w:val="04A0" w:firstRow="1" w:lastRow="0" w:firstColumn="1" w:lastColumn="0" w:noHBand="0" w:noVBand="1"/>
      </w:tblPr>
      <w:tblGrid>
        <w:gridCol w:w="1554"/>
        <w:gridCol w:w="8369"/>
      </w:tblGrid>
      <w:tr w:rsidR="002449C2" w14:paraId="7931AB24" w14:textId="77777777">
        <w:tc>
          <w:tcPr>
            <w:tcW w:w="1554" w:type="dxa"/>
            <w:tcBorders>
              <w:top w:val="single" w:sz="4" w:space="0" w:color="000000"/>
              <w:left w:val="single" w:sz="4" w:space="0" w:color="000000"/>
              <w:bottom w:val="single" w:sz="4" w:space="0" w:color="000000"/>
              <w:right w:val="single" w:sz="4" w:space="0" w:color="000000"/>
            </w:tcBorders>
          </w:tcPr>
          <w:p w14:paraId="00FB796D"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15 января</w:t>
            </w:r>
          </w:p>
        </w:tc>
        <w:tc>
          <w:tcPr>
            <w:tcW w:w="8368" w:type="dxa"/>
            <w:tcBorders>
              <w:top w:val="single" w:sz="4" w:space="0" w:color="000000"/>
              <w:left w:val="single" w:sz="4" w:space="0" w:color="000000"/>
              <w:bottom w:val="single" w:sz="4" w:space="0" w:color="000000"/>
              <w:right w:val="single" w:sz="4" w:space="0" w:color="000000"/>
            </w:tcBorders>
          </w:tcPr>
          <w:p w14:paraId="4A6E0138"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Специалисты «Россети Юг» – «Астраханьэнерго» увеличили мощность электроснабжения с 250 до 400 кВА уникального предприятия в Черноярском районе Астраханской области по добыче минерального сырья. Проведенная работа позволит заводу подключить новое энергоемкое оборудование и нарастить производство.</w:t>
            </w:r>
          </w:p>
        </w:tc>
      </w:tr>
      <w:tr w:rsidR="002449C2" w14:paraId="37B2FFFB" w14:textId="77777777">
        <w:tc>
          <w:tcPr>
            <w:tcW w:w="1554" w:type="dxa"/>
            <w:tcBorders>
              <w:top w:val="single" w:sz="4" w:space="0" w:color="000000"/>
              <w:left w:val="single" w:sz="4" w:space="0" w:color="000000"/>
              <w:bottom w:val="single" w:sz="4" w:space="0" w:color="000000"/>
              <w:right w:val="single" w:sz="4" w:space="0" w:color="000000"/>
            </w:tcBorders>
          </w:tcPr>
          <w:p w14:paraId="017F7BAB"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14 февраля</w:t>
            </w:r>
          </w:p>
        </w:tc>
        <w:tc>
          <w:tcPr>
            <w:tcW w:w="8368" w:type="dxa"/>
            <w:tcBorders>
              <w:top w:val="single" w:sz="4" w:space="0" w:color="000000"/>
              <w:left w:val="single" w:sz="4" w:space="0" w:color="000000"/>
              <w:bottom w:val="single" w:sz="4" w:space="0" w:color="000000"/>
              <w:right w:val="single" w:sz="4" w:space="0" w:color="000000"/>
            </w:tcBorders>
          </w:tcPr>
          <w:p w14:paraId="12B7FEB4"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«Россети Юг» восстановили работу всех центров питания в пострадавших от ледяного шторма районах Ростовской области. Всего в работах было задействовано 102 бригады, включая энергетиков из соседних регионов: 378 специалистов, 138 единиц спецтехники.</w:t>
            </w:r>
          </w:p>
        </w:tc>
      </w:tr>
      <w:tr w:rsidR="002449C2" w14:paraId="2FC82B93" w14:textId="77777777">
        <w:tc>
          <w:tcPr>
            <w:tcW w:w="1554" w:type="dxa"/>
            <w:tcBorders>
              <w:top w:val="single" w:sz="4" w:space="0" w:color="000000"/>
              <w:left w:val="single" w:sz="4" w:space="0" w:color="000000"/>
              <w:bottom w:val="single" w:sz="4" w:space="0" w:color="000000"/>
              <w:right w:val="single" w:sz="4" w:space="0" w:color="000000"/>
            </w:tcBorders>
          </w:tcPr>
          <w:p w14:paraId="69131530"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20 февраля</w:t>
            </w:r>
          </w:p>
        </w:tc>
        <w:tc>
          <w:tcPr>
            <w:tcW w:w="8368" w:type="dxa"/>
            <w:tcBorders>
              <w:top w:val="single" w:sz="4" w:space="0" w:color="000000"/>
              <w:left w:val="single" w:sz="4" w:space="0" w:color="000000"/>
              <w:bottom w:val="single" w:sz="4" w:space="0" w:color="000000"/>
              <w:right w:val="single" w:sz="4" w:space="0" w:color="000000"/>
            </w:tcBorders>
          </w:tcPr>
          <w:p w14:paraId="1C20C23C"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В январе 2024 года «Россети Юг» предоставили новым потребителям 35 МВт мощности, что в 2,6 раза превышает показатель аналогичного периода прошлого года. Компания исполнила более 770 договоров технологического присоединения к электрическим сетям.</w:t>
            </w:r>
          </w:p>
        </w:tc>
      </w:tr>
      <w:tr w:rsidR="002449C2" w14:paraId="26C804C8" w14:textId="77777777">
        <w:trPr>
          <w:trHeight w:val="1305"/>
        </w:trPr>
        <w:tc>
          <w:tcPr>
            <w:tcW w:w="1554" w:type="dxa"/>
            <w:tcBorders>
              <w:top w:val="single" w:sz="4" w:space="0" w:color="000000"/>
              <w:left w:val="single" w:sz="4" w:space="0" w:color="000000"/>
              <w:bottom w:val="single" w:sz="4" w:space="0" w:color="000000"/>
              <w:right w:val="single" w:sz="4" w:space="0" w:color="000000"/>
            </w:tcBorders>
          </w:tcPr>
          <w:p w14:paraId="2D3C6D96"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3 мая</w:t>
            </w:r>
          </w:p>
        </w:tc>
        <w:tc>
          <w:tcPr>
            <w:tcW w:w="8368" w:type="dxa"/>
            <w:tcBorders>
              <w:top w:val="single" w:sz="4" w:space="0" w:color="000000"/>
              <w:left w:val="single" w:sz="4" w:space="0" w:color="000000"/>
              <w:bottom w:val="single" w:sz="4" w:space="0" w:color="000000"/>
              <w:right w:val="single" w:sz="4" w:space="0" w:color="000000"/>
            </w:tcBorders>
          </w:tcPr>
          <w:p w14:paraId="0244DC67"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Специалисты по охране труда Астраханской области переняли опыт у коллег «Россети Юг». Заседание Клуба специалистов по охране труда Астраханской области, созданного при поддержке Федерации независимых профсоюзов России, собрало 30 экспертов из 16 ключевых предприятий области. Встреча была приурочена ко всемирному Дню охраны труда.</w:t>
            </w:r>
          </w:p>
        </w:tc>
      </w:tr>
      <w:tr w:rsidR="002449C2" w14:paraId="2CAB9AFF" w14:textId="77777777">
        <w:tc>
          <w:tcPr>
            <w:tcW w:w="1554" w:type="dxa"/>
            <w:tcBorders>
              <w:top w:val="single" w:sz="4" w:space="0" w:color="000000"/>
              <w:left w:val="single" w:sz="4" w:space="0" w:color="000000"/>
              <w:bottom w:val="single" w:sz="4" w:space="0" w:color="000000"/>
              <w:right w:val="single" w:sz="4" w:space="0" w:color="000000"/>
            </w:tcBorders>
          </w:tcPr>
          <w:p w14:paraId="626C2A53"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14 мая</w:t>
            </w:r>
          </w:p>
        </w:tc>
        <w:tc>
          <w:tcPr>
            <w:tcW w:w="8368" w:type="dxa"/>
            <w:tcBorders>
              <w:top w:val="single" w:sz="4" w:space="0" w:color="000000"/>
              <w:left w:val="single" w:sz="4" w:space="0" w:color="000000"/>
              <w:bottom w:val="single" w:sz="4" w:space="0" w:color="000000"/>
              <w:right w:val="single" w:sz="4" w:space="0" w:color="000000"/>
            </w:tcBorders>
          </w:tcPr>
          <w:p w14:paraId="6AA08F70" w14:textId="77777777" w:rsidR="002449C2" w:rsidRDefault="00123961">
            <w:pPr>
              <w:spacing w:after="0" w:line="240" w:lineRule="auto"/>
              <w:jc w:val="both"/>
              <w:rPr>
                <w:rFonts w:ascii="Times New Roman" w:hAnsi="Times New Roman"/>
                <w:sz w:val="24"/>
                <w:szCs w:val="24"/>
                <w:lang w:eastAsia="en-US"/>
              </w:rPr>
            </w:pPr>
            <w:r>
              <w:rPr>
                <w:rFonts w:ascii="Times New Roman" w:hAnsi="Times New Roman"/>
                <w:sz w:val="24"/>
                <w:szCs w:val="24"/>
                <w:lang w:eastAsia="en-US"/>
              </w:rPr>
              <w:t>Специалисты филиала «Россети Юг» – «Волгоградэнерго» установили порядка 160 устройств для защиты птиц на воздушной линии электропередачи 10 кВ, проходящей по территории природного парка «Цимлянские пески».</w:t>
            </w:r>
          </w:p>
        </w:tc>
      </w:tr>
      <w:tr w:rsidR="002449C2" w14:paraId="45607E0A" w14:textId="77777777">
        <w:tc>
          <w:tcPr>
            <w:tcW w:w="1554" w:type="dxa"/>
            <w:tcBorders>
              <w:top w:val="single" w:sz="4" w:space="0" w:color="000000"/>
              <w:left w:val="single" w:sz="4" w:space="0" w:color="000000"/>
              <w:bottom w:val="single" w:sz="4" w:space="0" w:color="000000"/>
              <w:right w:val="single" w:sz="4" w:space="0" w:color="000000"/>
            </w:tcBorders>
          </w:tcPr>
          <w:p w14:paraId="4E660446"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20 мая</w:t>
            </w:r>
          </w:p>
        </w:tc>
        <w:tc>
          <w:tcPr>
            <w:tcW w:w="8368" w:type="dxa"/>
            <w:tcBorders>
              <w:top w:val="single" w:sz="4" w:space="0" w:color="000000"/>
              <w:left w:val="single" w:sz="4" w:space="0" w:color="000000"/>
              <w:bottom w:val="single" w:sz="4" w:space="0" w:color="000000"/>
              <w:right w:val="single" w:sz="4" w:space="0" w:color="000000"/>
            </w:tcBorders>
          </w:tcPr>
          <w:p w14:paraId="3ABED0E4" w14:textId="77777777" w:rsidR="002449C2" w:rsidRDefault="00123961">
            <w:pPr>
              <w:spacing w:after="0" w:line="240" w:lineRule="auto"/>
              <w:jc w:val="both"/>
              <w:rPr>
                <w:rFonts w:ascii="Times New Roman" w:hAnsi="Times New Roman"/>
                <w:sz w:val="24"/>
                <w:szCs w:val="24"/>
                <w:lang w:eastAsia="en-US"/>
              </w:rPr>
            </w:pPr>
            <w:r>
              <w:rPr>
                <w:rFonts w:ascii="Times New Roman" w:hAnsi="Times New Roman"/>
                <w:sz w:val="24"/>
                <w:szCs w:val="24"/>
                <w:lang w:eastAsia="en-US"/>
              </w:rPr>
              <w:t>«Россети Юг» завершили I этап проекта по обеспечению электроснабжения Багаевского гидроузла в Ростовской области.</w:t>
            </w:r>
          </w:p>
        </w:tc>
      </w:tr>
      <w:tr w:rsidR="002449C2" w14:paraId="4E201DB4" w14:textId="77777777">
        <w:tc>
          <w:tcPr>
            <w:tcW w:w="1554" w:type="dxa"/>
            <w:tcBorders>
              <w:top w:val="single" w:sz="4" w:space="0" w:color="000000"/>
              <w:left w:val="single" w:sz="4" w:space="0" w:color="000000"/>
              <w:bottom w:val="single" w:sz="4" w:space="0" w:color="000000"/>
              <w:right w:val="single" w:sz="4" w:space="0" w:color="000000"/>
            </w:tcBorders>
          </w:tcPr>
          <w:p w14:paraId="21D01CDA"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23 мая</w:t>
            </w:r>
          </w:p>
        </w:tc>
        <w:tc>
          <w:tcPr>
            <w:tcW w:w="8368" w:type="dxa"/>
            <w:tcBorders>
              <w:top w:val="single" w:sz="4" w:space="0" w:color="000000"/>
              <w:left w:val="single" w:sz="4" w:space="0" w:color="000000"/>
              <w:bottom w:val="single" w:sz="4" w:space="0" w:color="000000"/>
              <w:right w:val="single" w:sz="4" w:space="0" w:color="000000"/>
            </w:tcBorders>
          </w:tcPr>
          <w:p w14:paraId="47EF9B28" w14:textId="77777777" w:rsidR="002449C2" w:rsidRDefault="00123961">
            <w:pPr>
              <w:spacing w:after="0" w:line="240" w:lineRule="auto"/>
              <w:jc w:val="both"/>
              <w:rPr>
                <w:rFonts w:ascii="Times New Roman" w:hAnsi="Times New Roman"/>
                <w:sz w:val="24"/>
                <w:szCs w:val="24"/>
                <w:lang w:eastAsia="en-US"/>
              </w:rPr>
            </w:pPr>
            <w:r>
              <w:rPr>
                <w:rFonts w:ascii="Times New Roman" w:hAnsi="Times New Roman"/>
                <w:sz w:val="24"/>
                <w:szCs w:val="24"/>
                <w:lang w:eastAsia="en-US"/>
              </w:rPr>
              <w:t>В с. Дивноморское Краснодарского края подвели итоги Открытой спартакиады энергетиков юга, в которой приняли участие команды компаний «Россети Юг» и «Россети Кубань».</w:t>
            </w:r>
          </w:p>
        </w:tc>
      </w:tr>
      <w:tr w:rsidR="002449C2" w14:paraId="3968CE4D" w14:textId="77777777">
        <w:tc>
          <w:tcPr>
            <w:tcW w:w="1554" w:type="dxa"/>
            <w:tcBorders>
              <w:top w:val="single" w:sz="4" w:space="0" w:color="000000"/>
              <w:left w:val="single" w:sz="4" w:space="0" w:color="000000"/>
              <w:bottom w:val="single" w:sz="4" w:space="0" w:color="000000"/>
              <w:right w:val="single" w:sz="4" w:space="0" w:color="000000"/>
            </w:tcBorders>
          </w:tcPr>
          <w:p w14:paraId="412069DE"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31 мая</w:t>
            </w:r>
          </w:p>
        </w:tc>
        <w:tc>
          <w:tcPr>
            <w:tcW w:w="8368" w:type="dxa"/>
            <w:tcBorders>
              <w:top w:val="single" w:sz="4" w:space="0" w:color="000000"/>
              <w:left w:val="single" w:sz="4" w:space="0" w:color="000000"/>
              <w:bottom w:val="single" w:sz="4" w:space="0" w:color="000000"/>
              <w:right w:val="single" w:sz="4" w:space="0" w:color="000000"/>
            </w:tcBorders>
          </w:tcPr>
          <w:p w14:paraId="138A3D92" w14:textId="77777777" w:rsidR="002449C2" w:rsidRDefault="00123961">
            <w:pPr>
              <w:spacing w:after="0" w:line="240" w:lineRule="auto"/>
              <w:jc w:val="both"/>
              <w:rPr>
                <w:rFonts w:ascii="Times New Roman" w:hAnsi="Times New Roman"/>
                <w:sz w:val="24"/>
                <w:szCs w:val="24"/>
                <w:lang w:eastAsia="en-US"/>
              </w:rPr>
            </w:pPr>
            <w:r>
              <w:rPr>
                <w:rFonts w:ascii="Times New Roman" w:hAnsi="Times New Roman"/>
                <w:sz w:val="24"/>
                <w:szCs w:val="24"/>
                <w:lang w:eastAsia="en-US"/>
              </w:rPr>
              <w:t>29-31 мая в с. Дивноморское Краснодарского края прошла XXVII Всероссийская научно-техническая конференция, которая объединила 150 участников, включая энергетиков «Россети Юг» и почти 50 отечественных фирм-производителей.</w:t>
            </w:r>
          </w:p>
        </w:tc>
      </w:tr>
      <w:tr w:rsidR="002449C2" w14:paraId="0FDA3C9A" w14:textId="77777777">
        <w:tc>
          <w:tcPr>
            <w:tcW w:w="1554" w:type="dxa"/>
            <w:tcBorders>
              <w:top w:val="single" w:sz="4" w:space="0" w:color="000000"/>
              <w:left w:val="single" w:sz="4" w:space="0" w:color="000000"/>
              <w:bottom w:val="single" w:sz="4" w:space="0" w:color="000000"/>
              <w:right w:val="single" w:sz="4" w:space="0" w:color="000000"/>
            </w:tcBorders>
          </w:tcPr>
          <w:p w14:paraId="04BF25A9"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3 июня</w:t>
            </w:r>
          </w:p>
        </w:tc>
        <w:tc>
          <w:tcPr>
            <w:tcW w:w="8368" w:type="dxa"/>
            <w:tcBorders>
              <w:top w:val="single" w:sz="4" w:space="0" w:color="000000"/>
              <w:left w:val="single" w:sz="4" w:space="0" w:color="000000"/>
              <w:bottom w:val="single" w:sz="4" w:space="0" w:color="000000"/>
              <w:right w:val="single" w:sz="4" w:space="0" w:color="000000"/>
            </w:tcBorders>
          </w:tcPr>
          <w:p w14:paraId="34147506"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Специалисты филиала «Россети Юг» – «Волгоградэнерго» завершили капитальный ремонт воздушной линии электропередачи 110 кВ «Суровикино-220 – Суворовская» протяженностью около 80 км, которая обеспечивает электроэнергией 40 тыс. жителей Суровикинского района.</w:t>
            </w:r>
          </w:p>
        </w:tc>
      </w:tr>
      <w:tr w:rsidR="002449C2" w14:paraId="38C4ECBC" w14:textId="77777777">
        <w:tc>
          <w:tcPr>
            <w:tcW w:w="1554" w:type="dxa"/>
            <w:tcBorders>
              <w:top w:val="single" w:sz="4" w:space="0" w:color="000000"/>
              <w:left w:val="single" w:sz="4" w:space="0" w:color="000000"/>
              <w:bottom w:val="single" w:sz="4" w:space="0" w:color="000000"/>
              <w:right w:val="single" w:sz="4" w:space="0" w:color="000000"/>
            </w:tcBorders>
          </w:tcPr>
          <w:p w14:paraId="4253961E"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5 июня</w:t>
            </w:r>
          </w:p>
        </w:tc>
        <w:tc>
          <w:tcPr>
            <w:tcW w:w="8368" w:type="dxa"/>
            <w:tcBorders>
              <w:top w:val="single" w:sz="4" w:space="0" w:color="000000"/>
              <w:left w:val="single" w:sz="4" w:space="0" w:color="000000"/>
              <w:bottom w:val="single" w:sz="4" w:space="0" w:color="000000"/>
              <w:right w:val="single" w:sz="4" w:space="0" w:color="000000"/>
            </w:tcBorders>
          </w:tcPr>
          <w:p w14:paraId="1BB2E341"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Специалисты компании «Россети Юг» – «Волгоградэнерго» подключили к сетям новую школу в Дзержинском районе Волгограда. Учреждение построено в рамках национального проекта «Образование».</w:t>
            </w:r>
          </w:p>
        </w:tc>
      </w:tr>
      <w:tr w:rsidR="002449C2" w14:paraId="72C828B1" w14:textId="77777777">
        <w:tc>
          <w:tcPr>
            <w:tcW w:w="1554" w:type="dxa"/>
            <w:tcBorders>
              <w:top w:val="single" w:sz="4" w:space="0" w:color="000000"/>
              <w:left w:val="single" w:sz="4" w:space="0" w:color="000000"/>
              <w:bottom w:val="single" w:sz="4" w:space="0" w:color="000000"/>
              <w:right w:val="single" w:sz="4" w:space="0" w:color="000000"/>
            </w:tcBorders>
          </w:tcPr>
          <w:p w14:paraId="75BAC402"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20 июня</w:t>
            </w:r>
          </w:p>
        </w:tc>
        <w:tc>
          <w:tcPr>
            <w:tcW w:w="8368" w:type="dxa"/>
            <w:tcBorders>
              <w:top w:val="single" w:sz="4" w:space="0" w:color="000000"/>
              <w:left w:val="single" w:sz="4" w:space="0" w:color="000000"/>
              <w:bottom w:val="single" w:sz="4" w:space="0" w:color="000000"/>
              <w:right w:val="single" w:sz="4" w:space="0" w:color="000000"/>
            </w:tcBorders>
          </w:tcPr>
          <w:p w14:paraId="18FE6728" w14:textId="77777777" w:rsidR="002449C2" w:rsidRDefault="00123961">
            <w:pPr>
              <w:spacing w:after="0" w:line="240" w:lineRule="auto"/>
              <w:jc w:val="both"/>
              <w:rPr>
                <w:rFonts w:ascii="Times New Roman" w:hAnsi="Times New Roman"/>
                <w:sz w:val="24"/>
                <w:szCs w:val="24"/>
                <w:lang w:eastAsia="en-US"/>
              </w:rPr>
            </w:pPr>
            <w:r>
              <w:rPr>
                <w:rFonts w:ascii="Times New Roman" w:hAnsi="Times New Roman"/>
                <w:sz w:val="24"/>
                <w:szCs w:val="24"/>
                <w:lang w:eastAsia="en-US"/>
              </w:rPr>
              <w:t>В рамках реконструкции подстанции 35 кВ «Началово» специалисты филиала «Россети Юг» – «Астраханьэнерго» установили новый трансформатор мощностью 16 МВА.</w:t>
            </w:r>
          </w:p>
        </w:tc>
      </w:tr>
      <w:tr w:rsidR="002449C2" w14:paraId="6DEBFC02" w14:textId="77777777">
        <w:tc>
          <w:tcPr>
            <w:tcW w:w="1554" w:type="dxa"/>
            <w:tcBorders>
              <w:top w:val="single" w:sz="4" w:space="0" w:color="000000"/>
              <w:left w:val="single" w:sz="4" w:space="0" w:color="000000"/>
              <w:bottom w:val="single" w:sz="4" w:space="0" w:color="000000"/>
              <w:right w:val="single" w:sz="4" w:space="0" w:color="000000"/>
            </w:tcBorders>
          </w:tcPr>
          <w:p w14:paraId="03CE133A"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08 июля</w:t>
            </w:r>
          </w:p>
        </w:tc>
        <w:tc>
          <w:tcPr>
            <w:tcW w:w="8368" w:type="dxa"/>
            <w:tcBorders>
              <w:top w:val="single" w:sz="4" w:space="0" w:color="000000"/>
              <w:left w:val="single" w:sz="4" w:space="0" w:color="000000"/>
              <w:bottom w:val="single" w:sz="4" w:space="0" w:color="000000"/>
              <w:right w:val="single" w:sz="4" w:space="0" w:color="000000"/>
            </w:tcBorders>
          </w:tcPr>
          <w:p w14:paraId="13C4548A"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Энергетики филиала «Россети Юг» – «Астраханьэнерго» обеспечили электроснабжение строящегося гостинично-туристического комплекса в Камызякском районе Астраханской области – крупнейшего в регионе.</w:t>
            </w:r>
          </w:p>
        </w:tc>
      </w:tr>
      <w:tr w:rsidR="002449C2" w14:paraId="30E32425" w14:textId="77777777">
        <w:tc>
          <w:tcPr>
            <w:tcW w:w="1554" w:type="dxa"/>
            <w:tcBorders>
              <w:top w:val="single" w:sz="4" w:space="0" w:color="000000"/>
              <w:left w:val="single" w:sz="4" w:space="0" w:color="000000"/>
              <w:bottom w:val="single" w:sz="4" w:space="0" w:color="000000"/>
              <w:right w:val="single" w:sz="4" w:space="0" w:color="000000"/>
            </w:tcBorders>
          </w:tcPr>
          <w:p w14:paraId="112FDCAE"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12 июля</w:t>
            </w:r>
          </w:p>
        </w:tc>
        <w:tc>
          <w:tcPr>
            <w:tcW w:w="8368" w:type="dxa"/>
            <w:tcBorders>
              <w:top w:val="single" w:sz="4" w:space="0" w:color="000000"/>
              <w:left w:val="single" w:sz="4" w:space="0" w:color="000000"/>
              <w:bottom w:val="single" w:sz="4" w:space="0" w:color="000000"/>
              <w:right w:val="single" w:sz="4" w:space="0" w:color="000000"/>
            </w:tcBorders>
          </w:tcPr>
          <w:p w14:paraId="7431ADBD"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Специалисты «Россети Юг» – «Волгоградэнерго» завершили ремонт на подстанции 35 кВ, обеспечивающей электроэнергией часть промзоны г. Волжского Волгоградской области.</w:t>
            </w:r>
            <w:r>
              <w:rPr>
                <w:rFonts w:ascii="Times New Roman" w:hAnsi="Times New Roman"/>
                <w:sz w:val="24"/>
                <w:szCs w:val="24"/>
                <w:lang w:eastAsia="en-US"/>
              </w:rPr>
              <w:br w:type="textWrapping" w:clear="all"/>
              <w:t>От стабильной работы энергообъекта зависит надежное электроснабжение судостроительного-судоремонтного завода, а также нескольких крупных гипермаркетов города-спутника.</w:t>
            </w:r>
          </w:p>
        </w:tc>
      </w:tr>
      <w:tr w:rsidR="002449C2" w14:paraId="74547A07" w14:textId="77777777">
        <w:tc>
          <w:tcPr>
            <w:tcW w:w="1554" w:type="dxa"/>
            <w:tcBorders>
              <w:top w:val="single" w:sz="4" w:space="0" w:color="000000"/>
              <w:left w:val="single" w:sz="4" w:space="0" w:color="000000"/>
              <w:bottom w:val="single" w:sz="4" w:space="0" w:color="000000"/>
              <w:right w:val="single" w:sz="4" w:space="0" w:color="000000"/>
            </w:tcBorders>
          </w:tcPr>
          <w:p w14:paraId="14EE7C48"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15 июля</w:t>
            </w:r>
          </w:p>
        </w:tc>
        <w:tc>
          <w:tcPr>
            <w:tcW w:w="8368" w:type="dxa"/>
            <w:tcBorders>
              <w:top w:val="single" w:sz="4" w:space="0" w:color="000000"/>
              <w:left w:val="single" w:sz="4" w:space="0" w:color="000000"/>
              <w:bottom w:val="single" w:sz="4" w:space="0" w:color="000000"/>
              <w:right w:val="single" w:sz="4" w:space="0" w:color="000000"/>
            </w:tcBorders>
          </w:tcPr>
          <w:p w14:paraId="1C228BA8"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«Россети Юг» в первом полугодии 2024 года исполнили почти 7,6 тыс. договоров на технологическое присоединение к электрическим сетям, что на 4,3 % превышает показатель аналогичного периода прошлого года. Компания предоставила новым потребителям 209 МВт мощности.</w:t>
            </w:r>
          </w:p>
        </w:tc>
      </w:tr>
      <w:tr w:rsidR="002449C2" w14:paraId="661D90EB" w14:textId="77777777">
        <w:tc>
          <w:tcPr>
            <w:tcW w:w="1554" w:type="dxa"/>
            <w:tcBorders>
              <w:top w:val="single" w:sz="4" w:space="0" w:color="000000"/>
              <w:left w:val="single" w:sz="4" w:space="0" w:color="000000"/>
              <w:bottom w:val="single" w:sz="4" w:space="0" w:color="000000"/>
              <w:right w:val="single" w:sz="4" w:space="0" w:color="000000"/>
            </w:tcBorders>
          </w:tcPr>
          <w:p w14:paraId="67DA621D"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18 июля</w:t>
            </w:r>
          </w:p>
        </w:tc>
        <w:tc>
          <w:tcPr>
            <w:tcW w:w="8368" w:type="dxa"/>
            <w:tcBorders>
              <w:top w:val="single" w:sz="4" w:space="0" w:color="000000"/>
              <w:left w:val="single" w:sz="4" w:space="0" w:color="000000"/>
              <w:bottom w:val="single" w:sz="4" w:space="0" w:color="000000"/>
              <w:right w:val="single" w:sz="4" w:space="0" w:color="000000"/>
            </w:tcBorders>
          </w:tcPr>
          <w:p w14:paraId="3FF2F13D"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Филиал «Россети Юг» – «Волгоградэнерго» предоставил дополнительную мощность предприятию GRASS – одному из крупнейших в России производителей автохимии, автокосметики и моющих средств. Объем выданной предприятию мощности составил 2,5 МВт. Дополнительные энергомощности позволят обеспечить бесперебойную работу новых разливочных линий, цеха по производству тары, автоматизированного склада готовой продукции.</w:t>
            </w:r>
          </w:p>
        </w:tc>
      </w:tr>
      <w:tr w:rsidR="002449C2" w14:paraId="7EE5B29D" w14:textId="77777777">
        <w:tc>
          <w:tcPr>
            <w:tcW w:w="1554" w:type="dxa"/>
            <w:tcBorders>
              <w:top w:val="single" w:sz="4" w:space="0" w:color="000000"/>
              <w:left w:val="single" w:sz="4" w:space="0" w:color="000000"/>
              <w:bottom w:val="single" w:sz="4" w:space="0" w:color="000000"/>
              <w:right w:val="single" w:sz="4" w:space="0" w:color="000000"/>
            </w:tcBorders>
          </w:tcPr>
          <w:p w14:paraId="174D6675"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30 июля</w:t>
            </w:r>
          </w:p>
        </w:tc>
        <w:tc>
          <w:tcPr>
            <w:tcW w:w="8368" w:type="dxa"/>
            <w:tcBorders>
              <w:top w:val="single" w:sz="4" w:space="0" w:color="000000"/>
              <w:left w:val="single" w:sz="4" w:space="0" w:color="000000"/>
              <w:bottom w:val="single" w:sz="4" w:space="0" w:color="000000"/>
              <w:right w:val="single" w:sz="4" w:space="0" w:color="000000"/>
            </w:tcBorders>
          </w:tcPr>
          <w:p w14:paraId="0F605D3D"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Специалисты филиала «Россети Юг» – «Астраханьэнерго» установили системы уличного освещения переходов, расположенных рядом со школами и детскими садами в Володарском районе Астраханской области.</w:t>
            </w:r>
          </w:p>
        </w:tc>
      </w:tr>
      <w:tr w:rsidR="002449C2" w14:paraId="5812A730" w14:textId="77777777">
        <w:tc>
          <w:tcPr>
            <w:tcW w:w="1554" w:type="dxa"/>
            <w:tcBorders>
              <w:top w:val="single" w:sz="4" w:space="0" w:color="000000"/>
              <w:left w:val="single" w:sz="4" w:space="0" w:color="000000"/>
              <w:bottom w:val="single" w:sz="4" w:space="0" w:color="000000"/>
              <w:right w:val="single" w:sz="4" w:space="0" w:color="000000"/>
            </w:tcBorders>
          </w:tcPr>
          <w:p w14:paraId="4D023FD9"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2 августа</w:t>
            </w:r>
          </w:p>
        </w:tc>
        <w:tc>
          <w:tcPr>
            <w:tcW w:w="8368" w:type="dxa"/>
            <w:tcBorders>
              <w:top w:val="single" w:sz="4" w:space="0" w:color="000000"/>
              <w:left w:val="single" w:sz="4" w:space="0" w:color="000000"/>
              <w:bottom w:val="single" w:sz="4" w:space="0" w:color="000000"/>
              <w:right w:val="single" w:sz="4" w:space="0" w:color="000000"/>
            </w:tcBorders>
          </w:tcPr>
          <w:p w14:paraId="6A5849C3"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В результате финансово-хозяйственной деятельности компания «Россети Юг» в январе-июне 2024 года перечислила в бюджеты всех уровней и внебюджетные фонды 4,5 млрд рублей, что на 17,6 % превысило показатель аналогичного периода прошлого года.</w:t>
            </w:r>
          </w:p>
        </w:tc>
      </w:tr>
      <w:tr w:rsidR="002449C2" w14:paraId="6C28FBF8" w14:textId="77777777">
        <w:tc>
          <w:tcPr>
            <w:tcW w:w="1554" w:type="dxa"/>
            <w:tcBorders>
              <w:top w:val="single" w:sz="4" w:space="0" w:color="000000"/>
              <w:left w:val="single" w:sz="4" w:space="0" w:color="000000"/>
              <w:bottom w:val="single" w:sz="4" w:space="0" w:color="000000"/>
              <w:right w:val="single" w:sz="4" w:space="0" w:color="000000"/>
            </w:tcBorders>
          </w:tcPr>
          <w:p w14:paraId="5EA4C51C"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5 августа</w:t>
            </w:r>
          </w:p>
        </w:tc>
        <w:tc>
          <w:tcPr>
            <w:tcW w:w="8368" w:type="dxa"/>
            <w:tcBorders>
              <w:top w:val="single" w:sz="4" w:space="0" w:color="000000"/>
              <w:left w:val="single" w:sz="4" w:space="0" w:color="000000"/>
              <w:bottom w:val="single" w:sz="4" w:space="0" w:color="000000"/>
              <w:right w:val="single" w:sz="4" w:space="0" w:color="000000"/>
            </w:tcBorders>
          </w:tcPr>
          <w:p w14:paraId="722AB9DB"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Министерство энергетики России продлило ПАО «Россети Юг» статус гарантирующего поставщика электроэнергии на территории Республики Калмыкия, за исключением зоны «город Элиста». Приказ вступил в силу с 1 августа 2024 года и до даты присвоения статуса гарантирующего поставщика победителю конкурса, но не более чем на 12 месяцев.</w:t>
            </w:r>
          </w:p>
        </w:tc>
      </w:tr>
      <w:tr w:rsidR="002449C2" w14:paraId="4A57E20C" w14:textId="77777777">
        <w:tc>
          <w:tcPr>
            <w:tcW w:w="1554" w:type="dxa"/>
            <w:tcBorders>
              <w:top w:val="single" w:sz="4" w:space="0" w:color="000000"/>
              <w:left w:val="single" w:sz="4" w:space="0" w:color="000000"/>
              <w:bottom w:val="single" w:sz="4" w:space="0" w:color="000000"/>
              <w:right w:val="single" w:sz="4" w:space="0" w:color="000000"/>
            </w:tcBorders>
          </w:tcPr>
          <w:p w14:paraId="7B574B35"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7 августа</w:t>
            </w:r>
          </w:p>
        </w:tc>
        <w:tc>
          <w:tcPr>
            <w:tcW w:w="8368" w:type="dxa"/>
            <w:tcBorders>
              <w:top w:val="single" w:sz="4" w:space="0" w:color="000000"/>
              <w:left w:val="single" w:sz="4" w:space="0" w:color="000000"/>
              <w:bottom w:val="single" w:sz="4" w:space="0" w:color="000000"/>
              <w:right w:val="single" w:sz="4" w:space="0" w:color="000000"/>
            </w:tcBorders>
          </w:tcPr>
          <w:p w14:paraId="5EED22AB"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В январе-июне 2024 года в распределительные сети филиалов «Россети Юг» поступило более 1,7 млрд кВт*ч энергии из возобновляемых источников. В общей структуре отпуска в сеть доля «зелёной» энергетики составила 12,6 %.</w:t>
            </w:r>
          </w:p>
        </w:tc>
      </w:tr>
      <w:tr w:rsidR="002449C2" w14:paraId="0F497587" w14:textId="77777777">
        <w:tc>
          <w:tcPr>
            <w:tcW w:w="1554" w:type="dxa"/>
            <w:tcBorders>
              <w:top w:val="single" w:sz="4" w:space="0" w:color="000000"/>
              <w:left w:val="single" w:sz="4" w:space="0" w:color="000000"/>
              <w:bottom w:val="single" w:sz="4" w:space="0" w:color="000000"/>
              <w:right w:val="single" w:sz="4" w:space="0" w:color="000000"/>
            </w:tcBorders>
          </w:tcPr>
          <w:p w14:paraId="2887BDBA"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20 августа</w:t>
            </w:r>
          </w:p>
        </w:tc>
        <w:tc>
          <w:tcPr>
            <w:tcW w:w="8368" w:type="dxa"/>
            <w:tcBorders>
              <w:top w:val="single" w:sz="4" w:space="0" w:color="000000"/>
              <w:left w:val="single" w:sz="4" w:space="0" w:color="000000"/>
              <w:bottom w:val="single" w:sz="4" w:space="0" w:color="000000"/>
              <w:right w:val="single" w:sz="4" w:space="0" w:color="000000"/>
            </w:tcBorders>
          </w:tcPr>
          <w:p w14:paraId="7A865A77"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«Россети Юг» в I полугодии 2024 года направили на ремонт и техническое обслуживание энергообъектов в регионах присутствия 1,2 млрд рублей.</w:t>
            </w:r>
          </w:p>
        </w:tc>
      </w:tr>
      <w:tr w:rsidR="002449C2" w14:paraId="54A9B84E" w14:textId="77777777">
        <w:tc>
          <w:tcPr>
            <w:tcW w:w="1554" w:type="dxa"/>
            <w:tcBorders>
              <w:top w:val="single" w:sz="4" w:space="0" w:color="000000"/>
              <w:left w:val="single" w:sz="4" w:space="0" w:color="000000"/>
              <w:bottom w:val="single" w:sz="4" w:space="0" w:color="000000"/>
              <w:right w:val="single" w:sz="4" w:space="0" w:color="000000"/>
            </w:tcBorders>
          </w:tcPr>
          <w:p w14:paraId="102E7DE8"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30 сентября</w:t>
            </w:r>
          </w:p>
        </w:tc>
        <w:tc>
          <w:tcPr>
            <w:tcW w:w="8368" w:type="dxa"/>
            <w:tcBorders>
              <w:top w:val="single" w:sz="4" w:space="0" w:color="000000"/>
              <w:left w:val="single" w:sz="4" w:space="0" w:color="000000"/>
              <w:bottom w:val="single" w:sz="4" w:space="0" w:color="000000"/>
              <w:right w:val="single" w:sz="4" w:space="0" w:color="000000"/>
            </w:tcBorders>
          </w:tcPr>
          <w:p w14:paraId="62A0FA28"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Компания «Россети Юг» в регионах своей ответственности (Ростовская Волгоградская, Астраханская области и Республика Калмыкия) определена главами регионов </w:t>
            </w:r>
            <w:hyperlink r:id="rId30" w:tooltip="http://publication.pravo.gov.ru/document/0001202407130009">
              <w:r>
                <w:rPr>
                  <w:rFonts w:ascii="Times New Roman" w:hAnsi="Times New Roman"/>
                  <w:sz w:val="24"/>
                  <w:szCs w:val="24"/>
                  <w:lang w:eastAsia="en-US"/>
                </w:rPr>
                <w:t>системообразующей территориальной сетевой организацией (СТСО)</w:t>
              </w:r>
            </w:hyperlink>
            <w:r>
              <w:rPr>
                <w:rFonts w:ascii="Times New Roman" w:hAnsi="Times New Roman"/>
                <w:sz w:val="24"/>
                <w:szCs w:val="24"/>
                <w:lang w:eastAsia="en-US"/>
              </w:rPr>
              <w:t>.Такой статус позволит «Россети Юг» эффективно проводить единую техническую и эксплуатационную политику, синхронизировать внедрение отраслевых технологий и оборудования в регионах присутствия.</w:t>
            </w:r>
          </w:p>
        </w:tc>
      </w:tr>
      <w:tr w:rsidR="002449C2" w14:paraId="50570D2B" w14:textId="77777777">
        <w:tc>
          <w:tcPr>
            <w:tcW w:w="1554" w:type="dxa"/>
            <w:tcBorders>
              <w:top w:val="single" w:sz="4" w:space="0" w:color="000000"/>
              <w:left w:val="single" w:sz="4" w:space="0" w:color="000000"/>
              <w:bottom w:val="single" w:sz="4" w:space="0" w:color="000000"/>
              <w:right w:val="single" w:sz="4" w:space="0" w:color="000000"/>
            </w:tcBorders>
          </w:tcPr>
          <w:p w14:paraId="0E107822" w14:textId="77777777" w:rsidR="002449C2" w:rsidRDefault="00123961">
            <w:pPr>
              <w:spacing w:after="0" w:line="240" w:lineRule="auto"/>
            </w:pPr>
            <w:r>
              <w:rPr>
                <w:rFonts w:ascii="Times New Roman" w:hAnsi="Times New Roman"/>
                <w:sz w:val="24"/>
                <w:szCs w:val="24"/>
                <w:lang w:eastAsia="en-US"/>
              </w:rPr>
              <w:t>3 октября</w:t>
            </w:r>
          </w:p>
        </w:tc>
        <w:tc>
          <w:tcPr>
            <w:tcW w:w="8368" w:type="dxa"/>
            <w:tcBorders>
              <w:top w:val="single" w:sz="4" w:space="0" w:color="000000"/>
              <w:left w:val="single" w:sz="4" w:space="0" w:color="000000"/>
              <w:bottom w:val="single" w:sz="4" w:space="0" w:color="000000"/>
              <w:right w:val="single" w:sz="4" w:space="0" w:color="000000"/>
            </w:tcBorders>
          </w:tcPr>
          <w:p w14:paraId="28DD6421"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Специалисты филиала «Россети Юг» – «Волгоградэнерго» установили более 180 устройств для защиты птиц от воздействия тока на опорах линий электропередачи 10 кВ , проходящих по территории природных парков «Эльтонский» и «Щербаковский».</w:t>
            </w:r>
          </w:p>
        </w:tc>
      </w:tr>
      <w:tr w:rsidR="002449C2" w14:paraId="6F407840" w14:textId="77777777">
        <w:tc>
          <w:tcPr>
            <w:tcW w:w="1554" w:type="dxa"/>
            <w:tcBorders>
              <w:top w:val="single" w:sz="4" w:space="0" w:color="000000"/>
              <w:left w:val="single" w:sz="4" w:space="0" w:color="000000"/>
              <w:bottom w:val="single" w:sz="4" w:space="0" w:color="000000"/>
              <w:right w:val="single" w:sz="4" w:space="0" w:color="000000"/>
            </w:tcBorders>
          </w:tcPr>
          <w:p w14:paraId="36A119E4"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18 октября</w:t>
            </w:r>
          </w:p>
        </w:tc>
        <w:tc>
          <w:tcPr>
            <w:tcW w:w="8368" w:type="dxa"/>
          </w:tcPr>
          <w:p w14:paraId="5D6B0F8D" w14:textId="77777777" w:rsidR="002449C2" w:rsidRDefault="00123961">
            <w:pPr>
              <w:jc w:val="both"/>
              <w:rPr>
                <w:rFonts w:ascii="Times New Roman" w:hAnsi="Times New Roman"/>
                <w:sz w:val="24"/>
                <w:szCs w:val="24"/>
                <w:lang w:eastAsia="en-US"/>
              </w:rPr>
            </w:pPr>
            <w:r>
              <w:rPr>
                <w:rFonts w:ascii="Times New Roman" w:hAnsi="Times New Roman"/>
                <w:sz w:val="24"/>
                <w:szCs w:val="24"/>
                <w:lang w:eastAsia="en-US"/>
              </w:rPr>
              <w:t>Компания «Россети Юг» заняла III место среди электросетевых компаний России в </w:t>
            </w:r>
            <w:hyperlink r:id="rId31" w:tooltip="https://akmrating.ru/reyting_otvetstvennosty_pered_obshestvom/">
              <w:r>
                <w:rPr>
                  <w:rFonts w:ascii="Times New Roman" w:hAnsi="Times New Roman"/>
                  <w:sz w:val="24"/>
                  <w:szCs w:val="24"/>
                  <w:lang w:eastAsia="en-US"/>
                </w:rPr>
                <w:t>рейтинге ответственности перед обществом</w:t>
              </w:r>
            </w:hyperlink>
            <w:r>
              <w:rPr>
                <w:rFonts w:ascii="Times New Roman" w:hAnsi="Times New Roman"/>
                <w:sz w:val="24"/>
                <w:szCs w:val="24"/>
                <w:lang w:eastAsia="en-US"/>
              </w:rPr>
              <w:t>. Данные опубликовало рейтинговое агентство АК&amp;М по итогам 2023 года.</w:t>
            </w:r>
          </w:p>
        </w:tc>
      </w:tr>
      <w:tr w:rsidR="002449C2" w14:paraId="102C3D3C" w14:textId="77777777">
        <w:tc>
          <w:tcPr>
            <w:tcW w:w="1554" w:type="dxa"/>
            <w:tcBorders>
              <w:top w:val="single" w:sz="4" w:space="0" w:color="000000"/>
              <w:left w:val="single" w:sz="4" w:space="0" w:color="000000"/>
              <w:bottom w:val="single" w:sz="4" w:space="0" w:color="000000"/>
              <w:right w:val="single" w:sz="4" w:space="0" w:color="000000"/>
            </w:tcBorders>
          </w:tcPr>
          <w:p w14:paraId="17521BE6"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18 ноября</w:t>
            </w:r>
          </w:p>
        </w:tc>
        <w:tc>
          <w:tcPr>
            <w:tcW w:w="8368" w:type="dxa"/>
            <w:tcBorders>
              <w:top w:val="single" w:sz="4" w:space="0" w:color="000000"/>
              <w:left w:val="single" w:sz="4" w:space="0" w:color="000000"/>
              <w:bottom w:val="single" w:sz="4" w:space="0" w:color="000000"/>
              <w:right w:val="single" w:sz="4" w:space="0" w:color="000000"/>
            </w:tcBorders>
          </w:tcPr>
          <w:p w14:paraId="440508B7"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Компания «Россети Юг» – «Волгоградэнерго» выступила соорганизатором дискуссионной площадки межрегионального форума «ПРОМ-ЭНЕРГО-VOLGA'2024» в Волгограде. Тема мероприятия связана с введением института системообразующей территориальной сетевой организации  в энергетическом комплексе региона.</w:t>
            </w:r>
          </w:p>
        </w:tc>
      </w:tr>
      <w:tr w:rsidR="002449C2" w14:paraId="41228B8D" w14:textId="77777777">
        <w:tc>
          <w:tcPr>
            <w:tcW w:w="1554" w:type="dxa"/>
            <w:tcBorders>
              <w:top w:val="single" w:sz="4" w:space="0" w:color="000000"/>
              <w:left w:val="single" w:sz="4" w:space="0" w:color="000000"/>
              <w:bottom w:val="single" w:sz="4" w:space="0" w:color="000000"/>
              <w:right w:val="single" w:sz="4" w:space="0" w:color="000000"/>
            </w:tcBorders>
          </w:tcPr>
          <w:p w14:paraId="0C35D7BB"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18 ноября</w:t>
            </w:r>
          </w:p>
        </w:tc>
        <w:tc>
          <w:tcPr>
            <w:tcW w:w="8368" w:type="dxa"/>
            <w:tcBorders>
              <w:top w:val="single" w:sz="4" w:space="0" w:color="000000"/>
              <w:left w:val="single" w:sz="4" w:space="0" w:color="000000"/>
              <w:bottom w:val="single" w:sz="4" w:space="0" w:color="000000"/>
              <w:right w:val="single" w:sz="4" w:space="0" w:color="000000"/>
            </w:tcBorders>
          </w:tcPr>
          <w:p w14:paraId="08A1C581"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«Россети Юг» и «Грин Энерджи Рус» заключили сделку по купле-продаже «зеленых сертификатов» происхождения электроэнергии. Таким образом, «Россети Юг» стала единственной сетевой компанией Группы «Россети», зарегистрировавшейся в национальной системе энергосертификации – ООО «Центр энергосертификации».</w:t>
            </w:r>
          </w:p>
        </w:tc>
      </w:tr>
      <w:tr w:rsidR="002449C2" w14:paraId="3B818CFE" w14:textId="77777777">
        <w:tc>
          <w:tcPr>
            <w:tcW w:w="1554" w:type="dxa"/>
            <w:tcBorders>
              <w:top w:val="single" w:sz="4" w:space="0" w:color="000000"/>
              <w:left w:val="single" w:sz="4" w:space="0" w:color="000000"/>
              <w:bottom w:val="single" w:sz="4" w:space="0" w:color="000000"/>
              <w:right w:val="single" w:sz="4" w:space="0" w:color="000000"/>
            </w:tcBorders>
          </w:tcPr>
          <w:p w14:paraId="65508812"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24 декабря</w:t>
            </w:r>
          </w:p>
        </w:tc>
        <w:tc>
          <w:tcPr>
            <w:tcW w:w="8368" w:type="dxa"/>
            <w:tcBorders>
              <w:top w:val="single" w:sz="4" w:space="0" w:color="000000"/>
              <w:left w:val="single" w:sz="4" w:space="0" w:color="000000"/>
              <w:bottom w:val="single" w:sz="4" w:space="0" w:color="000000"/>
              <w:right w:val="single" w:sz="4" w:space="0" w:color="000000"/>
            </w:tcBorders>
          </w:tcPr>
          <w:p w14:paraId="5D81114D"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Специалисты филиала «Россети Юг» – «Астраханьэнерго» с опережением графика завершили реконструкцию подстанции «Началово» в Приволжском районе Астраханской области. Данный питающий центр обеспечивает электроэнергией более 30 тыс. жителей.</w:t>
            </w:r>
          </w:p>
        </w:tc>
      </w:tr>
      <w:tr w:rsidR="002449C2" w14:paraId="065A1070" w14:textId="77777777">
        <w:tc>
          <w:tcPr>
            <w:tcW w:w="1554" w:type="dxa"/>
            <w:tcBorders>
              <w:top w:val="single" w:sz="4" w:space="0" w:color="000000"/>
              <w:left w:val="single" w:sz="4" w:space="0" w:color="000000"/>
              <w:bottom w:val="single" w:sz="4" w:space="0" w:color="000000"/>
              <w:right w:val="single" w:sz="4" w:space="0" w:color="000000"/>
            </w:tcBorders>
          </w:tcPr>
          <w:p w14:paraId="740AB3D4"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28 декабря</w:t>
            </w:r>
          </w:p>
        </w:tc>
        <w:tc>
          <w:tcPr>
            <w:tcW w:w="8368" w:type="dxa"/>
            <w:tcBorders>
              <w:top w:val="single" w:sz="4" w:space="0" w:color="000000"/>
              <w:left w:val="single" w:sz="4" w:space="0" w:color="000000"/>
              <w:bottom w:val="single" w:sz="4" w:space="0" w:color="000000"/>
              <w:right w:val="single" w:sz="4" w:space="0" w:color="000000"/>
            </w:tcBorders>
          </w:tcPr>
          <w:p w14:paraId="59A1B7C3"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Генеральным директором ПАО «Россети Юг» назначен А.А. Рыбин.</w:t>
            </w:r>
          </w:p>
          <w:p w14:paraId="2C139579"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Соответствующее решение принял Совет директоров компании.</w:t>
            </w:r>
          </w:p>
        </w:tc>
      </w:tr>
      <w:tr w:rsidR="002449C2" w14:paraId="3EA98516" w14:textId="77777777">
        <w:tc>
          <w:tcPr>
            <w:tcW w:w="9922" w:type="dxa"/>
            <w:gridSpan w:val="2"/>
            <w:tcBorders>
              <w:top w:val="single" w:sz="4" w:space="0" w:color="000000"/>
              <w:left w:val="single" w:sz="4" w:space="0" w:color="000000"/>
              <w:bottom w:val="single" w:sz="4" w:space="0" w:color="000000"/>
              <w:right w:val="single" w:sz="4" w:space="0" w:color="000000"/>
            </w:tcBorders>
          </w:tcPr>
          <w:p w14:paraId="4835451F" w14:textId="77777777" w:rsidR="002449C2" w:rsidRDefault="00123961">
            <w:pPr>
              <w:tabs>
                <w:tab w:val="left" w:pos="142"/>
              </w:tabs>
              <w:spacing w:after="0" w:line="240" w:lineRule="auto"/>
              <w:ind w:firstLine="567"/>
              <w:jc w:val="center"/>
              <w:rPr>
                <w:rFonts w:ascii="Times New Roman" w:hAnsi="Times New Roman"/>
                <w:sz w:val="24"/>
                <w:szCs w:val="24"/>
                <w:lang w:eastAsia="en-US"/>
              </w:rPr>
            </w:pPr>
            <w:r>
              <w:rPr>
                <w:rFonts w:ascii="Times New Roman" w:eastAsia="Times New Roman" w:hAnsi="Times New Roman"/>
                <w:b/>
                <w:color w:val="1D1B11"/>
                <w:sz w:val="24"/>
                <w:szCs w:val="24"/>
                <w:lang w:eastAsia="ru-RU"/>
              </w:rPr>
              <w:t>События после отчетной даты</w:t>
            </w:r>
          </w:p>
        </w:tc>
      </w:tr>
      <w:tr w:rsidR="002449C2" w14:paraId="20AD4E4E" w14:textId="77777777">
        <w:tc>
          <w:tcPr>
            <w:tcW w:w="1554" w:type="dxa"/>
            <w:tcBorders>
              <w:top w:val="single" w:sz="4" w:space="0" w:color="000000"/>
              <w:left w:val="single" w:sz="4" w:space="0" w:color="000000"/>
              <w:bottom w:val="single" w:sz="4" w:space="0" w:color="000000"/>
              <w:right w:val="single" w:sz="4" w:space="0" w:color="000000"/>
            </w:tcBorders>
          </w:tcPr>
          <w:p w14:paraId="08637A22"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10 января</w:t>
            </w:r>
          </w:p>
        </w:tc>
        <w:tc>
          <w:tcPr>
            <w:tcW w:w="8368" w:type="dxa"/>
            <w:tcBorders>
              <w:top w:val="single" w:sz="4" w:space="0" w:color="000000"/>
              <w:left w:val="single" w:sz="4" w:space="0" w:color="000000"/>
              <w:bottom w:val="single" w:sz="4" w:space="0" w:color="000000"/>
              <w:right w:val="single" w:sz="4" w:space="0" w:color="000000"/>
            </w:tcBorders>
          </w:tcPr>
          <w:p w14:paraId="6B51155C"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Внутренний аудит ПАО «Россети Юг» подтвердил соответствие Международным профессиональным стандартам и Кодексу этики Института внутренних аудиторов.</w:t>
            </w:r>
          </w:p>
        </w:tc>
      </w:tr>
      <w:tr w:rsidR="002449C2" w14:paraId="66554DF8" w14:textId="77777777">
        <w:tc>
          <w:tcPr>
            <w:tcW w:w="1554" w:type="dxa"/>
            <w:tcBorders>
              <w:top w:val="single" w:sz="4" w:space="0" w:color="000000"/>
              <w:left w:val="single" w:sz="4" w:space="0" w:color="000000"/>
              <w:bottom w:val="single" w:sz="4" w:space="0" w:color="000000"/>
              <w:right w:val="single" w:sz="4" w:space="0" w:color="000000"/>
            </w:tcBorders>
          </w:tcPr>
          <w:p w14:paraId="33A1BEC2"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14 января</w:t>
            </w:r>
          </w:p>
        </w:tc>
        <w:tc>
          <w:tcPr>
            <w:tcW w:w="8368" w:type="dxa"/>
            <w:tcBorders>
              <w:top w:val="single" w:sz="4" w:space="0" w:color="000000"/>
              <w:left w:val="single" w:sz="4" w:space="0" w:color="000000"/>
              <w:bottom w:val="single" w:sz="4" w:space="0" w:color="000000"/>
              <w:right w:val="single" w:sz="4" w:space="0" w:color="000000"/>
            </w:tcBorders>
          </w:tcPr>
          <w:p w14:paraId="5F1FE9B2"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Специалисты «Россети Юг» в 2024 году установили на воздушных линиях электропередачи в регионах присутствия компании почти 6,7 тыс. птицезащитных устройств, что на 21 % превысило показатель 2023 года.</w:t>
            </w:r>
          </w:p>
        </w:tc>
      </w:tr>
      <w:tr w:rsidR="002449C2" w14:paraId="3446FA78" w14:textId="77777777">
        <w:tc>
          <w:tcPr>
            <w:tcW w:w="1554" w:type="dxa"/>
            <w:tcBorders>
              <w:top w:val="single" w:sz="4" w:space="0" w:color="000000"/>
              <w:left w:val="single" w:sz="4" w:space="0" w:color="000000"/>
              <w:bottom w:val="single" w:sz="4" w:space="0" w:color="000000"/>
              <w:right w:val="single" w:sz="4" w:space="0" w:color="000000"/>
            </w:tcBorders>
          </w:tcPr>
          <w:p w14:paraId="719D0A0B"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17 января</w:t>
            </w:r>
          </w:p>
        </w:tc>
        <w:tc>
          <w:tcPr>
            <w:tcW w:w="8368" w:type="dxa"/>
            <w:tcBorders>
              <w:top w:val="single" w:sz="4" w:space="0" w:color="000000"/>
              <w:left w:val="single" w:sz="4" w:space="0" w:color="000000"/>
              <w:bottom w:val="single" w:sz="4" w:space="0" w:color="000000"/>
              <w:right w:val="single" w:sz="4" w:space="0" w:color="000000"/>
            </w:tcBorders>
          </w:tcPr>
          <w:p w14:paraId="309737DE"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Генеральный директор компании «Россети Юг» А.А. Рыбин и временно исполняющий обязанности губернатора Ростовской области Ю.Б. Слюсарь в рамках первой рабочей встречи обсудили повышение надежности электроснабжения и прохождение зимнего периода в регионе.</w:t>
            </w:r>
          </w:p>
        </w:tc>
      </w:tr>
      <w:tr w:rsidR="002449C2" w14:paraId="7017AF18" w14:textId="77777777">
        <w:tc>
          <w:tcPr>
            <w:tcW w:w="1554" w:type="dxa"/>
            <w:tcBorders>
              <w:top w:val="single" w:sz="4" w:space="0" w:color="000000"/>
              <w:left w:val="single" w:sz="4" w:space="0" w:color="000000"/>
              <w:bottom w:val="single" w:sz="4" w:space="0" w:color="000000"/>
              <w:right w:val="single" w:sz="4" w:space="0" w:color="000000"/>
            </w:tcBorders>
          </w:tcPr>
          <w:p w14:paraId="220397A0"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28 января</w:t>
            </w:r>
          </w:p>
        </w:tc>
        <w:tc>
          <w:tcPr>
            <w:tcW w:w="8368" w:type="dxa"/>
            <w:tcBorders>
              <w:top w:val="single" w:sz="4" w:space="0" w:color="000000"/>
              <w:left w:val="single" w:sz="4" w:space="0" w:color="000000"/>
              <w:bottom w:val="single" w:sz="4" w:space="0" w:color="000000"/>
              <w:right w:val="single" w:sz="4" w:space="0" w:color="000000"/>
            </w:tcBorders>
          </w:tcPr>
          <w:p w14:paraId="7EDC9A48"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Компания «Россети Юг» завершила работы по техприсоединению к сетям Богдинской солнечной электростанции в Астраханской области.</w:t>
            </w:r>
          </w:p>
        </w:tc>
      </w:tr>
      <w:tr w:rsidR="002449C2" w14:paraId="366C0929" w14:textId="77777777">
        <w:tc>
          <w:tcPr>
            <w:tcW w:w="1554" w:type="dxa"/>
            <w:tcBorders>
              <w:top w:val="single" w:sz="4" w:space="0" w:color="000000"/>
              <w:left w:val="single" w:sz="4" w:space="0" w:color="000000"/>
              <w:bottom w:val="single" w:sz="4" w:space="0" w:color="000000"/>
              <w:right w:val="single" w:sz="4" w:space="0" w:color="000000"/>
            </w:tcBorders>
          </w:tcPr>
          <w:p w14:paraId="57A51E22"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6 февраля</w:t>
            </w:r>
          </w:p>
        </w:tc>
        <w:tc>
          <w:tcPr>
            <w:tcW w:w="8368" w:type="dxa"/>
            <w:tcBorders>
              <w:top w:val="single" w:sz="4" w:space="0" w:color="000000"/>
              <w:left w:val="single" w:sz="4" w:space="0" w:color="000000"/>
              <w:bottom w:val="single" w:sz="4" w:space="0" w:color="000000"/>
              <w:right w:val="single" w:sz="4" w:space="0" w:color="000000"/>
            </w:tcBorders>
          </w:tcPr>
          <w:p w14:paraId="7481E646"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Объем полезного отпуска электроэнергии из распределительной сети в регионах присутствия «Россети Юг» в 2024 года вырос на 3,6 % по сравнению с предыдущим годом.</w:t>
            </w:r>
          </w:p>
        </w:tc>
      </w:tr>
      <w:tr w:rsidR="002449C2" w14:paraId="6D9C82DA" w14:textId="77777777">
        <w:tc>
          <w:tcPr>
            <w:tcW w:w="1554" w:type="dxa"/>
            <w:tcBorders>
              <w:top w:val="single" w:sz="4" w:space="0" w:color="000000"/>
              <w:left w:val="single" w:sz="4" w:space="0" w:color="000000"/>
              <w:bottom w:val="single" w:sz="4" w:space="0" w:color="000000"/>
              <w:right w:val="single" w:sz="4" w:space="0" w:color="000000"/>
            </w:tcBorders>
          </w:tcPr>
          <w:p w14:paraId="69A83BF0"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6 февраля</w:t>
            </w:r>
          </w:p>
        </w:tc>
        <w:tc>
          <w:tcPr>
            <w:tcW w:w="8368" w:type="dxa"/>
            <w:tcBorders>
              <w:top w:val="single" w:sz="4" w:space="0" w:color="000000"/>
              <w:left w:val="single" w:sz="4" w:space="0" w:color="000000"/>
              <w:bottom w:val="single" w:sz="4" w:space="0" w:color="000000"/>
              <w:right w:val="single" w:sz="4" w:space="0" w:color="000000"/>
            </w:tcBorders>
          </w:tcPr>
          <w:p w14:paraId="7610626A"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Генеральный директор ПАО «Россети Юг» А.А. Рыбин и вице-губернатор – председатель Правительства Астраханской области  Д.А. Афанасьев в рамках рабочей встречи в Астрахани обсудили вопросы развития электросетевого комплекса региона.</w:t>
            </w:r>
          </w:p>
        </w:tc>
      </w:tr>
      <w:tr w:rsidR="002449C2" w14:paraId="0A66D58C" w14:textId="77777777">
        <w:tc>
          <w:tcPr>
            <w:tcW w:w="1554" w:type="dxa"/>
            <w:tcBorders>
              <w:top w:val="single" w:sz="4" w:space="0" w:color="000000"/>
              <w:left w:val="single" w:sz="4" w:space="0" w:color="000000"/>
              <w:bottom w:val="single" w:sz="4" w:space="0" w:color="000000"/>
              <w:right w:val="single" w:sz="4" w:space="0" w:color="000000"/>
            </w:tcBorders>
          </w:tcPr>
          <w:p w14:paraId="2854D943"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7 февраля</w:t>
            </w:r>
          </w:p>
        </w:tc>
        <w:tc>
          <w:tcPr>
            <w:tcW w:w="8368" w:type="dxa"/>
            <w:tcBorders>
              <w:top w:val="single" w:sz="4" w:space="0" w:color="000000"/>
              <w:left w:val="single" w:sz="4" w:space="0" w:color="000000"/>
              <w:bottom w:val="single" w:sz="4" w:space="0" w:color="000000"/>
              <w:right w:val="single" w:sz="4" w:space="0" w:color="000000"/>
            </w:tcBorders>
          </w:tcPr>
          <w:p w14:paraId="5A1FA0C0"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В Астрахани состоялась торжественная церемония открытия монумента энергетикам Астраханской области на территории управления филиала «Астраханьэнерго».</w:t>
            </w:r>
          </w:p>
        </w:tc>
      </w:tr>
      <w:tr w:rsidR="002449C2" w14:paraId="13A9BCF7" w14:textId="77777777">
        <w:tc>
          <w:tcPr>
            <w:tcW w:w="1554" w:type="dxa"/>
            <w:tcBorders>
              <w:top w:val="single" w:sz="4" w:space="0" w:color="000000"/>
              <w:left w:val="single" w:sz="4" w:space="0" w:color="000000"/>
              <w:bottom w:val="single" w:sz="4" w:space="0" w:color="000000"/>
              <w:right w:val="single" w:sz="4" w:space="0" w:color="000000"/>
            </w:tcBorders>
          </w:tcPr>
          <w:p w14:paraId="261B0FA3"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7 февраля</w:t>
            </w:r>
          </w:p>
        </w:tc>
        <w:tc>
          <w:tcPr>
            <w:tcW w:w="8368" w:type="dxa"/>
            <w:tcBorders>
              <w:top w:val="single" w:sz="4" w:space="0" w:color="000000"/>
              <w:left w:val="single" w:sz="4" w:space="0" w:color="000000"/>
              <w:bottom w:val="single" w:sz="4" w:space="0" w:color="000000"/>
              <w:right w:val="single" w:sz="4" w:space="0" w:color="000000"/>
            </w:tcBorders>
          </w:tcPr>
          <w:p w14:paraId="7733A765"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Генеральный директор «Россети Юг» А.А. Рыбин и Глава Республики Калмыкия Б.С. Хасиков обсудили мероприятия по повышению надёжности электросетевого комплекса.</w:t>
            </w:r>
          </w:p>
        </w:tc>
      </w:tr>
      <w:tr w:rsidR="002449C2" w14:paraId="55FFC523" w14:textId="77777777">
        <w:tc>
          <w:tcPr>
            <w:tcW w:w="1554" w:type="dxa"/>
            <w:tcBorders>
              <w:top w:val="single" w:sz="4" w:space="0" w:color="000000"/>
              <w:left w:val="single" w:sz="4" w:space="0" w:color="000000"/>
              <w:bottom w:val="single" w:sz="4" w:space="0" w:color="000000"/>
              <w:right w:val="single" w:sz="4" w:space="0" w:color="000000"/>
            </w:tcBorders>
          </w:tcPr>
          <w:p w14:paraId="71C2F92A"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10 февраля</w:t>
            </w:r>
          </w:p>
        </w:tc>
        <w:tc>
          <w:tcPr>
            <w:tcW w:w="8368" w:type="dxa"/>
            <w:tcBorders>
              <w:top w:val="single" w:sz="4" w:space="0" w:color="000000"/>
              <w:left w:val="single" w:sz="4" w:space="0" w:color="000000"/>
              <w:bottom w:val="single" w:sz="4" w:space="0" w:color="000000"/>
              <w:right w:val="single" w:sz="4" w:space="0" w:color="000000"/>
            </w:tcBorders>
          </w:tcPr>
          <w:p w14:paraId="5FDDAB41"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В результате финансово-хозяйственной деятельности компания «Россети Юг» в 2024 году перечислила в бюджеты всех уровней и внебюджетные фонды 8,9 млрд рублей.</w:t>
            </w:r>
          </w:p>
        </w:tc>
      </w:tr>
      <w:tr w:rsidR="002449C2" w14:paraId="22BFD39C" w14:textId="77777777">
        <w:tc>
          <w:tcPr>
            <w:tcW w:w="1554" w:type="dxa"/>
            <w:tcBorders>
              <w:top w:val="single" w:sz="4" w:space="0" w:color="000000"/>
              <w:left w:val="single" w:sz="4" w:space="0" w:color="000000"/>
              <w:bottom w:val="single" w:sz="4" w:space="0" w:color="000000"/>
              <w:right w:val="single" w:sz="4" w:space="0" w:color="000000"/>
            </w:tcBorders>
          </w:tcPr>
          <w:p w14:paraId="503AB877"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12 февраля</w:t>
            </w:r>
          </w:p>
        </w:tc>
        <w:tc>
          <w:tcPr>
            <w:tcW w:w="8368" w:type="dxa"/>
            <w:tcBorders>
              <w:top w:val="single" w:sz="4" w:space="0" w:color="000000"/>
              <w:left w:val="single" w:sz="4" w:space="0" w:color="000000"/>
              <w:bottom w:val="single" w:sz="4" w:space="0" w:color="000000"/>
              <w:right w:val="single" w:sz="4" w:space="0" w:color="000000"/>
            </w:tcBorders>
          </w:tcPr>
          <w:p w14:paraId="77C38485"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В 2024 году более 300 работников производственных специальностей компании «Россети Юг» получили компенсацию процентов по ипотечным кредитам. Такая форма поддержки предоставляется в рамках корпоративной программы по улучшению жилищных условий сотрудников.</w:t>
            </w:r>
          </w:p>
        </w:tc>
      </w:tr>
      <w:tr w:rsidR="002449C2" w14:paraId="4C3137D9" w14:textId="77777777">
        <w:tc>
          <w:tcPr>
            <w:tcW w:w="1554" w:type="dxa"/>
            <w:tcBorders>
              <w:top w:val="single" w:sz="4" w:space="0" w:color="000000"/>
              <w:left w:val="single" w:sz="4" w:space="0" w:color="000000"/>
              <w:bottom w:val="single" w:sz="4" w:space="0" w:color="000000"/>
              <w:right w:val="single" w:sz="4" w:space="0" w:color="000000"/>
            </w:tcBorders>
          </w:tcPr>
          <w:p w14:paraId="3425D3BA"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13 февраля</w:t>
            </w:r>
          </w:p>
        </w:tc>
        <w:tc>
          <w:tcPr>
            <w:tcW w:w="8368" w:type="dxa"/>
            <w:tcBorders>
              <w:top w:val="single" w:sz="4" w:space="0" w:color="000000"/>
              <w:left w:val="single" w:sz="4" w:space="0" w:color="000000"/>
              <w:bottom w:val="single" w:sz="4" w:space="0" w:color="000000"/>
              <w:right w:val="single" w:sz="4" w:space="0" w:color="000000"/>
            </w:tcBorders>
          </w:tcPr>
          <w:p w14:paraId="2A38480F"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Генеральный директор «Россети Юг» А.А. Рыбин и губернатор Астраханской области И.Ю. Бабушкин провели рабочую встречу в Астрахани. Главной темой обсуждения стало исполнение мероприятий Программы повышения надёжности электроснабжения региона на 2025-2027 годы.</w:t>
            </w:r>
          </w:p>
        </w:tc>
      </w:tr>
      <w:tr w:rsidR="002449C2" w14:paraId="7693D87E" w14:textId="77777777">
        <w:tc>
          <w:tcPr>
            <w:tcW w:w="1554" w:type="dxa"/>
            <w:tcBorders>
              <w:top w:val="single" w:sz="4" w:space="0" w:color="000000"/>
              <w:left w:val="single" w:sz="4" w:space="0" w:color="000000"/>
              <w:bottom w:val="single" w:sz="4" w:space="0" w:color="000000"/>
              <w:right w:val="single" w:sz="4" w:space="0" w:color="000000"/>
            </w:tcBorders>
          </w:tcPr>
          <w:p w14:paraId="173855DA"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17 февраля</w:t>
            </w:r>
          </w:p>
        </w:tc>
        <w:tc>
          <w:tcPr>
            <w:tcW w:w="8368" w:type="dxa"/>
            <w:tcBorders>
              <w:top w:val="single" w:sz="4" w:space="0" w:color="000000"/>
              <w:left w:val="single" w:sz="4" w:space="0" w:color="000000"/>
              <w:bottom w:val="single" w:sz="4" w:space="0" w:color="000000"/>
              <w:right w:val="single" w:sz="4" w:space="0" w:color="000000"/>
            </w:tcBorders>
          </w:tcPr>
          <w:p w14:paraId="674253C0"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Компания «Россети Юг» в 2024 году направила на выполнение программы технического обслуживания и ремонта электросетевого комплекса в регионах присутствия почти 3 млрд рублей. Это на 16 % превышает аналогичный показатель предыдущего года.</w:t>
            </w:r>
          </w:p>
        </w:tc>
      </w:tr>
      <w:tr w:rsidR="002449C2" w14:paraId="70ECD4E1" w14:textId="77777777">
        <w:tc>
          <w:tcPr>
            <w:tcW w:w="1554" w:type="dxa"/>
            <w:tcBorders>
              <w:top w:val="single" w:sz="4" w:space="0" w:color="000000"/>
              <w:left w:val="single" w:sz="4" w:space="0" w:color="000000"/>
              <w:bottom w:val="single" w:sz="4" w:space="0" w:color="000000"/>
              <w:right w:val="single" w:sz="4" w:space="0" w:color="000000"/>
            </w:tcBorders>
          </w:tcPr>
          <w:p w14:paraId="20E5619F"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24 февраля</w:t>
            </w:r>
          </w:p>
        </w:tc>
        <w:tc>
          <w:tcPr>
            <w:tcW w:w="8368" w:type="dxa"/>
            <w:tcBorders>
              <w:top w:val="single" w:sz="4" w:space="0" w:color="000000"/>
              <w:left w:val="single" w:sz="4" w:space="0" w:color="000000"/>
              <w:bottom w:val="single" w:sz="4" w:space="0" w:color="000000"/>
              <w:right w:val="single" w:sz="4" w:space="0" w:color="000000"/>
            </w:tcBorders>
          </w:tcPr>
          <w:p w14:paraId="1ADED061"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«Россети Юг» в 2024 году направили  6,6 млрд рублей инвестиционных средств на развитие электросетевого комплекса в регионах присутствия.</w:t>
            </w:r>
          </w:p>
        </w:tc>
      </w:tr>
      <w:tr w:rsidR="002449C2" w14:paraId="41123926" w14:textId="77777777">
        <w:tc>
          <w:tcPr>
            <w:tcW w:w="1554" w:type="dxa"/>
            <w:tcBorders>
              <w:top w:val="single" w:sz="4" w:space="0" w:color="000000"/>
              <w:left w:val="single" w:sz="4" w:space="0" w:color="000000"/>
              <w:bottom w:val="single" w:sz="4" w:space="0" w:color="000000"/>
              <w:right w:val="single" w:sz="4" w:space="0" w:color="000000"/>
            </w:tcBorders>
          </w:tcPr>
          <w:p w14:paraId="48AFAC0E"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24 февраля</w:t>
            </w:r>
          </w:p>
        </w:tc>
        <w:tc>
          <w:tcPr>
            <w:tcW w:w="8368" w:type="dxa"/>
            <w:tcBorders>
              <w:top w:val="single" w:sz="4" w:space="0" w:color="000000"/>
              <w:left w:val="single" w:sz="4" w:space="0" w:color="000000"/>
              <w:bottom w:val="single" w:sz="4" w:space="0" w:color="000000"/>
              <w:right w:val="single" w:sz="4" w:space="0" w:color="000000"/>
            </w:tcBorders>
          </w:tcPr>
          <w:p w14:paraId="166879B8"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Решением Совета директоров «Россети Юг» в состав Правления Общества избран Тыкушин А.В.</w:t>
            </w:r>
          </w:p>
        </w:tc>
      </w:tr>
      <w:tr w:rsidR="002449C2" w14:paraId="36D15E53" w14:textId="77777777">
        <w:tc>
          <w:tcPr>
            <w:tcW w:w="1554" w:type="dxa"/>
            <w:tcBorders>
              <w:top w:val="single" w:sz="4" w:space="0" w:color="000000"/>
              <w:left w:val="single" w:sz="4" w:space="0" w:color="000000"/>
              <w:bottom w:val="single" w:sz="4" w:space="0" w:color="000000"/>
              <w:right w:val="single" w:sz="4" w:space="0" w:color="000000"/>
            </w:tcBorders>
          </w:tcPr>
          <w:p w14:paraId="73272E35"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25 февраля</w:t>
            </w:r>
          </w:p>
        </w:tc>
        <w:tc>
          <w:tcPr>
            <w:tcW w:w="8368" w:type="dxa"/>
            <w:tcBorders>
              <w:top w:val="single" w:sz="4" w:space="0" w:color="000000"/>
              <w:left w:val="single" w:sz="4" w:space="0" w:color="000000"/>
              <w:bottom w:val="single" w:sz="4" w:space="0" w:color="000000"/>
              <w:right w:val="single" w:sz="4" w:space="0" w:color="000000"/>
            </w:tcBorders>
          </w:tcPr>
          <w:p w14:paraId="4124AB6D"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Через онлайн-сервисы в клиентские офисы компании «Россети Юг» в 2024 году поступило свыше 71 тыс. обращений, что на 28 % превышает показатель предыдущего года.</w:t>
            </w:r>
          </w:p>
        </w:tc>
      </w:tr>
      <w:tr w:rsidR="002449C2" w14:paraId="0F0DAEC7" w14:textId="77777777">
        <w:tc>
          <w:tcPr>
            <w:tcW w:w="1554" w:type="dxa"/>
            <w:tcBorders>
              <w:top w:val="single" w:sz="4" w:space="0" w:color="000000"/>
              <w:left w:val="single" w:sz="4" w:space="0" w:color="000000"/>
              <w:bottom w:val="single" w:sz="4" w:space="0" w:color="000000"/>
              <w:right w:val="single" w:sz="4" w:space="0" w:color="000000"/>
            </w:tcBorders>
          </w:tcPr>
          <w:p w14:paraId="191C54F2"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25 февраля</w:t>
            </w:r>
          </w:p>
        </w:tc>
        <w:tc>
          <w:tcPr>
            <w:tcW w:w="8368" w:type="dxa"/>
            <w:tcBorders>
              <w:top w:val="single" w:sz="4" w:space="0" w:color="000000"/>
              <w:left w:val="single" w:sz="4" w:space="0" w:color="000000"/>
              <w:bottom w:val="single" w:sz="4" w:space="0" w:color="000000"/>
              <w:right w:val="single" w:sz="4" w:space="0" w:color="000000"/>
            </w:tcBorders>
          </w:tcPr>
          <w:p w14:paraId="6EF383A1" w14:textId="77777777" w:rsidR="002449C2" w:rsidRDefault="00123961">
            <w:pPr>
              <w:spacing w:after="0" w:line="240" w:lineRule="auto"/>
              <w:rPr>
                <w:rFonts w:ascii="Times New Roman" w:hAnsi="Times New Roman"/>
                <w:sz w:val="24"/>
                <w:szCs w:val="24"/>
                <w:lang w:eastAsia="en-US"/>
              </w:rPr>
            </w:pPr>
            <w:r>
              <w:rPr>
                <w:rFonts w:ascii="Times New Roman" w:hAnsi="Times New Roman"/>
                <w:sz w:val="24"/>
                <w:szCs w:val="24"/>
                <w:lang w:eastAsia="en-US"/>
              </w:rPr>
              <w:t>Генеральный директор «Россети Юг» А.А. Рыбин и губернатор Волгоградской области А.И. Бочаров в рамках рабочей встречи в Волгограде обсудили перспективы развития электросетевого комплекса и первоочередные мероприятия Программы повышения надёжности электроснабжения потребителей в регионе на 2025-2029 гг.</w:t>
            </w:r>
          </w:p>
        </w:tc>
      </w:tr>
    </w:tbl>
    <w:p w14:paraId="1AF6C25D" w14:textId="77777777" w:rsidR="002449C2" w:rsidRDefault="002449C2">
      <w:pPr>
        <w:spacing w:after="160" w:line="259" w:lineRule="auto"/>
        <w:rPr>
          <w:rFonts w:ascii="Times New Roman" w:hAnsi="Times New Roman"/>
          <w:b/>
          <w:sz w:val="24"/>
          <w:szCs w:val="24"/>
          <w:lang w:eastAsia="en-US"/>
        </w:rPr>
      </w:pPr>
    </w:p>
    <w:tbl>
      <w:tblPr>
        <w:tblW w:w="9355" w:type="dxa"/>
        <w:tblLayout w:type="fixed"/>
        <w:tblLook w:val="04A0" w:firstRow="1" w:lastRow="0" w:firstColumn="1" w:lastColumn="0" w:noHBand="0" w:noVBand="1"/>
      </w:tblPr>
      <w:tblGrid>
        <w:gridCol w:w="4787"/>
        <w:gridCol w:w="4568"/>
      </w:tblGrid>
      <w:tr w:rsidR="002449C2" w14:paraId="414B604B" w14:textId="77777777">
        <w:tc>
          <w:tcPr>
            <w:tcW w:w="4786" w:type="dxa"/>
          </w:tcPr>
          <w:p w14:paraId="078B3ADD" w14:textId="77777777" w:rsidR="002449C2" w:rsidRDefault="00123961">
            <w:pPr>
              <w:spacing w:after="160" w:line="259" w:lineRule="auto"/>
              <w:jc w:val="center"/>
              <w:rPr>
                <w:rFonts w:ascii="Times New Roman" w:hAnsi="Times New Roman"/>
                <w:b/>
                <w:sz w:val="24"/>
                <w:szCs w:val="24"/>
                <w:lang w:eastAsia="en-US"/>
              </w:rPr>
            </w:pPr>
            <w:r>
              <w:rPr>
                <w:noProof/>
                <w:lang w:eastAsia="ru-RU"/>
              </w:rPr>
              <w:drawing>
                <wp:inline distT="0" distB="0" distL="0" distR="0" wp14:anchorId="47C7564E" wp14:editId="4546C541">
                  <wp:extent cx="2893060" cy="1934210"/>
                  <wp:effectExtent l="0" t="0" r="0" b="0"/>
                  <wp:docPr id="17" name="_x005F_x0000_i4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_x005F_x0000_i4403"/>
                          <pic:cNvPicPr>
                            <a:picLocks noChangeAspect="1" noChangeArrowheads="1"/>
                          </pic:cNvPicPr>
                        </pic:nvPicPr>
                        <pic:blipFill>
                          <a:blip r:embed="rId32"/>
                          <a:stretch>
                            <a:fillRect/>
                          </a:stretch>
                        </pic:blipFill>
                        <pic:spPr bwMode="auto">
                          <a:xfrm>
                            <a:off x="0" y="0"/>
                            <a:ext cx="2893060" cy="1934210"/>
                          </a:xfrm>
                          <a:prstGeom prst="rect">
                            <a:avLst/>
                          </a:prstGeom>
                          <a:noFill/>
                        </pic:spPr>
                      </pic:pic>
                    </a:graphicData>
                  </a:graphic>
                </wp:inline>
              </w:drawing>
            </w:r>
          </w:p>
        </w:tc>
        <w:tc>
          <w:tcPr>
            <w:tcW w:w="4568" w:type="dxa"/>
          </w:tcPr>
          <w:p w14:paraId="035DD1EF" w14:textId="77777777" w:rsidR="002449C2" w:rsidRDefault="00123961">
            <w:pPr>
              <w:spacing w:after="160" w:line="259" w:lineRule="auto"/>
              <w:jc w:val="center"/>
              <w:rPr>
                <w:rFonts w:ascii="Times New Roman" w:hAnsi="Times New Roman"/>
                <w:i/>
                <w:sz w:val="20"/>
                <w:szCs w:val="20"/>
                <w:lang w:eastAsia="en-US"/>
              </w:rPr>
            </w:pPr>
            <w:r>
              <w:rPr>
                <w:rFonts w:ascii="Times New Roman" w:eastAsia="Roboto Condensed" w:hAnsi="Times New Roman"/>
                <w:i/>
                <w:color w:val="313131"/>
                <w:sz w:val="20"/>
                <w:szCs w:val="20"/>
                <w:lang w:eastAsia="en-US"/>
              </w:rPr>
              <w:t>В I квартале 2024 года в энергосистему филиала «Россети Юг» – «Калмэнерго» поступило порядка 218 млн кВт*ч электроэнергии от возобновляемых источников энергии (ВИЭ): солнечных и ветряных электростанций. Это примерно 89 % от всего энергопотребления республики за этот период.</w:t>
            </w:r>
            <w:r>
              <w:rPr>
                <w:rFonts w:ascii="Times New Roman" w:eastAsia="Roboto Condensed" w:hAnsi="Times New Roman"/>
                <w:i/>
                <w:color w:val="313131"/>
                <w:sz w:val="20"/>
                <w:szCs w:val="20"/>
                <w:lang w:eastAsia="en-US"/>
              </w:rPr>
              <w:br/>
              <w:t>Такой объем «зеленой» энергии способен практически полностью покрывать потребности региона. Юг».</w:t>
            </w:r>
          </w:p>
        </w:tc>
      </w:tr>
    </w:tbl>
    <w:p w14:paraId="03B9E601" w14:textId="77777777" w:rsidR="002449C2" w:rsidRDefault="002449C2">
      <w:pPr>
        <w:spacing w:after="160" w:line="259" w:lineRule="auto"/>
        <w:jc w:val="center"/>
        <w:rPr>
          <w:rFonts w:ascii="Times New Roman" w:hAnsi="Times New Roman"/>
          <w:b/>
          <w:sz w:val="24"/>
          <w:szCs w:val="24"/>
          <w:lang w:eastAsia="en-US"/>
        </w:rPr>
      </w:pPr>
    </w:p>
    <w:p w14:paraId="0DB97627" w14:textId="77777777" w:rsidR="002449C2" w:rsidRDefault="00123961">
      <w:pPr>
        <w:spacing w:after="160" w:line="259" w:lineRule="auto"/>
        <w:jc w:val="center"/>
        <w:rPr>
          <w:rFonts w:ascii="Times New Roman" w:hAnsi="Times New Roman"/>
          <w:b/>
          <w:sz w:val="24"/>
          <w:szCs w:val="24"/>
          <w:lang w:eastAsia="en-US"/>
        </w:rPr>
      </w:pPr>
      <w:r>
        <w:br w:type="page"/>
      </w:r>
    </w:p>
    <w:p w14:paraId="1EF67C14" w14:textId="77777777" w:rsidR="002449C2" w:rsidRDefault="00123961">
      <w:pPr>
        <w:keepNext/>
        <w:keepLines/>
        <w:spacing w:after="120" w:line="240" w:lineRule="auto"/>
        <w:ind w:left="360"/>
        <w:outlineLvl w:val="0"/>
        <w:rPr>
          <w:rFonts w:ascii="Times New Roman" w:eastAsia="Times New Roman" w:hAnsi="Times New Roman"/>
          <w:bCs/>
          <w:color w:val="0066CC"/>
          <w:sz w:val="36"/>
          <w:szCs w:val="28"/>
          <w:lang w:eastAsia="ru-RU"/>
        </w:rPr>
      </w:pPr>
      <w:bookmarkStart w:id="23" w:name="_Toc195174914"/>
      <w:bookmarkStart w:id="24" w:name="_Toc196143006"/>
      <w:r>
        <w:rPr>
          <w:rFonts w:ascii="Times New Roman" w:eastAsia="Times New Roman" w:hAnsi="Times New Roman"/>
          <w:bCs/>
          <w:color w:val="0066CC"/>
          <w:sz w:val="36"/>
          <w:szCs w:val="28"/>
          <w:lang w:eastAsia="ru-RU"/>
        </w:rPr>
        <w:t>СТРАТЕГИЧЕСКИЙ ОТЧЕТ</w:t>
      </w:r>
      <w:bookmarkEnd w:id="23"/>
      <w:bookmarkEnd w:id="24"/>
    </w:p>
    <w:p w14:paraId="7102D0CC"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25" w:name="_Toc195174915"/>
      <w:bookmarkStart w:id="26" w:name="_Toc196143007"/>
      <w:r>
        <w:rPr>
          <w:rFonts w:ascii="Times New Roman" w:eastAsia="Times New Roman" w:hAnsi="Times New Roman"/>
          <w:caps/>
          <w:color w:val="632423"/>
          <w:spacing w:val="15"/>
          <w:sz w:val="24"/>
          <w:szCs w:val="24"/>
          <w:lang w:eastAsia="en-US" w:bidi="en-US"/>
        </w:rPr>
        <w:t>Обзор отрасли</w:t>
      </w:r>
      <w:bookmarkEnd w:id="25"/>
      <w:bookmarkEnd w:id="26"/>
    </w:p>
    <w:p w14:paraId="14111188" w14:textId="77777777" w:rsidR="002449C2" w:rsidRDefault="00123961">
      <w:pPr>
        <w:shd w:val="clear" w:color="auto" w:fill="FFFFFF"/>
        <w:tabs>
          <w:tab w:val="left" w:pos="993"/>
          <w:tab w:val="left" w:pos="1418"/>
          <w:tab w:val="left" w:pos="1843"/>
          <w:tab w:val="left" w:pos="3119"/>
          <w:tab w:val="left" w:pos="3402"/>
        </w:tabs>
        <w:spacing w:before="120" w:after="120" w:line="240" w:lineRule="auto"/>
        <w:ind w:firstLine="709"/>
        <w:rPr>
          <w:rFonts w:ascii="Times New Roman" w:eastAsia="Times New Roman" w:hAnsi="Times New Roman"/>
          <w:b/>
          <w:sz w:val="26"/>
          <w:szCs w:val="26"/>
          <w:lang w:eastAsia="ru-RU"/>
        </w:rPr>
      </w:pPr>
      <w:r>
        <w:rPr>
          <w:noProof/>
          <w:lang w:eastAsia="ru-RU"/>
        </w:rPr>
        <w:drawing>
          <wp:inline distT="0" distB="0" distL="0" distR="0" wp14:anchorId="470A1D10" wp14:editId="6A09CF78">
            <wp:extent cx="1385570" cy="480695"/>
            <wp:effectExtent l="0" t="0" r="0" b="0"/>
            <wp:docPr id="18" name="_x005F_x0000_i4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_x005F_x0000_i4404"/>
                    <pic:cNvPicPr>
                      <a:picLocks noChangeAspect="1" noChangeArrowheads="1"/>
                    </pic:cNvPicPr>
                  </pic:nvPicPr>
                  <pic:blipFill>
                    <a:blip r:embed="rId33">
                      <a:extLst>
                        <a:ext uri="{96DAC541-7B7A-43D3-8B79-37D633B846F1}">
                          <asvg:svgBlip xmlns:asvg="http://schemas.microsoft.com/office/drawing/2016/SVG/main" xmlns:w10="urn:schemas-microsoft-com:office:word" xmlns:w="http://schemas.openxmlformats.org/wordprocessingml/2006/main" xmlns:v="urn:schemas-microsoft-com:vml" xmlns:o="urn:schemas-microsoft-com:office:office" xmlns="" r:embed="rId34"/>
                        </a:ext>
                      </a:extLst>
                    </a:blip>
                    <a:stretch>
                      <a:fillRect/>
                    </a:stretch>
                  </pic:blipFill>
                  <pic:spPr bwMode="auto">
                    <a:xfrm>
                      <a:off x="0" y="0"/>
                      <a:ext cx="1385570" cy="480695"/>
                    </a:xfrm>
                    <a:prstGeom prst="rect">
                      <a:avLst/>
                    </a:prstGeom>
                    <a:noFill/>
                  </pic:spPr>
                </pic:pic>
              </a:graphicData>
            </a:graphic>
          </wp:inline>
        </w:drawing>
      </w:r>
    </w:p>
    <w:p w14:paraId="6DDA45C7" w14:textId="77777777" w:rsidR="002449C2" w:rsidRDefault="00123961">
      <w:pPr>
        <w:shd w:val="clear" w:color="auto" w:fill="FFFFFF"/>
        <w:tabs>
          <w:tab w:val="left" w:pos="993"/>
          <w:tab w:val="left" w:pos="1418"/>
          <w:tab w:val="left" w:pos="1843"/>
          <w:tab w:val="left" w:pos="3119"/>
          <w:tab w:val="left" w:pos="3402"/>
        </w:tabs>
        <w:spacing w:before="120" w:after="120" w:line="240" w:lineRule="auto"/>
        <w:ind w:firstLine="709"/>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Доля рынка Группы ПАО «Россети Юг» в регионах присутствия</w:t>
      </w:r>
    </w:p>
    <w:p w14:paraId="69B3C60C" w14:textId="67FEC03D" w:rsidR="002449C2" w:rsidRDefault="00123961">
      <w:pPr>
        <w:shd w:val="clear" w:color="auto" w:fill="FFFFFF"/>
        <w:tabs>
          <w:tab w:val="left" w:pos="993"/>
          <w:tab w:val="left" w:pos="1418"/>
          <w:tab w:val="left" w:pos="1843"/>
          <w:tab w:val="left" w:pos="3119"/>
          <w:tab w:val="left" w:pos="3402"/>
        </w:tabs>
        <w:spacing w:before="120" w:after="120" w:line="240" w:lineRule="auto"/>
        <w:ind w:hanging="993"/>
        <w:rPr>
          <w:rFonts w:ascii="Times New Roman" w:eastAsia="Times New Roman" w:hAnsi="Times New Roman"/>
          <w:b/>
          <w:sz w:val="26"/>
          <w:szCs w:val="26"/>
          <w:lang w:eastAsia="ru-RU"/>
        </w:rPr>
      </w:pPr>
      <w:r>
        <w:rPr>
          <w:noProof/>
          <w:lang w:eastAsia="ru-RU"/>
        </w:rPr>
        <mc:AlternateContent>
          <mc:Choice Requires="wps">
            <w:drawing>
              <wp:anchor distT="5080" distB="5080" distL="5080" distR="5080" simplePos="0" relativeHeight="93" behindDoc="0" locked="0" layoutInCell="1" allowOverlap="1" wp14:anchorId="15691493" wp14:editId="7B47070B">
                <wp:simplePos x="0" y="0"/>
                <wp:positionH relativeFrom="column">
                  <wp:posOffset>0</wp:posOffset>
                </wp:positionH>
                <wp:positionV relativeFrom="paragraph">
                  <wp:posOffset>635</wp:posOffset>
                </wp:positionV>
                <wp:extent cx="635000" cy="635000"/>
                <wp:effectExtent l="5080" t="5080" r="5080" b="5080"/>
                <wp:wrapNone/>
                <wp:docPr id="19" name="AutoShape 23" hidden="1"/>
                <wp:cNvGraphicFramePr/>
                <a:graphic xmlns:a="http://schemas.openxmlformats.org/drawingml/2006/main">
                  <a:graphicData uri="http://schemas.microsoft.com/office/word/2010/wordprocessingShape">
                    <wps:wsp>
                      <wps:cNvSpPr/>
                      <wps:spPr>
                        <a:xfrm>
                          <a:off x="0" y="0"/>
                          <a:ext cx="635040" cy="635040"/>
                        </a:xfrm>
                        <a:prstGeom prst="rect">
                          <a:avLst/>
                        </a:prstGeom>
                        <a:solidFill>
                          <a:srgbClr val="FFFFFF"/>
                        </a:solidFill>
                        <a:ln w="9525">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w:pict>
              <v:rect w14:anchorId="2EF776D6" id="AutoShape 23" o:spid="_x0000_s1026" style="position:absolute;margin-left:0;margin-top:.05pt;width:50pt;height:50pt;z-index:93;visibility:hidden;mso-wrap-style:square;mso-wrap-distance-left:.4pt;mso-wrap-distance-top:.4pt;mso-wrap-distance-right:.4pt;mso-wrap-distance-bottom:.4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">
                <v:stroke joinstyle="round"/>
              </v:rect>
            </w:pict>
          </mc:Fallback>
        </mc:AlternateContent>
      </w:r>
      <w:r>
        <w:rPr>
          <w:noProof/>
          <w:lang w:eastAsia="ru-RU"/>
        </w:rPr>
        <w:drawing>
          <wp:inline distT="0" distB="0" distL="0" distR="0" wp14:anchorId="6EE62150" wp14:editId="0D98DEB2">
            <wp:extent cx="2162175" cy="1905000"/>
            <wp:effectExtent l="0" t="0" r="0" b="0"/>
            <wp:docPr id="20" name="Диаграмма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Pr>
          <w:noProof/>
          <w:lang w:eastAsia="ru-RU"/>
        </w:rPr>
        <mc:AlternateContent>
          <mc:Choice Requires="wps">
            <w:drawing>
              <wp:anchor distT="5080" distB="5080" distL="5080" distR="5080" simplePos="0" relativeHeight="95" behindDoc="0" locked="0" layoutInCell="1" allowOverlap="1" wp14:anchorId="3CA4040B" wp14:editId="7B3BE85E">
                <wp:simplePos x="0" y="0"/>
                <wp:positionH relativeFrom="column">
                  <wp:posOffset>0</wp:posOffset>
                </wp:positionH>
                <wp:positionV relativeFrom="paragraph">
                  <wp:posOffset>635</wp:posOffset>
                </wp:positionV>
                <wp:extent cx="635000" cy="635000"/>
                <wp:effectExtent l="5080" t="5080" r="5080" b="5080"/>
                <wp:wrapNone/>
                <wp:docPr id="21" name="AutoShape 21" hidden="1"/>
                <wp:cNvGraphicFramePr/>
                <a:graphic xmlns:a="http://schemas.openxmlformats.org/drawingml/2006/main">
                  <a:graphicData uri="http://schemas.microsoft.com/office/word/2010/wordprocessingShape">
                    <wps:wsp>
                      <wps:cNvSpPr/>
                      <wps:spPr>
                        <a:xfrm>
                          <a:off x="0" y="0"/>
                          <a:ext cx="635040" cy="635040"/>
                        </a:xfrm>
                        <a:prstGeom prst="rect">
                          <a:avLst/>
                        </a:prstGeom>
                        <a:solidFill>
                          <a:srgbClr val="FFFFFF"/>
                        </a:solidFill>
                        <a:ln w="9525">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w:pict>
              <v:rect w14:anchorId="348C1AD4" id="AutoShape 21" o:spid="_x0000_s1026" style="position:absolute;margin-left:0;margin-top:.05pt;width:50pt;height:50pt;z-index:95;visibility:hidden;mso-wrap-style:square;mso-wrap-distance-left:.4pt;mso-wrap-distance-top:.4pt;mso-wrap-distance-right:.4pt;mso-wrap-distance-bottom:.4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">
                <v:stroke joinstyle="round"/>
              </v:rect>
            </w:pict>
          </mc:Fallback>
        </mc:AlternateContent>
      </w:r>
      <w:r w:rsidR="00C10823">
        <w:rPr>
          <w:noProof/>
          <w:lang w:eastAsia="ru-RU"/>
        </w:rPr>
        <w:drawing>
          <wp:inline distT="0" distB="0" distL="0" distR="0" wp14:anchorId="3321C1D3" wp14:editId="31158815">
            <wp:extent cx="2228850" cy="1952625"/>
            <wp:effectExtent l="0" t="0" r="0" b="0"/>
            <wp:docPr id="105" name="Диаграмма 10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Pr>
          <w:noProof/>
          <w:lang w:eastAsia="ru-RU"/>
        </w:rPr>
        <w:drawing>
          <wp:inline distT="0" distB="0" distL="0" distR="0" wp14:anchorId="1DA11FA1" wp14:editId="60A6D72A">
            <wp:extent cx="2152650" cy="1952625"/>
            <wp:effectExtent l="0" t="0" r="0" b="0"/>
            <wp:docPr id="23" name="Диаграмма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Pr>
          <w:noProof/>
          <w:lang w:eastAsia="ru-RU"/>
        </w:rPr>
        <mc:AlternateContent>
          <mc:Choice Requires="wps">
            <w:drawing>
              <wp:anchor distT="5080" distB="5080" distL="5080" distR="5080" simplePos="0" relativeHeight="97" behindDoc="0" locked="0" layoutInCell="1" allowOverlap="1" wp14:anchorId="4A902DA4" wp14:editId="1833B7E2">
                <wp:simplePos x="0" y="0"/>
                <wp:positionH relativeFrom="column">
                  <wp:posOffset>0</wp:posOffset>
                </wp:positionH>
                <wp:positionV relativeFrom="paragraph">
                  <wp:posOffset>635</wp:posOffset>
                </wp:positionV>
                <wp:extent cx="635000" cy="635000"/>
                <wp:effectExtent l="5080" t="5080" r="5080" b="5080"/>
                <wp:wrapNone/>
                <wp:docPr id="24" name="AutoShape 19" hidden="1"/>
                <wp:cNvGraphicFramePr/>
                <a:graphic xmlns:a="http://schemas.openxmlformats.org/drawingml/2006/main">
                  <a:graphicData uri="http://schemas.microsoft.com/office/word/2010/wordprocessingShape">
                    <wps:wsp>
                      <wps:cNvSpPr/>
                      <wps:spPr>
                        <a:xfrm>
                          <a:off x="0" y="0"/>
                          <a:ext cx="635040" cy="635040"/>
                        </a:xfrm>
                        <a:prstGeom prst="rect">
                          <a:avLst/>
                        </a:prstGeom>
                        <a:solidFill>
                          <a:srgbClr val="FFFFFF"/>
                        </a:solidFill>
                        <a:ln w="9525">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w:pict>
              <v:rect w14:anchorId="7F043DC0" id="AutoShape 19" o:spid="_x0000_s1026" style="position:absolute;margin-left:0;margin-top:.05pt;width:50pt;height:50pt;z-index:97;visibility:hidden;mso-wrap-style:square;mso-wrap-distance-left:.4pt;mso-wrap-distance-top:.4pt;mso-wrap-distance-right:.4pt;mso-wrap-distance-bottom:.4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">
                <v:stroke joinstyle="round"/>
              </v:rect>
            </w:pict>
          </mc:Fallback>
        </mc:AlternateContent>
      </w:r>
    </w:p>
    <w:p w14:paraId="30C1A3C9" w14:textId="77777777" w:rsidR="002449C2" w:rsidRDefault="00123961">
      <w:pPr>
        <w:shd w:val="clear" w:color="auto" w:fill="FFFFFF"/>
        <w:tabs>
          <w:tab w:val="left" w:pos="1080"/>
          <w:tab w:val="left" w:pos="1320"/>
        </w:tabs>
        <w:spacing w:before="120" w:after="120" w:line="240" w:lineRule="auto"/>
        <w:ind w:firstLine="709"/>
        <w:jc w:val="both"/>
        <w:rPr>
          <w:rFonts w:ascii="Times New Roman" w:eastAsia="Times New Roman" w:hAnsi="Times New Roman"/>
          <w:sz w:val="20"/>
          <w:szCs w:val="24"/>
          <w:lang w:eastAsia="ru-RU"/>
        </w:rPr>
      </w:pPr>
      <w:r>
        <w:rPr>
          <w:rFonts w:ascii="Times New Roman" w:eastAsia="Times New Roman" w:hAnsi="Times New Roman"/>
          <w:sz w:val="20"/>
          <w:szCs w:val="24"/>
          <w:lang w:eastAsia="ru-RU"/>
        </w:rPr>
        <w:t>Доля рынка рассчитана на основании данных тарифно-балансовых решений об установлении единых (котловых) тарифов по субъекту Российской Федерации (в части НВВ на содержание сетей)</w:t>
      </w:r>
    </w:p>
    <w:p w14:paraId="0FB51F4D" w14:textId="77777777" w:rsidR="002449C2" w:rsidRDefault="00123961">
      <w:pPr>
        <w:widowControl w:val="0"/>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Ежегодное снижение доли ПАО «Россети Юг» относительно предыдущего года обусловлено в основном ростом НВВ по действующим ТСО в связи с увеличением количества условных единиц оборудования. Также на снижение доли ПАО «Россети Юг» в 2024 году относительно 2023 года повлияло внесение изменений в Методические указания, утвержденные приказом Федеральной службы по тарифам от 17.02.2012 № 98-э, в части применения фактических ИПЦ.</w:t>
      </w:r>
    </w:p>
    <w:p w14:paraId="327E992D"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2024 году в регионах присутствия ПАО «Россети Юг» действовало 45 ТСО. В 2025 году в следствии вступления в силу Федерального закона от 13.04.2024 № 185-ФЗ и постановления Правительства Российской Федерации от 28.02.2015 № 184 «Об отнесении владельцев объектов электросетевого хозяйства к территориальным сетевым организациям» статус ТСО сохранили 24 компании. </w:t>
      </w:r>
    </w:p>
    <w:p w14:paraId="3DC722C6" w14:textId="70D54260"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Доля рынка Группы ПАО «Россети Юг» в 2025 году в рег</w:t>
      </w:r>
      <w:r w:rsidR="00C10823">
        <w:rPr>
          <w:rFonts w:ascii="Times New Roman" w:eastAsia="Times New Roman" w:hAnsi="Times New Roman"/>
          <w:sz w:val="26"/>
          <w:szCs w:val="26"/>
          <w:lang w:eastAsia="ru-RU"/>
        </w:rPr>
        <w:t>ионах присутствия составила 75,5</w:t>
      </w:r>
      <w:r>
        <w:rPr>
          <w:rFonts w:ascii="Times New Roman" w:eastAsia="Times New Roman" w:hAnsi="Times New Roman"/>
          <w:sz w:val="26"/>
          <w:szCs w:val="26"/>
          <w:lang w:eastAsia="ru-RU"/>
        </w:rPr>
        <w:t>%.</w:t>
      </w:r>
    </w:p>
    <w:p w14:paraId="1B8DCE17" w14:textId="77777777" w:rsidR="002449C2" w:rsidRDefault="002449C2">
      <w:pPr>
        <w:spacing w:after="0" w:line="240" w:lineRule="auto"/>
        <w:jc w:val="both"/>
        <w:rPr>
          <w:rFonts w:ascii="Times New Roman" w:eastAsia="Times New Roman" w:hAnsi="Times New Roman"/>
          <w:bCs/>
          <w:i/>
          <w:sz w:val="24"/>
          <w:szCs w:val="28"/>
          <w:highlight w:val="yellow"/>
          <w:lang w:eastAsia="ru-RU"/>
        </w:rPr>
      </w:pPr>
    </w:p>
    <w:tbl>
      <w:tblPr>
        <w:tblpPr w:leftFromText="180" w:rightFromText="180" w:vertAnchor="text" w:horzAnchor="margin" w:tblpY="61"/>
        <w:tblW w:w="9615" w:type="dxa"/>
        <w:tblLayout w:type="fixed"/>
        <w:tblLook w:val="04A0" w:firstRow="1" w:lastRow="0" w:firstColumn="1" w:lastColumn="0" w:noHBand="0" w:noVBand="1"/>
      </w:tblPr>
      <w:tblGrid>
        <w:gridCol w:w="4871"/>
        <w:gridCol w:w="4744"/>
      </w:tblGrid>
      <w:tr w:rsidR="002449C2" w14:paraId="6B09B672" w14:textId="77777777">
        <w:trPr>
          <w:trHeight w:val="58"/>
        </w:trPr>
        <w:tc>
          <w:tcPr>
            <w:tcW w:w="4870" w:type="dxa"/>
          </w:tcPr>
          <w:p w14:paraId="2A27F8C3" w14:textId="77777777" w:rsidR="002449C2" w:rsidRDefault="00123961">
            <w:pPr>
              <w:tabs>
                <w:tab w:val="left" w:pos="142"/>
              </w:tabs>
              <w:spacing w:before="120" w:after="120" w:line="240" w:lineRule="auto"/>
              <w:jc w:val="center"/>
              <w:rPr>
                <w:highlight w:val="yellow"/>
                <w:lang w:eastAsia="ru-RU"/>
              </w:rPr>
            </w:pPr>
            <w:r>
              <w:rPr>
                <w:noProof/>
                <w:lang w:eastAsia="ru-RU"/>
              </w:rPr>
              <w:drawing>
                <wp:inline distT="0" distB="0" distL="0" distR="0" wp14:anchorId="132221A3" wp14:editId="1F711719">
                  <wp:extent cx="2840990" cy="1886585"/>
                  <wp:effectExtent l="0" t="0" r="0" b="0"/>
                  <wp:docPr id="25" name="_x005F_x0000_i4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_x005F_x0000_i4408"/>
                          <pic:cNvPicPr>
                            <a:picLocks noChangeAspect="1" noChangeArrowheads="1"/>
                          </pic:cNvPicPr>
                        </pic:nvPicPr>
                        <pic:blipFill>
                          <a:blip r:embed="rId38"/>
                          <a:stretch>
                            <a:fillRect/>
                          </a:stretch>
                        </pic:blipFill>
                        <pic:spPr bwMode="auto">
                          <a:xfrm>
                            <a:off x="0" y="0"/>
                            <a:ext cx="2840990" cy="1886585"/>
                          </a:xfrm>
                          <a:prstGeom prst="rect">
                            <a:avLst/>
                          </a:prstGeom>
                          <a:noFill/>
                        </pic:spPr>
                      </pic:pic>
                    </a:graphicData>
                  </a:graphic>
                </wp:inline>
              </w:drawing>
            </w:r>
          </w:p>
        </w:tc>
        <w:tc>
          <w:tcPr>
            <w:tcW w:w="4744" w:type="dxa"/>
          </w:tcPr>
          <w:p w14:paraId="5A7F115A" w14:textId="77777777" w:rsidR="002449C2" w:rsidRDefault="002449C2">
            <w:pPr>
              <w:spacing w:after="0" w:line="240" w:lineRule="auto"/>
              <w:jc w:val="both"/>
              <w:rPr>
                <w:rFonts w:ascii="Times New Roman" w:eastAsia="Times New Roman" w:hAnsi="Times New Roman"/>
                <w:bCs/>
                <w:i/>
                <w:sz w:val="20"/>
                <w:szCs w:val="20"/>
                <w:highlight w:val="yellow"/>
                <w:lang w:eastAsia="ru-RU"/>
              </w:rPr>
            </w:pPr>
          </w:p>
          <w:p w14:paraId="57C99298" w14:textId="77777777" w:rsidR="002449C2" w:rsidRDefault="00123961">
            <w:pPr>
              <w:tabs>
                <w:tab w:val="left" w:pos="142"/>
              </w:tabs>
              <w:spacing w:before="120" w:after="120" w:line="240" w:lineRule="auto"/>
              <w:jc w:val="center"/>
              <w:rPr>
                <w:rFonts w:ascii="Times New Roman" w:hAnsi="Times New Roman"/>
                <w:i/>
                <w:sz w:val="20"/>
                <w:szCs w:val="20"/>
                <w:lang w:eastAsia="ru-RU"/>
              </w:rPr>
            </w:pPr>
            <w:r>
              <w:rPr>
                <w:rFonts w:ascii="Times New Roman" w:eastAsia="Times New Roman" w:hAnsi="Times New Roman"/>
                <w:bCs/>
                <w:i/>
                <w:sz w:val="20"/>
                <w:szCs w:val="20"/>
                <w:lang w:eastAsia="ru-RU"/>
              </w:rPr>
              <w:t>В Чернышковском районе Волгоградской области открылся новый фельдшерско-акушерский пункт (ФАП), который подключили к электросетям специалисты «Россети Юг».</w:t>
            </w:r>
            <w:r>
              <w:rPr>
                <w:rFonts w:ascii="Times New Roman" w:eastAsia="Times New Roman" w:hAnsi="Times New Roman"/>
                <w:bCs/>
                <w:i/>
                <w:sz w:val="20"/>
                <w:szCs w:val="20"/>
                <w:lang w:eastAsia="ru-RU"/>
              </w:rPr>
              <w:br w:type="textWrapping" w:clear="all"/>
              <w:t xml:space="preserve">Новый ФАП в хуторе Сизов, где проживают 750 человек, построили по нацпроекту «Здравоохранение» взамен устаревшего. Теперь хуторяне могут получать качественную первичную медицинскую помощь, не выезжая за 30 километров в районный центр. </w:t>
            </w:r>
            <w:r>
              <w:rPr>
                <w:rFonts w:ascii="Times New Roman" w:eastAsia="Times New Roman" w:hAnsi="Times New Roman"/>
                <w:bCs/>
                <w:i/>
                <w:sz w:val="20"/>
                <w:szCs w:val="20"/>
                <w:lang w:eastAsia="ru-RU"/>
              </w:rPr>
              <w:br/>
            </w:r>
          </w:p>
        </w:tc>
      </w:tr>
    </w:tbl>
    <w:p w14:paraId="6EA91C76"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27" w:name="_Toc195174916"/>
      <w:bookmarkStart w:id="28" w:name="_Toc536544492"/>
      <w:bookmarkStart w:id="29" w:name="_Toc196143008"/>
      <w:r>
        <w:rPr>
          <w:rFonts w:ascii="Times New Roman" w:eastAsia="Times New Roman" w:hAnsi="Times New Roman"/>
          <w:caps/>
          <w:color w:val="632423"/>
          <w:spacing w:val="15"/>
          <w:sz w:val="24"/>
          <w:szCs w:val="24"/>
          <w:lang w:eastAsia="en-US" w:bidi="en-US"/>
        </w:rPr>
        <w:t>Основные конкуренты Общества</w:t>
      </w:r>
      <w:bookmarkEnd w:id="27"/>
      <w:bookmarkEnd w:id="28"/>
      <w:bookmarkEnd w:id="29"/>
      <w:r>
        <w:rPr>
          <w:rFonts w:ascii="Times New Roman" w:eastAsia="Times New Roman" w:hAnsi="Times New Roman"/>
          <w:caps/>
          <w:color w:val="632423"/>
          <w:spacing w:val="15"/>
          <w:sz w:val="24"/>
          <w:szCs w:val="24"/>
          <w:lang w:eastAsia="en-US" w:bidi="en-US"/>
        </w:rPr>
        <w:t xml:space="preserve"> </w:t>
      </w:r>
    </w:p>
    <w:p w14:paraId="68B5CE2E" w14:textId="77777777" w:rsidR="002449C2" w:rsidRDefault="00123961">
      <w:pPr>
        <w:shd w:val="clear" w:color="auto" w:fill="FFFFFF"/>
        <w:tabs>
          <w:tab w:val="left" w:pos="567"/>
          <w:tab w:val="left" w:pos="993"/>
          <w:tab w:val="left" w:pos="1418"/>
        </w:tabs>
        <w:spacing w:after="0" w:line="240" w:lineRule="auto"/>
        <w:ind w:firstLine="567"/>
        <w:contextualSpacing/>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Конкурентами Общества выступают относительно небольшие ТСО на территории присутствия. Следует отметить, что наименее крупные из них располагаются локально, привязаны к определенным муниципальным образованиям и не оказывают существенного влияния на деятельность эмитента. Среди наиболее значимых конкурентов Общества можно назвать АО «Донэнерго» на территории Ростовской области, МУП г. Астрахани «Горэлектросеть» в Астраханской области, ПАО «Волгоградоблэлектро» в Волгоградской области за счет территории охвата и единого уровня тарифов по технологическому присоединению. Однако в силу сложившегося разграничения территориальной ответственности ТСО в части предоставления услуг, в том числе по технологическому присоединению потребителей, указанные выше компании имеют крайне ограниченное рыночное влияние.</w:t>
      </w:r>
    </w:p>
    <w:p w14:paraId="21B3A988" w14:textId="77777777" w:rsidR="002449C2" w:rsidRDefault="00123961">
      <w:pPr>
        <w:shd w:val="clear" w:color="auto" w:fill="FFFFFF"/>
        <w:tabs>
          <w:tab w:val="left" w:pos="567"/>
          <w:tab w:val="left" w:pos="993"/>
          <w:tab w:val="left" w:pos="1418"/>
        </w:tabs>
        <w:spacing w:after="0" w:line="240" w:lineRule="auto"/>
        <w:ind w:firstLine="567"/>
        <w:contextualSpacing/>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Кроме того, на фондовом рынке для оценки привлекательности инвестиций в акции ПАО «Россети Юг» Компанию как правило сравнивают с другими МРСК, хотя компании физически не являются конкурентами и, более того, являются дочерними обществами ПАО «Россети».</w:t>
      </w:r>
    </w:p>
    <w:p w14:paraId="047B92B0"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30" w:name="_Toc536544501"/>
      <w:bookmarkStart w:id="31" w:name="_Toc195174917"/>
      <w:bookmarkStart w:id="32" w:name="_Toc196143009"/>
      <w:r>
        <w:rPr>
          <w:rFonts w:ascii="Times New Roman" w:eastAsia="Times New Roman" w:hAnsi="Times New Roman"/>
          <w:caps/>
          <w:color w:val="632423"/>
          <w:spacing w:val="15"/>
          <w:sz w:val="24"/>
          <w:szCs w:val="24"/>
          <w:lang w:eastAsia="en-US" w:bidi="en-US"/>
        </w:rPr>
        <w:t>Макроэкономические тренды отчетного года</w:t>
      </w:r>
      <w:bookmarkEnd w:id="30"/>
      <w:bookmarkEnd w:id="31"/>
      <w:bookmarkEnd w:id="32"/>
    </w:p>
    <w:p w14:paraId="13B719F8" w14:textId="77777777" w:rsidR="002449C2" w:rsidRDefault="00123961">
      <w:pPr>
        <w:shd w:val="clear" w:color="auto" w:fill="FFFFFF"/>
        <w:tabs>
          <w:tab w:val="left" w:pos="567"/>
          <w:tab w:val="left" w:pos="993"/>
          <w:tab w:val="left" w:pos="1418"/>
        </w:tabs>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Компания осуществляет свою деятельность в энергетической отрасли экономики Российской Федерации, включающей в себя комплекс экономических отношений, возникающих в процессе производства, передачи и сбыта электроэнергии потребителям.</w:t>
      </w:r>
    </w:p>
    <w:p w14:paraId="726C0320" w14:textId="77777777" w:rsidR="002449C2" w:rsidRDefault="00123961">
      <w:pPr>
        <w:spacing w:after="0" w:line="240" w:lineRule="auto"/>
        <w:ind w:firstLine="567"/>
        <w:jc w:val="center"/>
        <w:rPr>
          <w:rFonts w:ascii="Times New Roman" w:eastAsia="Times New Roman" w:hAnsi="Times New Roman"/>
          <w:i/>
          <w:lang w:eastAsia="ru-RU"/>
        </w:rPr>
      </w:pPr>
      <w:r>
        <w:rPr>
          <w:rFonts w:ascii="Times New Roman" w:eastAsia="Times New Roman" w:hAnsi="Times New Roman"/>
          <w:i/>
          <w:lang w:eastAsia="ru-RU"/>
        </w:rPr>
        <w:t>Общая оценка состояния и тенденции развития энергетики Российской Федерации в соответствии с Энергетической стратегией Российской Федерации на период до 2035 года, утвержденной Распоряжением Правительства от 09.06.2020 № 1523-р:</w:t>
      </w:r>
    </w:p>
    <w:p w14:paraId="34C0E022" w14:textId="77777777" w:rsidR="002449C2" w:rsidRDefault="00123961">
      <w:pPr>
        <w:shd w:val="clear" w:color="auto" w:fill="FFFFFF"/>
        <w:tabs>
          <w:tab w:val="left" w:pos="567"/>
          <w:tab w:val="left" w:pos="993"/>
          <w:tab w:val="left" w:pos="1418"/>
        </w:tabs>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Общими принципами организации экономических отношений и основами государственной политики в сфере электроэнергетики являются:</w:t>
      </w:r>
    </w:p>
    <w:p w14:paraId="6663356B" w14:textId="77777777" w:rsidR="002449C2" w:rsidRDefault="00123961">
      <w:pPr>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обеспечение энергетической безопасности Российской Федерации;</w:t>
      </w:r>
    </w:p>
    <w:p w14:paraId="07052523" w14:textId="77777777" w:rsidR="002449C2" w:rsidRDefault="00123961">
      <w:pPr>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технологическое единство электроэнергетики;</w:t>
      </w:r>
    </w:p>
    <w:p w14:paraId="6B6E6C54" w14:textId="77777777" w:rsidR="002449C2" w:rsidRDefault="00123961">
      <w:pPr>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обеспечение бесперебойного и надежного функционирования электроэнергетики в целях удовлетворения спроса на электрическую энергию потребителей, обеспечивающих надлежащее исполнение своих обязанностей перед субъектами электроэнергетики и др.</w:t>
      </w:r>
    </w:p>
    <w:p w14:paraId="063ED0B3" w14:textId="77777777" w:rsidR="002449C2" w:rsidRDefault="00123961">
      <w:pPr>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В целях стабилизации цен на социально значимые товары Правительством Российской Федерации принят ряд мер, направленных на обеспечение баланса соответствующих рынков: заключены соглашения с производителями и торговыми сетями, введены программы субсидирования, реализованы отдельные внешнеторговые меры.</w:t>
      </w:r>
    </w:p>
    <w:p w14:paraId="32D91202" w14:textId="77777777" w:rsidR="002449C2" w:rsidRDefault="00123961">
      <w:pPr>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Наряду с общими для топливно-энергетического комплекса проблемами отраслевыми факторами риска в электроэнергетике являются низкая платежная дисциплина потребителей на розничном рынке электрической энергии и несовершенство действующей модели отношений и ценообразования в сфере энергоснабжения.</w:t>
      </w:r>
      <w:r>
        <w:br w:type="page"/>
      </w:r>
    </w:p>
    <w:p w14:paraId="4C94AC4B" w14:textId="77777777" w:rsidR="002449C2" w:rsidRDefault="00123961">
      <w:pPr>
        <w:spacing w:after="120" w:line="240" w:lineRule="auto"/>
        <w:ind w:firstLine="567"/>
        <w:jc w:val="center"/>
        <w:rPr>
          <w:rFonts w:ascii="Times New Roman" w:eastAsia="Times New Roman" w:hAnsi="Times New Roman"/>
          <w:i/>
          <w:color w:val="00B0F0"/>
          <w:lang w:eastAsia="ru-RU"/>
        </w:rPr>
      </w:pPr>
      <w:r>
        <w:rPr>
          <w:rFonts w:ascii="Times New Roman" w:eastAsia="Times New Roman" w:hAnsi="Times New Roman"/>
          <w:i/>
          <w:color w:val="00B0F0"/>
          <w:lang w:eastAsia="ru-RU"/>
        </w:rPr>
        <w:t>Факторы, определяющие состояние экономики России в целом и оказывающие влияние на электроэнергетику</w:t>
      </w:r>
    </w:p>
    <w:p w14:paraId="7EA2A3B7" w14:textId="77777777" w:rsidR="002449C2" w:rsidRDefault="00123961">
      <w:pPr>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Выработка электроэнергии электростанциями ЕЭС России в 2024 году составила 1 180,7 млрд кВт∙ч, что выше уровня 2023 года на 4,1%. Объем потребления электроэнергии в рамках ЕЭС России в 2024 году составил 1 174,1 млрд кВт∙ч., что выше уровня 2023 года на 4,7 %.</w:t>
      </w:r>
    </w:p>
    <w:p w14:paraId="406FA7F4" w14:textId="77777777" w:rsidR="002449C2" w:rsidRDefault="00123961">
      <w:pPr>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По итогам 2024 года среднегодовой индекс потребительских цен составил 108,5%, по итогу 2023 года -105,9%. Уровень инфляции в целом за 2024 год достиг 9,52%, по итогу 2023 года 7,42%. В 2025 году регулятор прогнозирует темпы роста цен на уровне 7,0%.</w:t>
      </w:r>
    </w:p>
    <w:p w14:paraId="168B1AE1" w14:textId="77777777" w:rsidR="002449C2" w:rsidRDefault="00123961">
      <w:pPr>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Объем ВВП России за 2024 год, составил 200 трлн рублей. Индекс физического объема ВВП относительно 2023 года – 104,1%. Индекс-дефлятор ВВП за 2024 год по отношению к ценам 2023 года составил 108,9%. Индекс промышленного производства в 2024 году по сравнению с 2023 годом составил 104,6%. </w:t>
      </w:r>
    </w:p>
    <w:p w14:paraId="7192D80B" w14:textId="77777777" w:rsidR="002449C2" w:rsidRDefault="00123961">
      <w:pPr>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Другим фактором, определяющим состояние экономики России в целом и оказывающим влияние на электроэнергетику, является уровень Ключевой ставки Банка России, рост которой за 2024 год составил 5 пунктов, с 16% на 01.01.2024 до 21% на 31.12.2024.</w:t>
      </w:r>
    </w:p>
    <w:p w14:paraId="29770194" w14:textId="77777777" w:rsidR="002449C2" w:rsidRDefault="00123961">
      <w:pPr>
        <w:spacing w:after="0" w:line="240" w:lineRule="auto"/>
        <w:ind w:firstLine="709"/>
        <w:jc w:val="center"/>
        <w:rPr>
          <w:rFonts w:ascii="Times New Roman" w:eastAsia="Times New Roman" w:hAnsi="Times New Roman"/>
          <w:i/>
          <w:color w:val="00B0F0"/>
          <w:lang w:eastAsia="en-US"/>
        </w:rPr>
      </w:pPr>
      <w:r>
        <w:rPr>
          <w:rFonts w:ascii="Times New Roman" w:eastAsia="Times New Roman" w:hAnsi="Times New Roman"/>
          <w:i/>
          <w:color w:val="00B0F0"/>
          <w:lang w:eastAsia="en-US"/>
        </w:rPr>
        <w:t>Прогноз обеспечения устойчивости развития экономике и отрасли электроэнергетики в 2025 году</w:t>
      </w:r>
    </w:p>
    <w:p w14:paraId="55844DAD" w14:textId="77777777" w:rsidR="002449C2" w:rsidRDefault="00123961">
      <w:pPr>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xml:space="preserve">В рамках прогноза социально-экономического развития на 2025–2027 годы Минэкономразвития России учтены следующие тенденции: </w:t>
      </w:r>
    </w:p>
    <w:p w14:paraId="4FA4C78E" w14:textId="77777777" w:rsidR="002449C2" w:rsidRDefault="00123961">
      <w:pPr>
        <w:numPr>
          <w:ilvl w:val="0"/>
          <w:numId w:val="59"/>
        </w:numPr>
        <w:spacing w:after="0" w:line="240" w:lineRule="auto"/>
        <w:ind w:left="57" w:firstLine="0"/>
        <w:contextualSpacing/>
        <w:jc w:val="both"/>
        <w:rPr>
          <w:rFonts w:ascii="Times New Roman" w:hAnsi="Times New Roman"/>
          <w:sz w:val="26"/>
          <w:szCs w:val="26"/>
          <w:lang w:eastAsia="en-US"/>
        </w:rPr>
      </w:pPr>
      <w:r>
        <w:rPr>
          <w:rFonts w:ascii="Times New Roman" w:hAnsi="Times New Roman"/>
          <w:sz w:val="26"/>
          <w:szCs w:val="26"/>
          <w:lang w:eastAsia="en-US"/>
        </w:rPr>
        <w:t xml:space="preserve">более высокий уровень мировых цен на нефть, по сравнению с уровнем, прогнозируемым весной 2024 года; </w:t>
      </w:r>
    </w:p>
    <w:p w14:paraId="7F886707" w14:textId="77777777" w:rsidR="002449C2" w:rsidRDefault="00123961">
      <w:pPr>
        <w:numPr>
          <w:ilvl w:val="0"/>
          <w:numId w:val="59"/>
        </w:numPr>
        <w:spacing w:after="0" w:line="240" w:lineRule="auto"/>
        <w:ind w:left="57" w:firstLine="0"/>
        <w:contextualSpacing/>
        <w:jc w:val="both"/>
        <w:rPr>
          <w:rFonts w:ascii="Times New Roman" w:hAnsi="Times New Roman"/>
          <w:sz w:val="26"/>
          <w:szCs w:val="26"/>
          <w:lang w:eastAsia="en-US"/>
        </w:rPr>
      </w:pPr>
      <w:r>
        <w:rPr>
          <w:rFonts w:ascii="Times New Roman" w:hAnsi="Times New Roman"/>
          <w:sz w:val="26"/>
          <w:szCs w:val="26"/>
          <w:lang w:eastAsia="en-US"/>
        </w:rPr>
        <w:t xml:space="preserve">ослабление рубля по отношению к иностранным валютам; </w:t>
      </w:r>
    </w:p>
    <w:p w14:paraId="2EE56C95" w14:textId="77777777" w:rsidR="002449C2" w:rsidRDefault="00123961">
      <w:pPr>
        <w:numPr>
          <w:ilvl w:val="0"/>
          <w:numId w:val="59"/>
        </w:numPr>
        <w:spacing w:after="0" w:line="240" w:lineRule="auto"/>
        <w:ind w:left="57" w:firstLine="0"/>
        <w:contextualSpacing/>
        <w:jc w:val="both"/>
        <w:rPr>
          <w:rFonts w:ascii="Times New Roman" w:hAnsi="Times New Roman"/>
          <w:sz w:val="26"/>
          <w:szCs w:val="26"/>
          <w:lang w:eastAsia="en-US"/>
        </w:rPr>
      </w:pPr>
      <w:r>
        <w:rPr>
          <w:rFonts w:ascii="Times New Roman" w:hAnsi="Times New Roman"/>
          <w:sz w:val="26"/>
          <w:szCs w:val="26"/>
          <w:lang w:eastAsia="en-US"/>
        </w:rPr>
        <w:t xml:space="preserve">конкуренция за кадры на рынке труда и связанный с этим рост заработных плат и денежных доходов населения; </w:t>
      </w:r>
    </w:p>
    <w:p w14:paraId="32835F7B" w14:textId="77777777" w:rsidR="002449C2" w:rsidRDefault="00123961">
      <w:pPr>
        <w:numPr>
          <w:ilvl w:val="0"/>
          <w:numId w:val="59"/>
        </w:numPr>
        <w:spacing w:after="0" w:line="240" w:lineRule="auto"/>
        <w:ind w:left="57" w:firstLine="0"/>
        <w:contextualSpacing/>
        <w:jc w:val="both"/>
        <w:rPr>
          <w:rFonts w:ascii="Times New Roman" w:hAnsi="Times New Roman"/>
          <w:sz w:val="26"/>
          <w:szCs w:val="26"/>
          <w:lang w:eastAsia="en-US"/>
        </w:rPr>
      </w:pPr>
      <w:r>
        <w:rPr>
          <w:rFonts w:ascii="Times New Roman" w:hAnsi="Times New Roman"/>
          <w:sz w:val="26"/>
          <w:szCs w:val="26"/>
          <w:lang w:eastAsia="en-US"/>
        </w:rPr>
        <w:t xml:space="preserve">сохранение высокой инвестиционной активности; </w:t>
      </w:r>
    </w:p>
    <w:p w14:paraId="74F2B2DE" w14:textId="77777777" w:rsidR="002449C2" w:rsidRDefault="00123961">
      <w:pPr>
        <w:numPr>
          <w:ilvl w:val="0"/>
          <w:numId w:val="59"/>
        </w:numPr>
        <w:spacing w:after="0" w:line="240" w:lineRule="auto"/>
        <w:ind w:left="57" w:firstLine="0"/>
        <w:contextualSpacing/>
        <w:jc w:val="both"/>
        <w:rPr>
          <w:rFonts w:ascii="Times New Roman" w:hAnsi="Times New Roman"/>
          <w:sz w:val="26"/>
          <w:szCs w:val="26"/>
          <w:lang w:eastAsia="en-US"/>
        </w:rPr>
      </w:pPr>
      <w:r>
        <w:rPr>
          <w:rFonts w:ascii="Times New Roman" w:hAnsi="Times New Roman"/>
          <w:sz w:val="26"/>
          <w:szCs w:val="26"/>
          <w:lang w:eastAsia="en-US"/>
        </w:rPr>
        <w:t xml:space="preserve">опережающий рост выпуска обрабатывающей промышленности, в основном за счет отраслей, ориентированных на внутренний спрос (как потребительский, так и инвестиционный). </w:t>
      </w:r>
    </w:p>
    <w:p w14:paraId="1DC4EFE7" w14:textId="77777777" w:rsidR="002449C2" w:rsidRDefault="00123961">
      <w:pPr>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xml:space="preserve">Как следствие, были улучшены оценки роста ВВП и ряда его компонентов на прогнозный период. При этом оценки накопленного роста ВВП за 2024–2027 годы выросли до 12,5 % (10,3 % в сценарных условиях). </w:t>
      </w:r>
    </w:p>
    <w:p w14:paraId="27343122" w14:textId="77777777" w:rsidR="002449C2" w:rsidRDefault="00123961">
      <w:pPr>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При разработке прогноза учитывалась необходимость достижения целевых показателей и задач, определенных Указом Президента Российской Федерации от 07.05.2024 № 309 «О национальных целях развития Российской Федерации на период до 2030 года и на перспективу до 2036 года» (далее – Указ № 309), и реализация новых национальных проектов.</w:t>
      </w:r>
    </w:p>
    <w:p w14:paraId="184DB261" w14:textId="77777777" w:rsidR="002449C2" w:rsidRDefault="00123961">
      <w:pPr>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xml:space="preserve">Основным драйвером экономического роста выступит внутренний спрос, как потребительский, так и инвестиционный, удовлетворение которого будет реализовываться за счет развития экономики предложения и последовательного достижения показателей Указа № 309. На период 2025–2027 годов прогнозируется рост инвестиций в основной капитал в среднем на уровне 2,1-3,3 % в год после высокой базы 2021-2024 годов. Инвестиционная активность обеспечит рост объемов предложения отечественных товаров и позволит в среднесрочном периоде удовлетворять растущий потребительский спрос. </w:t>
      </w:r>
    </w:p>
    <w:p w14:paraId="77C10296" w14:textId="77777777" w:rsidR="002449C2" w:rsidRDefault="00123961">
      <w:pPr>
        <w:spacing w:after="0" w:line="240" w:lineRule="auto"/>
        <w:jc w:val="both"/>
      </w:pPr>
      <w:r>
        <w:rPr>
          <w:rFonts w:ascii="Times New Roman" w:eastAsia="Times New Roman" w:hAnsi="Times New Roman"/>
          <w:i/>
          <w:sz w:val="20"/>
          <w:szCs w:val="20"/>
          <w:lang w:eastAsia="ar-SA"/>
        </w:rPr>
        <w:t>Использованы данные сайта Росстата</w:t>
      </w:r>
    </w:p>
    <w:p w14:paraId="428D1C0B" w14:textId="77777777" w:rsidR="002449C2" w:rsidRDefault="00123961">
      <w:pPr>
        <w:spacing w:after="0" w:line="240" w:lineRule="auto"/>
        <w:jc w:val="both"/>
        <w:rPr>
          <w:rFonts w:ascii="Times New Roman" w:eastAsia="Times New Roman" w:hAnsi="Times New Roman"/>
          <w:i/>
          <w:sz w:val="20"/>
          <w:szCs w:val="20"/>
          <w:u w:val="single"/>
          <w:lang w:eastAsia="ar-SA"/>
        </w:rPr>
      </w:pPr>
      <w:r>
        <w:rPr>
          <w:rFonts w:ascii="Times New Roman" w:eastAsia="Times New Roman" w:hAnsi="Times New Roman"/>
          <w:i/>
          <w:sz w:val="20"/>
          <w:szCs w:val="20"/>
          <w:u w:val="single"/>
          <w:lang w:eastAsia="ar-SA"/>
        </w:rPr>
        <w:t>https://bi.gks.ru/biportal/contourbi.jsp?allsol=1&amp;solution=Dashboard&amp;project=%2FDashboard%2FPrices</w:t>
      </w:r>
    </w:p>
    <w:p w14:paraId="3A79AD09" w14:textId="77777777" w:rsidR="002449C2" w:rsidRDefault="00123961">
      <w:pPr>
        <w:spacing w:after="0" w:line="240" w:lineRule="auto"/>
        <w:rPr>
          <w:rFonts w:ascii="Times New Roman" w:hAnsi="Times New Roman"/>
          <w:sz w:val="20"/>
          <w:szCs w:val="20"/>
        </w:rPr>
      </w:pPr>
      <w:r>
        <w:rPr>
          <w:rFonts w:ascii="Times New Roman" w:eastAsia="Times New Roman" w:hAnsi="Times New Roman"/>
          <w:i/>
          <w:sz w:val="20"/>
          <w:szCs w:val="20"/>
          <w:lang w:eastAsia="ar-SA"/>
        </w:rPr>
        <w:t xml:space="preserve">Использованы данные сайта Минэкономразвития России </w:t>
      </w:r>
      <w:hyperlink r:id="rId39">
        <w:r>
          <w:rPr>
            <w:rFonts w:ascii="Times New Roman" w:hAnsi="Times New Roman"/>
            <w:sz w:val="20"/>
            <w:szCs w:val="20"/>
            <w:u w:val="single"/>
          </w:rPr>
          <w:t>https://www.economy.gov.ru/material/file/310e9066d0eb87e73dd0525ef6d4191e/prognoz_socialno_ekonomicheskogo_razvitiya_rf_2024-2026.pdf</w:t>
        </w:r>
      </w:hyperlink>
    </w:p>
    <w:p w14:paraId="68F00058" w14:textId="77777777" w:rsidR="002449C2" w:rsidRDefault="00123961">
      <w:pPr>
        <w:tabs>
          <w:tab w:val="left" w:pos="7118"/>
        </w:tabs>
        <w:spacing w:after="0" w:line="240" w:lineRule="auto"/>
        <w:jc w:val="both"/>
        <w:rPr>
          <w:rFonts w:ascii="Times New Roman" w:eastAsia="Times New Roman" w:hAnsi="Times New Roman"/>
          <w:i/>
          <w:sz w:val="20"/>
          <w:szCs w:val="20"/>
          <w:u w:val="single"/>
          <w:lang w:eastAsia="ar-SA"/>
        </w:rPr>
      </w:pPr>
      <w:r>
        <w:rPr>
          <w:rFonts w:ascii="Times New Roman" w:eastAsia="Times New Roman" w:hAnsi="Times New Roman"/>
          <w:i/>
          <w:sz w:val="20"/>
          <w:szCs w:val="20"/>
          <w:lang w:eastAsia="ar-SA"/>
        </w:rPr>
        <w:t>Использованы данные сайта Банка России</w:t>
      </w:r>
      <w:r>
        <w:rPr>
          <w:rFonts w:ascii="Times New Roman" w:eastAsia="Times New Roman" w:hAnsi="Times New Roman"/>
          <w:i/>
          <w:sz w:val="20"/>
          <w:szCs w:val="20"/>
          <w:u w:val="single"/>
          <w:lang w:eastAsia="ar-SA"/>
        </w:rPr>
        <w:t xml:space="preserve"> https://cbr.ru/statistics/ddkp/mo_br/</w:t>
      </w:r>
    </w:p>
    <w:p w14:paraId="5A4A1426" w14:textId="77777777" w:rsidR="002449C2" w:rsidRDefault="00123961">
      <w:pPr>
        <w:spacing w:after="0" w:line="240" w:lineRule="auto"/>
        <w:jc w:val="both"/>
        <w:rPr>
          <w:rFonts w:ascii="Times New Roman" w:eastAsia="Times New Roman" w:hAnsi="Times New Roman"/>
          <w:i/>
          <w:sz w:val="20"/>
          <w:szCs w:val="20"/>
          <w:u w:val="single"/>
          <w:lang w:eastAsia="ar-SA"/>
        </w:rPr>
      </w:pPr>
      <w:r>
        <w:rPr>
          <w:rFonts w:ascii="Times New Roman" w:eastAsia="Times New Roman" w:hAnsi="Times New Roman"/>
          <w:i/>
          <w:sz w:val="20"/>
          <w:szCs w:val="20"/>
          <w:u w:val="single"/>
          <w:lang w:eastAsia="ar-SA"/>
        </w:rPr>
        <w:t>https://cbr.ru/hd_base/KeyRate/</w:t>
      </w:r>
    </w:p>
    <w:p w14:paraId="66F3CA06" w14:textId="77777777" w:rsidR="002449C2" w:rsidRDefault="00123961">
      <w:pPr>
        <w:spacing w:after="0" w:line="240" w:lineRule="auto"/>
        <w:jc w:val="both"/>
        <w:rPr>
          <w:rFonts w:ascii="Times New Roman" w:hAnsi="Times New Roman"/>
          <w:sz w:val="20"/>
          <w:szCs w:val="20"/>
        </w:rPr>
      </w:pPr>
      <w:r>
        <w:rPr>
          <w:rFonts w:ascii="Times New Roman" w:eastAsia="Times New Roman" w:hAnsi="Times New Roman"/>
          <w:i/>
          <w:sz w:val="20"/>
          <w:szCs w:val="20"/>
          <w:lang w:eastAsia="ar-SA"/>
        </w:rPr>
        <w:t>Использованы данные сайта АО «Системный оператор Единой энергетической системы</w:t>
      </w:r>
      <w:r>
        <w:rPr>
          <w:rFonts w:ascii="Times New Roman" w:hAnsi="Times New Roman"/>
          <w:sz w:val="20"/>
          <w:szCs w:val="20"/>
        </w:rPr>
        <w:t xml:space="preserve"> </w:t>
      </w:r>
    </w:p>
    <w:p w14:paraId="319A2850" w14:textId="77777777" w:rsidR="002449C2" w:rsidRDefault="00123961">
      <w:pPr>
        <w:spacing w:after="0" w:line="240" w:lineRule="auto"/>
        <w:jc w:val="both"/>
        <w:rPr>
          <w:rFonts w:ascii="Times New Roman" w:eastAsia="Times New Roman" w:hAnsi="Times New Roman"/>
          <w:i/>
          <w:sz w:val="20"/>
          <w:szCs w:val="20"/>
          <w:lang w:eastAsia="ar-SA"/>
        </w:rPr>
      </w:pPr>
      <w:r>
        <w:rPr>
          <w:rFonts w:ascii="Times New Roman" w:eastAsia="Times New Roman" w:hAnsi="Times New Roman"/>
          <w:i/>
          <w:sz w:val="20"/>
          <w:szCs w:val="20"/>
          <w:lang w:eastAsia="ar-SA"/>
        </w:rPr>
        <w:t>https://www.so-ups.ru/fileadmin/files/company/reports/disclosure/2025/ups_rep2024</w:t>
      </w:r>
    </w:p>
    <w:p w14:paraId="020960A1" w14:textId="77777777" w:rsidR="002449C2" w:rsidRDefault="00123961">
      <w:pPr>
        <w:spacing w:after="0" w:line="240" w:lineRule="auto"/>
        <w:jc w:val="both"/>
        <w:rPr>
          <w:rFonts w:ascii="Times New Roman" w:hAnsi="Times New Roman"/>
          <w:sz w:val="20"/>
          <w:szCs w:val="20"/>
          <w:u w:val="single"/>
        </w:rPr>
      </w:pPr>
      <w:r>
        <w:rPr>
          <w:rFonts w:ascii="Times New Roman" w:hAnsi="Times New Roman"/>
          <w:sz w:val="20"/>
          <w:szCs w:val="20"/>
          <w:u w:val="single"/>
        </w:rPr>
        <w:t>https://cbr.ru/analytics/dkp/inflationary_expectations/Infl_exp_25-03</w:t>
      </w:r>
    </w:p>
    <w:p w14:paraId="3CCCB29E" w14:textId="77777777" w:rsidR="002449C2" w:rsidRDefault="00123961">
      <w:pPr>
        <w:rPr>
          <w:rFonts w:ascii="Times New Roman" w:hAnsi="Times New Roman"/>
          <w:sz w:val="20"/>
          <w:szCs w:val="20"/>
        </w:rPr>
      </w:pPr>
      <w:r>
        <w:rPr>
          <w:rFonts w:ascii="Times New Roman" w:hAnsi="Times New Roman"/>
          <w:sz w:val="20"/>
          <w:szCs w:val="20"/>
        </w:rPr>
        <w:t>https://rosstat.gov.ru/storage/mediabank/1_15-01-2025.html</w:t>
      </w:r>
    </w:p>
    <w:p w14:paraId="13ED1EBC"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6"/>
          <w:szCs w:val="26"/>
          <w:lang w:eastAsia="en-US" w:bidi="en-US"/>
        </w:rPr>
      </w:pPr>
      <w:bookmarkStart w:id="33" w:name="_Toc33542749"/>
      <w:bookmarkStart w:id="34" w:name="_Toc195174918"/>
      <w:bookmarkStart w:id="35" w:name="_Toc196143010"/>
      <w:r>
        <w:rPr>
          <w:rFonts w:ascii="Times New Roman" w:eastAsia="Times New Roman" w:hAnsi="Times New Roman"/>
          <w:caps/>
          <w:color w:val="632423"/>
          <w:spacing w:val="15"/>
          <w:sz w:val="26"/>
          <w:szCs w:val="26"/>
          <w:lang w:eastAsia="en-US" w:bidi="en-US"/>
        </w:rPr>
        <w:t>Положение Компании в отрасли</w:t>
      </w:r>
      <w:bookmarkEnd w:id="33"/>
      <w:bookmarkEnd w:id="34"/>
      <w:bookmarkEnd w:id="35"/>
    </w:p>
    <w:p w14:paraId="0AC0D9C8" w14:textId="77777777" w:rsidR="002449C2" w:rsidRDefault="00123961">
      <w:pPr>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ПАО «Россети Юг» объединяет распределительные сетевые комплексы субъектов Южного федерального округа Российской Федерации: Республики Калмыкия, Астраханской, Волгоградской, Ростовской областей и осуществляет следующие основные виды деятельности:</w:t>
      </w:r>
    </w:p>
    <w:p w14:paraId="236F8C13" w14:textId="77777777" w:rsidR="002449C2" w:rsidRDefault="00123961">
      <w:pPr>
        <w:numPr>
          <w:ilvl w:val="0"/>
          <w:numId w:val="8"/>
        </w:numPr>
        <w:tabs>
          <w:tab w:val="left" w:pos="142"/>
          <w:tab w:val="left" w:pos="426"/>
          <w:tab w:val="left" w:pos="993"/>
        </w:tabs>
        <w:spacing w:after="0" w:line="240" w:lineRule="auto"/>
        <w:ind w:left="993" w:hanging="426"/>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возмездное оказание услуг по передаче электрической энергии, которое обеспечивается комплексом организационно и технологически связанных действий, в том числе по оперативно-технологическому управлению; </w:t>
      </w:r>
    </w:p>
    <w:p w14:paraId="095D7425" w14:textId="77777777" w:rsidR="002449C2" w:rsidRDefault="00123961">
      <w:pPr>
        <w:numPr>
          <w:ilvl w:val="0"/>
          <w:numId w:val="8"/>
        </w:numPr>
        <w:tabs>
          <w:tab w:val="left" w:pos="142"/>
          <w:tab w:val="left" w:pos="426"/>
          <w:tab w:val="left" w:pos="993"/>
        </w:tabs>
        <w:spacing w:after="0" w:line="240" w:lineRule="auto"/>
        <w:ind w:left="993" w:hanging="426"/>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оказание услуг по технологическому присоединению энергопринимающих устройств (энергетических установок) юридических и физических лиц к электрическим сетям Общества;</w:t>
      </w:r>
    </w:p>
    <w:p w14:paraId="613D6E9B" w14:textId="77777777" w:rsidR="002449C2" w:rsidRDefault="00123961">
      <w:pPr>
        <w:numPr>
          <w:ilvl w:val="0"/>
          <w:numId w:val="8"/>
        </w:numPr>
        <w:tabs>
          <w:tab w:val="left" w:pos="142"/>
          <w:tab w:val="left" w:pos="426"/>
          <w:tab w:val="left" w:pos="993"/>
        </w:tabs>
        <w:spacing w:after="0" w:line="240" w:lineRule="auto"/>
        <w:ind w:left="993" w:hanging="426"/>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ремонтно-эксплуатационная деятельность.</w:t>
      </w:r>
    </w:p>
    <w:p w14:paraId="0CC90EDF" w14:textId="77777777" w:rsidR="002449C2" w:rsidRDefault="00123961">
      <w:pPr>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Приказом Федеральной службы по тарифам от 16.06.2008 № 208-э Общество включено в реестр субъектов естественных монополий в топливно-энергетическом комплексе, в отношении которых осуществляется государственное регулирование и контроль путем установления тарифов на оказание услуг по передаче электроэнергии и услуг по технологическому присоединению потребителей к электрическим сетям Общества.</w:t>
      </w:r>
    </w:p>
    <w:p w14:paraId="184C3D55"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связи с вступлением в силу Федерального Закона от 13.07.2024 ФЗ № 185-ФЗ «О внесении изменений в Федеральный закон «Об электроэнергетике» и отдельные законодательные акты Российской Федерации» (далее – ФЗ № 185), а также иных законодательных актов Российской Федерации, ПАО «Россети Юг» с 01.01.2025 осуществляет деятельность в качестве системообразующей территориальной сетевой организации (далее – СТСО). С 2025 года ПАО «Россети Юг» выполняет функцию СТСО в 4-х регионах присутствия (в филиалах «Астраханьэнерго», «Волгоградэнерго», «Калмэнерго» и Ростовэнерго») на срок с 2025 по 2029 год. </w:t>
      </w:r>
    </w:p>
    <w:tbl>
      <w:tblPr>
        <w:tblW w:w="9355" w:type="dxa"/>
        <w:tblLayout w:type="fixed"/>
        <w:tblLook w:val="04A0" w:firstRow="1" w:lastRow="0" w:firstColumn="1" w:lastColumn="0" w:noHBand="0" w:noVBand="1"/>
      </w:tblPr>
      <w:tblGrid>
        <w:gridCol w:w="1087"/>
        <w:gridCol w:w="8268"/>
      </w:tblGrid>
      <w:tr w:rsidR="002449C2" w14:paraId="33ECB94B" w14:textId="77777777">
        <w:tc>
          <w:tcPr>
            <w:tcW w:w="1087" w:type="dxa"/>
          </w:tcPr>
          <w:p w14:paraId="3FD9A1D2" w14:textId="77777777" w:rsidR="002449C2" w:rsidRDefault="00123961">
            <w:pPr>
              <w:tabs>
                <w:tab w:val="left" w:pos="142"/>
              </w:tabs>
              <w:spacing w:after="0" w:line="240" w:lineRule="auto"/>
              <w:jc w:val="both"/>
              <w:rPr>
                <w:rFonts w:ascii="Times New Roman" w:eastAsia="Times New Roman" w:hAnsi="Times New Roman"/>
                <w:sz w:val="26"/>
                <w:szCs w:val="26"/>
                <w:lang w:eastAsia="ru-RU"/>
              </w:rPr>
            </w:pPr>
            <w:r>
              <w:rPr>
                <w:noProof/>
                <w:lang w:eastAsia="ru-RU"/>
              </w:rPr>
              <w:drawing>
                <wp:inline distT="0" distB="0" distL="0" distR="0" wp14:anchorId="508FEC5A" wp14:editId="3C6B2378">
                  <wp:extent cx="405765" cy="405765"/>
                  <wp:effectExtent l="0" t="0" r="0" b="0"/>
                  <wp:docPr id="26" name="_x005F_x0000_i4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_x005F_x0000_i4409"/>
                          <pic:cNvPicPr>
                            <a:picLocks noChangeAspect="1" noChangeArrowheads="1"/>
                          </pic:cNvPicPr>
                        </pic:nvPicPr>
                        <pic:blipFill>
                          <a:blip r:embed="rId40"/>
                          <a:stretch>
                            <a:fillRect/>
                          </a:stretch>
                        </pic:blipFill>
                        <pic:spPr bwMode="auto">
                          <a:xfrm>
                            <a:off x="0" y="0"/>
                            <a:ext cx="405765" cy="405765"/>
                          </a:xfrm>
                          <a:prstGeom prst="rect">
                            <a:avLst/>
                          </a:prstGeom>
                          <a:noFill/>
                        </pic:spPr>
                      </pic:pic>
                    </a:graphicData>
                  </a:graphic>
                </wp:inline>
              </w:drawing>
            </w:r>
          </w:p>
        </w:tc>
        <w:tc>
          <w:tcPr>
            <w:tcW w:w="8267" w:type="dxa"/>
          </w:tcPr>
          <w:p w14:paraId="1B21DB1F"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Статус СТСО означает, что с 01.01.2025 ПАО «Россети Юг» является единым центром ответственности, отвечающим за надежное и бесперебойное энергоснабжение потребителей. При этом, оплата услуг по передаче электрической энергии потребителями услуг осуществляется исключительно в адрес СТСО.</w:t>
            </w:r>
          </w:p>
          <w:p w14:paraId="7CDFE1F7" w14:textId="77777777" w:rsidR="002449C2" w:rsidRDefault="002449C2">
            <w:pPr>
              <w:tabs>
                <w:tab w:val="left" w:pos="142"/>
              </w:tabs>
              <w:spacing w:after="0" w:line="240" w:lineRule="auto"/>
              <w:jc w:val="both"/>
              <w:rPr>
                <w:rFonts w:ascii="Times New Roman" w:eastAsia="Times New Roman" w:hAnsi="Times New Roman"/>
                <w:sz w:val="26"/>
                <w:szCs w:val="26"/>
                <w:lang w:eastAsia="ru-RU"/>
              </w:rPr>
            </w:pPr>
          </w:p>
        </w:tc>
      </w:tr>
    </w:tbl>
    <w:p w14:paraId="1B8D2FC4" w14:textId="77777777" w:rsidR="002449C2" w:rsidRDefault="00123961">
      <w:pPr>
        <w:tabs>
          <w:tab w:val="left" w:pos="142"/>
        </w:tabs>
        <w:spacing w:after="0" w:line="240" w:lineRule="auto"/>
        <w:ind w:firstLine="567"/>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Потребителями услуг компании в основном являются энергосбытовые компании, субъекты оптового и розничного рынков электроэнергии, а также местные сетевые организации.</w:t>
      </w:r>
    </w:p>
    <w:p w14:paraId="126E2A8D" w14:textId="77777777" w:rsidR="002449C2" w:rsidRDefault="00123961">
      <w:pPr>
        <w:tabs>
          <w:tab w:val="left" w:pos="142"/>
        </w:tabs>
        <w:spacing w:after="0" w:line="240" w:lineRule="auto"/>
        <w:ind w:firstLine="567"/>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Значительная часть электроэнергии, поступающей к потребителям, расположенным на территории обслуживания ПАО «Россети Юг», проходит через электрические сети Общества.</w:t>
      </w:r>
    </w:p>
    <w:p w14:paraId="27632D7A" w14:textId="77777777" w:rsidR="002449C2" w:rsidRDefault="00123961">
      <w:pPr>
        <w:shd w:val="clear" w:color="auto" w:fill="FFFFFF"/>
        <w:tabs>
          <w:tab w:val="left" w:pos="720"/>
        </w:tabs>
        <w:spacing w:after="0" w:line="240" w:lineRule="auto"/>
        <w:ind w:firstLine="709"/>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 xml:space="preserve">При наличии непосредственного технологического присоединения потребителей электроэнергии к сетям ЕНЭС, ПАО «Россети Юг» в 2024 году заключило (пролонгировало) с владельцем оборудования сетей ЕНЭС (ПАО «Федеральная сетевая компания-Россети») договоры аренды электросетевого имущества (договоры «последней мили»), и тем самым приобрело право оказывать таким потребителям услуги по передаче электроэнергии. </w:t>
      </w:r>
    </w:p>
    <w:p w14:paraId="22D47B63" w14:textId="77777777" w:rsidR="002449C2" w:rsidRDefault="00123961">
      <w:pPr>
        <w:shd w:val="clear" w:color="auto" w:fill="FFFFFF"/>
        <w:tabs>
          <w:tab w:val="left" w:pos="720"/>
        </w:tabs>
        <w:spacing w:after="0" w:line="240" w:lineRule="auto"/>
        <w:ind w:firstLine="709"/>
        <w:jc w:val="both"/>
        <w:rPr>
          <w:rFonts w:ascii="Times New Roman" w:eastAsia="Times New Roman" w:hAnsi="Times New Roman"/>
          <w:iCs/>
          <w:spacing w:val="20"/>
          <w:sz w:val="26"/>
          <w:szCs w:val="26"/>
          <w:lang w:eastAsia="ru-RU"/>
        </w:rPr>
      </w:pPr>
      <w:r>
        <w:rPr>
          <w:rFonts w:ascii="Times New Roman" w:eastAsia="Times New Roman" w:hAnsi="Times New Roman"/>
          <w:iCs/>
          <w:spacing w:val="20"/>
          <w:sz w:val="26"/>
          <w:szCs w:val="26"/>
          <w:lang w:eastAsia="ru-RU"/>
        </w:rPr>
        <w:t>В 2024 году общий объем выручки ПАО «Россети Юг» составил 51 265 млн рублей, из них 93,8% составляет выручка от передачи электроэнергии, 1,9% приходится на технологическое присоединение, 2,8% на услуги от продажи электроэнергии, 1,5% - прочие виды деятельности.</w:t>
      </w:r>
    </w:p>
    <w:p w14:paraId="4C8E452E" w14:textId="77777777" w:rsidR="002449C2" w:rsidRDefault="002449C2">
      <w:pPr>
        <w:shd w:val="clear" w:color="auto" w:fill="FFFFFF"/>
        <w:tabs>
          <w:tab w:val="left" w:pos="720"/>
        </w:tabs>
        <w:spacing w:after="0" w:line="240" w:lineRule="auto"/>
        <w:ind w:firstLine="709"/>
        <w:jc w:val="both"/>
        <w:rPr>
          <w:rFonts w:ascii="Times New Roman" w:eastAsia="Times New Roman" w:hAnsi="Times New Roman"/>
          <w:iCs/>
          <w:sz w:val="26"/>
          <w:szCs w:val="26"/>
          <w:lang w:eastAsia="ru-RU"/>
        </w:rPr>
      </w:pPr>
    </w:p>
    <w:p w14:paraId="0900C2BE" w14:textId="77777777" w:rsidR="002449C2" w:rsidRDefault="00123961">
      <w:pPr>
        <w:shd w:val="clear" w:color="auto" w:fill="FFFFFF"/>
        <w:tabs>
          <w:tab w:val="left" w:pos="720"/>
        </w:tabs>
        <w:spacing w:after="0" w:line="240" w:lineRule="auto"/>
        <w:ind w:firstLine="709"/>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Структура выручки и прибыли по направлениям бизнеса и регионам:</w:t>
      </w:r>
    </w:p>
    <w:p w14:paraId="7D3B9C01" w14:textId="77777777" w:rsidR="002449C2" w:rsidRDefault="002449C2">
      <w:pPr>
        <w:shd w:val="clear" w:color="auto" w:fill="FFFFFF"/>
        <w:tabs>
          <w:tab w:val="left" w:pos="720"/>
        </w:tabs>
        <w:spacing w:after="0" w:line="240" w:lineRule="auto"/>
        <w:ind w:firstLine="709"/>
        <w:jc w:val="both"/>
        <w:rPr>
          <w:rFonts w:ascii="Cambria" w:eastAsia="Times New Roman" w:hAnsi="Cambria"/>
          <w:iCs/>
          <w:sz w:val="24"/>
          <w:szCs w:val="24"/>
          <w:lang w:eastAsia="ru-RU"/>
        </w:rPr>
      </w:pPr>
    </w:p>
    <w:tbl>
      <w:tblPr>
        <w:tblW w:w="5000" w:type="pct"/>
        <w:tblLayout w:type="fixed"/>
        <w:tblLook w:val="04A0" w:firstRow="1" w:lastRow="0" w:firstColumn="1" w:lastColumn="0" w:noHBand="0" w:noVBand="1"/>
      </w:tblPr>
      <w:tblGrid>
        <w:gridCol w:w="1462"/>
        <w:gridCol w:w="841"/>
        <w:gridCol w:w="643"/>
        <w:gridCol w:w="894"/>
        <w:gridCol w:w="766"/>
        <w:gridCol w:w="774"/>
        <w:gridCol w:w="894"/>
        <w:gridCol w:w="769"/>
        <w:gridCol w:w="647"/>
        <w:gridCol w:w="766"/>
        <w:gridCol w:w="889"/>
      </w:tblGrid>
      <w:tr w:rsidR="002449C2" w14:paraId="335454DB" w14:textId="77777777">
        <w:trPr>
          <w:trHeight w:val="20"/>
          <w:tblHeader/>
        </w:trPr>
        <w:tc>
          <w:tcPr>
            <w:tcW w:w="146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2DCE046" w14:textId="77777777" w:rsidR="002449C2" w:rsidRDefault="00123961">
            <w:pPr>
              <w:shd w:val="clear" w:color="auto" w:fill="FFFFFF"/>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Филиал</w:t>
            </w:r>
          </w:p>
        </w:tc>
        <w:tc>
          <w:tcPr>
            <w:tcW w:w="842" w:type="dxa"/>
            <w:tcBorders>
              <w:top w:val="single" w:sz="4" w:space="0" w:color="000000"/>
              <w:bottom w:val="single" w:sz="4" w:space="0" w:color="000000"/>
              <w:right w:val="single" w:sz="4" w:space="0" w:color="000000"/>
            </w:tcBorders>
            <w:shd w:val="clear" w:color="auto" w:fill="FFFFFF"/>
            <w:vAlign w:val="center"/>
          </w:tcPr>
          <w:p w14:paraId="1E94DED5" w14:textId="77777777" w:rsidR="002449C2" w:rsidRDefault="00123961">
            <w:pPr>
              <w:shd w:val="clear" w:color="auto" w:fill="FFFFFF"/>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Выручка итого, млн рублей</w:t>
            </w:r>
          </w:p>
        </w:tc>
        <w:tc>
          <w:tcPr>
            <w:tcW w:w="643" w:type="dxa"/>
            <w:tcBorders>
              <w:top w:val="single" w:sz="4" w:space="0" w:color="000000"/>
              <w:bottom w:val="single" w:sz="4" w:space="0" w:color="000000"/>
              <w:right w:val="single" w:sz="4" w:space="0" w:color="000000"/>
            </w:tcBorders>
            <w:shd w:val="clear" w:color="auto" w:fill="FFFFFF"/>
            <w:vAlign w:val="center"/>
          </w:tcPr>
          <w:p w14:paraId="50355F87" w14:textId="77777777" w:rsidR="002449C2" w:rsidRDefault="00123961">
            <w:pPr>
              <w:shd w:val="clear" w:color="auto" w:fill="FFFFFF"/>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Доля в общей выручке, %</w:t>
            </w:r>
          </w:p>
        </w:tc>
        <w:tc>
          <w:tcPr>
            <w:tcW w:w="895" w:type="dxa"/>
            <w:tcBorders>
              <w:top w:val="single" w:sz="4" w:space="0" w:color="000000"/>
              <w:bottom w:val="single" w:sz="4" w:space="0" w:color="000000"/>
              <w:right w:val="single" w:sz="4" w:space="0" w:color="000000"/>
            </w:tcBorders>
            <w:shd w:val="clear" w:color="auto" w:fill="FFFFFF"/>
            <w:vAlign w:val="center"/>
          </w:tcPr>
          <w:p w14:paraId="2A9EA931" w14:textId="77777777" w:rsidR="002449C2" w:rsidRDefault="00123961">
            <w:pPr>
              <w:shd w:val="clear" w:color="auto" w:fill="FFFFFF"/>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Сетевые услуги         (передача электро энергии)</w:t>
            </w:r>
          </w:p>
        </w:tc>
        <w:tc>
          <w:tcPr>
            <w:tcW w:w="767" w:type="dxa"/>
            <w:tcBorders>
              <w:top w:val="single" w:sz="4" w:space="0" w:color="000000"/>
              <w:bottom w:val="single" w:sz="4" w:space="0" w:color="000000"/>
              <w:right w:val="single" w:sz="4" w:space="0" w:color="000000"/>
            </w:tcBorders>
            <w:shd w:val="clear" w:color="auto" w:fill="FFFFFF"/>
            <w:vAlign w:val="center"/>
          </w:tcPr>
          <w:p w14:paraId="23CD8CE7" w14:textId="77777777" w:rsidR="002449C2" w:rsidRDefault="00123961">
            <w:pPr>
              <w:shd w:val="clear" w:color="auto" w:fill="FFFFFF"/>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Доля в итого по ПАО «Россети Юг»,%</w:t>
            </w:r>
          </w:p>
        </w:tc>
        <w:tc>
          <w:tcPr>
            <w:tcW w:w="775" w:type="dxa"/>
            <w:tcBorders>
              <w:top w:val="single" w:sz="4" w:space="0" w:color="000000"/>
              <w:bottom w:val="single" w:sz="4" w:space="0" w:color="000000"/>
              <w:right w:val="single" w:sz="4" w:space="0" w:color="000000"/>
            </w:tcBorders>
            <w:shd w:val="clear" w:color="auto" w:fill="FFFFFF"/>
            <w:vAlign w:val="center"/>
          </w:tcPr>
          <w:p w14:paraId="1FA33411" w14:textId="77777777" w:rsidR="002449C2" w:rsidRDefault="00123961">
            <w:pPr>
              <w:shd w:val="clear" w:color="auto" w:fill="FFFFFF"/>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Сетевые услуги         (ТП)</w:t>
            </w:r>
          </w:p>
        </w:tc>
        <w:tc>
          <w:tcPr>
            <w:tcW w:w="895" w:type="dxa"/>
            <w:tcBorders>
              <w:top w:val="single" w:sz="4" w:space="0" w:color="000000"/>
              <w:bottom w:val="single" w:sz="4" w:space="0" w:color="000000"/>
              <w:right w:val="single" w:sz="4" w:space="0" w:color="000000"/>
            </w:tcBorders>
            <w:shd w:val="clear" w:color="auto" w:fill="FFFFFF"/>
            <w:vAlign w:val="center"/>
          </w:tcPr>
          <w:p w14:paraId="531121DA" w14:textId="77777777" w:rsidR="002449C2" w:rsidRDefault="00123961">
            <w:pPr>
              <w:shd w:val="clear" w:color="auto" w:fill="FFFFFF"/>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Доля в итоге по ПАО «Россети Юг»,%</w:t>
            </w:r>
          </w:p>
        </w:tc>
        <w:tc>
          <w:tcPr>
            <w:tcW w:w="770" w:type="dxa"/>
            <w:tcBorders>
              <w:top w:val="single" w:sz="4" w:space="0" w:color="000000"/>
              <w:bottom w:val="single" w:sz="4" w:space="0" w:color="000000"/>
              <w:right w:val="single" w:sz="4" w:space="0" w:color="000000"/>
            </w:tcBorders>
            <w:shd w:val="clear" w:color="auto" w:fill="FFFFFF"/>
            <w:vAlign w:val="center"/>
          </w:tcPr>
          <w:p w14:paraId="534C9271" w14:textId="77777777" w:rsidR="002449C2" w:rsidRDefault="00123961">
            <w:pPr>
              <w:shd w:val="clear" w:color="auto" w:fill="FFFFFF"/>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Перепродажа электроэнергии и мощности</w:t>
            </w:r>
          </w:p>
        </w:tc>
        <w:tc>
          <w:tcPr>
            <w:tcW w:w="64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B9AE89F" w14:textId="77777777" w:rsidR="002449C2" w:rsidRDefault="00123961">
            <w:pPr>
              <w:shd w:val="clear" w:color="auto" w:fill="FFFFFF"/>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Доля в итоге по ПАО «Россети Юг»,%</w:t>
            </w:r>
          </w:p>
        </w:tc>
        <w:tc>
          <w:tcPr>
            <w:tcW w:w="7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0DAE0FF" w14:textId="77777777" w:rsidR="002449C2" w:rsidRDefault="00123961">
            <w:pPr>
              <w:shd w:val="clear" w:color="auto" w:fill="FFFFFF"/>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Прочие услуги</w:t>
            </w:r>
          </w:p>
        </w:tc>
        <w:tc>
          <w:tcPr>
            <w:tcW w:w="890" w:type="dxa"/>
            <w:tcBorders>
              <w:top w:val="single" w:sz="4" w:space="0" w:color="000000"/>
              <w:bottom w:val="single" w:sz="4" w:space="0" w:color="000000"/>
              <w:right w:val="single" w:sz="4" w:space="0" w:color="000000"/>
            </w:tcBorders>
            <w:shd w:val="clear" w:color="auto" w:fill="FFFFFF"/>
            <w:vAlign w:val="center"/>
          </w:tcPr>
          <w:p w14:paraId="27F66A2F" w14:textId="77777777" w:rsidR="002449C2" w:rsidRDefault="00123961">
            <w:pPr>
              <w:shd w:val="clear" w:color="auto" w:fill="FFFFFF"/>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Доля в итоге по ПАО «Россети Юг»,%</w:t>
            </w:r>
          </w:p>
        </w:tc>
      </w:tr>
      <w:tr w:rsidR="002449C2" w14:paraId="57A415FE" w14:textId="77777777">
        <w:trPr>
          <w:trHeight w:val="20"/>
        </w:trPr>
        <w:tc>
          <w:tcPr>
            <w:tcW w:w="1462" w:type="dxa"/>
            <w:tcBorders>
              <w:left w:val="single" w:sz="4" w:space="0" w:color="000000"/>
              <w:bottom w:val="single" w:sz="4" w:space="0" w:color="000000"/>
              <w:right w:val="single" w:sz="4" w:space="0" w:color="000000"/>
            </w:tcBorders>
            <w:shd w:val="clear" w:color="auto" w:fill="FFFFFF"/>
            <w:vAlign w:val="center"/>
          </w:tcPr>
          <w:p w14:paraId="45482FD9" w14:textId="77777777" w:rsidR="002449C2" w:rsidRDefault="00123961">
            <w:pPr>
              <w:shd w:val="clear" w:color="auto" w:fill="FFFFFF"/>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«Астраханьэнерго»</w:t>
            </w:r>
          </w:p>
        </w:tc>
        <w:tc>
          <w:tcPr>
            <w:tcW w:w="842" w:type="dxa"/>
            <w:tcBorders>
              <w:top w:val="single" w:sz="8" w:space="0" w:color="000000"/>
              <w:bottom w:val="single" w:sz="8" w:space="0" w:color="000000"/>
              <w:right w:val="single" w:sz="8" w:space="0" w:color="000000"/>
            </w:tcBorders>
            <w:shd w:val="clear" w:color="auto" w:fill="FFFFFF"/>
            <w:vAlign w:val="bottom"/>
          </w:tcPr>
          <w:p w14:paraId="7D606CF2"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7 605</w:t>
            </w:r>
          </w:p>
        </w:tc>
        <w:tc>
          <w:tcPr>
            <w:tcW w:w="643" w:type="dxa"/>
            <w:tcBorders>
              <w:top w:val="single" w:sz="8" w:space="0" w:color="000000"/>
              <w:bottom w:val="single" w:sz="8" w:space="0" w:color="000000"/>
              <w:right w:val="single" w:sz="8" w:space="0" w:color="000000"/>
            </w:tcBorders>
            <w:shd w:val="clear" w:color="auto" w:fill="FFFFFF"/>
            <w:vAlign w:val="bottom"/>
          </w:tcPr>
          <w:p w14:paraId="77408D4D"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14,8%</w:t>
            </w:r>
          </w:p>
        </w:tc>
        <w:tc>
          <w:tcPr>
            <w:tcW w:w="895" w:type="dxa"/>
            <w:tcBorders>
              <w:top w:val="single" w:sz="8" w:space="0" w:color="000000"/>
              <w:bottom w:val="single" w:sz="8" w:space="0" w:color="000000"/>
              <w:right w:val="single" w:sz="8" w:space="0" w:color="000000"/>
            </w:tcBorders>
            <w:shd w:val="clear" w:color="auto" w:fill="FFFFFF"/>
            <w:vAlign w:val="bottom"/>
          </w:tcPr>
          <w:p w14:paraId="0279B9E3"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7 229</w:t>
            </w:r>
          </w:p>
        </w:tc>
        <w:tc>
          <w:tcPr>
            <w:tcW w:w="767" w:type="dxa"/>
            <w:tcBorders>
              <w:top w:val="single" w:sz="8" w:space="0" w:color="000000"/>
              <w:bottom w:val="single" w:sz="8" w:space="0" w:color="000000"/>
              <w:right w:val="single" w:sz="8" w:space="0" w:color="000000"/>
            </w:tcBorders>
            <w:shd w:val="clear" w:color="auto" w:fill="FFFFFF"/>
            <w:vAlign w:val="bottom"/>
          </w:tcPr>
          <w:p w14:paraId="12DCF722"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15,0%</w:t>
            </w:r>
          </w:p>
        </w:tc>
        <w:tc>
          <w:tcPr>
            <w:tcW w:w="775" w:type="dxa"/>
            <w:tcBorders>
              <w:top w:val="single" w:sz="8" w:space="0" w:color="000000"/>
              <w:bottom w:val="single" w:sz="8" w:space="0" w:color="000000"/>
              <w:right w:val="single" w:sz="8" w:space="0" w:color="000000"/>
            </w:tcBorders>
            <w:shd w:val="clear" w:color="auto" w:fill="FFFFFF"/>
            <w:vAlign w:val="bottom"/>
          </w:tcPr>
          <w:p w14:paraId="420199A3"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302</w:t>
            </w:r>
          </w:p>
        </w:tc>
        <w:tc>
          <w:tcPr>
            <w:tcW w:w="895" w:type="dxa"/>
            <w:tcBorders>
              <w:top w:val="single" w:sz="8" w:space="0" w:color="000000"/>
              <w:bottom w:val="single" w:sz="8" w:space="0" w:color="000000"/>
              <w:right w:val="single" w:sz="8" w:space="0" w:color="000000"/>
            </w:tcBorders>
            <w:shd w:val="clear" w:color="auto" w:fill="FFFFFF"/>
            <w:vAlign w:val="bottom"/>
          </w:tcPr>
          <w:p w14:paraId="526FDB3B"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30,2%</w:t>
            </w:r>
          </w:p>
        </w:tc>
        <w:tc>
          <w:tcPr>
            <w:tcW w:w="770" w:type="dxa"/>
            <w:tcBorders>
              <w:top w:val="single" w:sz="8" w:space="0" w:color="000000"/>
              <w:bottom w:val="single" w:sz="8" w:space="0" w:color="000000"/>
              <w:right w:val="single" w:sz="8" w:space="0" w:color="000000"/>
            </w:tcBorders>
            <w:shd w:val="clear" w:color="auto" w:fill="FFFFFF"/>
            <w:vAlign w:val="center"/>
          </w:tcPr>
          <w:p w14:paraId="283A382F" w14:textId="77777777" w:rsidR="002449C2" w:rsidRDefault="00123961">
            <w:pPr>
              <w:shd w:val="clear" w:color="auto" w:fill="FFFFFF"/>
              <w:spacing w:after="0" w:line="240" w:lineRule="auto"/>
              <w:jc w:val="center"/>
              <w:rPr>
                <w:rFonts w:ascii="Times New Roman" w:hAnsi="Times New Roman"/>
                <w:color w:val="000000"/>
                <w:sz w:val="16"/>
                <w:szCs w:val="16"/>
                <w:lang w:eastAsia="en-US"/>
              </w:rPr>
            </w:pPr>
            <w:r>
              <w:rPr>
                <w:rFonts w:ascii="Times New Roman" w:hAnsi="Times New Roman"/>
                <w:color w:val="000000"/>
                <w:sz w:val="16"/>
                <w:szCs w:val="16"/>
                <w:lang w:eastAsia="en-US"/>
              </w:rPr>
              <w:t>-</w:t>
            </w:r>
          </w:p>
        </w:tc>
        <w:tc>
          <w:tcPr>
            <w:tcW w:w="647" w:type="dxa"/>
            <w:tcBorders>
              <w:top w:val="single" w:sz="8" w:space="0" w:color="000000"/>
              <w:bottom w:val="single" w:sz="8" w:space="0" w:color="000000"/>
              <w:right w:val="single" w:sz="8" w:space="0" w:color="000000"/>
            </w:tcBorders>
            <w:shd w:val="clear" w:color="auto" w:fill="FFFFFF"/>
            <w:vAlign w:val="bottom"/>
          </w:tcPr>
          <w:p w14:paraId="5C8A1D11"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0</w:t>
            </w:r>
          </w:p>
        </w:tc>
        <w:tc>
          <w:tcPr>
            <w:tcW w:w="767" w:type="dxa"/>
            <w:tcBorders>
              <w:top w:val="single" w:sz="8" w:space="0" w:color="000000"/>
              <w:bottom w:val="single" w:sz="8" w:space="0" w:color="000000"/>
              <w:right w:val="single" w:sz="8" w:space="0" w:color="000000"/>
            </w:tcBorders>
            <w:shd w:val="clear" w:color="auto" w:fill="FFFFFF"/>
          </w:tcPr>
          <w:p w14:paraId="398A05A5"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73</w:t>
            </w:r>
          </w:p>
        </w:tc>
        <w:tc>
          <w:tcPr>
            <w:tcW w:w="890" w:type="dxa"/>
            <w:tcBorders>
              <w:top w:val="single" w:sz="8" w:space="0" w:color="000000"/>
              <w:bottom w:val="single" w:sz="8" w:space="0" w:color="000000"/>
              <w:right w:val="single" w:sz="8" w:space="0" w:color="000000"/>
            </w:tcBorders>
            <w:shd w:val="clear" w:color="auto" w:fill="FFFFFF"/>
          </w:tcPr>
          <w:p w14:paraId="7F075711"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9,8%</w:t>
            </w:r>
          </w:p>
        </w:tc>
      </w:tr>
      <w:tr w:rsidR="002449C2" w14:paraId="15E37B2F" w14:textId="77777777">
        <w:trPr>
          <w:trHeight w:val="20"/>
        </w:trPr>
        <w:tc>
          <w:tcPr>
            <w:tcW w:w="1462" w:type="dxa"/>
            <w:tcBorders>
              <w:left w:val="single" w:sz="4" w:space="0" w:color="000000"/>
              <w:bottom w:val="single" w:sz="4" w:space="0" w:color="000000"/>
              <w:right w:val="single" w:sz="4" w:space="0" w:color="000000"/>
            </w:tcBorders>
            <w:shd w:val="clear" w:color="auto" w:fill="FFFFFF"/>
            <w:vAlign w:val="center"/>
          </w:tcPr>
          <w:p w14:paraId="4CECA3FD" w14:textId="77777777" w:rsidR="002449C2" w:rsidRDefault="00123961">
            <w:pPr>
              <w:shd w:val="clear" w:color="auto" w:fill="FFFFFF"/>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«Волгоградэнерго»</w:t>
            </w:r>
          </w:p>
        </w:tc>
        <w:tc>
          <w:tcPr>
            <w:tcW w:w="842" w:type="dxa"/>
            <w:tcBorders>
              <w:bottom w:val="single" w:sz="8" w:space="0" w:color="000000"/>
              <w:right w:val="single" w:sz="8" w:space="0" w:color="000000"/>
            </w:tcBorders>
            <w:shd w:val="clear" w:color="auto" w:fill="FFFFFF"/>
            <w:vAlign w:val="bottom"/>
          </w:tcPr>
          <w:p w14:paraId="2D5BFE46"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13 099</w:t>
            </w:r>
          </w:p>
        </w:tc>
        <w:tc>
          <w:tcPr>
            <w:tcW w:w="643" w:type="dxa"/>
            <w:tcBorders>
              <w:bottom w:val="single" w:sz="8" w:space="0" w:color="000000"/>
              <w:right w:val="single" w:sz="8" w:space="0" w:color="000000"/>
            </w:tcBorders>
            <w:shd w:val="clear" w:color="auto" w:fill="FFFFFF"/>
            <w:vAlign w:val="bottom"/>
          </w:tcPr>
          <w:p w14:paraId="3D368358"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25,6%</w:t>
            </w:r>
          </w:p>
        </w:tc>
        <w:tc>
          <w:tcPr>
            <w:tcW w:w="895" w:type="dxa"/>
            <w:tcBorders>
              <w:bottom w:val="single" w:sz="8" w:space="0" w:color="000000"/>
              <w:right w:val="single" w:sz="8" w:space="0" w:color="000000"/>
            </w:tcBorders>
            <w:shd w:val="clear" w:color="auto" w:fill="FFFFFF"/>
            <w:vAlign w:val="bottom"/>
          </w:tcPr>
          <w:p w14:paraId="6F599E7C"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12 671</w:t>
            </w:r>
          </w:p>
        </w:tc>
        <w:tc>
          <w:tcPr>
            <w:tcW w:w="767" w:type="dxa"/>
            <w:tcBorders>
              <w:bottom w:val="single" w:sz="8" w:space="0" w:color="000000"/>
              <w:right w:val="single" w:sz="8" w:space="0" w:color="000000"/>
            </w:tcBorders>
            <w:shd w:val="clear" w:color="auto" w:fill="FFFFFF"/>
            <w:vAlign w:val="bottom"/>
          </w:tcPr>
          <w:p w14:paraId="5C21DAE1"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26,4%</w:t>
            </w:r>
          </w:p>
        </w:tc>
        <w:tc>
          <w:tcPr>
            <w:tcW w:w="775" w:type="dxa"/>
            <w:tcBorders>
              <w:bottom w:val="single" w:sz="8" w:space="0" w:color="000000"/>
              <w:right w:val="single" w:sz="8" w:space="0" w:color="000000"/>
            </w:tcBorders>
            <w:shd w:val="clear" w:color="auto" w:fill="FFFFFF"/>
            <w:vAlign w:val="bottom"/>
          </w:tcPr>
          <w:p w14:paraId="19D6CFDE"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164</w:t>
            </w:r>
          </w:p>
        </w:tc>
        <w:tc>
          <w:tcPr>
            <w:tcW w:w="895" w:type="dxa"/>
            <w:tcBorders>
              <w:bottom w:val="single" w:sz="8" w:space="0" w:color="000000"/>
              <w:right w:val="single" w:sz="8" w:space="0" w:color="000000"/>
            </w:tcBorders>
            <w:shd w:val="clear" w:color="auto" w:fill="FFFFFF"/>
            <w:vAlign w:val="bottom"/>
          </w:tcPr>
          <w:p w14:paraId="60F1413A"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16,4%</w:t>
            </w:r>
          </w:p>
        </w:tc>
        <w:tc>
          <w:tcPr>
            <w:tcW w:w="770" w:type="dxa"/>
            <w:tcBorders>
              <w:bottom w:val="single" w:sz="8" w:space="0" w:color="000000"/>
              <w:right w:val="single" w:sz="8" w:space="0" w:color="000000"/>
            </w:tcBorders>
            <w:shd w:val="clear" w:color="auto" w:fill="FFFFFF"/>
            <w:vAlign w:val="center"/>
          </w:tcPr>
          <w:p w14:paraId="22603626" w14:textId="77777777" w:rsidR="002449C2" w:rsidRDefault="00123961">
            <w:pPr>
              <w:shd w:val="clear" w:color="auto" w:fill="FFFFFF"/>
              <w:spacing w:after="0" w:line="240" w:lineRule="auto"/>
              <w:jc w:val="center"/>
              <w:rPr>
                <w:rFonts w:ascii="Times New Roman" w:hAnsi="Times New Roman"/>
                <w:color w:val="000000"/>
                <w:sz w:val="16"/>
                <w:szCs w:val="16"/>
                <w:lang w:eastAsia="en-US"/>
              </w:rPr>
            </w:pPr>
            <w:r>
              <w:rPr>
                <w:rFonts w:ascii="Times New Roman" w:hAnsi="Times New Roman"/>
                <w:color w:val="000000"/>
                <w:sz w:val="16"/>
                <w:szCs w:val="16"/>
                <w:lang w:eastAsia="en-US"/>
              </w:rPr>
              <w:t>-</w:t>
            </w:r>
          </w:p>
        </w:tc>
        <w:tc>
          <w:tcPr>
            <w:tcW w:w="647" w:type="dxa"/>
            <w:tcBorders>
              <w:bottom w:val="single" w:sz="8" w:space="0" w:color="000000"/>
              <w:right w:val="single" w:sz="8" w:space="0" w:color="000000"/>
            </w:tcBorders>
            <w:shd w:val="clear" w:color="auto" w:fill="FFFFFF"/>
            <w:vAlign w:val="bottom"/>
          </w:tcPr>
          <w:p w14:paraId="600A0EBE"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0</w:t>
            </w:r>
          </w:p>
        </w:tc>
        <w:tc>
          <w:tcPr>
            <w:tcW w:w="767" w:type="dxa"/>
            <w:tcBorders>
              <w:bottom w:val="single" w:sz="8" w:space="0" w:color="000000"/>
              <w:right w:val="single" w:sz="8" w:space="0" w:color="000000"/>
            </w:tcBorders>
            <w:shd w:val="clear" w:color="auto" w:fill="FFFFFF"/>
          </w:tcPr>
          <w:p w14:paraId="7CE47F0A"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264</w:t>
            </w:r>
          </w:p>
        </w:tc>
        <w:tc>
          <w:tcPr>
            <w:tcW w:w="890" w:type="dxa"/>
            <w:tcBorders>
              <w:bottom w:val="single" w:sz="8" w:space="0" w:color="000000"/>
              <w:right w:val="single" w:sz="8" w:space="0" w:color="000000"/>
            </w:tcBorders>
            <w:shd w:val="clear" w:color="auto" w:fill="FFFFFF"/>
          </w:tcPr>
          <w:p w14:paraId="64EA91AD"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35,3%</w:t>
            </w:r>
          </w:p>
        </w:tc>
      </w:tr>
      <w:tr w:rsidR="002449C2" w14:paraId="32371ECD" w14:textId="77777777">
        <w:trPr>
          <w:trHeight w:val="20"/>
        </w:trPr>
        <w:tc>
          <w:tcPr>
            <w:tcW w:w="1462" w:type="dxa"/>
            <w:tcBorders>
              <w:left w:val="single" w:sz="4" w:space="0" w:color="000000"/>
              <w:bottom w:val="single" w:sz="4" w:space="0" w:color="000000"/>
              <w:right w:val="single" w:sz="4" w:space="0" w:color="000000"/>
            </w:tcBorders>
            <w:shd w:val="clear" w:color="auto" w:fill="FFFFFF"/>
            <w:vAlign w:val="center"/>
          </w:tcPr>
          <w:p w14:paraId="52F96BAD" w14:textId="77777777" w:rsidR="002449C2" w:rsidRDefault="00123961">
            <w:pPr>
              <w:shd w:val="clear" w:color="auto" w:fill="FFFFFF"/>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«Калмэнерго»</w:t>
            </w:r>
          </w:p>
        </w:tc>
        <w:tc>
          <w:tcPr>
            <w:tcW w:w="842" w:type="dxa"/>
            <w:tcBorders>
              <w:bottom w:val="single" w:sz="8" w:space="0" w:color="000000"/>
              <w:right w:val="single" w:sz="8" w:space="0" w:color="000000"/>
            </w:tcBorders>
            <w:shd w:val="clear" w:color="auto" w:fill="FFFFFF"/>
            <w:vAlign w:val="bottom"/>
          </w:tcPr>
          <w:p w14:paraId="45A4AF21" w14:textId="77777777" w:rsidR="002449C2" w:rsidRDefault="00123961">
            <w:pPr>
              <w:shd w:val="clear" w:color="auto" w:fill="FFFFFF"/>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3 323</w:t>
            </w:r>
          </w:p>
        </w:tc>
        <w:tc>
          <w:tcPr>
            <w:tcW w:w="643" w:type="dxa"/>
            <w:tcBorders>
              <w:bottom w:val="single" w:sz="8" w:space="0" w:color="000000"/>
              <w:right w:val="single" w:sz="8" w:space="0" w:color="000000"/>
            </w:tcBorders>
            <w:shd w:val="clear" w:color="auto" w:fill="FFFFFF"/>
            <w:vAlign w:val="bottom"/>
          </w:tcPr>
          <w:p w14:paraId="59DF5250" w14:textId="77777777" w:rsidR="002449C2" w:rsidRDefault="00123961">
            <w:pPr>
              <w:shd w:val="clear" w:color="auto" w:fill="FFFFFF"/>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6,5%</w:t>
            </w:r>
          </w:p>
        </w:tc>
        <w:tc>
          <w:tcPr>
            <w:tcW w:w="895" w:type="dxa"/>
            <w:tcBorders>
              <w:bottom w:val="single" w:sz="8" w:space="0" w:color="000000"/>
              <w:right w:val="single" w:sz="8" w:space="0" w:color="000000"/>
            </w:tcBorders>
            <w:shd w:val="clear" w:color="auto" w:fill="FFFFFF"/>
            <w:vAlign w:val="bottom"/>
          </w:tcPr>
          <w:p w14:paraId="6765B248" w14:textId="77777777" w:rsidR="002449C2" w:rsidRDefault="00123961">
            <w:pPr>
              <w:shd w:val="clear" w:color="auto" w:fill="FFFFFF"/>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1 804</w:t>
            </w:r>
          </w:p>
        </w:tc>
        <w:tc>
          <w:tcPr>
            <w:tcW w:w="767" w:type="dxa"/>
            <w:tcBorders>
              <w:bottom w:val="single" w:sz="8" w:space="0" w:color="000000"/>
              <w:right w:val="single" w:sz="8" w:space="0" w:color="000000"/>
            </w:tcBorders>
            <w:shd w:val="clear" w:color="auto" w:fill="FFFFFF"/>
            <w:vAlign w:val="bottom"/>
          </w:tcPr>
          <w:p w14:paraId="43757196" w14:textId="77777777" w:rsidR="002449C2" w:rsidRDefault="00123961">
            <w:pPr>
              <w:shd w:val="clear" w:color="auto" w:fill="FFFFFF"/>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3,8%</w:t>
            </w:r>
          </w:p>
        </w:tc>
        <w:tc>
          <w:tcPr>
            <w:tcW w:w="775" w:type="dxa"/>
            <w:tcBorders>
              <w:bottom w:val="single" w:sz="8" w:space="0" w:color="000000"/>
              <w:right w:val="single" w:sz="8" w:space="0" w:color="000000"/>
            </w:tcBorders>
            <w:shd w:val="clear" w:color="auto" w:fill="FFFFFF"/>
            <w:vAlign w:val="bottom"/>
          </w:tcPr>
          <w:p w14:paraId="0B9363E2" w14:textId="77777777" w:rsidR="002449C2" w:rsidRDefault="00123961">
            <w:pPr>
              <w:shd w:val="clear" w:color="auto" w:fill="FFFFFF"/>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49</w:t>
            </w:r>
          </w:p>
        </w:tc>
        <w:tc>
          <w:tcPr>
            <w:tcW w:w="895" w:type="dxa"/>
            <w:tcBorders>
              <w:bottom w:val="single" w:sz="8" w:space="0" w:color="000000"/>
              <w:right w:val="single" w:sz="8" w:space="0" w:color="000000"/>
            </w:tcBorders>
            <w:shd w:val="clear" w:color="auto" w:fill="FFFFFF"/>
            <w:vAlign w:val="bottom"/>
          </w:tcPr>
          <w:p w14:paraId="306B8728" w14:textId="77777777" w:rsidR="002449C2" w:rsidRDefault="00123961">
            <w:pPr>
              <w:shd w:val="clear" w:color="auto" w:fill="FFFFFF"/>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4,9%</w:t>
            </w:r>
          </w:p>
        </w:tc>
        <w:tc>
          <w:tcPr>
            <w:tcW w:w="770" w:type="dxa"/>
            <w:tcBorders>
              <w:bottom w:val="single" w:sz="8" w:space="0" w:color="000000"/>
              <w:right w:val="single" w:sz="8" w:space="0" w:color="000000"/>
            </w:tcBorders>
            <w:shd w:val="clear" w:color="auto" w:fill="FFFFFF"/>
            <w:vAlign w:val="center"/>
          </w:tcPr>
          <w:p w14:paraId="282CC9E5" w14:textId="77777777" w:rsidR="002449C2" w:rsidRDefault="00123961">
            <w:pPr>
              <w:shd w:val="clear" w:color="auto" w:fill="FFFFFF"/>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1 421</w:t>
            </w:r>
          </w:p>
        </w:tc>
        <w:tc>
          <w:tcPr>
            <w:tcW w:w="647" w:type="dxa"/>
            <w:tcBorders>
              <w:bottom w:val="single" w:sz="8" w:space="0" w:color="000000"/>
              <w:right w:val="single" w:sz="8" w:space="0" w:color="000000"/>
            </w:tcBorders>
            <w:shd w:val="clear" w:color="auto" w:fill="FFFFFF"/>
            <w:vAlign w:val="center"/>
          </w:tcPr>
          <w:p w14:paraId="594A3127" w14:textId="77777777" w:rsidR="002449C2" w:rsidRDefault="00123961">
            <w:pPr>
              <w:shd w:val="clear" w:color="auto" w:fill="FFFFFF"/>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98,0</w:t>
            </w:r>
          </w:p>
        </w:tc>
        <w:tc>
          <w:tcPr>
            <w:tcW w:w="767" w:type="dxa"/>
            <w:tcBorders>
              <w:bottom w:val="single" w:sz="8" w:space="0" w:color="000000"/>
              <w:right w:val="single" w:sz="8" w:space="0" w:color="000000"/>
            </w:tcBorders>
            <w:shd w:val="clear" w:color="auto" w:fill="FFFFFF"/>
          </w:tcPr>
          <w:p w14:paraId="0E4C92A4" w14:textId="77777777" w:rsidR="002449C2" w:rsidRDefault="00123961">
            <w:pPr>
              <w:shd w:val="clear" w:color="auto" w:fill="FFFFFF"/>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48</w:t>
            </w:r>
          </w:p>
        </w:tc>
        <w:tc>
          <w:tcPr>
            <w:tcW w:w="890" w:type="dxa"/>
            <w:tcBorders>
              <w:bottom w:val="single" w:sz="8" w:space="0" w:color="000000"/>
              <w:right w:val="single" w:sz="8" w:space="0" w:color="000000"/>
            </w:tcBorders>
            <w:shd w:val="clear" w:color="auto" w:fill="FFFFFF"/>
          </w:tcPr>
          <w:p w14:paraId="2AA25F84" w14:textId="77777777" w:rsidR="002449C2" w:rsidRDefault="00123961">
            <w:pPr>
              <w:shd w:val="clear" w:color="auto" w:fill="FFFFFF"/>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6,5%</w:t>
            </w:r>
          </w:p>
        </w:tc>
      </w:tr>
      <w:tr w:rsidR="002449C2" w14:paraId="5FF9313D" w14:textId="77777777">
        <w:trPr>
          <w:trHeight w:val="20"/>
        </w:trPr>
        <w:tc>
          <w:tcPr>
            <w:tcW w:w="1462" w:type="dxa"/>
            <w:tcBorders>
              <w:left w:val="single" w:sz="4" w:space="0" w:color="000000"/>
              <w:bottom w:val="single" w:sz="4" w:space="0" w:color="000000"/>
              <w:right w:val="single" w:sz="4" w:space="0" w:color="000000"/>
            </w:tcBorders>
            <w:shd w:val="clear" w:color="auto" w:fill="FFFFFF"/>
            <w:vAlign w:val="center"/>
          </w:tcPr>
          <w:p w14:paraId="07A55BC5" w14:textId="77777777" w:rsidR="002449C2" w:rsidRDefault="00123961">
            <w:pPr>
              <w:shd w:val="clear" w:color="auto" w:fill="FFFFFF"/>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«Ростовэнерго»</w:t>
            </w:r>
          </w:p>
        </w:tc>
        <w:tc>
          <w:tcPr>
            <w:tcW w:w="842" w:type="dxa"/>
            <w:tcBorders>
              <w:bottom w:val="single" w:sz="8" w:space="0" w:color="000000"/>
              <w:right w:val="single" w:sz="8" w:space="0" w:color="000000"/>
            </w:tcBorders>
            <w:shd w:val="clear" w:color="auto" w:fill="FFFFFF"/>
            <w:vAlign w:val="bottom"/>
          </w:tcPr>
          <w:p w14:paraId="6DBE3801"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27 147</w:t>
            </w:r>
          </w:p>
        </w:tc>
        <w:tc>
          <w:tcPr>
            <w:tcW w:w="643" w:type="dxa"/>
            <w:tcBorders>
              <w:bottom w:val="single" w:sz="8" w:space="0" w:color="000000"/>
              <w:right w:val="single" w:sz="8" w:space="0" w:color="000000"/>
            </w:tcBorders>
            <w:shd w:val="clear" w:color="auto" w:fill="FFFFFF"/>
            <w:vAlign w:val="bottom"/>
          </w:tcPr>
          <w:p w14:paraId="35777B58"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53,0%</w:t>
            </w:r>
          </w:p>
        </w:tc>
        <w:tc>
          <w:tcPr>
            <w:tcW w:w="895" w:type="dxa"/>
            <w:tcBorders>
              <w:bottom w:val="single" w:sz="8" w:space="0" w:color="000000"/>
              <w:right w:val="single" w:sz="8" w:space="0" w:color="000000"/>
            </w:tcBorders>
            <w:shd w:val="clear" w:color="auto" w:fill="FFFFFF"/>
            <w:vAlign w:val="bottom"/>
          </w:tcPr>
          <w:p w14:paraId="43C3B7E9"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26 361</w:t>
            </w:r>
          </w:p>
        </w:tc>
        <w:tc>
          <w:tcPr>
            <w:tcW w:w="767" w:type="dxa"/>
            <w:tcBorders>
              <w:bottom w:val="single" w:sz="8" w:space="0" w:color="000000"/>
              <w:right w:val="single" w:sz="8" w:space="0" w:color="000000"/>
            </w:tcBorders>
            <w:shd w:val="clear" w:color="auto" w:fill="FFFFFF"/>
            <w:vAlign w:val="bottom"/>
          </w:tcPr>
          <w:p w14:paraId="4673306C"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54,8%</w:t>
            </w:r>
          </w:p>
        </w:tc>
        <w:tc>
          <w:tcPr>
            <w:tcW w:w="775" w:type="dxa"/>
            <w:tcBorders>
              <w:bottom w:val="single" w:sz="8" w:space="0" w:color="000000"/>
              <w:right w:val="single" w:sz="8" w:space="0" w:color="000000"/>
            </w:tcBorders>
            <w:shd w:val="clear" w:color="auto" w:fill="FFFFFF"/>
            <w:vAlign w:val="bottom"/>
          </w:tcPr>
          <w:p w14:paraId="4C1583B6"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487</w:t>
            </w:r>
          </w:p>
        </w:tc>
        <w:tc>
          <w:tcPr>
            <w:tcW w:w="895" w:type="dxa"/>
            <w:tcBorders>
              <w:bottom w:val="single" w:sz="8" w:space="0" w:color="000000"/>
              <w:right w:val="single" w:sz="8" w:space="0" w:color="000000"/>
            </w:tcBorders>
            <w:shd w:val="clear" w:color="auto" w:fill="FFFFFF"/>
            <w:vAlign w:val="bottom"/>
          </w:tcPr>
          <w:p w14:paraId="706ACD35"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48,6%</w:t>
            </w:r>
          </w:p>
        </w:tc>
        <w:tc>
          <w:tcPr>
            <w:tcW w:w="770" w:type="dxa"/>
            <w:tcBorders>
              <w:bottom w:val="single" w:sz="8" w:space="0" w:color="000000"/>
              <w:right w:val="single" w:sz="8" w:space="0" w:color="000000"/>
            </w:tcBorders>
            <w:shd w:val="clear" w:color="auto" w:fill="FFFFFF"/>
            <w:vAlign w:val="center"/>
          </w:tcPr>
          <w:p w14:paraId="4C4F6044" w14:textId="77777777" w:rsidR="002449C2" w:rsidRDefault="00123961">
            <w:pPr>
              <w:shd w:val="clear" w:color="auto" w:fill="FFFFFF"/>
              <w:spacing w:after="0" w:line="240" w:lineRule="auto"/>
              <w:jc w:val="center"/>
              <w:rPr>
                <w:rFonts w:ascii="Times New Roman" w:hAnsi="Times New Roman"/>
                <w:color w:val="000000"/>
                <w:sz w:val="16"/>
                <w:szCs w:val="16"/>
                <w:lang w:eastAsia="en-US"/>
              </w:rPr>
            </w:pPr>
            <w:r>
              <w:rPr>
                <w:rFonts w:ascii="Times New Roman" w:hAnsi="Times New Roman"/>
                <w:color w:val="000000"/>
                <w:sz w:val="16"/>
                <w:szCs w:val="16"/>
                <w:lang w:eastAsia="en-US"/>
              </w:rPr>
              <w:t>-</w:t>
            </w:r>
          </w:p>
        </w:tc>
        <w:tc>
          <w:tcPr>
            <w:tcW w:w="647" w:type="dxa"/>
            <w:tcBorders>
              <w:bottom w:val="single" w:sz="8" w:space="0" w:color="000000"/>
              <w:right w:val="single" w:sz="8" w:space="0" w:color="000000"/>
            </w:tcBorders>
            <w:shd w:val="clear" w:color="auto" w:fill="FFFFFF"/>
            <w:vAlign w:val="bottom"/>
          </w:tcPr>
          <w:p w14:paraId="1C2CEDD7"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0</w:t>
            </w:r>
          </w:p>
        </w:tc>
        <w:tc>
          <w:tcPr>
            <w:tcW w:w="767" w:type="dxa"/>
            <w:tcBorders>
              <w:bottom w:val="single" w:sz="8" w:space="0" w:color="000000"/>
              <w:right w:val="single" w:sz="8" w:space="0" w:color="000000"/>
            </w:tcBorders>
            <w:shd w:val="clear" w:color="auto" w:fill="FFFFFF"/>
          </w:tcPr>
          <w:p w14:paraId="02AD227B"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299</w:t>
            </w:r>
          </w:p>
        </w:tc>
        <w:tc>
          <w:tcPr>
            <w:tcW w:w="890" w:type="dxa"/>
            <w:tcBorders>
              <w:bottom w:val="single" w:sz="8" w:space="0" w:color="000000"/>
              <w:right w:val="single" w:sz="8" w:space="0" w:color="000000"/>
            </w:tcBorders>
            <w:shd w:val="clear" w:color="auto" w:fill="FFFFFF"/>
          </w:tcPr>
          <w:p w14:paraId="47108633"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40,1%</w:t>
            </w:r>
          </w:p>
        </w:tc>
      </w:tr>
      <w:tr w:rsidR="002449C2" w14:paraId="75FAAF0C" w14:textId="77777777">
        <w:trPr>
          <w:trHeight w:val="20"/>
        </w:trPr>
        <w:tc>
          <w:tcPr>
            <w:tcW w:w="1462" w:type="dxa"/>
            <w:tcBorders>
              <w:left w:val="single" w:sz="4" w:space="0" w:color="000000"/>
              <w:bottom w:val="single" w:sz="4" w:space="0" w:color="000000"/>
              <w:right w:val="single" w:sz="4" w:space="0" w:color="000000"/>
            </w:tcBorders>
            <w:shd w:val="clear" w:color="auto" w:fill="FFFFFF"/>
            <w:vAlign w:val="center"/>
          </w:tcPr>
          <w:p w14:paraId="75E2D26A" w14:textId="77777777" w:rsidR="002449C2" w:rsidRDefault="00123961">
            <w:pPr>
              <w:shd w:val="clear" w:color="auto" w:fill="FFFFFF"/>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«Кубаньэнерго»</w:t>
            </w:r>
          </w:p>
        </w:tc>
        <w:tc>
          <w:tcPr>
            <w:tcW w:w="842" w:type="dxa"/>
            <w:tcBorders>
              <w:bottom w:val="single" w:sz="8" w:space="0" w:color="000000"/>
              <w:right w:val="single" w:sz="8" w:space="0" w:color="000000"/>
            </w:tcBorders>
            <w:shd w:val="clear" w:color="auto" w:fill="FFFFFF"/>
            <w:vAlign w:val="bottom"/>
          </w:tcPr>
          <w:p w14:paraId="19AF23DF"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61</w:t>
            </w:r>
          </w:p>
        </w:tc>
        <w:tc>
          <w:tcPr>
            <w:tcW w:w="643" w:type="dxa"/>
            <w:tcBorders>
              <w:bottom w:val="single" w:sz="8" w:space="0" w:color="000000"/>
              <w:right w:val="single" w:sz="8" w:space="0" w:color="000000"/>
            </w:tcBorders>
            <w:shd w:val="clear" w:color="auto" w:fill="FFFFFF"/>
            <w:vAlign w:val="bottom"/>
          </w:tcPr>
          <w:p w14:paraId="6EFFE31F"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0,1%</w:t>
            </w:r>
          </w:p>
        </w:tc>
        <w:tc>
          <w:tcPr>
            <w:tcW w:w="895" w:type="dxa"/>
            <w:tcBorders>
              <w:bottom w:val="single" w:sz="8" w:space="0" w:color="000000"/>
              <w:right w:val="single" w:sz="8" w:space="0" w:color="000000"/>
            </w:tcBorders>
            <w:shd w:val="clear" w:color="auto" w:fill="FFFFFF"/>
            <w:vAlign w:val="bottom"/>
          </w:tcPr>
          <w:p w14:paraId="69B9168B"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0</w:t>
            </w:r>
          </w:p>
        </w:tc>
        <w:tc>
          <w:tcPr>
            <w:tcW w:w="767" w:type="dxa"/>
            <w:tcBorders>
              <w:bottom w:val="single" w:sz="8" w:space="0" w:color="000000"/>
              <w:right w:val="single" w:sz="8" w:space="0" w:color="000000"/>
            </w:tcBorders>
            <w:shd w:val="clear" w:color="auto" w:fill="FFFFFF"/>
            <w:vAlign w:val="bottom"/>
          </w:tcPr>
          <w:p w14:paraId="7CA2BD1E"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0,0%</w:t>
            </w:r>
          </w:p>
        </w:tc>
        <w:tc>
          <w:tcPr>
            <w:tcW w:w="775" w:type="dxa"/>
            <w:tcBorders>
              <w:bottom w:val="single" w:sz="8" w:space="0" w:color="000000"/>
              <w:right w:val="single" w:sz="8" w:space="0" w:color="000000"/>
            </w:tcBorders>
            <w:shd w:val="clear" w:color="auto" w:fill="FFFFFF"/>
            <w:vAlign w:val="bottom"/>
          </w:tcPr>
          <w:p w14:paraId="0A3E13F3"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0</w:t>
            </w:r>
          </w:p>
        </w:tc>
        <w:tc>
          <w:tcPr>
            <w:tcW w:w="895" w:type="dxa"/>
            <w:tcBorders>
              <w:bottom w:val="single" w:sz="8" w:space="0" w:color="000000"/>
              <w:right w:val="single" w:sz="8" w:space="0" w:color="000000"/>
            </w:tcBorders>
            <w:shd w:val="clear" w:color="auto" w:fill="FFFFFF"/>
            <w:vAlign w:val="bottom"/>
          </w:tcPr>
          <w:p w14:paraId="0A90020F"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0,0%</w:t>
            </w:r>
          </w:p>
        </w:tc>
        <w:tc>
          <w:tcPr>
            <w:tcW w:w="770" w:type="dxa"/>
            <w:tcBorders>
              <w:bottom w:val="single" w:sz="8" w:space="0" w:color="000000"/>
              <w:right w:val="single" w:sz="8" w:space="0" w:color="000000"/>
            </w:tcBorders>
            <w:shd w:val="clear" w:color="auto" w:fill="FFFFFF"/>
            <w:vAlign w:val="center"/>
          </w:tcPr>
          <w:p w14:paraId="51ABB671" w14:textId="77777777" w:rsidR="002449C2" w:rsidRDefault="00123961">
            <w:pPr>
              <w:shd w:val="clear" w:color="auto" w:fill="FFFFFF"/>
              <w:spacing w:after="0" w:line="240" w:lineRule="auto"/>
              <w:jc w:val="center"/>
              <w:rPr>
                <w:rFonts w:ascii="Times New Roman" w:hAnsi="Times New Roman"/>
                <w:color w:val="000000"/>
                <w:sz w:val="16"/>
                <w:szCs w:val="16"/>
                <w:lang w:eastAsia="en-US"/>
              </w:rPr>
            </w:pPr>
            <w:r>
              <w:rPr>
                <w:rFonts w:ascii="Times New Roman" w:hAnsi="Times New Roman"/>
                <w:color w:val="000000"/>
                <w:sz w:val="16"/>
                <w:szCs w:val="16"/>
                <w:lang w:eastAsia="en-US"/>
              </w:rPr>
              <w:t>-</w:t>
            </w:r>
          </w:p>
        </w:tc>
        <w:tc>
          <w:tcPr>
            <w:tcW w:w="647" w:type="dxa"/>
            <w:tcBorders>
              <w:bottom w:val="single" w:sz="8" w:space="0" w:color="000000"/>
              <w:right w:val="single" w:sz="8" w:space="0" w:color="000000"/>
            </w:tcBorders>
            <w:shd w:val="clear" w:color="auto" w:fill="FFFFFF"/>
            <w:vAlign w:val="bottom"/>
          </w:tcPr>
          <w:p w14:paraId="4382E158"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0</w:t>
            </w:r>
          </w:p>
        </w:tc>
        <w:tc>
          <w:tcPr>
            <w:tcW w:w="767" w:type="dxa"/>
            <w:tcBorders>
              <w:bottom w:val="single" w:sz="8" w:space="0" w:color="000000"/>
              <w:right w:val="single" w:sz="8" w:space="0" w:color="000000"/>
            </w:tcBorders>
            <w:shd w:val="clear" w:color="auto" w:fill="FFFFFF"/>
          </w:tcPr>
          <w:p w14:paraId="0F0BD413"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61</w:t>
            </w:r>
          </w:p>
        </w:tc>
        <w:tc>
          <w:tcPr>
            <w:tcW w:w="890" w:type="dxa"/>
            <w:tcBorders>
              <w:bottom w:val="single" w:sz="8" w:space="0" w:color="000000"/>
              <w:right w:val="single" w:sz="8" w:space="0" w:color="000000"/>
            </w:tcBorders>
            <w:shd w:val="clear" w:color="auto" w:fill="FFFFFF"/>
          </w:tcPr>
          <w:p w14:paraId="53D38DFB"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8,1%</w:t>
            </w:r>
          </w:p>
        </w:tc>
      </w:tr>
      <w:tr w:rsidR="002449C2" w14:paraId="1C714934" w14:textId="77777777">
        <w:trPr>
          <w:trHeight w:val="20"/>
        </w:trPr>
        <w:tc>
          <w:tcPr>
            <w:tcW w:w="1462" w:type="dxa"/>
            <w:tcBorders>
              <w:left w:val="single" w:sz="4" w:space="0" w:color="000000"/>
              <w:bottom w:val="single" w:sz="4" w:space="0" w:color="000000"/>
              <w:right w:val="single" w:sz="4" w:space="0" w:color="000000"/>
            </w:tcBorders>
            <w:shd w:val="clear" w:color="auto" w:fill="FFFFFF"/>
            <w:vAlign w:val="center"/>
          </w:tcPr>
          <w:p w14:paraId="2D1A4989" w14:textId="77777777" w:rsidR="002449C2" w:rsidRDefault="00123961">
            <w:pPr>
              <w:shd w:val="clear" w:color="auto" w:fill="FFFFFF"/>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Исполнительный аппарат</w:t>
            </w:r>
          </w:p>
        </w:tc>
        <w:tc>
          <w:tcPr>
            <w:tcW w:w="842" w:type="dxa"/>
            <w:tcBorders>
              <w:bottom w:val="single" w:sz="8" w:space="0" w:color="000000"/>
              <w:right w:val="single" w:sz="8" w:space="0" w:color="000000"/>
            </w:tcBorders>
            <w:shd w:val="clear" w:color="auto" w:fill="FFFFFF"/>
            <w:vAlign w:val="bottom"/>
          </w:tcPr>
          <w:p w14:paraId="6483CF14"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31</w:t>
            </w:r>
          </w:p>
        </w:tc>
        <w:tc>
          <w:tcPr>
            <w:tcW w:w="643" w:type="dxa"/>
            <w:tcBorders>
              <w:bottom w:val="single" w:sz="8" w:space="0" w:color="000000"/>
              <w:right w:val="single" w:sz="8" w:space="0" w:color="000000"/>
            </w:tcBorders>
            <w:shd w:val="clear" w:color="auto" w:fill="FFFFFF"/>
            <w:vAlign w:val="bottom"/>
          </w:tcPr>
          <w:p w14:paraId="2FAC28F4"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0,1%</w:t>
            </w:r>
          </w:p>
        </w:tc>
        <w:tc>
          <w:tcPr>
            <w:tcW w:w="895" w:type="dxa"/>
            <w:tcBorders>
              <w:bottom w:val="single" w:sz="8" w:space="0" w:color="000000"/>
              <w:right w:val="single" w:sz="8" w:space="0" w:color="000000"/>
            </w:tcBorders>
            <w:shd w:val="clear" w:color="auto" w:fill="FFFFFF"/>
            <w:vAlign w:val="bottom"/>
          </w:tcPr>
          <w:p w14:paraId="7AABE7B0"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0</w:t>
            </w:r>
          </w:p>
        </w:tc>
        <w:tc>
          <w:tcPr>
            <w:tcW w:w="767" w:type="dxa"/>
            <w:tcBorders>
              <w:bottom w:val="single" w:sz="8" w:space="0" w:color="000000"/>
              <w:right w:val="single" w:sz="8" w:space="0" w:color="000000"/>
            </w:tcBorders>
            <w:shd w:val="clear" w:color="auto" w:fill="FFFFFF"/>
            <w:vAlign w:val="bottom"/>
          </w:tcPr>
          <w:p w14:paraId="2FE43CFB"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0,0%</w:t>
            </w:r>
          </w:p>
        </w:tc>
        <w:tc>
          <w:tcPr>
            <w:tcW w:w="775" w:type="dxa"/>
            <w:tcBorders>
              <w:bottom w:val="single" w:sz="8" w:space="0" w:color="000000"/>
              <w:right w:val="single" w:sz="8" w:space="0" w:color="000000"/>
            </w:tcBorders>
            <w:shd w:val="clear" w:color="auto" w:fill="FFFFFF"/>
            <w:vAlign w:val="bottom"/>
          </w:tcPr>
          <w:p w14:paraId="62042E57"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0</w:t>
            </w:r>
          </w:p>
        </w:tc>
        <w:tc>
          <w:tcPr>
            <w:tcW w:w="895" w:type="dxa"/>
            <w:tcBorders>
              <w:bottom w:val="single" w:sz="8" w:space="0" w:color="000000"/>
              <w:right w:val="single" w:sz="8" w:space="0" w:color="000000"/>
            </w:tcBorders>
            <w:shd w:val="clear" w:color="auto" w:fill="FFFFFF"/>
            <w:vAlign w:val="bottom"/>
          </w:tcPr>
          <w:p w14:paraId="5572B28B"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0,0%</w:t>
            </w:r>
          </w:p>
        </w:tc>
        <w:tc>
          <w:tcPr>
            <w:tcW w:w="770" w:type="dxa"/>
            <w:tcBorders>
              <w:bottom w:val="single" w:sz="8" w:space="0" w:color="000000"/>
              <w:right w:val="single" w:sz="8" w:space="0" w:color="000000"/>
            </w:tcBorders>
            <w:shd w:val="clear" w:color="auto" w:fill="FFFFFF"/>
            <w:vAlign w:val="center"/>
          </w:tcPr>
          <w:p w14:paraId="2C3870C3" w14:textId="77777777" w:rsidR="002449C2" w:rsidRDefault="00123961">
            <w:pPr>
              <w:shd w:val="clear" w:color="auto" w:fill="FFFFFF"/>
              <w:spacing w:after="0" w:line="240" w:lineRule="auto"/>
              <w:jc w:val="center"/>
              <w:rPr>
                <w:rFonts w:ascii="Times New Roman" w:hAnsi="Times New Roman"/>
                <w:color w:val="000000"/>
                <w:sz w:val="16"/>
                <w:szCs w:val="16"/>
                <w:lang w:eastAsia="en-US"/>
              </w:rPr>
            </w:pPr>
            <w:r>
              <w:rPr>
                <w:rFonts w:ascii="Times New Roman" w:hAnsi="Times New Roman"/>
                <w:color w:val="000000"/>
                <w:sz w:val="16"/>
                <w:szCs w:val="16"/>
                <w:lang w:eastAsia="en-US"/>
              </w:rPr>
              <w:t>29</w:t>
            </w:r>
          </w:p>
        </w:tc>
        <w:tc>
          <w:tcPr>
            <w:tcW w:w="647" w:type="dxa"/>
            <w:tcBorders>
              <w:bottom w:val="single" w:sz="8" w:space="0" w:color="000000"/>
              <w:right w:val="single" w:sz="8" w:space="0" w:color="000000"/>
            </w:tcBorders>
            <w:shd w:val="clear" w:color="auto" w:fill="FFFFFF"/>
            <w:vAlign w:val="center"/>
          </w:tcPr>
          <w:p w14:paraId="0C4AC2C2" w14:textId="77777777" w:rsidR="002449C2" w:rsidRDefault="00123961">
            <w:pPr>
              <w:shd w:val="clear" w:color="auto" w:fill="FFFFFF"/>
              <w:spacing w:after="0" w:line="240" w:lineRule="auto"/>
              <w:jc w:val="center"/>
              <w:rPr>
                <w:rFonts w:ascii="Times New Roman" w:hAnsi="Times New Roman"/>
                <w:color w:val="000000"/>
                <w:sz w:val="16"/>
                <w:szCs w:val="16"/>
                <w:lang w:eastAsia="en-US"/>
              </w:rPr>
            </w:pPr>
            <w:r>
              <w:rPr>
                <w:rFonts w:ascii="Times New Roman" w:hAnsi="Times New Roman"/>
                <w:color w:val="000000"/>
                <w:sz w:val="16"/>
                <w:szCs w:val="16"/>
                <w:lang w:eastAsia="en-US"/>
              </w:rPr>
              <w:t>2,0</w:t>
            </w:r>
          </w:p>
        </w:tc>
        <w:tc>
          <w:tcPr>
            <w:tcW w:w="767" w:type="dxa"/>
            <w:tcBorders>
              <w:bottom w:val="single" w:sz="8" w:space="0" w:color="000000"/>
              <w:right w:val="single" w:sz="8" w:space="0" w:color="000000"/>
            </w:tcBorders>
            <w:shd w:val="clear" w:color="auto" w:fill="FFFFFF"/>
          </w:tcPr>
          <w:p w14:paraId="2B1E3EC1"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2</w:t>
            </w:r>
          </w:p>
        </w:tc>
        <w:tc>
          <w:tcPr>
            <w:tcW w:w="890" w:type="dxa"/>
            <w:tcBorders>
              <w:bottom w:val="single" w:sz="8" w:space="0" w:color="000000"/>
              <w:right w:val="single" w:sz="8" w:space="0" w:color="000000"/>
            </w:tcBorders>
            <w:shd w:val="clear" w:color="auto" w:fill="FFFFFF"/>
          </w:tcPr>
          <w:p w14:paraId="425A4762"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0,3%</w:t>
            </w:r>
          </w:p>
        </w:tc>
      </w:tr>
      <w:tr w:rsidR="002449C2" w14:paraId="0B1CF2BA" w14:textId="77777777">
        <w:trPr>
          <w:trHeight w:val="20"/>
        </w:trPr>
        <w:tc>
          <w:tcPr>
            <w:tcW w:w="1462" w:type="dxa"/>
            <w:tcBorders>
              <w:left w:val="single" w:sz="4" w:space="0" w:color="000000"/>
              <w:bottom w:val="single" w:sz="4" w:space="0" w:color="000000"/>
              <w:right w:val="single" w:sz="4" w:space="0" w:color="000000"/>
            </w:tcBorders>
            <w:shd w:val="clear" w:color="auto" w:fill="FFFFFF"/>
            <w:vAlign w:val="center"/>
          </w:tcPr>
          <w:p w14:paraId="4112181F" w14:textId="77777777" w:rsidR="002449C2" w:rsidRDefault="00123961">
            <w:pPr>
              <w:shd w:val="clear" w:color="auto" w:fill="FFFFFF"/>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ИТОГО</w:t>
            </w:r>
          </w:p>
        </w:tc>
        <w:tc>
          <w:tcPr>
            <w:tcW w:w="842" w:type="dxa"/>
            <w:tcBorders>
              <w:bottom w:val="single" w:sz="8" w:space="0" w:color="000000"/>
              <w:right w:val="single" w:sz="8" w:space="0" w:color="000000"/>
            </w:tcBorders>
            <w:shd w:val="clear" w:color="auto" w:fill="FFFFFF"/>
            <w:vAlign w:val="bottom"/>
          </w:tcPr>
          <w:p w14:paraId="6E343AFF"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51 265</w:t>
            </w:r>
          </w:p>
        </w:tc>
        <w:tc>
          <w:tcPr>
            <w:tcW w:w="643" w:type="dxa"/>
            <w:tcBorders>
              <w:bottom w:val="single" w:sz="8" w:space="0" w:color="000000"/>
              <w:right w:val="single" w:sz="8" w:space="0" w:color="000000"/>
            </w:tcBorders>
            <w:shd w:val="clear" w:color="auto" w:fill="FFFFFF"/>
            <w:vAlign w:val="bottom"/>
          </w:tcPr>
          <w:p w14:paraId="64C82B64"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100,0%</w:t>
            </w:r>
          </w:p>
        </w:tc>
        <w:tc>
          <w:tcPr>
            <w:tcW w:w="895" w:type="dxa"/>
            <w:tcBorders>
              <w:bottom w:val="single" w:sz="8" w:space="0" w:color="000000"/>
              <w:right w:val="single" w:sz="8" w:space="0" w:color="000000"/>
            </w:tcBorders>
            <w:shd w:val="clear" w:color="auto" w:fill="FFFFFF"/>
            <w:vAlign w:val="bottom"/>
          </w:tcPr>
          <w:p w14:paraId="6E3584C0"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48 066</w:t>
            </w:r>
          </w:p>
        </w:tc>
        <w:tc>
          <w:tcPr>
            <w:tcW w:w="767" w:type="dxa"/>
            <w:tcBorders>
              <w:bottom w:val="single" w:sz="8" w:space="0" w:color="000000"/>
              <w:right w:val="single" w:sz="8" w:space="0" w:color="000000"/>
            </w:tcBorders>
            <w:shd w:val="clear" w:color="auto" w:fill="FFFFFF"/>
            <w:vAlign w:val="bottom"/>
          </w:tcPr>
          <w:p w14:paraId="1632A965"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100,0%</w:t>
            </w:r>
          </w:p>
        </w:tc>
        <w:tc>
          <w:tcPr>
            <w:tcW w:w="775" w:type="dxa"/>
            <w:tcBorders>
              <w:bottom w:val="single" w:sz="8" w:space="0" w:color="000000"/>
              <w:right w:val="single" w:sz="8" w:space="0" w:color="000000"/>
            </w:tcBorders>
            <w:shd w:val="clear" w:color="auto" w:fill="FFFFFF"/>
            <w:vAlign w:val="bottom"/>
          </w:tcPr>
          <w:p w14:paraId="3099540B"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1 002</w:t>
            </w:r>
          </w:p>
        </w:tc>
        <w:tc>
          <w:tcPr>
            <w:tcW w:w="895" w:type="dxa"/>
            <w:tcBorders>
              <w:bottom w:val="single" w:sz="8" w:space="0" w:color="000000"/>
              <w:right w:val="single" w:sz="8" w:space="0" w:color="000000"/>
            </w:tcBorders>
            <w:shd w:val="clear" w:color="auto" w:fill="FFFFFF"/>
            <w:vAlign w:val="bottom"/>
          </w:tcPr>
          <w:p w14:paraId="053A075C"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100,0%</w:t>
            </w:r>
          </w:p>
        </w:tc>
        <w:tc>
          <w:tcPr>
            <w:tcW w:w="770" w:type="dxa"/>
            <w:tcBorders>
              <w:bottom w:val="single" w:sz="8" w:space="0" w:color="000000"/>
              <w:right w:val="single" w:sz="8" w:space="0" w:color="000000"/>
            </w:tcBorders>
            <w:shd w:val="clear" w:color="auto" w:fill="FFFFFF"/>
            <w:vAlign w:val="center"/>
          </w:tcPr>
          <w:p w14:paraId="1E391457" w14:textId="77777777" w:rsidR="002449C2" w:rsidRDefault="00123961">
            <w:pPr>
              <w:shd w:val="clear" w:color="auto" w:fill="FFFFFF"/>
              <w:spacing w:after="0" w:line="240" w:lineRule="auto"/>
              <w:jc w:val="center"/>
              <w:rPr>
                <w:rFonts w:ascii="Times New Roman" w:hAnsi="Times New Roman"/>
                <w:color w:val="000000"/>
                <w:sz w:val="16"/>
                <w:szCs w:val="16"/>
                <w:lang w:eastAsia="en-US"/>
              </w:rPr>
            </w:pPr>
            <w:r>
              <w:rPr>
                <w:rFonts w:ascii="Times New Roman" w:hAnsi="Times New Roman"/>
                <w:color w:val="000000"/>
                <w:sz w:val="16"/>
                <w:szCs w:val="16"/>
                <w:lang w:eastAsia="en-US"/>
              </w:rPr>
              <w:t>1 450</w:t>
            </w:r>
          </w:p>
        </w:tc>
        <w:tc>
          <w:tcPr>
            <w:tcW w:w="647" w:type="dxa"/>
            <w:tcBorders>
              <w:bottom w:val="single" w:sz="8" w:space="0" w:color="000000"/>
              <w:right w:val="single" w:sz="8" w:space="0" w:color="000000"/>
            </w:tcBorders>
            <w:shd w:val="clear" w:color="auto" w:fill="FFFFFF"/>
            <w:vAlign w:val="center"/>
          </w:tcPr>
          <w:p w14:paraId="0ECDFEC3" w14:textId="77777777" w:rsidR="002449C2" w:rsidRDefault="00123961">
            <w:pPr>
              <w:shd w:val="clear" w:color="auto" w:fill="FFFFFF"/>
              <w:spacing w:after="0" w:line="240" w:lineRule="auto"/>
              <w:jc w:val="center"/>
              <w:rPr>
                <w:rFonts w:ascii="Times New Roman" w:hAnsi="Times New Roman"/>
                <w:color w:val="000000"/>
                <w:sz w:val="16"/>
                <w:szCs w:val="16"/>
                <w:lang w:eastAsia="en-US"/>
              </w:rPr>
            </w:pPr>
            <w:r>
              <w:rPr>
                <w:rFonts w:ascii="Times New Roman" w:hAnsi="Times New Roman"/>
                <w:color w:val="000000"/>
                <w:sz w:val="16"/>
                <w:szCs w:val="16"/>
                <w:lang w:eastAsia="en-US"/>
              </w:rPr>
              <w:t>100,0</w:t>
            </w:r>
          </w:p>
        </w:tc>
        <w:tc>
          <w:tcPr>
            <w:tcW w:w="767" w:type="dxa"/>
            <w:tcBorders>
              <w:bottom w:val="single" w:sz="8" w:space="0" w:color="000000"/>
              <w:right w:val="single" w:sz="8" w:space="0" w:color="000000"/>
            </w:tcBorders>
            <w:shd w:val="clear" w:color="auto" w:fill="FFFFFF"/>
          </w:tcPr>
          <w:p w14:paraId="0FB33850"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747</w:t>
            </w:r>
          </w:p>
        </w:tc>
        <w:tc>
          <w:tcPr>
            <w:tcW w:w="890" w:type="dxa"/>
            <w:tcBorders>
              <w:bottom w:val="single" w:sz="8" w:space="0" w:color="000000"/>
              <w:right w:val="single" w:sz="8" w:space="0" w:color="000000"/>
            </w:tcBorders>
            <w:shd w:val="clear" w:color="auto" w:fill="FFFFFF"/>
          </w:tcPr>
          <w:p w14:paraId="698414C0" w14:textId="77777777" w:rsidR="002449C2" w:rsidRDefault="00123961">
            <w:pPr>
              <w:shd w:val="clear" w:color="auto" w:fill="FFFFFF"/>
              <w:spacing w:after="0" w:line="240" w:lineRule="auto"/>
              <w:jc w:val="center"/>
              <w:rPr>
                <w:rFonts w:ascii="Times New Roman" w:hAnsi="Times New Roman"/>
                <w:sz w:val="16"/>
                <w:szCs w:val="16"/>
                <w:lang w:eastAsia="en-US"/>
              </w:rPr>
            </w:pPr>
            <w:r>
              <w:rPr>
                <w:rFonts w:ascii="Times New Roman" w:hAnsi="Times New Roman"/>
                <w:sz w:val="16"/>
                <w:szCs w:val="16"/>
                <w:lang w:eastAsia="en-US"/>
              </w:rPr>
              <w:t>100,0%</w:t>
            </w:r>
          </w:p>
        </w:tc>
      </w:tr>
    </w:tbl>
    <w:p w14:paraId="70988F67" w14:textId="77777777" w:rsidR="002449C2" w:rsidRDefault="00123961">
      <w:pPr>
        <w:shd w:val="clear" w:color="auto" w:fill="FFFFFF"/>
        <w:tabs>
          <w:tab w:val="left" w:pos="142"/>
        </w:tabs>
        <w:spacing w:before="120" w:after="120" w:line="240" w:lineRule="auto"/>
        <w:ind w:firstLine="567"/>
        <w:jc w:val="center"/>
        <w:rPr>
          <w:rFonts w:ascii="Times New Roman" w:eastAsia="TimesNewRoman" w:hAnsi="Times New Roman"/>
          <w:b/>
          <w:sz w:val="26"/>
          <w:szCs w:val="26"/>
          <w:lang w:eastAsia="ru-RU"/>
        </w:rPr>
      </w:pPr>
      <w:r>
        <w:rPr>
          <w:rFonts w:ascii="Times New Roman" w:eastAsia="Times New Roman" w:hAnsi="Times New Roman"/>
          <w:b/>
          <w:color w:val="1D1B11"/>
          <w:sz w:val="26"/>
          <w:szCs w:val="26"/>
          <w:lang w:eastAsia="ru-RU"/>
        </w:rPr>
        <w:t>Присвоение статуса гарантирующего поставщика</w:t>
      </w:r>
    </w:p>
    <w:p w14:paraId="27C24759" w14:textId="77777777" w:rsidR="002449C2" w:rsidRDefault="00123961">
      <w:pPr>
        <w:shd w:val="clear" w:color="auto" w:fill="FFFFFF"/>
        <w:tabs>
          <w:tab w:val="left" w:pos="567"/>
          <w:tab w:val="left" w:pos="993"/>
          <w:tab w:val="left" w:pos="1418"/>
        </w:tabs>
        <w:spacing w:after="0" w:line="240" w:lineRule="auto"/>
        <w:ind w:firstLine="567"/>
        <w:contextualSpacing/>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 xml:space="preserve">С 01.01.2017 Общество осуществляет функции гарантирующего поставщика на территории Республики Калмыкия, ежегодно статус гарантирующего поставщика продлевается на основании приказов Министерства энергетики Российской Федерации. В 2024 году исполнение функции гарантирующего поставщика внутри административных границ Республики Калмыкия за исключением зоны города Элиста осуществлялось на основании приказов Минэнерго России от 27.07.2023 № 564 и от 30.07.2024 № 923. </w:t>
      </w:r>
    </w:p>
    <w:p w14:paraId="6337EE95" w14:textId="77777777" w:rsidR="002449C2" w:rsidRDefault="00123961">
      <w:pPr>
        <w:shd w:val="clear" w:color="auto" w:fill="FFFFFF"/>
        <w:tabs>
          <w:tab w:val="left" w:pos="567"/>
          <w:tab w:val="left" w:pos="993"/>
          <w:tab w:val="left" w:pos="1418"/>
        </w:tabs>
        <w:spacing w:after="0" w:line="240" w:lineRule="auto"/>
        <w:ind w:firstLine="567"/>
        <w:contextualSpacing/>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 xml:space="preserve">Выручка от реализации электрической энергии на розничном рынке за 2024 год снизилась на 635,68 млн рублей или 30,91% по отношению к 2023 году и составила </w:t>
      </w:r>
      <w:r>
        <w:rPr>
          <w:rFonts w:ascii="Times New Roman" w:eastAsia="Times New Roman" w:hAnsi="Times New Roman"/>
          <w:sz w:val="26"/>
          <w:szCs w:val="26"/>
          <w:lang w:eastAsia="ru-RU"/>
        </w:rPr>
        <w:t>1 450,00</w:t>
      </w:r>
      <w:r>
        <w:rPr>
          <w:rFonts w:ascii="Times New Roman" w:eastAsia="Times New Roman" w:hAnsi="Times New Roman"/>
          <w:color w:val="000000"/>
          <w:sz w:val="26"/>
          <w:szCs w:val="26"/>
          <w:lang w:eastAsia="ru-RU"/>
        </w:rPr>
        <w:t xml:space="preserve"> млн рублей. Снижение выручки обусловлено передачей функции гарантирующего поставщика на территории города Элиста новому гарантирующему поставщику АО «Читаэнергосбыт» с 01.10.2023 на основании приказа Минэнерго России от 30.08.2023 № 713.</w:t>
      </w:r>
    </w:p>
    <w:p w14:paraId="73C8AE61" w14:textId="77777777" w:rsidR="002449C2" w:rsidRDefault="00123961">
      <w:pPr>
        <w:shd w:val="clear" w:color="auto" w:fill="FFFFFF"/>
        <w:tabs>
          <w:tab w:val="left" w:pos="567"/>
          <w:tab w:val="left" w:pos="993"/>
          <w:tab w:val="left" w:pos="1418"/>
        </w:tabs>
        <w:spacing w:after="0" w:line="240" w:lineRule="auto"/>
        <w:ind w:firstLine="567"/>
        <w:contextualSpacing/>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Объем поставленной электроэнергии на розничном рынке за 2024 год снизился на 118,35 млн кВтч или 29,21% по отношению к 2023 году и составил 286,79 млн кВтч, в том числе:</w:t>
      </w:r>
    </w:p>
    <w:p w14:paraId="74D6C0C9" w14:textId="77777777" w:rsidR="002449C2" w:rsidRDefault="00123961">
      <w:pPr>
        <w:shd w:val="clear" w:color="auto" w:fill="FFFFFF"/>
        <w:tabs>
          <w:tab w:val="left" w:pos="567"/>
          <w:tab w:val="left" w:pos="993"/>
          <w:tab w:val="left" w:pos="1418"/>
        </w:tabs>
        <w:spacing w:after="0" w:line="240" w:lineRule="auto"/>
        <w:ind w:firstLine="567"/>
        <w:contextualSpacing/>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 xml:space="preserve">- по договорам энергоснабжения – 202,25 млн кВтч, из них население и приравненные к ним потребители в объеме 108,43 млн кВтч, </w:t>
      </w:r>
    </w:p>
    <w:p w14:paraId="6DAEE178" w14:textId="77777777" w:rsidR="002449C2" w:rsidRDefault="00123961">
      <w:pPr>
        <w:shd w:val="clear" w:color="auto" w:fill="FFFFFF"/>
        <w:tabs>
          <w:tab w:val="left" w:pos="567"/>
          <w:tab w:val="left" w:pos="993"/>
          <w:tab w:val="left" w:pos="1418"/>
        </w:tabs>
        <w:spacing w:after="0" w:line="240" w:lineRule="auto"/>
        <w:ind w:firstLine="567"/>
        <w:contextualSpacing/>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 по договорам купли-продажи – 84,54 млн кВтч.</w:t>
      </w:r>
    </w:p>
    <w:p w14:paraId="690C9B92" w14:textId="77777777" w:rsidR="002449C2" w:rsidRDefault="00123961">
      <w:pPr>
        <w:shd w:val="clear" w:color="auto" w:fill="FFFFFF"/>
        <w:tabs>
          <w:tab w:val="left" w:pos="567"/>
          <w:tab w:val="left" w:pos="993"/>
          <w:tab w:val="left" w:pos="1418"/>
        </w:tabs>
        <w:spacing w:after="0" w:line="240" w:lineRule="auto"/>
        <w:ind w:firstLine="567"/>
        <w:contextualSpacing/>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На обслуживании у филиала «Калмэнерго», как гарантирующего поставщика на территории Республики Калмыкия за исключением г. Элиста находятся 55 862 потребителя, в том числе:</w:t>
      </w:r>
    </w:p>
    <w:p w14:paraId="23B92E4C" w14:textId="77777777" w:rsidR="002449C2" w:rsidRDefault="00123961">
      <w:pPr>
        <w:shd w:val="clear" w:color="auto" w:fill="FFFFFF"/>
        <w:tabs>
          <w:tab w:val="left" w:pos="567"/>
          <w:tab w:val="left" w:pos="993"/>
          <w:tab w:val="left" w:pos="1418"/>
        </w:tabs>
        <w:spacing w:after="0" w:line="240" w:lineRule="auto"/>
        <w:ind w:firstLine="567"/>
        <w:contextualSpacing/>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- 4 282 потребителей-юридических лиц, ИП и граждан, занимающихся коммерческой деятельностью;</w:t>
      </w:r>
    </w:p>
    <w:p w14:paraId="1231CF90" w14:textId="77777777" w:rsidR="002449C2" w:rsidRDefault="00123961">
      <w:pPr>
        <w:shd w:val="clear" w:color="auto" w:fill="FFFFFF"/>
        <w:tabs>
          <w:tab w:val="left" w:pos="567"/>
          <w:tab w:val="left" w:pos="993"/>
          <w:tab w:val="left" w:pos="1418"/>
        </w:tabs>
        <w:spacing w:after="0" w:line="240" w:lineRule="auto"/>
        <w:ind w:firstLine="567"/>
        <w:contextualSpacing/>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- 51 580 потребителей, относящихся к группе «население».</w:t>
      </w:r>
    </w:p>
    <w:p w14:paraId="1BF47266" w14:textId="77777777" w:rsidR="002449C2" w:rsidRDefault="002449C2">
      <w:pPr>
        <w:shd w:val="clear" w:color="auto" w:fill="FFFFFF"/>
        <w:tabs>
          <w:tab w:val="left" w:pos="567"/>
          <w:tab w:val="left" w:pos="993"/>
          <w:tab w:val="left" w:pos="1418"/>
        </w:tabs>
        <w:spacing w:after="0" w:line="240" w:lineRule="auto"/>
        <w:ind w:firstLine="567"/>
        <w:contextualSpacing/>
        <w:jc w:val="both"/>
        <w:rPr>
          <w:rFonts w:ascii="Times New Roman" w:eastAsia="Times New Roman" w:hAnsi="Times New Roman"/>
          <w:color w:val="000000"/>
          <w:sz w:val="26"/>
          <w:szCs w:val="26"/>
          <w:lang w:eastAsia="ru-RU"/>
        </w:rPr>
      </w:pPr>
    </w:p>
    <w:p w14:paraId="0BD5778B" w14:textId="77777777" w:rsidR="002449C2" w:rsidRDefault="00123961">
      <w:pPr>
        <w:shd w:val="clear" w:color="auto" w:fill="FFFFFF"/>
        <w:tabs>
          <w:tab w:val="left" w:pos="567"/>
          <w:tab w:val="left" w:pos="993"/>
          <w:tab w:val="left" w:pos="1418"/>
        </w:tabs>
        <w:spacing w:after="0" w:line="240" w:lineRule="auto"/>
        <w:ind w:firstLine="567"/>
        <w:contextualSpacing/>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Уровень оплаты денежными средствами на розничном рынке электроэнергии за 2024 год составил 104,7%, при плановой величине 98,7%, перевыполнение плана составило 6,0% или 85,25 млн рублей.</w:t>
      </w:r>
    </w:p>
    <w:p w14:paraId="1757C3B9" w14:textId="77777777" w:rsidR="002449C2" w:rsidRDefault="002449C2">
      <w:pPr>
        <w:shd w:val="clear" w:color="auto" w:fill="FFFFFF"/>
        <w:tabs>
          <w:tab w:val="left" w:pos="567"/>
          <w:tab w:val="left" w:pos="993"/>
          <w:tab w:val="left" w:pos="1418"/>
        </w:tabs>
        <w:spacing w:after="0" w:line="240" w:lineRule="auto"/>
        <w:ind w:firstLine="567"/>
        <w:contextualSpacing/>
        <w:jc w:val="both"/>
        <w:rPr>
          <w:rFonts w:ascii="Times New Roman" w:eastAsia="Times New Roman" w:hAnsi="Times New Roman"/>
          <w:color w:val="000000"/>
          <w:sz w:val="26"/>
          <w:szCs w:val="26"/>
          <w:lang w:eastAsia="ru-RU"/>
        </w:rPr>
      </w:pPr>
    </w:p>
    <w:p w14:paraId="1CFC5AD7" w14:textId="77777777" w:rsidR="002449C2" w:rsidRDefault="00123961">
      <w:pPr>
        <w:shd w:val="clear" w:color="auto" w:fill="FFFFFF"/>
        <w:tabs>
          <w:tab w:val="left" w:pos="567"/>
          <w:tab w:val="left" w:pos="993"/>
          <w:tab w:val="left" w:pos="1418"/>
        </w:tabs>
        <w:spacing w:after="0" w:line="240" w:lineRule="auto"/>
        <w:ind w:firstLine="567"/>
        <w:contextualSpacing/>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 xml:space="preserve">Уровень оплаты 104,7%, зафиксированный выше утвержденного бизнес-планом на 2024 год, обусловлен в основном отсутствием начислений с 01.10.2023 в связи с передачей функции ГП в зоне деятельности г. Элиста новому гарантирующему поставщику - АО «Читаэнергосбыт» и поступлением денежных средств в течение 2024 года в счет начислений прошлых периодов. </w:t>
      </w:r>
    </w:p>
    <w:p w14:paraId="18359A4A" w14:textId="77777777" w:rsidR="002449C2" w:rsidRDefault="002449C2">
      <w:pPr>
        <w:shd w:val="clear" w:color="auto" w:fill="FFFFFF"/>
        <w:tabs>
          <w:tab w:val="left" w:pos="567"/>
          <w:tab w:val="left" w:pos="993"/>
          <w:tab w:val="left" w:pos="1418"/>
        </w:tabs>
        <w:spacing w:after="0" w:line="240" w:lineRule="auto"/>
        <w:ind w:firstLine="567"/>
        <w:contextualSpacing/>
        <w:jc w:val="both"/>
        <w:rPr>
          <w:rFonts w:ascii="Times New Roman" w:eastAsia="Times New Roman" w:hAnsi="Times New Roman"/>
          <w:color w:val="000000"/>
          <w:sz w:val="26"/>
          <w:szCs w:val="26"/>
          <w:lang w:eastAsia="ru-RU"/>
        </w:rPr>
      </w:pPr>
    </w:p>
    <w:p w14:paraId="5B6CB47D" w14:textId="77777777" w:rsidR="002449C2" w:rsidRDefault="00123961">
      <w:pPr>
        <w:shd w:val="clear" w:color="auto" w:fill="FFFFFF"/>
        <w:tabs>
          <w:tab w:val="left" w:pos="567"/>
          <w:tab w:val="left" w:pos="993"/>
          <w:tab w:val="left" w:pos="1418"/>
        </w:tabs>
        <w:spacing w:after="0" w:line="240" w:lineRule="auto"/>
        <w:ind w:firstLine="567"/>
        <w:contextualSpacing/>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Расходы на покупку электроэнергии на оптовом рынке электроэнергии и мощности за 2024 год составили 1 080,80 млн руб., объем купленной электроэнергии составил 465,13 млн кВтч.</w:t>
      </w:r>
    </w:p>
    <w:p w14:paraId="745514AC" w14:textId="77777777" w:rsidR="002449C2" w:rsidRDefault="002449C2">
      <w:pPr>
        <w:shd w:val="clear" w:color="auto" w:fill="FFFFFF"/>
        <w:tabs>
          <w:tab w:val="left" w:pos="567"/>
          <w:tab w:val="left" w:pos="993"/>
          <w:tab w:val="left" w:pos="1418"/>
        </w:tabs>
        <w:spacing w:after="0" w:line="240" w:lineRule="auto"/>
        <w:ind w:firstLine="567"/>
        <w:contextualSpacing/>
        <w:jc w:val="both"/>
        <w:rPr>
          <w:rFonts w:ascii="Times New Roman" w:eastAsia="Times New Roman" w:hAnsi="Times New Roman"/>
          <w:color w:val="000000"/>
          <w:sz w:val="26"/>
          <w:szCs w:val="26"/>
          <w:lang w:eastAsia="ru-RU"/>
        </w:rPr>
      </w:pPr>
    </w:p>
    <w:p w14:paraId="7F06EE96" w14:textId="77777777" w:rsidR="002449C2" w:rsidRDefault="00123961">
      <w:pPr>
        <w:shd w:val="clear" w:color="auto" w:fill="FFFFFF"/>
        <w:tabs>
          <w:tab w:val="left" w:pos="567"/>
          <w:tab w:val="left" w:pos="993"/>
          <w:tab w:val="left" w:pos="1418"/>
        </w:tabs>
        <w:spacing w:after="0" w:line="240" w:lineRule="auto"/>
        <w:ind w:firstLine="567"/>
        <w:contextualSpacing/>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 xml:space="preserve">Обязательства по оплате покупной электроэнергии на ОРЭМ исполнены в полном объеме, просроченная кредиторская задолженность по оплате покупной электроэнергии на ОРЭМ у Общества отсутствует. </w:t>
      </w:r>
    </w:p>
    <w:p w14:paraId="47FBE41B" w14:textId="77777777" w:rsidR="002449C2" w:rsidRDefault="00123961">
      <w:pPr>
        <w:tabs>
          <w:tab w:val="left" w:pos="142"/>
        </w:tabs>
        <w:spacing w:before="120" w:after="120" w:line="240" w:lineRule="auto"/>
        <w:ind w:firstLine="567"/>
        <w:jc w:val="center"/>
        <w:rPr>
          <w:rFonts w:ascii="Times New Roman" w:eastAsia="TimesNewRoman" w:hAnsi="Times New Roman"/>
          <w:b/>
          <w:sz w:val="26"/>
          <w:szCs w:val="26"/>
          <w:lang w:eastAsia="ru-RU"/>
        </w:rPr>
      </w:pPr>
      <w:r>
        <w:rPr>
          <w:rFonts w:ascii="Times New Roman" w:eastAsia="Times New Roman" w:hAnsi="Times New Roman"/>
          <w:b/>
          <w:color w:val="1D1B11"/>
          <w:sz w:val="26"/>
          <w:szCs w:val="26"/>
          <w:lang w:eastAsia="ru-RU"/>
        </w:rPr>
        <w:t>Механизм взаимодействия ПАО «Россети Юг», исполняющего функции Гарантирующего поставщика с субъектами оптового и розничного рынков электроэнергии (мощности)</w:t>
      </w:r>
    </w:p>
    <w:p w14:paraId="256AC424" w14:textId="77777777" w:rsidR="002449C2" w:rsidRDefault="00123961">
      <w:pPr>
        <w:spacing w:after="0" w:line="240" w:lineRule="auto"/>
        <w:ind w:firstLine="567"/>
        <w:jc w:val="center"/>
        <w:rPr>
          <w:rFonts w:ascii="Times New Roman" w:hAnsi="Times New Roman"/>
          <w:lang w:eastAsia="ru-RU"/>
        </w:rPr>
      </w:pPr>
      <w:r>
        <w:rPr>
          <w:noProof/>
          <w:lang w:eastAsia="ru-RU"/>
        </w:rPr>
        <w:drawing>
          <wp:inline distT="0" distB="0" distL="0" distR="0" wp14:anchorId="753C8636" wp14:editId="2DF5BABB">
            <wp:extent cx="4057015" cy="2334260"/>
            <wp:effectExtent l="0" t="0" r="0" b="0"/>
            <wp:docPr id="27" name="_x005F_x0000_i4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_x005F_x0000_i4410"/>
                    <pic:cNvPicPr>
                      <a:picLocks noChangeAspect="1" noChangeArrowheads="1"/>
                    </pic:cNvPicPr>
                  </pic:nvPicPr>
                  <pic:blipFill>
                    <a:blip r:embed="rId41"/>
                    <a:stretch>
                      <a:fillRect/>
                    </a:stretch>
                  </pic:blipFill>
                  <pic:spPr bwMode="auto">
                    <a:xfrm>
                      <a:off x="0" y="0"/>
                      <a:ext cx="4057015" cy="2334260"/>
                    </a:xfrm>
                    <a:prstGeom prst="rect">
                      <a:avLst/>
                    </a:prstGeom>
                    <a:noFill/>
                  </pic:spPr>
                </pic:pic>
              </a:graphicData>
            </a:graphic>
          </wp:inline>
        </w:drawing>
      </w:r>
    </w:p>
    <w:p w14:paraId="0BF354E0" w14:textId="77777777" w:rsidR="002449C2" w:rsidRDefault="00123961">
      <w:pPr>
        <w:tabs>
          <w:tab w:val="left" w:pos="142"/>
        </w:tabs>
        <w:spacing w:before="120" w:after="12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Влияние внешних санкций на корректировку стратегии Общества</w:t>
      </w:r>
    </w:p>
    <w:p w14:paraId="110BC6E8" w14:textId="77777777" w:rsidR="002449C2" w:rsidRDefault="00123961">
      <w:pPr>
        <w:shd w:val="clear" w:color="auto" w:fill="FFFFFF"/>
        <w:tabs>
          <w:tab w:val="left" w:pos="567"/>
          <w:tab w:val="left" w:pos="993"/>
          <w:tab w:val="left" w:pos="1418"/>
        </w:tabs>
        <w:spacing w:after="0" w:line="240" w:lineRule="auto"/>
        <w:ind w:firstLine="567"/>
        <w:contextualSpacing/>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 xml:space="preserve">В силу специфики операционной деятельности Компании, а также с учетом оказания услуг потребителям на внутреннем (российском) рынке, санкции, введенные иностранными государствами, не оказали прямого и существенного негативного влияния на Компанию и ее деятельность. </w:t>
      </w:r>
      <w:r>
        <w:br w:type="page"/>
      </w:r>
    </w:p>
    <w:p w14:paraId="0BDA683C" w14:textId="77777777" w:rsidR="002449C2" w:rsidRDefault="00123961">
      <w:pPr>
        <w:keepNext/>
        <w:pBdr>
          <w:bottom w:val="single" w:sz="4" w:space="1" w:color="622423"/>
        </w:pBdr>
        <w:spacing w:line="252" w:lineRule="auto"/>
        <w:jc w:val="center"/>
        <w:outlineLvl w:val="1"/>
        <w:rPr>
          <w:rFonts w:ascii="Times New Roman" w:eastAsia="Times New Roman" w:hAnsi="Times New Roman"/>
          <w:caps/>
          <w:color w:val="632423"/>
          <w:spacing w:val="15"/>
          <w:sz w:val="24"/>
          <w:szCs w:val="24"/>
          <w:lang w:eastAsia="en-US" w:bidi="en-US"/>
        </w:rPr>
      </w:pPr>
      <w:bookmarkStart w:id="36" w:name="_Toc195174919"/>
      <w:bookmarkStart w:id="37" w:name="_Toc196143011"/>
      <w:r>
        <w:rPr>
          <w:rFonts w:ascii="Times New Roman" w:eastAsia="Times New Roman" w:hAnsi="Times New Roman"/>
          <w:caps/>
          <w:color w:val="632423"/>
          <w:spacing w:val="15"/>
          <w:sz w:val="24"/>
          <w:szCs w:val="24"/>
          <w:lang w:eastAsia="en-US" w:bidi="en-US"/>
        </w:rPr>
        <w:t>Миссия и стратегические приоритеты</w:t>
      </w:r>
      <w:bookmarkEnd w:id="36"/>
      <w:bookmarkEnd w:id="37"/>
    </w:p>
    <w:tbl>
      <w:tblPr>
        <w:tblW w:w="9355" w:type="dxa"/>
        <w:tblLayout w:type="fixed"/>
        <w:tblLook w:val="04A0" w:firstRow="1" w:lastRow="0" w:firstColumn="1" w:lastColumn="0" w:noHBand="0" w:noVBand="1"/>
      </w:tblPr>
      <w:tblGrid>
        <w:gridCol w:w="9355"/>
      </w:tblGrid>
      <w:tr w:rsidR="002449C2" w14:paraId="4E405296" w14:textId="77777777">
        <w:trPr>
          <w:trHeight w:val="1279"/>
        </w:trPr>
        <w:tc>
          <w:tcPr>
            <w:tcW w:w="9355" w:type="dxa"/>
            <w:shd w:val="clear" w:color="auto" w:fill="FFFFFF"/>
          </w:tcPr>
          <w:p w14:paraId="54DD70E1" w14:textId="77777777" w:rsidR="002449C2" w:rsidRDefault="00123961">
            <w:pPr>
              <w:shd w:val="clear" w:color="auto" w:fill="FFFFFF"/>
              <w:spacing w:after="0" w:line="240" w:lineRule="auto"/>
              <w:ind w:firstLine="709"/>
              <w:jc w:val="both"/>
              <w:rPr>
                <w:rFonts w:ascii="Times New Roman" w:hAnsi="Times New Roman"/>
                <w:b/>
                <w:spacing w:val="20"/>
                <w:sz w:val="26"/>
                <w:szCs w:val="26"/>
              </w:rPr>
            </w:pPr>
            <w:bookmarkStart w:id="38" w:name="_Toc132118295"/>
            <w:bookmarkEnd w:id="38"/>
            <w:r>
              <w:rPr>
                <w:rFonts w:ascii="Times New Roman" w:hAnsi="Times New Roman"/>
                <w:spacing w:val="20"/>
                <w:sz w:val="26"/>
                <w:szCs w:val="26"/>
              </w:rPr>
              <w:t>Миссия ПАО «Россети Юг» заключается в обеспечении надежного и качественного снабжения электрической энергией растущих потребностей экономики и социального сектора по экономически обоснованной для потребителей плате за предоставляемые услуги.</w:t>
            </w:r>
          </w:p>
        </w:tc>
      </w:tr>
    </w:tbl>
    <w:p w14:paraId="14AD1F15" w14:textId="77777777" w:rsidR="002449C2" w:rsidRDefault="00123961">
      <w:pPr>
        <w:shd w:val="clear" w:color="auto" w:fill="FFFFFF"/>
        <w:spacing w:before="120" w:after="0" w:line="240" w:lineRule="auto"/>
        <w:ind w:firstLine="567"/>
        <w:jc w:val="both"/>
        <w:rPr>
          <w:rFonts w:ascii="Times New Roman" w:hAnsi="Times New Roman"/>
          <w:b/>
          <w:color w:val="000000"/>
          <w:sz w:val="26"/>
          <w:szCs w:val="26"/>
          <w:lang w:eastAsia="ru-RU"/>
        </w:rPr>
      </w:pPr>
      <w:r>
        <w:rPr>
          <w:rFonts w:ascii="Times New Roman" w:hAnsi="Times New Roman"/>
          <w:b/>
          <w:color w:val="000000"/>
          <w:sz w:val="26"/>
          <w:szCs w:val="26"/>
          <w:lang w:eastAsia="ru-RU"/>
        </w:rPr>
        <w:t>Стратегия развития</w:t>
      </w:r>
    </w:p>
    <w:p w14:paraId="508E3342" w14:textId="77777777" w:rsidR="002449C2" w:rsidRDefault="00123961">
      <w:pPr>
        <w:shd w:val="clear" w:color="auto" w:fill="FFFFFF"/>
        <w:spacing w:after="0" w:line="240" w:lineRule="auto"/>
        <w:ind w:firstLine="567"/>
        <w:jc w:val="both"/>
        <w:rPr>
          <w:rFonts w:ascii="Times New Roman" w:hAnsi="Times New Roman"/>
          <w:sz w:val="26"/>
          <w:szCs w:val="26"/>
        </w:rPr>
      </w:pPr>
      <w:r>
        <w:rPr>
          <w:rFonts w:ascii="Times New Roman" w:hAnsi="Times New Roman"/>
          <w:sz w:val="26"/>
          <w:szCs w:val="26"/>
        </w:rPr>
        <w:t>Развитие ПАО «Россети Юг» ориентировано на реализацию задач, предусмотренных рядом системообразующих документов стратегического планирования, таких как стратегия социально-экономического развития, стратегический прогноз Российской Федерации и других документов государственного стратегического планирования в сфере электроэнергетики.</w:t>
      </w:r>
    </w:p>
    <w:p w14:paraId="7A514184" w14:textId="77777777" w:rsidR="002449C2" w:rsidRDefault="00123961">
      <w:pPr>
        <w:shd w:val="clear" w:color="auto" w:fill="FFFFFF"/>
        <w:spacing w:after="0" w:line="240" w:lineRule="auto"/>
        <w:ind w:firstLine="567"/>
        <w:jc w:val="both"/>
        <w:rPr>
          <w:rFonts w:ascii="Times New Roman" w:hAnsi="Times New Roman"/>
          <w:sz w:val="26"/>
          <w:szCs w:val="26"/>
        </w:rPr>
      </w:pPr>
      <w:r>
        <w:rPr>
          <w:rFonts w:ascii="Times New Roman" w:hAnsi="Times New Roman"/>
          <w:sz w:val="26"/>
          <w:szCs w:val="26"/>
        </w:rPr>
        <w:t>Стратегическими целями компаний Группы «Россети» являются:</w:t>
      </w:r>
    </w:p>
    <w:p w14:paraId="1A4B5D4A" w14:textId="77777777" w:rsidR="002449C2" w:rsidRDefault="00123961">
      <w:pPr>
        <w:numPr>
          <w:ilvl w:val="0"/>
          <w:numId w:val="8"/>
        </w:numPr>
        <w:shd w:val="clear" w:color="auto" w:fill="FFFFFF"/>
        <w:tabs>
          <w:tab w:val="left" w:pos="142"/>
          <w:tab w:val="left" w:pos="426"/>
          <w:tab w:val="left" w:pos="993"/>
        </w:tabs>
        <w:spacing w:after="0" w:line="240" w:lineRule="auto"/>
        <w:ind w:left="993" w:hanging="426"/>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обеспечение надежности и качества энергоснабжения на заданном уровне;</w:t>
      </w:r>
    </w:p>
    <w:p w14:paraId="5846AEEE" w14:textId="77777777" w:rsidR="002449C2" w:rsidRDefault="00123961">
      <w:pPr>
        <w:numPr>
          <w:ilvl w:val="0"/>
          <w:numId w:val="8"/>
        </w:numPr>
        <w:shd w:val="clear" w:color="auto" w:fill="FFFFFF"/>
        <w:tabs>
          <w:tab w:val="left" w:pos="142"/>
          <w:tab w:val="left" w:pos="426"/>
          <w:tab w:val="left" w:pos="993"/>
        </w:tabs>
        <w:spacing w:after="0" w:line="240" w:lineRule="auto"/>
        <w:ind w:left="993" w:hanging="426"/>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повышение совокупной доходности акционеров; </w:t>
      </w:r>
    </w:p>
    <w:p w14:paraId="2AB1D281" w14:textId="77777777" w:rsidR="002449C2" w:rsidRDefault="00123961">
      <w:pPr>
        <w:numPr>
          <w:ilvl w:val="0"/>
          <w:numId w:val="8"/>
        </w:numPr>
        <w:shd w:val="clear" w:color="auto" w:fill="FFFFFF"/>
        <w:tabs>
          <w:tab w:val="left" w:pos="142"/>
          <w:tab w:val="left" w:pos="426"/>
          <w:tab w:val="left" w:pos="993"/>
        </w:tabs>
        <w:spacing w:after="0" w:line="240" w:lineRule="auto"/>
        <w:ind w:left="993" w:hanging="426"/>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обеспечение устойчивости к изменениям мирового и локального рынка электроэнергии.</w:t>
      </w:r>
    </w:p>
    <w:p w14:paraId="02E563E0"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Особое внимание в стратегии развития компаний Группы «Россети» уделяется переходу к бизнес-модели современной инновационной инфраструктуры. В числе основных стратегических приоритетов определены обеспечение дальнейшего повышения эффективности текущей деятельности, направленное на развитие отрасли, обеспечение надежности, качества и доступа к инфраструктуре в новой цифровой среде. Особое внимание уделяется соблюдению баланса интересов всех сторон, в том числе государства, потребителей, акционеров, инвесторов, а также развитию новых направлений бизнеса.</w:t>
      </w:r>
    </w:p>
    <w:p w14:paraId="35354704"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Достижение заявленных целей планируется через основные направления реализации стратегии: технологическое и инновационное развитие, цифровую трансформацию, диверсификацию бизнеса, повышение операционной и инвестиционной эффективности, продвижение законодательных инициатив, развитие международной деятельности и кадрового потенциала и других.</w:t>
      </w:r>
    </w:p>
    <w:p w14:paraId="57F23899" w14:textId="77777777" w:rsidR="002449C2" w:rsidRDefault="002449C2">
      <w:pPr>
        <w:shd w:val="clear" w:color="auto" w:fill="FFFFFF"/>
        <w:tabs>
          <w:tab w:val="left" w:pos="1974"/>
        </w:tabs>
        <w:spacing w:after="0" w:line="240" w:lineRule="auto"/>
        <w:ind w:right="5" w:firstLine="709"/>
        <w:jc w:val="both"/>
        <w:rPr>
          <w:rFonts w:ascii="Times New Roman" w:eastAsia="Times New Roman" w:hAnsi="Times New Roman"/>
          <w:sz w:val="26"/>
          <w:szCs w:val="26"/>
          <w:lang w:eastAsia="ru-RU"/>
        </w:rPr>
      </w:pPr>
    </w:p>
    <w:p w14:paraId="027235C1" w14:textId="77777777" w:rsidR="002449C2" w:rsidRDefault="00123961">
      <w:pPr>
        <w:shd w:val="clear" w:color="auto" w:fill="FFFFFF"/>
        <w:tabs>
          <w:tab w:val="left" w:pos="1974"/>
        </w:tabs>
        <w:spacing w:after="0" w:line="240" w:lineRule="auto"/>
        <w:ind w:right="5"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 итогам 2024 года достигнуты следующие результаты:</w:t>
      </w:r>
    </w:p>
    <w:p w14:paraId="7284DD5D" w14:textId="77777777" w:rsidR="002449C2" w:rsidRDefault="00123961">
      <w:pPr>
        <w:numPr>
          <w:ilvl w:val="0"/>
          <w:numId w:val="8"/>
        </w:numPr>
        <w:shd w:val="clear" w:color="auto" w:fill="FFFFFF"/>
        <w:tabs>
          <w:tab w:val="left" w:pos="993"/>
        </w:tabs>
        <w:spacing w:after="0" w:line="240" w:lineRule="auto"/>
        <w:ind w:hanging="873"/>
        <w:rPr>
          <w:rFonts w:ascii="Times New Roman" w:eastAsia="Times New Roman" w:hAnsi="Times New Roman"/>
          <w:sz w:val="26"/>
          <w:szCs w:val="26"/>
          <w:lang w:eastAsia="ru-RU"/>
        </w:rPr>
      </w:pPr>
      <w:r>
        <w:rPr>
          <w:rFonts w:ascii="Times New Roman" w:eastAsia="Times New Roman" w:hAnsi="Times New Roman"/>
          <w:sz w:val="26"/>
          <w:szCs w:val="26"/>
          <w:lang w:eastAsia="ru-RU"/>
        </w:rPr>
        <w:t>уровень потерь электрической энергии – 8,95%, при плане – 9,29%.</w:t>
      </w:r>
    </w:p>
    <w:p w14:paraId="6E2D3817" w14:textId="77777777" w:rsidR="002449C2" w:rsidRDefault="00123961">
      <w:pPr>
        <w:numPr>
          <w:ilvl w:val="0"/>
          <w:numId w:val="8"/>
        </w:numPr>
        <w:shd w:val="clear" w:color="auto" w:fill="FFFFFF"/>
        <w:tabs>
          <w:tab w:val="left" w:pos="142"/>
          <w:tab w:val="left" w:pos="426"/>
          <w:tab w:val="left" w:pos="993"/>
        </w:tabs>
        <w:spacing w:after="0" w:line="240" w:lineRule="auto"/>
        <w:ind w:left="993" w:hanging="426"/>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уровень оплаты стоимости услуг сетевых компаний по передаче электрической энергии – 100,8% при плане 100,2%.</w:t>
      </w:r>
    </w:p>
    <w:p w14:paraId="57CDAC23" w14:textId="77777777" w:rsidR="002449C2" w:rsidRDefault="002449C2">
      <w:pPr>
        <w:tabs>
          <w:tab w:val="left" w:pos="142"/>
        </w:tabs>
        <w:spacing w:after="0" w:line="240" w:lineRule="auto"/>
        <w:ind w:firstLine="567"/>
        <w:jc w:val="both"/>
        <w:rPr>
          <w:rFonts w:ascii="Times New Roman" w:hAnsi="Times New Roman"/>
          <w:b/>
          <w:color w:val="000000"/>
          <w:sz w:val="26"/>
          <w:szCs w:val="26"/>
          <w:lang w:eastAsia="ru-RU"/>
        </w:rPr>
      </w:pPr>
    </w:p>
    <w:p w14:paraId="08519635" w14:textId="77777777" w:rsidR="002449C2" w:rsidRDefault="00123961">
      <w:pPr>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hAnsi="Times New Roman"/>
          <w:b/>
          <w:color w:val="000000"/>
          <w:sz w:val="26"/>
          <w:szCs w:val="26"/>
          <w:lang w:eastAsia="ru-RU"/>
        </w:rPr>
        <w:t>Ценности ПАО «Россети Юг»</w:t>
      </w:r>
    </w:p>
    <w:p w14:paraId="3CFC1A6A" w14:textId="77777777" w:rsidR="002449C2" w:rsidRDefault="00123961">
      <w:pPr>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Общество поддерживает высокую корпоративную культуру. В своей деятельности Общество придерживается следующих корпоративных ценностей, закрепленных в Кодексе корпоративной этики и должностного поведения работников Общества, утвержденного приказом Общества от 29.05.2017 № 368:</w:t>
      </w:r>
    </w:p>
    <w:p w14:paraId="2E8E1FF6" w14:textId="77777777" w:rsidR="002449C2" w:rsidRDefault="00123961">
      <w:pPr>
        <w:tabs>
          <w:tab w:val="left" w:pos="1974"/>
        </w:tabs>
        <w:spacing w:after="0" w:line="240" w:lineRule="auto"/>
        <w:ind w:right="5" w:firstLine="709"/>
        <w:jc w:val="both"/>
        <w:rPr>
          <w:rFonts w:ascii="Times New Roman" w:eastAsia="Times New Roman" w:hAnsi="Times New Roman"/>
          <w:sz w:val="26"/>
          <w:szCs w:val="26"/>
          <w:lang w:eastAsia="ru-RU"/>
        </w:rPr>
      </w:pPr>
      <w:r>
        <w:rPr>
          <w:rFonts w:ascii="Times New Roman" w:eastAsia="Times New Roman" w:hAnsi="Times New Roman"/>
          <w:b/>
          <w:sz w:val="26"/>
          <w:szCs w:val="26"/>
          <w:lang w:eastAsia="ru-RU"/>
        </w:rPr>
        <w:t xml:space="preserve">1. </w:t>
      </w:r>
      <w:r>
        <w:rPr>
          <w:rFonts w:ascii="Times New Roman" w:eastAsia="Times New Roman" w:hAnsi="Times New Roman"/>
          <w:b/>
          <w:color w:val="2F5496"/>
          <w:sz w:val="26"/>
          <w:szCs w:val="26"/>
          <w:lang w:eastAsia="ru-RU"/>
        </w:rPr>
        <w:t>Надежность</w:t>
      </w:r>
      <w:r>
        <w:rPr>
          <w:rFonts w:ascii="Times New Roman" w:eastAsia="Times New Roman" w:hAnsi="Times New Roman"/>
          <w:color w:val="2F5496"/>
          <w:sz w:val="26"/>
          <w:szCs w:val="26"/>
          <w:lang w:eastAsia="ru-RU"/>
        </w:rPr>
        <w:t>.</w:t>
      </w:r>
      <w:r>
        <w:rPr>
          <w:rFonts w:ascii="Times New Roman" w:eastAsia="Times New Roman" w:hAnsi="Times New Roman"/>
          <w:sz w:val="26"/>
          <w:szCs w:val="26"/>
          <w:lang w:eastAsia="ru-RU"/>
        </w:rPr>
        <w:t xml:space="preserve"> Общество стремится к обеспечению в максимальной степени надежного и бесперебойного снабжения электрической энергией потребностей экономики и социального сектора Российской Федерации, реализуя весь комплекс необходимых организационно-технических мероприятий, гарантирующих надежную работу объектов инфраструктуры электросетевого комплекса.</w:t>
      </w:r>
    </w:p>
    <w:p w14:paraId="1D6CF6D6" w14:textId="77777777" w:rsidR="002449C2" w:rsidRDefault="00123961">
      <w:pPr>
        <w:tabs>
          <w:tab w:val="left" w:pos="1974"/>
        </w:tabs>
        <w:spacing w:after="0" w:line="240" w:lineRule="auto"/>
        <w:ind w:right="5" w:firstLine="709"/>
        <w:jc w:val="both"/>
        <w:rPr>
          <w:rFonts w:ascii="Times New Roman" w:eastAsia="Times New Roman" w:hAnsi="Times New Roman"/>
          <w:sz w:val="26"/>
          <w:szCs w:val="26"/>
          <w:lang w:eastAsia="ru-RU"/>
        </w:rPr>
      </w:pPr>
      <w:r>
        <w:rPr>
          <w:rFonts w:ascii="Times New Roman" w:eastAsia="Times New Roman" w:hAnsi="Times New Roman"/>
          <w:b/>
          <w:sz w:val="26"/>
          <w:szCs w:val="26"/>
          <w:lang w:eastAsia="ru-RU"/>
        </w:rPr>
        <w:t xml:space="preserve">2. </w:t>
      </w:r>
      <w:r>
        <w:rPr>
          <w:rFonts w:ascii="Times New Roman" w:eastAsia="Times New Roman" w:hAnsi="Times New Roman"/>
          <w:b/>
          <w:color w:val="2F5496"/>
          <w:sz w:val="26"/>
          <w:szCs w:val="26"/>
          <w:lang w:eastAsia="ru-RU"/>
        </w:rPr>
        <w:t>Человеческий ресурс</w:t>
      </w:r>
      <w:r>
        <w:rPr>
          <w:rFonts w:ascii="Times New Roman" w:eastAsia="Times New Roman" w:hAnsi="Times New Roman"/>
          <w:color w:val="2F5496"/>
          <w:sz w:val="26"/>
          <w:szCs w:val="26"/>
          <w:lang w:eastAsia="ru-RU"/>
        </w:rPr>
        <w:t>.</w:t>
      </w:r>
      <w:r>
        <w:rPr>
          <w:rFonts w:ascii="Times New Roman" w:eastAsia="Times New Roman" w:hAnsi="Times New Roman"/>
          <w:sz w:val="26"/>
          <w:szCs w:val="26"/>
          <w:lang w:eastAsia="ru-RU"/>
        </w:rPr>
        <w:t xml:space="preserve"> Ключевым ресурсом деятельности Общества являются его работники, благодаря которым Общество создает, сохраняет и приумножает свои стоимость и авторитет в течение длительного срока. Достижение стратегических целей и задач, поставленных государством перед Обществом, в значительной степени зависит от профессионализма, добросовестности и безопасности трудовой деятельности его работников.</w:t>
      </w:r>
    </w:p>
    <w:p w14:paraId="78463ABE" w14:textId="77777777" w:rsidR="002449C2" w:rsidRDefault="00123961">
      <w:pPr>
        <w:tabs>
          <w:tab w:val="left" w:pos="1974"/>
        </w:tabs>
        <w:spacing w:after="0" w:line="240" w:lineRule="auto"/>
        <w:ind w:right="5" w:firstLine="709"/>
        <w:jc w:val="both"/>
        <w:rPr>
          <w:rFonts w:ascii="Times New Roman" w:eastAsia="Times New Roman" w:hAnsi="Times New Roman"/>
          <w:sz w:val="26"/>
          <w:szCs w:val="26"/>
          <w:lang w:eastAsia="ru-RU"/>
        </w:rPr>
      </w:pPr>
      <w:r>
        <w:rPr>
          <w:rFonts w:ascii="Times New Roman" w:eastAsia="Times New Roman" w:hAnsi="Times New Roman"/>
          <w:b/>
          <w:sz w:val="26"/>
          <w:szCs w:val="26"/>
          <w:lang w:eastAsia="ru-RU"/>
        </w:rPr>
        <w:t xml:space="preserve">3. </w:t>
      </w:r>
      <w:r>
        <w:rPr>
          <w:rFonts w:ascii="Times New Roman" w:eastAsia="Times New Roman" w:hAnsi="Times New Roman"/>
          <w:b/>
          <w:color w:val="2F5496"/>
          <w:sz w:val="26"/>
          <w:szCs w:val="26"/>
          <w:lang w:eastAsia="ru-RU"/>
        </w:rPr>
        <w:t>Эффективность.</w:t>
      </w:r>
      <w:r>
        <w:rPr>
          <w:rFonts w:ascii="Times New Roman" w:eastAsia="Times New Roman" w:hAnsi="Times New Roman"/>
          <w:sz w:val="26"/>
          <w:szCs w:val="26"/>
          <w:lang w:eastAsia="ru-RU"/>
        </w:rPr>
        <w:t xml:space="preserve"> Общество осознает свои обязанности перед акционерами, инвесторами и партнерами, в связи с чем эффективность деятельности является его базовой ценностью. Общество стремится к непрерывному повышению прибыльности, чему способствуют стратегические инициативы органов управления и контроля, высшего менеджмента и акционеров Общества.</w:t>
      </w:r>
    </w:p>
    <w:p w14:paraId="39488468" w14:textId="77777777" w:rsidR="002449C2" w:rsidRDefault="00123961">
      <w:pPr>
        <w:tabs>
          <w:tab w:val="left" w:pos="1974"/>
        </w:tabs>
        <w:spacing w:after="0" w:line="240" w:lineRule="auto"/>
        <w:ind w:right="5" w:firstLine="709"/>
        <w:jc w:val="both"/>
        <w:rPr>
          <w:rFonts w:ascii="Times New Roman" w:eastAsia="Times New Roman" w:hAnsi="Times New Roman"/>
          <w:sz w:val="26"/>
          <w:szCs w:val="26"/>
          <w:lang w:eastAsia="ru-RU"/>
        </w:rPr>
      </w:pPr>
      <w:r>
        <w:rPr>
          <w:rFonts w:ascii="Times New Roman" w:eastAsia="Times New Roman" w:hAnsi="Times New Roman"/>
          <w:b/>
          <w:sz w:val="26"/>
          <w:szCs w:val="26"/>
          <w:lang w:eastAsia="ru-RU"/>
        </w:rPr>
        <w:t xml:space="preserve">4. </w:t>
      </w:r>
      <w:r>
        <w:rPr>
          <w:rFonts w:ascii="Times New Roman" w:eastAsia="Times New Roman" w:hAnsi="Times New Roman"/>
          <w:b/>
          <w:color w:val="2F5496"/>
          <w:sz w:val="26"/>
          <w:szCs w:val="26"/>
          <w:lang w:eastAsia="ru-RU"/>
        </w:rPr>
        <w:t>Безопасность.</w:t>
      </w:r>
      <w:r>
        <w:rPr>
          <w:rFonts w:ascii="Times New Roman" w:eastAsia="Times New Roman" w:hAnsi="Times New Roman"/>
          <w:sz w:val="26"/>
          <w:szCs w:val="26"/>
          <w:lang w:eastAsia="ru-RU"/>
        </w:rPr>
        <w:t xml:space="preserve"> Общество применяет строго регламентированный и взвешенный подход к реализации мер безопасности, осуществляет профилактику возможных правонарушений.</w:t>
      </w:r>
    </w:p>
    <w:p w14:paraId="2E0C6D83" w14:textId="77777777" w:rsidR="002449C2" w:rsidRDefault="00123961">
      <w:pPr>
        <w:tabs>
          <w:tab w:val="left" w:pos="1974"/>
        </w:tabs>
        <w:spacing w:after="0" w:line="240" w:lineRule="auto"/>
        <w:ind w:right="5" w:firstLine="709"/>
        <w:jc w:val="both"/>
        <w:rPr>
          <w:rFonts w:ascii="Times New Roman" w:eastAsia="Times New Roman" w:hAnsi="Times New Roman"/>
          <w:sz w:val="26"/>
          <w:szCs w:val="26"/>
          <w:lang w:eastAsia="ru-RU"/>
        </w:rPr>
      </w:pPr>
      <w:r>
        <w:rPr>
          <w:rFonts w:ascii="Times New Roman" w:eastAsia="Times New Roman" w:hAnsi="Times New Roman"/>
          <w:b/>
          <w:sz w:val="26"/>
          <w:szCs w:val="26"/>
          <w:lang w:eastAsia="ru-RU"/>
        </w:rPr>
        <w:t xml:space="preserve">5. </w:t>
      </w:r>
      <w:r>
        <w:rPr>
          <w:rFonts w:ascii="Times New Roman" w:eastAsia="Times New Roman" w:hAnsi="Times New Roman"/>
          <w:b/>
          <w:color w:val="2F5496"/>
          <w:sz w:val="26"/>
          <w:szCs w:val="26"/>
          <w:lang w:eastAsia="ru-RU"/>
        </w:rPr>
        <w:t>Социальная ответственность.</w:t>
      </w:r>
      <w:r>
        <w:rPr>
          <w:rFonts w:ascii="Times New Roman" w:eastAsia="Times New Roman" w:hAnsi="Times New Roman"/>
          <w:sz w:val="26"/>
          <w:szCs w:val="26"/>
          <w:lang w:eastAsia="ru-RU"/>
        </w:rPr>
        <w:t xml:space="preserve"> Общество – социально ответственная компания, которая уделяет большое внимание вопросам экологии, охраны труда, реализации социальных программ.</w:t>
      </w:r>
    </w:p>
    <w:p w14:paraId="2DD20B5D" w14:textId="77777777" w:rsidR="002449C2" w:rsidRDefault="00123961">
      <w:pPr>
        <w:pStyle w:val="Default"/>
        <w:shd w:val="clear" w:color="auto" w:fill="FFFFFF"/>
        <w:ind w:firstLine="567"/>
        <w:jc w:val="both"/>
        <w:rPr>
          <w:rFonts w:ascii="Times New Roman" w:hAnsi="Times New Roman" w:cs="Times New Roman"/>
          <w:sz w:val="26"/>
          <w:szCs w:val="26"/>
        </w:rPr>
      </w:pPr>
      <w:r>
        <w:rPr>
          <w:rFonts w:ascii="Times New Roman" w:hAnsi="Times New Roman" w:cs="Times New Roman"/>
          <w:sz w:val="26"/>
          <w:szCs w:val="26"/>
        </w:rPr>
        <w:t>Общество стремится к росту своей инвестиционной привлекательности за счет своей эффективной и результативной деятельности, повышения информационной прозрачности и максимизации рыночной стоимости его ценных бумаг.</w:t>
      </w:r>
    </w:p>
    <w:p w14:paraId="6E0AC147" w14:textId="77777777" w:rsidR="002449C2" w:rsidRDefault="00123961">
      <w:pPr>
        <w:pStyle w:val="Default"/>
        <w:shd w:val="clear" w:color="auto" w:fill="FFFFFF"/>
        <w:ind w:firstLine="567"/>
        <w:jc w:val="both"/>
        <w:rPr>
          <w:rFonts w:ascii="Times New Roman" w:hAnsi="Times New Roman" w:cs="Times New Roman"/>
          <w:sz w:val="26"/>
          <w:szCs w:val="26"/>
        </w:rPr>
      </w:pPr>
      <w:r>
        <w:rPr>
          <w:rFonts w:ascii="Times New Roman" w:hAnsi="Times New Roman" w:cs="Times New Roman"/>
          <w:sz w:val="26"/>
          <w:szCs w:val="26"/>
        </w:rPr>
        <w:t>В основе планов развития Компании лежит Стратегия развития электросетевого комплекса Российской Федерации, утвержденная Распоряжением Правительства Российской Федерации от 03.04.2013 № 511-р.</w:t>
      </w:r>
    </w:p>
    <w:p w14:paraId="2DA5C079" w14:textId="77777777" w:rsidR="002449C2" w:rsidRDefault="00123961">
      <w:pPr>
        <w:shd w:val="clear" w:color="auto" w:fill="FFFFFF"/>
        <w:tabs>
          <w:tab w:val="left" w:pos="142"/>
        </w:tabs>
        <w:spacing w:before="120" w:after="12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Перспективы развития в регионах присутствия</w:t>
      </w:r>
    </w:p>
    <w:p w14:paraId="4AD5A937" w14:textId="77777777" w:rsidR="002449C2" w:rsidRDefault="00123961">
      <w:pPr>
        <w:shd w:val="clear" w:color="auto" w:fill="FFFFFF"/>
        <w:tabs>
          <w:tab w:val="left" w:pos="993"/>
          <w:tab w:val="center" w:pos="4677"/>
          <w:tab w:val="right" w:pos="9355"/>
        </w:tabs>
        <w:spacing w:after="0" w:line="100" w:lineRule="atLeast"/>
        <w:ind w:firstLine="709"/>
        <w:jc w:val="both"/>
        <w:rPr>
          <w:rFonts w:ascii="Times New Roman" w:eastAsia="Times New Roman" w:hAnsi="Times New Roman"/>
          <w:bCs/>
          <w:color w:val="000000"/>
          <w:sz w:val="26"/>
          <w:szCs w:val="26"/>
          <w:lang w:eastAsia="ar-SA"/>
        </w:rPr>
      </w:pPr>
      <w:bookmarkStart w:id="39" w:name="_Toc33542750"/>
      <w:bookmarkStart w:id="40" w:name="_Toc536544504"/>
      <w:r>
        <w:rPr>
          <w:rFonts w:ascii="Times New Roman" w:eastAsia="Times New Roman" w:hAnsi="Times New Roman"/>
          <w:bCs/>
          <w:color w:val="000000"/>
          <w:sz w:val="26"/>
          <w:szCs w:val="26"/>
          <w:lang w:eastAsia="ar-SA"/>
        </w:rPr>
        <w:t>В целях реализации стратегических целей деятельности Общества в 2024 году была проведена следующая работа по решению следующих задач:</w:t>
      </w:r>
    </w:p>
    <w:p w14:paraId="01C972DC" w14:textId="77777777" w:rsidR="002449C2" w:rsidRDefault="00123961">
      <w:pPr>
        <w:numPr>
          <w:ilvl w:val="0"/>
          <w:numId w:val="52"/>
        </w:numPr>
        <w:shd w:val="clear" w:color="auto" w:fill="FFFFFF"/>
        <w:tabs>
          <w:tab w:val="left" w:pos="709"/>
          <w:tab w:val="left" w:pos="1134"/>
          <w:tab w:val="center" w:pos="4677"/>
          <w:tab w:val="right" w:pos="9355"/>
        </w:tabs>
        <w:spacing w:after="0" w:line="100" w:lineRule="atLeast"/>
        <w:ind w:left="284" w:firstLine="425"/>
        <w:jc w:val="both"/>
        <w:rPr>
          <w:rFonts w:ascii="Times New Roman" w:hAnsi="Times New Roman"/>
          <w:bCs/>
          <w:color w:val="000000"/>
          <w:sz w:val="26"/>
          <w:szCs w:val="26"/>
          <w:lang w:eastAsia="ar-SA"/>
        </w:rPr>
      </w:pPr>
      <w:r>
        <w:rPr>
          <w:rFonts w:ascii="Times New Roman" w:hAnsi="Times New Roman"/>
          <w:bCs/>
          <w:color w:val="000000"/>
          <w:sz w:val="26"/>
          <w:szCs w:val="26"/>
          <w:lang w:eastAsia="ar-SA"/>
        </w:rPr>
        <w:t>обеспечение клиентоцентричной политики и повышение доступности электросетевой инфраструктуры;</w:t>
      </w:r>
    </w:p>
    <w:p w14:paraId="2848072A" w14:textId="77777777" w:rsidR="002449C2" w:rsidRDefault="00123961">
      <w:pPr>
        <w:numPr>
          <w:ilvl w:val="0"/>
          <w:numId w:val="52"/>
        </w:numPr>
        <w:shd w:val="clear" w:color="auto" w:fill="FFFFFF"/>
        <w:tabs>
          <w:tab w:val="left" w:pos="709"/>
          <w:tab w:val="left" w:pos="1134"/>
          <w:tab w:val="center" w:pos="4677"/>
          <w:tab w:val="right" w:pos="9355"/>
        </w:tabs>
        <w:spacing w:after="0" w:line="100" w:lineRule="atLeast"/>
        <w:ind w:left="284" w:firstLine="425"/>
        <w:jc w:val="both"/>
        <w:rPr>
          <w:rFonts w:ascii="Times New Roman" w:hAnsi="Times New Roman"/>
          <w:bCs/>
          <w:color w:val="000000"/>
          <w:sz w:val="26"/>
          <w:szCs w:val="26"/>
          <w:lang w:eastAsia="ar-SA"/>
        </w:rPr>
      </w:pPr>
      <w:r>
        <w:rPr>
          <w:rFonts w:ascii="Times New Roman" w:hAnsi="Times New Roman"/>
          <w:bCs/>
          <w:color w:val="000000"/>
          <w:sz w:val="26"/>
          <w:szCs w:val="26"/>
          <w:lang w:eastAsia="ar-SA"/>
        </w:rPr>
        <w:t>координация процедуры заключения и контроль выполнения соглашений между Администрациями субъектов Российской Федерации, находящихся в зоне ответственности Общества и ПАО «Россети».</w:t>
      </w:r>
    </w:p>
    <w:p w14:paraId="6E47944C" w14:textId="77777777" w:rsidR="002449C2" w:rsidRDefault="00123961">
      <w:pPr>
        <w:numPr>
          <w:ilvl w:val="0"/>
          <w:numId w:val="52"/>
        </w:numPr>
        <w:shd w:val="clear" w:color="auto" w:fill="FFFFFF"/>
        <w:tabs>
          <w:tab w:val="left" w:pos="709"/>
          <w:tab w:val="left" w:pos="1134"/>
          <w:tab w:val="center" w:pos="4677"/>
          <w:tab w:val="right" w:pos="9355"/>
        </w:tabs>
        <w:spacing w:after="0" w:line="100" w:lineRule="atLeast"/>
        <w:ind w:left="284" w:firstLine="425"/>
        <w:jc w:val="both"/>
        <w:rPr>
          <w:rFonts w:ascii="Times New Roman" w:hAnsi="Times New Roman"/>
          <w:bCs/>
          <w:color w:val="000000"/>
          <w:sz w:val="26"/>
          <w:szCs w:val="26"/>
          <w:lang w:eastAsia="ar-SA"/>
        </w:rPr>
      </w:pPr>
      <w:r>
        <w:rPr>
          <w:rFonts w:ascii="Times New Roman" w:hAnsi="Times New Roman"/>
          <w:bCs/>
          <w:color w:val="000000"/>
          <w:sz w:val="26"/>
          <w:szCs w:val="26"/>
          <w:lang w:eastAsia="ar-SA"/>
        </w:rPr>
        <w:t>оценка топологии развития сетей и прогнозирования спроса на мощность и электроэнергию;</w:t>
      </w:r>
    </w:p>
    <w:p w14:paraId="4B1127BD" w14:textId="77777777" w:rsidR="002449C2" w:rsidRDefault="00123961">
      <w:pPr>
        <w:numPr>
          <w:ilvl w:val="0"/>
          <w:numId w:val="52"/>
        </w:numPr>
        <w:shd w:val="clear" w:color="auto" w:fill="FFFFFF"/>
        <w:tabs>
          <w:tab w:val="left" w:pos="709"/>
          <w:tab w:val="left" w:pos="1134"/>
          <w:tab w:val="center" w:pos="4677"/>
          <w:tab w:val="right" w:pos="9355"/>
        </w:tabs>
        <w:spacing w:after="0" w:line="100" w:lineRule="atLeast"/>
        <w:ind w:left="284" w:firstLine="425"/>
        <w:jc w:val="both"/>
        <w:rPr>
          <w:rFonts w:ascii="Times New Roman" w:hAnsi="Times New Roman"/>
          <w:bCs/>
          <w:color w:val="000000"/>
          <w:sz w:val="26"/>
          <w:szCs w:val="26"/>
          <w:lang w:eastAsia="ar-SA"/>
        </w:rPr>
      </w:pPr>
      <w:r>
        <w:rPr>
          <w:rFonts w:ascii="Times New Roman" w:hAnsi="Times New Roman"/>
          <w:bCs/>
          <w:color w:val="000000"/>
          <w:sz w:val="26"/>
          <w:szCs w:val="26"/>
          <w:lang w:eastAsia="ar-SA"/>
        </w:rPr>
        <w:tab/>
        <w:t>эффективное планирование развития электрической сети с учетом тенденций социально-экономического развития и территориального планирования регионов;</w:t>
      </w:r>
    </w:p>
    <w:p w14:paraId="6C2E4883" w14:textId="77777777" w:rsidR="002449C2" w:rsidRDefault="00123961">
      <w:pPr>
        <w:numPr>
          <w:ilvl w:val="0"/>
          <w:numId w:val="52"/>
        </w:numPr>
        <w:shd w:val="clear" w:color="auto" w:fill="FFFFFF"/>
        <w:tabs>
          <w:tab w:val="left" w:pos="709"/>
          <w:tab w:val="left" w:pos="1134"/>
          <w:tab w:val="center" w:pos="4677"/>
          <w:tab w:val="right" w:pos="9355"/>
        </w:tabs>
        <w:spacing w:after="0" w:line="100" w:lineRule="atLeast"/>
        <w:ind w:left="284" w:firstLine="425"/>
        <w:jc w:val="both"/>
        <w:rPr>
          <w:rFonts w:ascii="Times New Roman" w:hAnsi="Times New Roman"/>
          <w:bCs/>
          <w:color w:val="000000"/>
          <w:sz w:val="26"/>
          <w:szCs w:val="26"/>
          <w:lang w:eastAsia="ar-SA"/>
        </w:rPr>
      </w:pPr>
      <w:r>
        <w:rPr>
          <w:rFonts w:ascii="Times New Roman" w:hAnsi="Times New Roman"/>
          <w:bCs/>
          <w:color w:val="000000"/>
          <w:sz w:val="26"/>
          <w:szCs w:val="26"/>
          <w:lang w:eastAsia="ar-SA"/>
        </w:rPr>
        <w:t>проведение модернизации и технического перевооружения объектов электроэнергетики;</w:t>
      </w:r>
    </w:p>
    <w:p w14:paraId="46A0B509" w14:textId="77777777" w:rsidR="002449C2" w:rsidRDefault="00123961">
      <w:pPr>
        <w:numPr>
          <w:ilvl w:val="0"/>
          <w:numId w:val="52"/>
        </w:numPr>
        <w:shd w:val="clear" w:color="auto" w:fill="FFFFFF"/>
        <w:tabs>
          <w:tab w:val="left" w:pos="709"/>
          <w:tab w:val="left" w:pos="1134"/>
          <w:tab w:val="center" w:pos="4677"/>
          <w:tab w:val="right" w:pos="9355"/>
        </w:tabs>
        <w:spacing w:after="0" w:line="100" w:lineRule="atLeast"/>
        <w:ind w:left="284" w:firstLine="425"/>
        <w:jc w:val="both"/>
        <w:rPr>
          <w:rFonts w:ascii="Times New Roman" w:hAnsi="Times New Roman"/>
          <w:bCs/>
          <w:color w:val="000000"/>
          <w:sz w:val="26"/>
          <w:szCs w:val="26"/>
          <w:lang w:eastAsia="ar-SA"/>
        </w:rPr>
      </w:pPr>
      <w:r>
        <w:rPr>
          <w:rFonts w:ascii="Times New Roman" w:hAnsi="Times New Roman"/>
          <w:bCs/>
          <w:color w:val="000000"/>
          <w:sz w:val="26"/>
          <w:szCs w:val="26"/>
          <w:lang w:eastAsia="ar-SA"/>
        </w:rPr>
        <w:t>новое строительство объектов электросетевого хозяйства;</w:t>
      </w:r>
    </w:p>
    <w:p w14:paraId="1E4E0665" w14:textId="77777777" w:rsidR="002449C2" w:rsidRDefault="00123961">
      <w:pPr>
        <w:numPr>
          <w:ilvl w:val="0"/>
          <w:numId w:val="52"/>
        </w:numPr>
        <w:shd w:val="clear" w:color="auto" w:fill="FFFFFF"/>
        <w:tabs>
          <w:tab w:val="left" w:pos="709"/>
          <w:tab w:val="left" w:pos="1134"/>
          <w:tab w:val="center" w:pos="4677"/>
          <w:tab w:val="right" w:pos="9355"/>
        </w:tabs>
        <w:spacing w:after="120" w:line="100" w:lineRule="atLeast"/>
        <w:ind w:left="284" w:firstLine="425"/>
        <w:jc w:val="both"/>
        <w:rPr>
          <w:rFonts w:ascii="Times New Roman" w:hAnsi="Times New Roman"/>
          <w:bCs/>
          <w:color w:val="000000"/>
          <w:sz w:val="26"/>
          <w:szCs w:val="26"/>
          <w:lang w:eastAsia="ar-SA"/>
        </w:rPr>
      </w:pPr>
      <w:r>
        <w:rPr>
          <w:rFonts w:ascii="Times New Roman" w:hAnsi="Times New Roman"/>
          <w:bCs/>
          <w:color w:val="000000"/>
          <w:sz w:val="26"/>
          <w:szCs w:val="26"/>
          <w:lang w:eastAsia="ar-SA"/>
        </w:rPr>
        <w:t>энергоэффективность и энергосбережение.</w:t>
      </w:r>
    </w:p>
    <w:p w14:paraId="3258084A"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6"/>
          <w:szCs w:val="26"/>
          <w:lang w:eastAsia="en-US" w:bidi="en-US"/>
        </w:rPr>
      </w:pPr>
      <w:bookmarkStart w:id="41" w:name="_Toc511807216"/>
      <w:bookmarkStart w:id="42" w:name="_Toc195174920"/>
      <w:bookmarkStart w:id="43" w:name="_Toc196143012"/>
      <w:r>
        <w:rPr>
          <w:rFonts w:ascii="Times New Roman" w:eastAsia="Times New Roman" w:hAnsi="Times New Roman"/>
          <w:caps/>
          <w:color w:val="632423"/>
          <w:spacing w:val="15"/>
          <w:sz w:val="26"/>
          <w:szCs w:val="26"/>
          <w:lang w:eastAsia="en-US" w:bidi="en-US"/>
        </w:rPr>
        <w:t>Ключевые показатели эффективности (КПЭ)</w:t>
      </w:r>
      <w:bookmarkEnd w:id="41"/>
      <w:r>
        <w:rPr>
          <w:rFonts w:ascii="Times New Roman" w:eastAsia="Times New Roman" w:hAnsi="Times New Roman"/>
          <w:caps/>
          <w:color w:val="632423"/>
          <w:spacing w:val="15"/>
          <w:sz w:val="26"/>
          <w:szCs w:val="26"/>
          <w:lang w:eastAsia="en-US" w:bidi="en-US"/>
        </w:rPr>
        <w:t xml:space="preserve"> и функциональные ключевые показатели эффективности(ФКПЭ)</w:t>
      </w:r>
      <w:bookmarkEnd w:id="39"/>
      <w:bookmarkEnd w:id="40"/>
      <w:bookmarkEnd w:id="42"/>
      <w:bookmarkEnd w:id="43"/>
    </w:p>
    <w:p w14:paraId="7642D02D" w14:textId="77777777" w:rsidR="002449C2" w:rsidRDefault="00123961">
      <w:pPr>
        <w:spacing w:after="0" w:line="240" w:lineRule="auto"/>
        <w:ind w:firstLine="709"/>
        <w:jc w:val="both"/>
        <w:rPr>
          <w:rFonts w:ascii="Times New Roman" w:hAnsi="Times New Roman"/>
          <w:sz w:val="26"/>
          <w:szCs w:val="26"/>
          <w:lang w:eastAsia="ru-RU"/>
        </w:rPr>
      </w:pPr>
      <w:r>
        <w:rPr>
          <w:rFonts w:ascii="Times New Roman" w:hAnsi="Times New Roman"/>
          <w:sz w:val="26"/>
          <w:szCs w:val="26"/>
          <w:lang w:eastAsia="ru-RU"/>
        </w:rPr>
        <w:t>Достижение приоритетных целей развития Общества оценивается применяемой в Обществе системой ключевых показателей эффективности и функциональных ключевых показателей эффективности (далее - КПЭ и ФКПЭ соответственно).</w:t>
      </w:r>
    </w:p>
    <w:p w14:paraId="7C39519E" w14:textId="77777777" w:rsidR="002449C2" w:rsidRDefault="00123961">
      <w:pPr>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С 2023 года формирование системы ключевых показателей эффективности компаний Группы «Россети» осуществляется в соответствии с распоряжением Правительства Российской Федерации от 28.12.2020 № 3579-р (далее – распоряжение № 3579-р).</w:t>
      </w:r>
    </w:p>
    <w:p w14:paraId="3DFD2398" w14:textId="77777777" w:rsidR="002449C2" w:rsidRDefault="00123961">
      <w:pPr>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В соответствии с распоряжением № 3579-р система ключевых показателей эффективности разделена на две группы показателей - ключевые показатели эффективности (далее – КПЭ) и функциональные ключевые показатели эффективности (далее – ФКПЭ). При этом, КПЭ – это показатели, связанные со стратегическими документами Общества, на основании которых оценивается эффективность деятельности всего руководящего состава Общества (руководитель, заместители руководителя, главный бухгалтер), ФКПЭ – это индивидуальные показатели, устанавливаемые для должностных лиц Общества персонально с учетом специфики курируемых ими направлений деятельности Общества.</w:t>
      </w:r>
    </w:p>
    <w:p w14:paraId="334B482D" w14:textId="77777777" w:rsidR="002449C2" w:rsidRDefault="00123961">
      <w:pPr>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 xml:space="preserve">Применяемая в Обществе система КПЭ и ФКПЭ взаимоувязана с размером переменной части вознаграждения менеджмента (50% стимулирующих выплат за достижение КПЭ, 50% стимулирующих выплат за достижение ФКПЭ) – для каждого из показателей установлен удельный вес в объеме выплачиваемых премий, годовое премирование производится при условии выполнения соответствующих показателей. </w:t>
      </w:r>
    </w:p>
    <w:p w14:paraId="6A1CA489" w14:textId="77777777" w:rsidR="002449C2" w:rsidRDefault="00123961">
      <w:pPr>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В 2024 году относительно 2023 года в отношении КПЭ и ФКПЭ произведены следующие изменения</w:t>
      </w:r>
      <w:r>
        <w:rPr>
          <w:rStyle w:val="af"/>
          <w:rFonts w:ascii="Times New Roman" w:hAnsi="Times New Roman"/>
          <w:sz w:val="26"/>
          <w:szCs w:val="26"/>
          <w:lang w:eastAsia="en-US"/>
        </w:rPr>
        <w:footnoteReference w:id="1"/>
      </w:r>
      <w:r>
        <w:rPr>
          <w:rFonts w:ascii="Times New Roman" w:hAnsi="Times New Roman"/>
          <w:sz w:val="26"/>
          <w:szCs w:val="26"/>
          <w:lang w:eastAsia="en-US"/>
        </w:rPr>
        <w:t>:</w:t>
      </w:r>
    </w:p>
    <w:p w14:paraId="67E112D4" w14:textId="77777777" w:rsidR="002449C2" w:rsidRPr="00123961" w:rsidRDefault="00123961" w:rsidP="00123961">
      <w:pPr>
        <w:pStyle w:val="afff6"/>
        <w:numPr>
          <w:ilvl w:val="0"/>
          <w:numId w:val="51"/>
        </w:numPr>
        <w:ind w:left="0" w:firstLine="709"/>
        <w:jc w:val="both"/>
        <w:rPr>
          <w:sz w:val="26"/>
          <w:szCs w:val="26"/>
          <w:lang w:eastAsia="en-US"/>
        </w:rPr>
      </w:pPr>
      <w:r w:rsidRPr="00123961">
        <w:rPr>
          <w:sz w:val="26"/>
          <w:szCs w:val="26"/>
          <w:lang w:eastAsia="en-US"/>
        </w:rPr>
        <w:t>ФКПЭ «Чистое привлечение кредитов и облигационных займов для покрытия дефицита источников финансирования инвестиционной программы» заменен на ФКПЭ «Долг/EBITDA»;</w:t>
      </w:r>
    </w:p>
    <w:p w14:paraId="409C40E8" w14:textId="77777777" w:rsidR="002449C2" w:rsidRDefault="00123961" w:rsidP="00123961">
      <w:pPr>
        <w:numPr>
          <w:ilvl w:val="0"/>
          <w:numId w:val="51"/>
        </w:numPr>
        <w:spacing w:after="0" w:line="240" w:lineRule="auto"/>
        <w:ind w:left="0" w:firstLine="709"/>
        <w:contextualSpacing/>
        <w:jc w:val="both"/>
        <w:rPr>
          <w:rFonts w:ascii="Times New Roman" w:hAnsi="Times New Roman"/>
          <w:sz w:val="26"/>
          <w:szCs w:val="26"/>
          <w:lang w:eastAsia="en-US"/>
        </w:rPr>
      </w:pPr>
      <w:r>
        <w:rPr>
          <w:rFonts w:ascii="Times New Roman" w:hAnsi="Times New Roman"/>
          <w:sz w:val="26"/>
          <w:szCs w:val="26"/>
          <w:lang w:eastAsia="en-US"/>
        </w:rPr>
        <w:footnoteReference w:customMarkFollows="1" w:id="2"/>
        <w:t>ФКПЭ «Выполнение Комплексного плана по обеспечению безопасности» заменен на ФКПЭ «Сохранность имущества организации»;</w:t>
      </w:r>
    </w:p>
    <w:p w14:paraId="4572E1B8" w14:textId="77777777" w:rsidR="002449C2" w:rsidRDefault="00123961" w:rsidP="00123961">
      <w:pPr>
        <w:numPr>
          <w:ilvl w:val="0"/>
          <w:numId w:val="51"/>
        </w:numPr>
        <w:spacing w:after="0" w:line="240" w:lineRule="auto"/>
        <w:ind w:left="0" w:firstLine="709"/>
        <w:contextualSpacing/>
        <w:jc w:val="both"/>
        <w:rPr>
          <w:rFonts w:ascii="Times New Roman" w:hAnsi="Times New Roman"/>
          <w:sz w:val="26"/>
          <w:szCs w:val="26"/>
          <w:lang w:eastAsia="en-US"/>
        </w:rPr>
      </w:pPr>
      <w:r>
        <w:rPr>
          <w:rFonts w:ascii="Times New Roman" w:hAnsi="Times New Roman"/>
          <w:sz w:val="26"/>
          <w:szCs w:val="26"/>
          <w:lang w:eastAsia="en-US"/>
        </w:rPr>
        <w:t>ФКПЭ «Отсутствие оговорки и/или модифицированного мнения Аудитора, влияющих на достоверность данных годовой бухгалтерской (финансовой) отчетности» заменен на ФКПЭ «Количество замечаний (ошибок) к ведению бухгалтерского учета в организации, выявленных аудитором и ревизионной комиссией при проведении проверок по итогам отчетного периода»;</w:t>
      </w:r>
    </w:p>
    <w:p w14:paraId="634A16B9" w14:textId="77777777" w:rsidR="002449C2" w:rsidRDefault="00123961" w:rsidP="00123961">
      <w:pPr>
        <w:numPr>
          <w:ilvl w:val="0"/>
          <w:numId w:val="51"/>
        </w:numPr>
        <w:spacing w:after="0" w:line="240" w:lineRule="auto"/>
        <w:ind w:left="0" w:firstLine="709"/>
        <w:contextualSpacing/>
        <w:jc w:val="both"/>
        <w:rPr>
          <w:rFonts w:ascii="Times New Roman" w:hAnsi="Times New Roman"/>
          <w:sz w:val="26"/>
          <w:szCs w:val="26"/>
          <w:lang w:eastAsia="en-US"/>
        </w:rPr>
      </w:pPr>
      <w:r>
        <w:rPr>
          <w:rFonts w:ascii="Times New Roman" w:hAnsi="Times New Roman"/>
          <w:sz w:val="26"/>
          <w:szCs w:val="26"/>
          <w:lang w:eastAsia="en-US"/>
        </w:rPr>
        <w:t>Добавлен раздел «Показатели депремирования», включающий показатели депремирования «Предельный объем разногласий по объему потерь на конец отчетного периода (года)», «Нарушение порядка совершения сделок», Своевременное выполнение планов корректирующих мероприятий (ПКМ)»;</w:t>
      </w:r>
    </w:p>
    <w:p w14:paraId="2C56B0F8" w14:textId="77777777" w:rsidR="002449C2" w:rsidRDefault="00123961">
      <w:pPr>
        <w:numPr>
          <w:ilvl w:val="0"/>
          <w:numId w:val="51"/>
        </w:numPr>
        <w:suppressAutoHyphens w:val="0"/>
        <w:spacing w:after="0" w:line="240" w:lineRule="auto"/>
        <w:ind w:left="0" w:firstLine="709"/>
        <w:contextualSpacing/>
        <w:jc w:val="both"/>
        <w:rPr>
          <w:rFonts w:ascii="Times New Roman" w:hAnsi="Times New Roman"/>
          <w:sz w:val="26"/>
          <w:szCs w:val="26"/>
          <w:lang w:eastAsia="en-US"/>
        </w:rPr>
      </w:pPr>
      <w:r>
        <w:rPr>
          <w:rFonts w:ascii="Times New Roman" w:hAnsi="Times New Roman"/>
          <w:sz w:val="26"/>
          <w:szCs w:val="26"/>
          <w:lang w:eastAsia="en-US"/>
        </w:rPr>
        <w:t>Добавлены ФКПЭ «Уровень укомплектованности персоналом», «Контроль за своевременным проведением ГОСА/ГОСУ дочерних обществ», «Эффективность перехода на использование отечественной радиоэлектронной продукции», «Эффективность реализации дополнительных услуг».</w:t>
      </w:r>
    </w:p>
    <w:p w14:paraId="6F10E736" w14:textId="1A882CA1" w:rsidR="002449C2" w:rsidRDefault="00D03DDF" w:rsidP="00E50F6F">
      <w:pPr>
        <w:spacing w:after="0" w:line="240" w:lineRule="auto"/>
        <w:ind w:firstLine="709"/>
        <w:jc w:val="both"/>
        <w:rPr>
          <w:rFonts w:ascii="Times New Roman" w:hAnsi="Times New Roman"/>
          <w:sz w:val="24"/>
          <w:szCs w:val="24"/>
        </w:rPr>
      </w:pPr>
      <w:r>
        <w:rPr>
          <w:rFonts w:ascii="Times New Roman" w:hAnsi="Times New Roman"/>
          <w:sz w:val="26"/>
          <w:szCs w:val="26"/>
          <w:lang w:eastAsia="en-US"/>
        </w:rPr>
        <w:t xml:space="preserve">В соответствии с </w:t>
      </w:r>
      <w:r w:rsidRPr="00D03DDF">
        <w:rPr>
          <w:rFonts w:ascii="Times New Roman" w:hAnsi="Times New Roman"/>
          <w:sz w:val="26"/>
          <w:szCs w:val="26"/>
          <w:lang w:eastAsia="en-US"/>
        </w:rPr>
        <w:t>пункт</w:t>
      </w:r>
      <w:r>
        <w:rPr>
          <w:rFonts w:ascii="Times New Roman" w:hAnsi="Times New Roman"/>
          <w:sz w:val="26"/>
          <w:szCs w:val="26"/>
          <w:lang w:eastAsia="en-US"/>
        </w:rPr>
        <w:t>ом</w:t>
      </w:r>
      <w:r w:rsidRPr="00D03DDF">
        <w:rPr>
          <w:rFonts w:ascii="Times New Roman" w:hAnsi="Times New Roman"/>
          <w:sz w:val="26"/>
          <w:szCs w:val="26"/>
          <w:lang w:eastAsia="en-US"/>
        </w:rPr>
        <w:t xml:space="preserve"> 15.1 статьи 15 Устава Общества</w:t>
      </w:r>
      <w:r>
        <w:rPr>
          <w:rFonts w:ascii="Times New Roman" w:hAnsi="Times New Roman"/>
          <w:sz w:val="26"/>
          <w:szCs w:val="26"/>
          <w:lang w:eastAsia="en-US"/>
        </w:rPr>
        <w:t>,</w:t>
      </w:r>
      <w:r w:rsidRPr="00D03DDF">
        <w:rPr>
          <w:rFonts w:ascii="Times New Roman" w:hAnsi="Times New Roman"/>
          <w:sz w:val="26"/>
          <w:szCs w:val="26"/>
          <w:lang w:eastAsia="en-US"/>
        </w:rPr>
        <w:t xml:space="preserve"> </w:t>
      </w:r>
      <w:r w:rsidR="00123961">
        <w:rPr>
          <w:rFonts w:ascii="Times New Roman" w:hAnsi="Times New Roman"/>
          <w:sz w:val="26"/>
          <w:szCs w:val="26"/>
          <w:lang w:eastAsia="en-US"/>
        </w:rPr>
        <w:t xml:space="preserve">КПЭ и ФКПЭ Общества и их целевые значения на 2024 – 2026 годы </w:t>
      </w:r>
      <w:r w:rsidR="008877D8">
        <w:rPr>
          <w:rFonts w:ascii="Times New Roman" w:hAnsi="Times New Roman"/>
          <w:sz w:val="26"/>
          <w:szCs w:val="26"/>
          <w:lang w:eastAsia="en-US"/>
        </w:rPr>
        <w:t xml:space="preserve">утверждены </w:t>
      </w:r>
      <w:r w:rsidR="00123961">
        <w:rPr>
          <w:rFonts w:ascii="Times New Roman" w:hAnsi="Times New Roman"/>
          <w:sz w:val="26"/>
          <w:szCs w:val="26"/>
          <w:lang w:eastAsia="en-US"/>
        </w:rPr>
        <w:t>решени</w:t>
      </w:r>
      <w:r>
        <w:rPr>
          <w:rFonts w:ascii="Times New Roman" w:hAnsi="Times New Roman"/>
          <w:sz w:val="26"/>
          <w:szCs w:val="26"/>
          <w:lang w:eastAsia="en-US"/>
        </w:rPr>
        <w:t>ем</w:t>
      </w:r>
      <w:r w:rsidR="00123961">
        <w:rPr>
          <w:rFonts w:ascii="Times New Roman" w:hAnsi="Times New Roman"/>
          <w:sz w:val="26"/>
          <w:szCs w:val="26"/>
          <w:lang w:eastAsia="en-US"/>
        </w:rPr>
        <w:t xml:space="preserve"> Совета директоров Общества от 23.12.2024 (протокол от 23.12.2024 № 598/2024).</w:t>
      </w:r>
    </w:p>
    <w:p w14:paraId="7682F0AF" w14:textId="77777777" w:rsidR="002449C2" w:rsidRDefault="002449C2">
      <w:pPr>
        <w:spacing w:after="160" w:line="240" w:lineRule="auto"/>
        <w:contextualSpacing/>
        <w:jc w:val="both"/>
        <w:rPr>
          <w:rFonts w:ascii="Times New Roman" w:hAnsi="Times New Roman"/>
          <w:sz w:val="26"/>
          <w:szCs w:val="26"/>
          <w:lang w:eastAsia="en-US"/>
        </w:rPr>
      </w:pPr>
    </w:p>
    <w:tbl>
      <w:tblPr>
        <w:tblW w:w="9355" w:type="dxa"/>
        <w:tblLayout w:type="fixed"/>
        <w:tblLook w:val="04A0" w:firstRow="1" w:lastRow="0" w:firstColumn="1" w:lastColumn="0" w:noHBand="0" w:noVBand="1"/>
      </w:tblPr>
      <w:tblGrid>
        <w:gridCol w:w="4779"/>
        <w:gridCol w:w="4576"/>
      </w:tblGrid>
      <w:tr w:rsidR="002449C2" w14:paraId="7C2BD264" w14:textId="77777777">
        <w:tc>
          <w:tcPr>
            <w:tcW w:w="4778" w:type="dxa"/>
          </w:tcPr>
          <w:p w14:paraId="18586356" w14:textId="77777777" w:rsidR="002449C2" w:rsidRDefault="00123961">
            <w:pPr>
              <w:spacing w:after="160" w:line="240" w:lineRule="auto"/>
              <w:contextualSpacing/>
              <w:jc w:val="both"/>
              <w:rPr>
                <w:rFonts w:ascii="Times New Roman" w:hAnsi="Times New Roman"/>
                <w:i/>
                <w:sz w:val="20"/>
                <w:szCs w:val="20"/>
                <w:lang w:eastAsia="en-US"/>
              </w:rPr>
            </w:pPr>
            <w:r>
              <w:rPr>
                <w:noProof/>
                <w:lang w:eastAsia="ru-RU"/>
              </w:rPr>
              <w:drawing>
                <wp:inline distT="0" distB="0" distL="0" distR="0" wp14:anchorId="47096E2D" wp14:editId="4FD490CF">
                  <wp:extent cx="2845435" cy="1868170"/>
                  <wp:effectExtent l="0" t="0" r="0" b="0"/>
                  <wp:docPr id="28" name="_x005F_x0000_i4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_x005F_x0000_i4411"/>
                          <pic:cNvPicPr>
                            <a:picLocks noChangeAspect="1" noChangeArrowheads="1"/>
                          </pic:cNvPicPr>
                        </pic:nvPicPr>
                        <pic:blipFill>
                          <a:blip r:embed="rId42"/>
                          <a:stretch>
                            <a:fillRect/>
                          </a:stretch>
                        </pic:blipFill>
                        <pic:spPr bwMode="auto">
                          <a:xfrm>
                            <a:off x="0" y="0"/>
                            <a:ext cx="2845435" cy="1868170"/>
                          </a:xfrm>
                          <a:prstGeom prst="rect">
                            <a:avLst/>
                          </a:prstGeom>
                          <a:noFill/>
                        </pic:spPr>
                      </pic:pic>
                    </a:graphicData>
                  </a:graphic>
                </wp:inline>
              </w:drawing>
            </w:r>
          </w:p>
        </w:tc>
        <w:tc>
          <w:tcPr>
            <w:tcW w:w="4576" w:type="dxa"/>
          </w:tcPr>
          <w:p w14:paraId="11E7942A" w14:textId="77777777" w:rsidR="002449C2" w:rsidRDefault="00123961">
            <w:pPr>
              <w:spacing w:after="160" w:line="240" w:lineRule="auto"/>
              <w:contextualSpacing/>
              <w:jc w:val="both"/>
              <w:rPr>
                <w:rFonts w:ascii="Times New Roman" w:hAnsi="Times New Roman"/>
                <w:i/>
                <w:sz w:val="20"/>
                <w:szCs w:val="20"/>
                <w:lang w:eastAsia="en-US"/>
              </w:rPr>
            </w:pPr>
            <w:r>
              <w:rPr>
                <w:rFonts w:ascii="Times New Roman" w:eastAsia="Roboto Condensed" w:hAnsi="Times New Roman"/>
                <w:b/>
                <w:i/>
                <w:color w:val="313131"/>
                <w:sz w:val="20"/>
                <w:szCs w:val="20"/>
                <w:lang w:eastAsia="en-US"/>
              </w:rPr>
              <w:t>«Россети Юг» приступили к реконструкции подстанции 35 кВ в Ростове-на-Дону. Данный питающий центр обеспечивает электроэнергией жителей центральной и западной частей донской столицы, крупных предприятий, в том числе производство изделий из бетона для строительной отрасли.</w:t>
            </w:r>
            <w:r>
              <w:rPr>
                <w:rFonts w:ascii="Times New Roman" w:eastAsia="Roboto Condensed" w:hAnsi="Times New Roman"/>
                <w:b/>
                <w:i/>
                <w:color w:val="313131"/>
                <w:sz w:val="20"/>
                <w:szCs w:val="20"/>
                <w:lang w:eastAsia="en-US"/>
              </w:rPr>
              <w:br w:type="textWrapping" w:clear="all"/>
            </w:r>
            <w:r>
              <w:rPr>
                <w:rFonts w:ascii="Times New Roman" w:eastAsia="Roboto Condensed" w:hAnsi="Times New Roman"/>
                <w:i/>
                <w:color w:val="313131"/>
                <w:sz w:val="20"/>
                <w:szCs w:val="20"/>
                <w:lang w:eastAsia="en-US"/>
              </w:rPr>
              <w:t>В ходе реновации энергетики установят два новых трансформатора суммарной мощностью 8 000 кВА вместо существующих 2 000 кВА, заменят распределительные устройства. В результате мощность подстанции увеличится в четыре раза. Энергообъект, построенный в 1982 году, задействован в транспорте электроэнергии другой сетевой организацией и уже исчерпала свой ресурс. Завершить модернизацию питающего центра планируется в 2025 году. Реализация проекта позволит повысить надёжность и качество электроснабжения, расширить возможности для технологического присоединения новых потребителей в Ростове-на-Дону.</w:t>
            </w:r>
          </w:p>
        </w:tc>
      </w:tr>
    </w:tbl>
    <w:p w14:paraId="38333CF1" w14:textId="77777777" w:rsidR="002449C2" w:rsidRDefault="002449C2">
      <w:pPr>
        <w:spacing w:after="160" w:line="240" w:lineRule="auto"/>
        <w:contextualSpacing/>
        <w:jc w:val="both"/>
        <w:rPr>
          <w:rFonts w:ascii="Times New Roman" w:hAnsi="Times New Roman"/>
          <w:i/>
          <w:sz w:val="20"/>
          <w:szCs w:val="20"/>
          <w:lang w:eastAsia="en-US"/>
        </w:rPr>
        <w:sectPr w:rsidR="002449C2">
          <w:footerReference w:type="default" r:id="rId43"/>
          <w:footerReference w:type="first" r:id="rId44"/>
          <w:pgSz w:w="11906" w:h="16838"/>
          <w:pgMar w:top="1134" w:right="850" w:bottom="1134" w:left="1701" w:header="0" w:footer="708" w:gutter="0"/>
          <w:pgNumType w:start="1"/>
          <w:cols w:space="720"/>
          <w:formProt w:val="0"/>
          <w:docGrid w:linePitch="360"/>
        </w:sectPr>
      </w:pPr>
    </w:p>
    <w:tbl>
      <w:tblPr>
        <w:tblpPr w:leftFromText="180" w:rightFromText="180" w:vertAnchor="text" w:tblpY="1"/>
        <w:tblOverlap w:val="never"/>
        <w:tblW w:w="14454" w:type="dxa"/>
        <w:tblLayout w:type="fixed"/>
        <w:tblLook w:val="04A0" w:firstRow="1" w:lastRow="0" w:firstColumn="1" w:lastColumn="0" w:noHBand="0" w:noVBand="1"/>
      </w:tblPr>
      <w:tblGrid>
        <w:gridCol w:w="1696"/>
        <w:gridCol w:w="2695"/>
        <w:gridCol w:w="1275"/>
        <w:gridCol w:w="710"/>
        <w:gridCol w:w="1419"/>
        <w:gridCol w:w="990"/>
        <w:gridCol w:w="1561"/>
        <w:gridCol w:w="1418"/>
        <w:gridCol w:w="1275"/>
        <w:gridCol w:w="1415"/>
      </w:tblGrid>
      <w:tr w:rsidR="002449C2" w14:paraId="7F3159F9" w14:textId="77777777">
        <w:trPr>
          <w:trHeight w:val="1683"/>
          <w:tblHeader/>
        </w:trPr>
        <w:tc>
          <w:tcPr>
            <w:tcW w:w="1695" w:type="dxa"/>
            <w:tcBorders>
              <w:top w:val="single" w:sz="4" w:space="0" w:color="000000"/>
              <w:left w:val="single" w:sz="4" w:space="0" w:color="000000"/>
              <w:bottom w:val="single" w:sz="4" w:space="0" w:color="000000"/>
              <w:right w:val="single" w:sz="4" w:space="0" w:color="000000"/>
            </w:tcBorders>
            <w:vAlign w:val="center"/>
          </w:tcPr>
          <w:p w14:paraId="20B5B1B5" w14:textId="77777777" w:rsidR="002449C2" w:rsidRDefault="00123961">
            <w:pPr>
              <w:spacing w:after="160" w:line="259" w:lineRule="auto"/>
              <w:contextualSpacing/>
              <w:jc w:val="center"/>
              <w:rPr>
                <w:rFonts w:ascii="Times New Roman" w:hAnsi="Times New Roman"/>
                <w:b/>
                <w:sz w:val="18"/>
                <w:szCs w:val="18"/>
              </w:rPr>
            </w:pPr>
            <w:r>
              <w:rPr>
                <w:rFonts w:ascii="Times New Roman" w:hAnsi="Times New Roman"/>
                <w:b/>
                <w:sz w:val="18"/>
                <w:szCs w:val="18"/>
              </w:rPr>
              <w:t>Наименование показателя</w:t>
            </w:r>
          </w:p>
        </w:tc>
        <w:tc>
          <w:tcPr>
            <w:tcW w:w="2694" w:type="dxa"/>
            <w:tcBorders>
              <w:top w:val="single" w:sz="4" w:space="0" w:color="000000"/>
              <w:left w:val="single" w:sz="4" w:space="0" w:color="000000"/>
              <w:bottom w:val="single" w:sz="4" w:space="0" w:color="000000"/>
              <w:right w:val="single" w:sz="4" w:space="0" w:color="000000"/>
            </w:tcBorders>
            <w:vAlign w:val="center"/>
          </w:tcPr>
          <w:p w14:paraId="756F4385" w14:textId="77777777" w:rsidR="002449C2" w:rsidRDefault="00123961">
            <w:pPr>
              <w:spacing w:after="160" w:line="259" w:lineRule="auto"/>
              <w:contextualSpacing/>
              <w:jc w:val="center"/>
              <w:rPr>
                <w:rFonts w:ascii="Times New Roman" w:hAnsi="Times New Roman"/>
                <w:b/>
                <w:sz w:val="18"/>
                <w:szCs w:val="18"/>
              </w:rPr>
            </w:pPr>
            <w:r>
              <w:rPr>
                <w:rFonts w:ascii="Times New Roman" w:hAnsi="Times New Roman"/>
                <w:b/>
                <w:sz w:val="18"/>
                <w:szCs w:val="18"/>
              </w:rPr>
              <w:t>Порядок расчета</w:t>
            </w:r>
          </w:p>
        </w:tc>
        <w:tc>
          <w:tcPr>
            <w:tcW w:w="1275" w:type="dxa"/>
            <w:tcBorders>
              <w:top w:val="single" w:sz="4" w:space="0" w:color="000000"/>
              <w:left w:val="single" w:sz="4" w:space="0" w:color="000000"/>
              <w:bottom w:val="single" w:sz="4" w:space="0" w:color="000000"/>
              <w:right w:val="single" w:sz="4" w:space="0" w:color="000000"/>
            </w:tcBorders>
            <w:vAlign w:val="center"/>
          </w:tcPr>
          <w:p w14:paraId="487E2C31" w14:textId="77777777" w:rsidR="002449C2" w:rsidRDefault="00123961">
            <w:pPr>
              <w:spacing w:after="160" w:line="259" w:lineRule="auto"/>
              <w:contextualSpacing/>
              <w:jc w:val="center"/>
              <w:rPr>
                <w:rFonts w:ascii="Times New Roman" w:hAnsi="Times New Roman"/>
                <w:b/>
                <w:sz w:val="18"/>
                <w:szCs w:val="18"/>
              </w:rPr>
            </w:pPr>
            <w:r>
              <w:rPr>
                <w:rFonts w:ascii="Times New Roman" w:hAnsi="Times New Roman"/>
                <w:b/>
                <w:sz w:val="18"/>
                <w:szCs w:val="18"/>
              </w:rPr>
              <w:t>Вес в системе вознаграждения//процент депремирования на 2024 год, %</w:t>
            </w:r>
          </w:p>
        </w:tc>
        <w:tc>
          <w:tcPr>
            <w:tcW w:w="710" w:type="dxa"/>
            <w:tcBorders>
              <w:top w:val="single" w:sz="4" w:space="0" w:color="000000"/>
              <w:left w:val="single" w:sz="4" w:space="0" w:color="000000"/>
              <w:bottom w:val="single" w:sz="4" w:space="0" w:color="000000"/>
              <w:right w:val="single" w:sz="4" w:space="0" w:color="000000"/>
            </w:tcBorders>
            <w:vAlign w:val="center"/>
          </w:tcPr>
          <w:p w14:paraId="2B723CC7" w14:textId="77777777" w:rsidR="002449C2" w:rsidRDefault="00123961">
            <w:pPr>
              <w:spacing w:after="160" w:line="259" w:lineRule="auto"/>
              <w:contextualSpacing/>
              <w:jc w:val="center"/>
              <w:rPr>
                <w:rFonts w:ascii="Times New Roman" w:hAnsi="Times New Roman"/>
                <w:b/>
                <w:sz w:val="18"/>
                <w:szCs w:val="18"/>
              </w:rPr>
            </w:pPr>
            <w:r>
              <w:rPr>
                <w:rFonts w:ascii="Times New Roman" w:hAnsi="Times New Roman"/>
                <w:b/>
                <w:sz w:val="18"/>
                <w:szCs w:val="18"/>
              </w:rPr>
              <w:t>Ед. изм.</w:t>
            </w:r>
          </w:p>
        </w:tc>
        <w:tc>
          <w:tcPr>
            <w:tcW w:w="1419" w:type="dxa"/>
            <w:tcBorders>
              <w:top w:val="single" w:sz="4" w:space="0" w:color="000000"/>
              <w:left w:val="single" w:sz="4" w:space="0" w:color="000000"/>
              <w:bottom w:val="single" w:sz="4" w:space="0" w:color="000000"/>
              <w:right w:val="single" w:sz="4" w:space="0" w:color="000000"/>
            </w:tcBorders>
            <w:vAlign w:val="center"/>
          </w:tcPr>
          <w:p w14:paraId="58926420" w14:textId="77777777" w:rsidR="002449C2" w:rsidRDefault="00123961">
            <w:pPr>
              <w:spacing w:after="160" w:line="259" w:lineRule="auto"/>
              <w:contextualSpacing/>
              <w:jc w:val="center"/>
              <w:rPr>
                <w:rFonts w:ascii="Times New Roman" w:hAnsi="Times New Roman"/>
                <w:b/>
                <w:sz w:val="18"/>
                <w:szCs w:val="18"/>
              </w:rPr>
            </w:pPr>
            <w:r>
              <w:rPr>
                <w:rFonts w:ascii="Times New Roman" w:hAnsi="Times New Roman"/>
                <w:b/>
                <w:sz w:val="18"/>
                <w:szCs w:val="18"/>
              </w:rPr>
              <w:t>Целевое//пороговое значение на 2024 год</w:t>
            </w:r>
          </w:p>
        </w:tc>
        <w:tc>
          <w:tcPr>
            <w:tcW w:w="990" w:type="dxa"/>
            <w:tcBorders>
              <w:top w:val="single" w:sz="4" w:space="0" w:color="000000"/>
              <w:left w:val="single" w:sz="4" w:space="0" w:color="000000"/>
              <w:bottom w:val="single" w:sz="4" w:space="0" w:color="000000"/>
              <w:right w:val="single" w:sz="4" w:space="0" w:color="000000"/>
            </w:tcBorders>
            <w:vAlign w:val="center"/>
          </w:tcPr>
          <w:p w14:paraId="0318048F" w14:textId="77777777" w:rsidR="002449C2" w:rsidRDefault="00123961">
            <w:pPr>
              <w:spacing w:after="160" w:line="259" w:lineRule="auto"/>
              <w:contextualSpacing/>
              <w:jc w:val="center"/>
              <w:rPr>
                <w:rFonts w:ascii="Times New Roman" w:hAnsi="Times New Roman"/>
                <w:b/>
                <w:sz w:val="18"/>
                <w:szCs w:val="18"/>
              </w:rPr>
            </w:pPr>
            <w:r>
              <w:rPr>
                <w:rFonts w:ascii="Times New Roman" w:hAnsi="Times New Roman"/>
                <w:b/>
                <w:sz w:val="18"/>
                <w:szCs w:val="18"/>
              </w:rPr>
              <w:t>Достигнутое значение за 2024 год</w:t>
            </w:r>
            <w:r>
              <w:rPr>
                <w:rStyle w:val="af"/>
                <w:rFonts w:ascii="Times New Roman" w:hAnsi="Times New Roman"/>
                <w:sz w:val="18"/>
                <w:szCs w:val="18"/>
              </w:rPr>
              <w:footnoteReference w:id="3"/>
            </w:r>
          </w:p>
        </w:tc>
        <w:tc>
          <w:tcPr>
            <w:tcW w:w="1561" w:type="dxa"/>
            <w:tcBorders>
              <w:top w:val="single" w:sz="4" w:space="0" w:color="000000"/>
              <w:left w:val="single" w:sz="4" w:space="0" w:color="000000"/>
              <w:bottom w:val="single" w:sz="4" w:space="0" w:color="000000"/>
              <w:right w:val="single" w:sz="4" w:space="0" w:color="000000"/>
            </w:tcBorders>
            <w:vAlign w:val="center"/>
          </w:tcPr>
          <w:p w14:paraId="4B7388C3" w14:textId="77777777" w:rsidR="002449C2" w:rsidRDefault="00123961">
            <w:pPr>
              <w:spacing w:after="160" w:line="259" w:lineRule="auto"/>
              <w:contextualSpacing/>
              <w:jc w:val="center"/>
              <w:rPr>
                <w:rFonts w:ascii="Times New Roman" w:hAnsi="Times New Roman"/>
                <w:b/>
                <w:sz w:val="18"/>
                <w:szCs w:val="18"/>
              </w:rPr>
            </w:pPr>
            <w:r>
              <w:rPr>
                <w:rFonts w:ascii="Times New Roman" w:hAnsi="Times New Roman"/>
                <w:b/>
                <w:sz w:val="18"/>
                <w:szCs w:val="18"/>
              </w:rPr>
              <w:t>Оценка достижения в 2024 году (%, достигнут/</w:t>
            </w:r>
          </w:p>
          <w:p w14:paraId="2A527E21" w14:textId="77777777" w:rsidR="002449C2" w:rsidRDefault="00123961">
            <w:pPr>
              <w:spacing w:after="160" w:line="259" w:lineRule="auto"/>
              <w:contextualSpacing/>
              <w:jc w:val="center"/>
              <w:rPr>
                <w:rFonts w:ascii="Times New Roman" w:hAnsi="Times New Roman"/>
                <w:b/>
                <w:sz w:val="18"/>
                <w:szCs w:val="18"/>
              </w:rPr>
            </w:pPr>
            <w:r>
              <w:rPr>
                <w:rFonts w:ascii="Times New Roman" w:hAnsi="Times New Roman"/>
                <w:b/>
                <w:sz w:val="18"/>
                <w:szCs w:val="18"/>
              </w:rPr>
              <w:t>не достигнут)</w:t>
            </w:r>
            <w:r w:rsidR="00C80779">
              <w:rPr>
                <w:rStyle w:val="af"/>
                <w:rFonts w:ascii="Times New Roman" w:hAnsi="Times New Roman"/>
                <w:b/>
                <w:sz w:val="18"/>
                <w:szCs w:val="18"/>
              </w:rPr>
              <w:footnoteReference w:id="4"/>
            </w:r>
          </w:p>
        </w:tc>
        <w:tc>
          <w:tcPr>
            <w:tcW w:w="1418" w:type="dxa"/>
            <w:tcBorders>
              <w:top w:val="single" w:sz="4" w:space="0" w:color="000000"/>
              <w:left w:val="single" w:sz="4" w:space="0" w:color="000000"/>
              <w:bottom w:val="single" w:sz="4" w:space="0" w:color="000000"/>
              <w:right w:val="single" w:sz="4" w:space="0" w:color="000000"/>
            </w:tcBorders>
            <w:vAlign w:val="center"/>
          </w:tcPr>
          <w:p w14:paraId="39BD87F0" w14:textId="77777777" w:rsidR="002449C2" w:rsidRDefault="00123961">
            <w:pPr>
              <w:spacing w:after="160" w:line="259" w:lineRule="auto"/>
              <w:contextualSpacing/>
              <w:jc w:val="center"/>
              <w:rPr>
                <w:rFonts w:ascii="Times New Roman" w:hAnsi="Times New Roman"/>
                <w:b/>
                <w:sz w:val="18"/>
                <w:szCs w:val="18"/>
              </w:rPr>
            </w:pPr>
            <w:r>
              <w:rPr>
                <w:rFonts w:ascii="Times New Roman" w:hAnsi="Times New Roman"/>
                <w:b/>
                <w:sz w:val="18"/>
                <w:szCs w:val="18"/>
              </w:rPr>
              <w:t>Причины недостижения</w:t>
            </w:r>
          </w:p>
        </w:tc>
        <w:tc>
          <w:tcPr>
            <w:tcW w:w="1275" w:type="dxa"/>
            <w:tcBorders>
              <w:top w:val="single" w:sz="4" w:space="0" w:color="000000"/>
              <w:left w:val="single" w:sz="4" w:space="0" w:color="000000"/>
              <w:bottom w:val="single" w:sz="4" w:space="0" w:color="000000"/>
              <w:right w:val="single" w:sz="4" w:space="0" w:color="000000"/>
            </w:tcBorders>
            <w:vAlign w:val="center"/>
          </w:tcPr>
          <w:p w14:paraId="3714D4C2" w14:textId="77777777" w:rsidR="002449C2" w:rsidRDefault="00123961">
            <w:pPr>
              <w:spacing w:after="160" w:line="259" w:lineRule="auto"/>
              <w:contextualSpacing/>
              <w:jc w:val="center"/>
              <w:rPr>
                <w:rFonts w:ascii="Times New Roman" w:hAnsi="Times New Roman"/>
                <w:b/>
                <w:sz w:val="18"/>
                <w:szCs w:val="18"/>
              </w:rPr>
            </w:pPr>
            <w:r>
              <w:rPr>
                <w:rFonts w:ascii="Times New Roman" w:hAnsi="Times New Roman"/>
                <w:b/>
                <w:sz w:val="18"/>
                <w:szCs w:val="18"/>
              </w:rPr>
              <w:t>Целевое значение на 2025 год</w:t>
            </w:r>
          </w:p>
        </w:tc>
        <w:tc>
          <w:tcPr>
            <w:tcW w:w="1415" w:type="dxa"/>
            <w:tcBorders>
              <w:top w:val="single" w:sz="4" w:space="0" w:color="000000"/>
              <w:left w:val="single" w:sz="4" w:space="0" w:color="000000"/>
              <w:bottom w:val="single" w:sz="4" w:space="0" w:color="000000"/>
              <w:right w:val="single" w:sz="4" w:space="0" w:color="000000"/>
            </w:tcBorders>
            <w:vAlign w:val="center"/>
          </w:tcPr>
          <w:p w14:paraId="3532F6C3" w14:textId="77777777" w:rsidR="002449C2" w:rsidRDefault="00123961">
            <w:pPr>
              <w:spacing w:after="160" w:line="259" w:lineRule="auto"/>
              <w:contextualSpacing/>
              <w:jc w:val="center"/>
              <w:rPr>
                <w:rFonts w:ascii="Times New Roman" w:hAnsi="Times New Roman"/>
                <w:b/>
                <w:sz w:val="18"/>
                <w:szCs w:val="18"/>
              </w:rPr>
            </w:pPr>
            <w:r>
              <w:rPr>
                <w:rFonts w:ascii="Times New Roman" w:hAnsi="Times New Roman"/>
                <w:b/>
                <w:sz w:val="18"/>
                <w:szCs w:val="18"/>
              </w:rPr>
              <w:t>Целевое значение на 2026 год</w:t>
            </w:r>
            <w:r w:rsidR="00C80779">
              <w:rPr>
                <w:rStyle w:val="af"/>
                <w:rFonts w:ascii="Times New Roman" w:hAnsi="Times New Roman"/>
                <w:b/>
                <w:sz w:val="18"/>
                <w:szCs w:val="18"/>
              </w:rPr>
              <w:footnoteReference w:id="5"/>
            </w:r>
          </w:p>
        </w:tc>
      </w:tr>
      <w:tr w:rsidR="002449C2" w14:paraId="265126B2" w14:textId="77777777">
        <w:trPr>
          <w:trHeight w:val="497"/>
        </w:trPr>
        <w:tc>
          <w:tcPr>
            <w:tcW w:w="14452" w:type="dxa"/>
            <w:gridSpan w:val="10"/>
            <w:tcBorders>
              <w:top w:val="single" w:sz="4" w:space="0" w:color="000000"/>
              <w:left w:val="single" w:sz="4" w:space="0" w:color="000000"/>
              <w:bottom w:val="single" w:sz="4" w:space="0" w:color="000000"/>
              <w:right w:val="single" w:sz="4" w:space="0" w:color="000000"/>
            </w:tcBorders>
            <w:vAlign w:val="center"/>
          </w:tcPr>
          <w:p w14:paraId="23559C12" w14:textId="77777777" w:rsidR="002449C2" w:rsidRDefault="00123961">
            <w:pPr>
              <w:spacing w:after="160" w:line="259" w:lineRule="auto"/>
              <w:contextualSpacing/>
              <w:jc w:val="center"/>
              <w:rPr>
                <w:rFonts w:ascii="Times New Roman" w:hAnsi="Times New Roman"/>
                <w:b/>
                <w:color w:val="0070C0"/>
                <w:sz w:val="18"/>
                <w:szCs w:val="18"/>
              </w:rPr>
            </w:pPr>
            <w:r>
              <w:rPr>
                <w:rFonts w:ascii="Times New Roman" w:hAnsi="Times New Roman"/>
                <w:b/>
                <w:color w:val="0070C0"/>
                <w:sz w:val="18"/>
                <w:szCs w:val="18"/>
              </w:rPr>
              <w:t>ФИНАНСОВО-ЭКОНОМИЧЕСКИЕ КЛЮЧЕВЫЕ ПОКАЗАТЕЛИ ЭФФЕКТИВНОСТИ</w:t>
            </w:r>
          </w:p>
        </w:tc>
      </w:tr>
      <w:tr w:rsidR="002449C2" w14:paraId="10C0C798" w14:textId="77777777">
        <w:tc>
          <w:tcPr>
            <w:tcW w:w="1695" w:type="dxa"/>
            <w:tcBorders>
              <w:top w:val="single" w:sz="4" w:space="0" w:color="000000"/>
              <w:left w:val="single" w:sz="4" w:space="0" w:color="000000"/>
              <w:bottom w:val="single" w:sz="4" w:space="0" w:color="000000"/>
              <w:right w:val="single" w:sz="4" w:space="0" w:color="000000"/>
            </w:tcBorders>
          </w:tcPr>
          <w:p w14:paraId="1246516F"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ROIC</w:t>
            </w:r>
          </w:p>
          <w:p w14:paraId="2EAECFD7"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(Рентабельность инвестированного капитала)</w:t>
            </w:r>
          </w:p>
        </w:tc>
        <w:tc>
          <w:tcPr>
            <w:tcW w:w="2694" w:type="dxa"/>
            <w:tcBorders>
              <w:top w:val="single" w:sz="4" w:space="0" w:color="000000"/>
              <w:left w:val="single" w:sz="4" w:space="0" w:color="000000"/>
              <w:bottom w:val="single" w:sz="4" w:space="0" w:color="000000"/>
              <w:right w:val="single" w:sz="4" w:space="0" w:color="000000"/>
            </w:tcBorders>
          </w:tcPr>
          <w:p w14:paraId="03682DA5"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Отношение операционной прибыли, скорректированной на размер обесценения/(восстановления обесценения) основных средств, выручки от оказания услуг по технологическому присоединению и начисления/(восстановление) резерва под ожидаемые кредитные убытки, к сумме средних величин капитала и долгосрочных кредитов и займов</w:t>
            </w:r>
          </w:p>
        </w:tc>
        <w:tc>
          <w:tcPr>
            <w:tcW w:w="1275" w:type="dxa"/>
            <w:tcBorders>
              <w:top w:val="single" w:sz="4" w:space="0" w:color="000000"/>
              <w:left w:val="single" w:sz="4" w:space="0" w:color="000000"/>
              <w:bottom w:val="single" w:sz="4" w:space="0" w:color="000000"/>
              <w:right w:val="single" w:sz="4" w:space="0" w:color="000000"/>
            </w:tcBorders>
          </w:tcPr>
          <w:p w14:paraId="4EABD1CE"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w:t>
            </w:r>
          </w:p>
        </w:tc>
        <w:tc>
          <w:tcPr>
            <w:tcW w:w="710" w:type="dxa"/>
            <w:tcBorders>
              <w:top w:val="single" w:sz="4" w:space="0" w:color="000000"/>
              <w:left w:val="single" w:sz="4" w:space="0" w:color="000000"/>
              <w:bottom w:val="single" w:sz="4" w:space="0" w:color="000000"/>
              <w:right w:val="single" w:sz="4" w:space="0" w:color="000000"/>
            </w:tcBorders>
          </w:tcPr>
          <w:p w14:paraId="309CB4E3" w14:textId="77777777" w:rsidR="002449C2" w:rsidRDefault="00123961">
            <w:pPr>
              <w:spacing w:after="160" w:line="259" w:lineRule="auto"/>
              <w:ind w:right="19"/>
              <w:contextualSpacing/>
              <w:jc w:val="center"/>
              <w:rPr>
                <w:rFonts w:ascii="Times New Roman" w:hAnsi="Times New Roman"/>
                <w:sz w:val="18"/>
                <w:szCs w:val="18"/>
              </w:rPr>
            </w:pPr>
            <w:r>
              <w:rPr>
                <w:rFonts w:ascii="Times New Roman" w:hAnsi="Times New Roman"/>
                <w:sz w:val="18"/>
                <w:szCs w:val="18"/>
              </w:rPr>
              <w:t>%</w:t>
            </w:r>
          </w:p>
        </w:tc>
        <w:tc>
          <w:tcPr>
            <w:tcW w:w="1419" w:type="dxa"/>
            <w:tcBorders>
              <w:top w:val="single" w:sz="4" w:space="0" w:color="000000"/>
              <w:left w:val="single" w:sz="4" w:space="0" w:color="000000"/>
              <w:bottom w:val="single" w:sz="4" w:space="0" w:color="000000"/>
              <w:right w:val="single" w:sz="4" w:space="0" w:color="000000"/>
            </w:tcBorders>
          </w:tcPr>
          <w:p w14:paraId="06D43545"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12,7</w:t>
            </w:r>
          </w:p>
        </w:tc>
        <w:tc>
          <w:tcPr>
            <w:tcW w:w="990" w:type="dxa"/>
            <w:tcBorders>
              <w:top w:val="single" w:sz="4" w:space="0" w:color="000000"/>
              <w:left w:val="single" w:sz="4" w:space="0" w:color="000000"/>
              <w:bottom w:val="single" w:sz="4" w:space="0" w:color="000000"/>
              <w:right w:val="single" w:sz="4" w:space="0" w:color="000000"/>
            </w:tcBorders>
          </w:tcPr>
          <w:p w14:paraId="160C5283"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15,7</w:t>
            </w:r>
          </w:p>
        </w:tc>
        <w:tc>
          <w:tcPr>
            <w:tcW w:w="1561" w:type="dxa"/>
            <w:tcBorders>
              <w:top w:val="single" w:sz="4" w:space="0" w:color="000000"/>
              <w:left w:val="single" w:sz="4" w:space="0" w:color="000000"/>
              <w:bottom w:val="single" w:sz="4" w:space="0" w:color="000000"/>
              <w:right w:val="single" w:sz="4" w:space="0" w:color="000000"/>
            </w:tcBorders>
          </w:tcPr>
          <w:p w14:paraId="71C63923"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120</w:t>
            </w:r>
          </w:p>
          <w:p w14:paraId="5C8AF3D7"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достигнут</w:t>
            </w:r>
          </w:p>
        </w:tc>
        <w:tc>
          <w:tcPr>
            <w:tcW w:w="1418" w:type="dxa"/>
            <w:tcBorders>
              <w:top w:val="single" w:sz="4" w:space="0" w:color="000000"/>
              <w:left w:val="single" w:sz="4" w:space="0" w:color="000000"/>
              <w:bottom w:val="single" w:sz="4" w:space="0" w:color="000000"/>
              <w:right w:val="single" w:sz="4" w:space="0" w:color="000000"/>
            </w:tcBorders>
          </w:tcPr>
          <w:p w14:paraId="59B97052"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Pr>
          <w:p w14:paraId="3A16E53D"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13,9</w:t>
            </w:r>
          </w:p>
        </w:tc>
        <w:tc>
          <w:tcPr>
            <w:tcW w:w="1415" w:type="dxa"/>
            <w:tcBorders>
              <w:top w:val="single" w:sz="4" w:space="0" w:color="000000"/>
              <w:left w:val="single" w:sz="4" w:space="0" w:color="000000"/>
              <w:bottom w:val="single" w:sz="4" w:space="0" w:color="000000"/>
              <w:right w:val="single" w:sz="4" w:space="0" w:color="000000"/>
            </w:tcBorders>
          </w:tcPr>
          <w:p w14:paraId="1B651AC5"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17,5</w:t>
            </w:r>
          </w:p>
        </w:tc>
      </w:tr>
      <w:tr w:rsidR="002449C2" w14:paraId="6F5F36CE" w14:textId="77777777">
        <w:tc>
          <w:tcPr>
            <w:tcW w:w="1695" w:type="dxa"/>
            <w:tcBorders>
              <w:top w:val="single" w:sz="4" w:space="0" w:color="000000"/>
              <w:left w:val="single" w:sz="4" w:space="0" w:color="000000"/>
              <w:bottom w:val="single" w:sz="4" w:space="0" w:color="000000"/>
              <w:right w:val="single" w:sz="4" w:space="0" w:color="000000"/>
            </w:tcBorders>
          </w:tcPr>
          <w:p w14:paraId="4EB5C565"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Рентабельность операционной деятельности</w:t>
            </w:r>
          </w:p>
        </w:tc>
        <w:tc>
          <w:tcPr>
            <w:tcW w:w="2694" w:type="dxa"/>
            <w:tcBorders>
              <w:top w:val="single" w:sz="4" w:space="0" w:color="000000"/>
              <w:left w:val="single" w:sz="4" w:space="0" w:color="000000"/>
              <w:bottom w:val="single" w:sz="4" w:space="0" w:color="000000"/>
              <w:right w:val="single" w:sz="4" w:space="0" w:color="000000"/>
            </w:tcBorders>
          </w:tcPr>
          <w:p w14:paraId="2E628FDB"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Отношение операционной прибыли, скорректированной на размер обесценения/(восстановления обесценения) основных средств и выручки от оказания услуг по технологическому присоединению, к выручке без учета выручки от оказания услуг по технологическому присоединению</w:t>
            </w:r>
          </w:p>
        </w:tc>
        <w:tc>
          <w:tcPr>
            <w:tcW w:w="1275" w:type="dxa"/>
            <w:tcBorders>
              <w:top w:val="single" w:sz="4" w:space="0" w:color="000000"/>
              <w:left w:val="single" w:sz="4" w:space="0" w:color="000000"/>
              <w:bottom w:val="single" w:sz="4" w:space="0" w:color="000000"/>
              <w:right w:val="single" w:sz="4" w:space="0" w:color="000000"/>
            </w:tcBorders>
          </w:tcPr>
          <w:p w14:paraId="16358812"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20</w:t>
            </w:r>
          </w:p>
        </w:tc>
        <w:tc>
          <w:tcPr>
            <w:tcW w:w="710" w:type="dxa"/>
            <w:tcBorders>
              <w:top w:val="single" w:sz="4" w:space="0" w:color="000000"/>
              <w:left w:val="single" w:sz="4" w:space="0" w:color="000000"/>
              <w:bottom w:val="single" w:sz="4" w:space="0" w:color="000000"/>
              <w:right w:val="single" w:sz="4" w:space="0" w:color="000000"/>
            </w:tcBorders>
          </w:tcPr>
          <w:p w14:paraId="1EB1E745"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419" w:type="dxa"/>
            <w:tcBorders>
              <w:top w:val="single" w:sz="4" w:space="0" w:color="000000"/>
              <w:left w:val="single" w:sz="4" w:space="0" w:color="000000"/>
              <w:bottom w:val="single" w:sz="4" w:space="0" w:color="000000"/>
              <w:right w:val="single" w:sz="4" w:space="0" w:color="000000"/>
            </w:tcBorders>
          </w:tcPr>
          <w:p w14:paraId="2A01F58B"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5,6</w:t>
            </w:r>
          </w:p>
        </w:tc>
        <w:tc>
          <w:tcPr>
            <w:tcW w:w="990" w:type="dxa"/>
            <w:tcBorders>
              <w:top w:val="single" w:sz="4" w:space="0" w:color="000000"/>
              <w:left w:val="single" w:sz="4" w:space="0" w:color="000000"/>
              <w:bottom w:val="single" w:sz="4" w:space="0" w:color="000000"/>
              <w:right w:val="single" w:sz="4" w:space="0" w:color="000000"/>
            </w:tcBorders>
          </w:tcPr>
          <w:p w14:paraId="2835A72B"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7,1</w:t>
            </w:r>
          </w:p>
        </w:tc>
        <w:tc>
          <w:tcPr>
            <w:tcW w:w="1561" w:type="dxa"/>
            <w:tcBorders>
              <w:top w:val="single" w:sz="4" w:space="0" w:color="000000"/>
              <w:left w:val="single" w:sz="4" w:space="0" w:color="000000"/>
              <w:bottom w:val="single" w:sz="4" w:space="0" w:color="000000"/>
              <w:right w:val="single" w:sz="4" w:space="0" w:color="000000"/>
            </w:tcBorders>
          </w:tcPr>
          <w:p w14:paraId="2D5AF603"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120</w:t>
            </w:r>
          </w:p>
          <w:p w14:paraId="159C9F51"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достигнут</w:t>
            </w:r>
          </w:p>
        </w:tc>
        <w:tc>
          <w:tcPr>
            <w:tcW w:w="1418" w:type="dxa"/>
            <w:tcBorders>
              <w:top w:val="single" w:sz="4" w:space="0" w:color="000000"/>
              <w:left w:val="single" w:sz="4" w:space="0" w:color="000000"/>
              <w:bottom w:val="single" w:sz="4" w:space="0" w:color="000000"/>
              <w:right w:val="single" w:sz="4" w:space="0" w:color="000000"/>
            </w:tcBorders>
          </w:tcPr>
          <w:p w14:paraId="3498B22E"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Pr>
          <w:p w14:paraId="60F85AB0"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7,0</w:t>
            </w:r>
          </w:p>
        </w:tc>
        <w:tc>
          <w:tcPr>
            <w:tcW w:w="1415" w:type="dxa"/>
            <w:tcBorders>
              <w:top w:val="single" w:sz="4" w:space="0" w:color="000000"/>
              <w:left w:val="single" w:sz="4" w:space="0" w:color="000000"/>
              <w:bottom w:val="single" w:sz="4" w:space="0" w:color="000000"/>
              <w:right w:val="single" w:sz="4" w:space="0" w:color="000000"/>
            </w:tcBorders>
          </w:tcPr>
          <w:p w14:paraId="32BBF2D2"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8,9</w:t>
            </w:r>
          </w:p>
        </w:tc>
      </w:tr>
      <w:tr w:rsidR="002449C2" w14:paraId="7123B22B" w14:textId="77777777">
        <w:tc>
          <w:tcPr>
            <w:tcW w:w="1695" w:type="dxa"/>
            <w:tcBorders>
              <w:top w:val="single" w:sz="4" w:space="0" w:color="000000"/>
              <w:left w:val="single" w:sz="4" w:space="0" w:color="000000"/>
              <w:bottom w:val="single" w:sz="4" w:space="0" w:color="000000"/>
              <w:right w:val="single" w:sz="4" w:space="0" w:color="000000"/>
            </w:tcBorders>
          </w:tcPr>
          <w:p w14:paraId="32C678D8"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Чистая прибыль без обесценения и ТП</w:t>
            </w:r>
          </w:p>
        </w:tc>
        <w:tc>
          <w:tcPr>
            <w:tcW w:w="2694" w:type="dxa"/>
            <w:tcBorders>
              <w:top w:val="single" w:sz="4" w:space="0" w:color="000000"/>
              <w:left w:val="single" w:sz="4" w:space="0" w:color="000000"/>
              <w:bottom w:val="single" w:sz="4" w:space="0" w:color="000000"/>
              <w:right w:val="single" w:sz="4" w:space="0" w:color="000000"/>
            </w:tcBorders>
          </w:tcPr>
          <w:p w14:paraId="0316C1A0"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Прибыль/(убыток), скорректированная на размер обесценения/(восстановления обесценения) основных средств и выручки от оказания услуг по технологическому присоединению (с учетом соответствующего налога на прибыль)</w:t>
            </w:r>
          </w:p>
        </w:tc>
        <w:tc>
          <w:tcPr>
            <w:tcW w:w="1275" w:type="dxa"/>
            <w:tcBorders>
              <w:top w:val="single" w:sz="4" w:space="0" w:color="000000"/>
              <w:left w:val="single" w:sz="4" w:space="0" w:color="000000"/>
              <w:bottom w:val="single" w:sz="4" w:space="0" w:color="000000"/>
              <w:right w:val="single" w:sz="4" w:space="0" w:color="000000"/>
            </w:tcBorders>
          </w:tcPr>
          <w:p w14:paraId="1B0ED1B9"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20</w:t>
            </w:r>
          </w:p>
        </w:tc>
        <w:tc>
          <w:tcPr>
            <w:tcW w:w="710" w:type="dxa"/>
            <w:tcBorders>
              <w:top w:val="single" w:sz="4" w:space="0" w:color="000000"/>
              <w:left w:val="single" w:sz="4" w:space="0" w:color="000000"/>
              <w:bottom w:val="single" w:sz="4" w:space="0" w:color="000000"/>
              <w:right w:val="single" w:sz="4" w:space="0" w:color="000000"/>
            </w:tcBorders>
          </w:tcPr>
          <w:p w14:paraId="22905B56"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тыс. руб.</w:t>
            </w:r>
          </w:p>
        </w:tc>
        <w:tc>
          <w:tcPr>
            <w:tcW w:w="1419" w:type="dxa"/>
            <w:tcBorders>
              <w:top w:val="single" w:sz="4" w:space="0" w:color="000000"/>
              <w:left w:val="single" w:sz="4" w:space="0" w:color="000000"/>
              <w:bottom w:val="single" w:sz="4" w:space="0" w:color="000000"/>
              <w:right w:val="single" w:sz="4" w:space="0" w:color="000000"/>
            </w:tcBorders>
          </w:tcPr>
          <w:p w14:paraId="170CB468"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-1 370 185</w:t>
            </w:r>
          </w:p>
        </w:tc>
        <w:tc>
          <w:tcPr>
            <w:tcW w:w="990" w:type="dxa"/>
            <w:tcBorders>
              <w:top w:val="single" w:sz="4" w:space="0" w:color="000000"/>
              <w:left w:val="single" w:sz="4" w:space="0" w:color="000000"/>
              <w:bottom w:val="single" w:sz="4" w:space="0" w:color="000000"/>
              <w:right w:val="single" w:sz="4" w:space="0" w:color="000000"/>
            </w:tcBorders>
          </w:tcPr>
          <w:p w14:paraId="5D71BC2B"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-72 971</w:t>
            </w:r>
          </w:p>
        </w:tc>
        <w:tc>
          <w:tcPr>
            <w:tcW w:w="1561" w:type="dxa"/>
            <w:tcBorders>
              <w:top w:val="single" w:sz="4" w:space="0" w:color="000000"/>
              <w:left w:val="single" w:sz="4" w:space="0" w:color="000000"/>
              <w:bottom w:val="single" w:sz="4" w:space="0" w:color="000000"/>
              <w:right w:val="single" w:sz="4" w:space="0" w:color="000000"/>
            </w:tcBorders>
          </w:tcPr>
          <w:p w14:paraId="6F4C94E9"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120</w:t>
            </w:r>
          </w:p>
          <w:p w14:paraId="67F99FEF"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достигнут</w:t>
            </w:r>
          </w:p>
        </w:tc>
        <w:tc>
          <w:tcPr>
            <w:tcW w:w="1418" w:type="dxa"/>
            <w:tcBorders>
              <w:top w:val="single" w:sz="4" w:space="0" w:color="000000"/>
              <w:left w:val="single" w:sz="4" w:space="0" w:color="000000"/>
              <w:bottom w:val="single" w:sz="4" w:space="0" w:color="000000"/>
              <w:right w:val="single" w:sz="4" w:space="0" w:color="000000"/>
            </w:tcBorders>
          </w:tcPr>
          <w:p w14:paraId="6E79863D"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Pr>
          <w:p w14:paraId="471FBA03"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222 038</w:t>
            </w:r>
          </w:p>
        </w:tc>
        <w:tc>
          <w:tcPr>
            <w:tcW w:w="1415" w:type="dxa"/>
            <w:tcBorders>
              <w:top w:val="single" w:sz="4" w:space="0" w:color="000000"/>
              <w:left w:val="single" w:sz="4" w:space="0" w:color="000000"/>
              <w:bottom w:val="single" w:sz="4" w:space="0" w:color="000000"/>
              <w:right w:val="single" w:sz="4" w:space="0" w:color="000000"/>
            </w:tcBorders>
          </w:tcPr>
          <w:p w14:paraId="272FD5A4"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1 646 588</w:t>
            </w:r>
          </w:p>
        </w:tc>
      </w:tr>
      <w:tr w:rsidR="002449C2" w14:paraId="4D79AD2E" w14:textId="77777777">
        <w:trPr>
          <w:trHeight w:val="501"/>
        </w:trPr>
        <w:tc>
          <w:tcPr>
            <w:tcW w:w="14452" w:type="dxa"/>
            <w:gridSpan w:val="10"/>
            <w:tcBorders>
              <w:top w:val="single" w:sz="4" w:space="0" w:color="000000"/>
              <w:left w:val="single" w:sz="4" w:space="0" w:color="000000"/>
              <w:bottom w:val="single" w:sz="4" w:space="0" w:color="000000"/>
              <w:right w:val="single" w:sz="4" w:space="0" w:color="000000"/>
            </w:tcBorders>
            <w:vAlign w:val="center"/>
          </w:tcPr>
          <w:p w14:paraId="0177014E" w14:textId="77777777" w:rsidR="002449C2" w:rsidRDefault="00123961">
            <w:pPr>
              <w:spacing w:after="160" w:line="259" w:lineRule="auto"/>
              <w:contextualSpacing/>
              <w:jc w:val="center"/>
              <w:rPr>
                <w:rFonts w:ascii="Times New Roman" w:hAnsi="Times New Roman"/>
                <w:b/>
                <w:color w:val="0070C0"/>
                <w:sz w:val="18"/>
                <w:szCs w:val="18"/>
              </w:rPr>
            </w:pPr>
            <w:r>
              <w:rPr>
                <w:rFonts w:ascii="Times New Roman" w:hAnsi="Times New Roman"/>
                <w:b/>
                <w:color w:val="0070C0"/>
                <w:sz w:val="18"/>
                <w:szCs w:val="18"/>
              </w:rPr>
              <w:t>СПЕЦИАЛИЗИРОВАННЫЕ ОТРАСЛЕВЫЕ КЛЮЧЕВЫЕ ПОКАЗАТЕЛИ ЭФФЕКТИВНОСТИ</w:t>
            </w:r>
          </w:p>
        </w:tc>
      </w:tr>
      <w:tr w:rsidR="002449C2" w14:paraId="0C45F913" w14:textId="77777777">
        <w:tc>
          <w:tcPr>
            <w:tcW w:w="1695" w:type="dxa"/>
            <w:tcBorders>
              <w:top w:val="single" w:sz="4" w:space="0" w:color="000000"/>
              <w:left w:val="single" w:sz="4" w:space="0" w:color="000000"/>
              <w:bottom w:val="single" w:sz="4" w:space="0" w:color="000000"/>
              <w:right w:val="single" w:sz="4" w:space="0" w:color="000000"/>
            </w:tcBorders>
          </w:tcPr>
          <w:p w14:paraId="4FF59F1E"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Уровень потерь электроэнергии</w:t>
            </w:r>
          </w:p>
        </w:tc>
        <w:tc>
          <w:tcPr>
            <w:tcW w:w="2694" w:type="dxa"/>
            <w:tcBorders>
              <w:top w:val="single" w:sz="4" w:space="0" w:color="000000"/>
              <w:left w:val="single" w:sz="4" w:space="0" w:color="000000"/>
              <w:bottom w:val="single" w:sz="4" w:space="0" w:color="000000"/>
              <w:right w:val="single" w:sz="4" w:space="0" w:color="000000"/>
            </w:tcBorders>
          </w:tcPr>
          <w:p w14:paraId="1CE62C4D"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Отношение объема потерь электроэнергии в сетях Общества (рассчитывается как разница отпуска электроэнергии в сеть и отпущенной электроэнергии из сети и расхода на хозяйственные нужды), увеличенного на величину разногласий за предшествующие периоды, урегулированную не в пользу Общества, к отпуску электроэнергии в сеть за отчетный период</w:t>
            </w:r>
          </w:p>
        </w:tc>
        <w:tc>
          <w:tcPr>
            <w:tcW w:w="1275" w:type="dxa"/>
            <w:tcBorders>
              <w:top w:val="single" w:sz="4" w:space="0" w:color="000000"/>
              <w:left w:val="single" w:sz="4" w:space="0" w:color="000000"/>
              <w:bottom w:val="single" w:sz="4" w:space="0" w:color="000000"/>
              <w:right w:val="single" w:sz="4" w:space="0" w:color="000000"/>
            </w:tcBorders>
          </w:tcPr>
          <w:p w14:paraId="453E36C0"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15</w:t>
            </w:r>
          </w:p>
        </w:tc>
        <w:tc>
          <w:tcPr>
            <w:tcW w:w="710" w:type="dxa"/>
            <w:tcBorders>
              <w:top w:val="single" w:sz="4" w:space="0" w:color="000000"/>
              <w:left w:val="single" w:sz="4" w:space="0" w:color="000000"/>
              <w:bottom w:val="single" w:sz="4" w:space="0" w:color="000000"/>
              <w:right w:val="single" w:sz="4" w:space="0" w:color="000000"/>
            </w:tcBorders>
          </w:tcPr>
          <w:p w14:paraId="7EC7471A"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419" w:type="dxa"/>
            <w:tcBorders>
              <w:top w:val="single" w:sz="4" w:space="0" w:color="000000"/>
              <w:left w:val="single" w:sz="4" w:space="0" w:color="000000"/>
              <w:bottom w:val="single" w:sz="4" w:space="0" w:color="000000"/>
              <w:right w:val="single" w:sz="4" w:space="0" w:color="000000"/>
            </w:tcBorders>
          </w:tcPr>
          <w:p w14:paraId="3DFFAB1A"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9,59</w:t>
            </w:r>
          </w:p>
        </w:tc>
        <w:tc>
          <w:tcPr>
            <w:tcW w:w="990" w:type="dxa"/>
            <w:tcBorders>
              <w:top w:val="single" w:sz="4" w:space="0" w:color="000000"/>
              <w:left w:val="single" w:sz="4" w:space="0" w:color="000000"/>
              <w:bottom w:val="single" w:sz="4" w:space="0" w:color="000000"/>
              <w:right w:val="single" w:sz="4" w:space="0" w:color="000000"/>
            </w:tcBorders>
          </w:tcPr>
          <w:p w14:paraId="1453EBA0"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9,24</w:t>
            </w:r>
          </w:p>
        </w:tc>
        <w:tc>
          <w:tcPr>
            <w:tcW w:w="1561" w:type="dxa"/>
            <w:tcBorders>
              <w:top w:val="single" w:sz="4" w:space="0" w:color="000000"/>
              <w:left w:val="single" w:sz="4" w:space="0" w:color="000000"/>
              <w:bottom w:val="single" w:sz="4" w:space="0" w:color="000000"/>
              <w:right w:val="single" w:sz="4" w:space="0" w:color="000000"/>
            </w:tcBorders>
          </w:tcPr>
          <w:p w14:paraId="7283112B"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104</w:t>
            </w:r>
          </w:p>
          <w:p w14:paraId="293699BB"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достигнут</w:t>
            </w:r>
          </w:p>
        </w:tc>
        <w:tc>
          <w:tcPr>
            <w:tcW w:w="1418" w:type="dxa"/>
            <w:tcBorders>
              <w:top w:val="single" w:sz="4" w:space="0" w:color="000000"/>
              <w:left w:val="single" w:sz="4" w:space="0" w:color="000000"/>
              <w:bottom w:val="single" w:sz="4" w:space="0" w:color="000000"/>
              <w:right w:val="single" w:sz="4" w:space="0" w:color="000000"/>
            </w:tcBorders>
          </w:tcPr>
          <w:p w14:paraId="2EB45F32"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Pr>
          <w:p w14:paraId="58B4C6D9"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9,57</w:t>
            </w:r>
          </w:p>
        </w:tc>
        <w:tc>
          <w:tcPr>
            <w:tcW w:w="1415" w:type="dxa"/>
            <w:tcBorders>
              <w:top w:val="single" w:sz="4" w:space="0" w:color="000000"/>
              <w:left w:val="single" w:sz="4" w:space="0" w:color="000000"/>
              <w:bottom w:val="single" w:sz="4" w:space="0" w:color="000000"/>
              <w:right w:val="single" w:sz="4" w:space="0" w:color="000000"/>
            </w:tcBorders>
          </w:tcPr>
          <w:p w14:paraId="2A3D49D3"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9,55</w:t>
            </w:r>
          </w:p>
        </w:tc>
      </w:tr>
      <w:tr w:rsidR="002449C2" w14:paraId="7AC9E8FB" w14:textId="77777777">
        <w:tc>
          <w:tcPr>
            <w:tcW w:w="1695" w:type="dxa"/>
            <w:tcBorders>
              <w:top w:val="single" w:sz="4" w:space="0" w:color="000000"/>
              <w:left w:val="single" w:sz="4" w:space="0" w:color="000000"/>
              <w:bottom w:val="single" w:sz="4" w:space="0" w:color="000000"/>
              <w:right w:val="single" w:sz="4" w:space="0" w:color="000000"/>
            </w:tcBorders>
          </w:tcPr>
          <w:p w14:paraId="73710413"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Готовность к работе в отопительный сезон</w:t>
            </w:r>
          </w:p>
        </w:tc>
        <w:tc>
          <w:tcPr>
            <w:tcW w:w="2694" w:type="dxa"/>
            <w:tcBorders>
              <w:top w:val="single" w:sz="4" w:space="0" w:color="000000"/>
              <w:left w:val="single" w:sz="4" w:space="0" w:color="000000"/>
              <w:bottom w:val="single" w:sz="4" w:space="0" w:color="000000"/>
              <w:right w:val="single" w:sz="4" w:space="0" w:color="000000"/>
            </w:tcBorders>
          </w:tcPr>
          <w:p w14:paraId="51B63341"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Показатель, оценивающий готовность Общества к работе в отопительный сезон на основании ежемесячного мониторинга, проводимого Минэнерго России</w:t>
            </w:r>
          </w:p>
        </w:tc>
        <w:tc>
          <w:tcPr>
            <w:tcW w:w="1275" w:type="dxa"/>
            <w:tcBorders>
              <w:top w:val="single" w:sz="4" w:space="0" w:color="000000"/>
              <w:left w:val="single" w:sz="4" w:space="0" w:color="000000"/>
              <w:bottom w:val="single" w:sz="4" w:space="0" w:color="000000"/>
              <w:right w:val="single" w:sz="4" w:space="0" w:color="000000"/>
            </w:tcBorders>
          </w:tcPr>
          <w:p w14:paraId="55D9233F"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20</w:t>
            </w:r>
          </w:p>
        </w:tc>
        <w:tc>
          <w:tcPr>
            <w:tcW w:w="710" w:type="dxa"/>
            <w:tcBorders>
              <w:top w:val="single" w:sz="4" w:space="0" w:color="000000"/>
              <w:left w:val="single" w:sz="4" w:space="0" w:color="000000"/>
              <w:bottom w:val="single" w:sz="4" w:space="0" w:color="000000"/>
              <w:right w:val="single" w:sz="4" w:space="0" w:color="000000"/>
            </w:tcBorders>
          </w:tcPr>
          <w:p w14:paraId="062A118A"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ед.</w:t>
            </w:r>
          </w:p>
        </w:tc>
        <w:tc>
          <w:tcPr>
            <w:tcW w:w="1419" w:type="dxa"/>
            <w:tcBorders>
              <w:top w:val="single" w:sz="4" w:space="0" w:color="000000"/>
              <w:left w:val="single" w:sz="4" w:space="0" w:color="000000"/>
              <w:bottom w:val="single" w:sz="4" w:space="0" w:color="000000"/>
              <w:right w:val="single" w:sz="4" w:space="0" w:color="000000"/>
            </w:tcBorders>
          </w:tcPr>
          <w:p w14:paraId="16EF92F5"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w:t>
            </w:r>
          </w:p>
        </w:tc>
        <w:tc>
          <w:tcPr>
            <w:tcW w:w="990" w:type="dxa"/>
            <w:tcBorders>
              <w:top w:val="single" w:sz="4" w:space="0" w:color="000000"/>
              <w:left w:val="single" w:sz="4" w:space="0" w:color="000000"/>
              <w:bottom w:val="single" w:sz="4" w:space="0" w:color="000000"/>
              <w:right w:val="single" w:sz="4" w:space="0" w:color="000000"/>
            </w:tcBorders>
          </w:tcPr>
          <w:p w14:paraId="7FE580D7"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w:t>
            </w:r>
          </w:p>
        </w:tc>
        <w:tc>
          <w:tcPr>
            <w:tcW w:w="1561" w:type="dxa"/>
            <w:tcBorders>
              <w:top w:val="single" w:sz="4" w:space="0" w:color="000000"/>
              <w:left w:val="single" w:sz="4" w:space="0" w:color="000000"/>
              <w:bottom w:val="single" w:sz="4" w:space="0" w:color="000000"/>
              <w:right w:val="single" w:sz="4" w:space="0" w:color="000000"/>
            </w:tcBorders>
          </w:tcPr>
          <w:p w14:paraId="228CAF05"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100</w:t>
            </w:r>
          </w:p>
          <w:p w14:paraId="0A23107C"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достигнут</w:t>
            </w:r>
          </w:p>
        </w:tc>
        <w:tc>
          <w:tcPr>
            <w:tcW w:w="1418" w:type="dxa"/>
            <w:tcBorders>
              <w:top w:val="single" w:sz="4" w:space="0" w:color="000000"/>
              <w:left w:val="single" w:sz="4" w:space="0" w:color="000000"/>
              <w:bottom w:val="single" w:sz="4" w:space="0" w:color="000000"/>
              <w:right w:val="single" w:sz="4" w:space="0" w:color="000000"/>
            </w:tcBorders>
          </w:tcPr>
          <w:p w14:paraId="7E3C2B53"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Pr>
          <w:p w14:paraId="65571DE4"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w:t>
            </w:r>
          </w:p>
        </w:tc>
        <w:tc>
          <w:tcPr>
            <w:tcW w:w="1415" w:type="dxa"/>
            <w:tcBorders>
              <w:top w:val="single" w:sz="4" w:space="0" w:color="000000"/>
              <w:left w:val="single" w:sz="4" w:space="0" w:color="000000"/>
              <w:bottom w:val="single" w:sz="4" w:space="0" w:color="000000"/>
              <w:right w:val="single" w:sz="4" w:space="0" w:color="000000"/>
            </w:tcBorders>
          </w:tcPr>
          <w:p w14:paraId="5A228EB7"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w:t>
            </w:r>
          </w:p>
        </w:tc>
      </w:tr>
      <w:tr w:rsidR="002449C2" w14:paraId="112180C8" w14:textId="77777777">
        <w:tc>
          <w:tcPr>
            <w:tcW w:w="1695" w:type="dxa"/>
            <w:tcBorders>
              <w:top w:val="single" w:sz="4" w:space="0" w:color="000000"/>
              <w:left w:val="single" w:sz="4" w:space="0" w:color="000000"/>
              <w:bottom w:val="single" w:sz="4" w:space="0" w:color="000000"/>
              <w:right w:val="single" w:sz="4" w:space="0" w:color="000000"/>
            </w:tcBorders>
          </w:tcPr>
          <w:p w14:paraId="2EFBD19B"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Выполнение графика ввода объектов в эксплуатацию</w:t>
            </w:r>
          </w:p>
        </w:tc>
        <w:tc>
          <w:tcPr>
            <w:tcW w:w="2694" w:type="dxa"/>
            <w:tcBorders>
              <w:top w:val="single" w:sz="4" w:space="0" w:color="000000"/>
              <w:left w:val="single" w:sz="4" w:space="0" w:color="000000"/>
              <w:bottom w:val="single" w:sz="4" w:space="0" w:color="000000"/>
              <w:right w:val="single" w:sz="4" w:space="0" w:color="000000"/>
            </w:tcBorders>
          </w:tcPr>
          <w:p w14:paraId="0DA4FADB"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Отношение суммарного фактического объема вводов основных средств в эксплуатацию в отчетном году, определяемый на основании отчета об исполнении инвестиционной программы Общества (в денежном выражении, на основании даты подписания Акта приемки законченного строительством объекта приемочной комиссией) к плановому в соответствии с утвержденной инвестиционной программой и графиком реализации</w:t>
            </w:r>
          </w:p>
        </w:tc>
        <w:tc>
          <w:tcPr>
            <w:tcW w:w="1275" w:type="dxa"/>
            <w:tcBorders>
              <w:top w:val="single" w:sz="4" w:space="0" w:color="000000"/>
              <w:left w:val="single" w:sz="4" w:space="0" w:color="000000"/>
              <w:bottom w:val="single" w:sz="4" w:space="0" w:color="000000"/>
              <w:right w:val="single" w:sz="4" w:space="0" w:color="000000"/>
            </w:tcBorders>
          </w:tcPr>
          <w:p w14:paraId="0D386B58"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15</w:t>
            </w:r>
          </w:p>
        </w:tc>
        <w:tc>
          <w:tcPr>
            <w:tcW w:w="710" w:type="dxa"/>
            <w:tcBorders>
              <w:top w:val="single" w:sz="4" w:space="0" w:color="000000"/>
              <w:left w:val="single" w:sz="4" w:space="0" w:color="000000"/>
              <w:bottom w:val="single" w:sz="4" w:space="0" w:color="000000"/>
              <w:right w:val="single" w:sz="4" w:space="0" w:color="000000"/>
            </w:tcBorders>
          </w:tcPr>
          <w:p w14:paraId="487AC2E5"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419" w:type="dxa"/>
            <w:tcBorders>
              <w:top w:val="single" w:sz="4" w:space="0" w:color="000000"/>
              <w:left w:val="single" w:sz="4" w:space="0" w:color="000000"/>
              <w:bottom w:val="single" w:sz="4" w:space="0" w:color="000000"/>
              <w:right w:val="single" w:sz="4" w:space="0" w:color="000000"/>
            </w:tcBorders>
          </w:tcPr>
          <w:p w14:paraId="2893A050"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93,5</w:t>
            </w:r>
          </w:p>
        </w:tc>
        <w:tc>
          <w:tcPr>
            <w:tcW w:w="990" w:type="dxa"/>
            <w:tcBorders>
              <w:top w:val="single" w:sz="4" w:space="0" w:color="000000"/>
              <w:left w:val="single" w:sz="4" w:space="0" w:color="000000"/>
              <w:bottom w:val="single" w:sz="4" w:space="0" w:color="000000"/>
              <w:right w:val="single" w:sz="4" w:space="0" w:color="000000"/>
            </w:tcBorders>
          </w:tcPr>
          <w:p w14:paraId="4279DDBA"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104,7</w:t>
            </w:r>
          </w:p>
        </w:tc>
        <w:tc>
          <w:tcPr>
            <w:tcW w:w="1561" w:type="dxa"/>
            <w:tcBorders>
              <w:top w:val="single" w:sz="4" w:space="0" w:color="000000"/>
              <w:left w:val="single" w:sz="4" w:space="0" w:color="000000"/>
              <w:bottom w:val="single" w:sz="4" w:space="0" w:color="000000"/>
              <w:right w:val="single" w:sz="4" w:space="0" w:color="000000"/>
            </w:tcBorders>
          </w:tcPr>
          <w:p w14:paraId="583BF90B"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112</w:t>
            </w:r>
          </w:p>
          <w:p w14:paraId="0FCDF7FC"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достигнут</w:t>
            </w:r>
          </w:p>
        </w:tc>
        <w:tc>
          <w:tcPr>
            <w:tcW w:w="1418" w:type="dxa"/>
            <w:tcBorders>
              <w:top w:val="single" w:sz="4" w:space="0" w:color="000000"/>
              <w:left w:val="single" w:sz="4" w:space="0" w:color="000000"/>
              <w:bottom w:val="single" w:sz="4" w:space="0" w:color="000000"/>
              <w:right w:val="single" w:sz="4" w:space="0" w:color="000000"/>
            </w:tcBorders>
          </w:tcPr>
          <w:p w14:paraId="6BAF41FB"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Pr>
          <w:p w14:paraId="3D83264E"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95,0</w:t>
            </w:r>
          </w:p>
        </w:tc>
        <w:tc>
          <w:tcPr>
            <w:tcW w:w="1415" w:type="dxa"/>
            <w:tcBorders>
              <w:top w:val="single" w:sz="4" w:space="0" w:color="000000"/>
              <w:left w:val="single" w:sz="4" w:space="0" w:color="000000"/>
              <w:bottom w:val="single" w:sz="4" w:space="0" w:color="000000"/>
              <w:right w:val="single" w:sz="4" w:space="0" w:color="000000"/>
            </w:tcBorders>
          </w:tcPr>
          <w:p w14:paraId="6B615C5E"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95,0</w:t>
            </w:r>
          </w:p>
        </w:tc>
      </w:tr>
      <w:tr w:rsidR="002449C2" w14:paraId="7DC56792" w14:textId="77777777">
        <w:trPr>
          <w:trHeight w:val="518"/>
        </w:trPr>
        <w:tc>
          <w:tcPr>
            <w:tcW w:w="14452" w:type="dxa"/>
            <w:gridSpan w:val="10"/>
            <w:tcBorders>
              <w:top w:val="single" w:sz="4" w:space="0" w:color="000000"/>
              <w:left w:val="single" w:sz="4" w:space="0" w:color="000000"/>
              <w:bottom w:val="single" w:sz="4" w:space="0" w:color="000000"/>
              <w:right w:val="single" w:sz="4" w:space="0" w:color="000000"/>
            </w:tcBorders>
            <w:vAlign w:val="center"/>
          </w:tcPr>
          <w:p w14:paraId="4D562B3B" w14:textId="77777777" w:rsidR="002449C2" w:rsidRDefault="00123961">
            <w:pPr>
              <w:spacing w:after="160" w:line="259" w:lineRule="auto"/>
              <w:contextualSpacing/>
              <w:jc w:val="center"/>
              <w:rPr>
                <w:rFonts w:ascii="Times New Roman" w:hAnsi="Times New Roman"/>
                <w:b/>
                <w:color w:val="0070C0"/>
                <w:sz w:val="18"/>
                <w:szCs w:val="18"/>
              </w:rPr>
            </w:pPr>
            <w:r>
              <w:rPr>
                <w:rFonts w:ascii="Times New Roman" w:hAnsi="Times New Roman"/>
                <w:b/>
                <w:color w:val="0070C0"/>
                <w:sz w:val="18"/>
                <w:szCs w:val="18"/>
              </w:rPr>
              <w:t>ПОКАЗАТЕЛИ ДЕПРЕМИРОВАНИЯ</w:t>
            </w:r>
          </w:p>
        </w:tc>
      </w:tr>
      <w:tr w:rsidR="002449C2" w14:paraId="1F426483" w14:textId="77777777">
        <w:tc>
          <w:tcPr>
            <w:tcW w:w="1695" w:type="dxa"/>
            <w:tcBorders>
              <w:top w:val="single" w:sz="4" w:space="0" w:color="000000"/>
              <w:left w:val="single" w:sz="4" w:space="0" w:color="000000"/>
              <w:bottom w:val="single" w:sz="4" w:space="0" w:color="000000"/>
              <w:right w:val="single" w:sz="4" w:space="0" w:color="000000"/>
            </w:tcBorders>
          </w:tcPr>
          <w:p w14:paraId="192356E2"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bCs/>
                <w:sz w:val="18"/>
                <w:szCs w:val="18"/>
              </w:rPr>
              <w:t>Предельный объем разногласий по объему потерь на конец отчетного периода (года)</w:t>
            </w:r>
          </w:p>
        </w:tc>
        <w:tc>
          <w:tcPr>
            <w:tcW w:w="2694" w:type="dxa"/>
            <w:tcBorders>
              <w:top w:val="single" w:sz="4" w:space="0" w:color="000000"/>
              <w:left w:val="single" w:sz="4" w:space="0" w:color="000000"/>
              <w:bottom w:val="single" w:sz="4" w:space="0" w:color="000000"/>
              <w:right w:val="single" w:sz="4" w:space="0" w:color="000000"/>
            </w:tcBorders>
          </w:tcPr>
          <w:p w14:paraId="7BC8E5E7"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bCs/>
                <w:sz w:val="18"/>
                <w:szCs w:val="18"/>
              </w:rPr>
              <w:t>Показатель депремирования, размер которого определяется расчетным путем как доля разногласий на конец отчетного периода (года) (не урегулированных по состоянию на конец второго месяца года, следующего за отчетным), не охваченных исковой работой, к объему потерь электроэнергии в сетях Общества</w:t>
            </w:r>
          </w:p>
        </w:tc>
        <w:tc>
          <w:tcPr>
            <w:tcW w:w="1275" w:type="dxa"/>
            <w:tcBorders>
              <w:top w:val="single" w:sz="4" w:space="0" w:color="000000"/>
              <w:left w:val="single" w:sz="4" w:space="0" w:color="000000"/>
              <w:bottom w:val="single" w:sz="4" w:space="0" w:color="000000"/>
              <w:right w:val="single" w:sz="4" w:space="0" w:color="000000"/>
            </w:tcBorders>
          </w:tcPr>
          <w:p w14:paraId="6528CBE5"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w:t>
            </w:r>
          </w:p>
        </w:tc>
        <w:tc>
          <w:tcPr>
            <w:tcW w:w="710" w:type="dxa"/>
            <w:tcBorders>
              <w:top w:val="single" w:sz="4" w:space="0" w:color="000000"/>
              <w:left w:val="single" w:sz="4" w:space="0" w:color="000000"/>
              <w:bottom w:val="single" w:sz="4" w:space="0" w:color="000000"/>
              <w:right w:val="single" w:sz="4" w:space="0" w:color="000000"/>
            </w:tcBorders>
          </w:tcPr>
          <w:p w14:paraId="69230F7E"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419" w:type="dxa"/>
            <w:tcBorders>
              <w:top w:val="single" w:sz="4" w:space="0" w:color="000000"/>
              <w:left w:val="single" w:sz="4" w:space="0" w:color="000000"/>
              <w:bottom w:val="single" w:sz="4" w:space="0" w:color="000000"/>
              <w:right w:val="single" w:sz="4" w:space="0" w:color="000000"/>
            </w:tcBorders>
          </w:tcPr>
          <w:p w14:paraId="011645EB"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3,50</w:t>
            </w:r>
          </w:p>
        </w:tc>
        <w:tc>
          <w:tcPr>
            <w:tcW w:w="990" w:type="dxa"/>
            <w:tcBorders>
              <w:top w:val="single" w:sz="4" w:space="0" w:color="000000"/>
              <w:left w:val="single" w:sz="4" w:space="0" w:color="000000"/>
              <w:bottom w:val="single" w:sz="4" w:space="0" w:color="000000"/>
              <w:right w:val="single" w:sz="4" w:space="0" w:color="000000"/>
            </w:tcBorders>
          </w:tcPr>
          <w:p w14:paraId="4E85067C"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0,0</w:t>
            </w:r>
          </w:p>
        </w:tc>
        <w:tc>
          <w:tcPr>
            <w:tcW w:w="1561" w:type="dxa"/>
            <w:tcBorders>
              <w:top w:val="single" w:sz="4" w:space="0" w:color="000000"/>
              <w:left w:val="single" w:sz="4" w:space="0" w:color="000000"/>
              <w:bottom w:val="single" w:sz="4" w:space="0" w:color="000000"/>
              <w:right w:val="single" w:sz="4" w:space="0" w:color="000000"/>
            </w:tcBorders>
          </w:tcPr>
          <w:p w14:paraId="6056B324"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достигнут</w:t>
            </w:r>
          </w:p>
        </w:tc>
        <w:tc>
          <w:tcPr>
            <w:tcW w:w="1418" w:type="dxa"/>
            <w:tcBorders>
              <w:top w:val="single" w:sz="4" w:space="0" w:color="000000"/>
              <w:left w:val="single" w:sz="4" w:space="0" w:color="000000"/>
              <w:bottom w:val="single" w:sz="4" w:space="0" w:color="000000"/>
              <w:right w:val="single" w:sz="4" w:space="0" w:color="000000"/>
            </w:tcBorders>
          </w:tcPr>
          <w:p w14:paraId="79234730"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Pr>
          <w:p w14:paraId="596EF7D8"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3,50</w:t>
            </w:r>
          </w:p>
        </w:tc>
        <w:tc>
          <w:tcPr>
            <w:tcW w:w="1415" w:type="dxa"/>
            <w:tcBorders>
              <w:top w:val="single" w:sz="4" w:space="0" w:color="000000"/>
              <w:left w:val="single" w:sz="4" w:space="0" w:color="000000"/>
              <w:bottom w:val="single" w:sz="4" w:space="0" w:color="000000"/>
              <w:right w:val="single" w:sz="4" w:space="0" w:color="000000"/>
            </w:tcBorders>
          </w:tcPr>
          <w:p w14:paraId="1126F99B"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3,50</w:t>
            </w:r>
          </w:p>
        </w:tc>
      </w:tr>
      <w:tr w:rsidR="002449C2" w14:paraId="2F0A07DB" w14:textId="77777777">
        <w:tc>
          <w:tcPr>
            <w:tcW w:w="1695" w:type="dxa"/>
            <w:tcBorders>
              <w:top w:val="single" w:sz="4" w:space="0" w:color="000000"/>
              <w:left w:val="single" w:sz="4" w:space="0" w:color="000000"/>
              <w:bottom w:val="single" w:sz="4" w:space="0" w:color="000000"/>
              <w:right w:val="single" w:sz="4" w:space="0" w:color="000000"/>
            </w:tcBorders>
          </w:tcPr>
          <w:p w14:paraId="5116A7B7"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bCs/>
                <w:sz w:val="18"/>
                <w:szCs w:val="18"/>
              </w:rPr>
              <w:t>Нарушение порядка совершения сделок</w:t>
            </w:r>
          </w:p>
        </w:tc>
        <w:tc>
          <w:tcPr>
            <w:tcW w:w="2694" w:type="dxa"/>
            <w:tcBorders>
              <w:top w:val="single" w:sz="4" w:space="0" w:color="000000"/>
              <w:left w:val="single" w:sz="4" w:space="0" w:color="000000"/>
              <w:bottom w:val="single" w:sz="4" w:space="0" w:color="000000"/>
              <w:right w:val="single" w:sz="4" w:space="0" w:color="000000"/>
            </w:tcBorders>
          </w:tcPr>
          <w:p w14:paraId="6D2D052C" w14:textId="77777777" w:rsidR="002449C2" w:rsidRDefault="00123961">
            <w:pPr>
              <w:spacing w:after="160" w:line="259" w:lineRule="auto"/>
              <w:contextualSpacing/>
              <w:jc w:val="both"/>
              <w:rPr>
                <w:rFonts w:ascii="Times New Roman" w:hAnsi="Times New Roman"/>
                <w:bCs/>
                <w:sz w:val="18"/>
                <w:szCs w:val="18"/>
              </w:rPr>
            </w:pPr>
            <w:r>
              <w:rPr>
                <w:rFonts w:ascii="Times New Roman" w:hAnsi="Times New Roman"/>
                <w:bCs/>
                <w:sz w:val="18"/>
                <w:szCs w:val="18"/>
              </w:rPr>
              <w:t>Показатель, оценивающий отсутствие нарушений в совершении крупных сделок, сделок, в совершении которых имеется заинтересованность, а также сделок, получение согласования на совершение которых предусмотрено Уставом Общества</w:t>
            </w:r>
          </w:p>
        </w:tc>
        <w:tc>
          <w:tcPr>
            <w:tcW w:w="1275" w:type="dxa"/>
            <w:tcBorders>
              <w:top w:val="single" w:sz="4" w:space="0" w:color="000000"/>
              <w:left w:val="single" w:sz="4" w:space="0" w:color="000000"/>
              <w:bottom w:val="single" w:sz="4" w:space="0" w:color="000000"/>
              <w:right w:val="single" w:sz="4" w:space="0" w:color="000000"/>
            </w:tcBorders>
          </w:tcPr>
          <w:p w14:paraId="732C6630"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w:t>
            </w:r>
          </w:p>
        </w:tc>
        <w:tc>
          <w:tcPr>
            <w:tcW w:w="710" w:type="dxa"/>
            <w:tcBorders>
              <w:top w:val="single" w:sz="4" w:space="0" w:color="000000"/>
              <w:left w:val="single" w:sz="4" w:space="0" w:color="000000"/>
              <w:bottom w:val="single" w:sz="4" w:space="0" w:color="000000"/>
              <w:right w:val="single" w:sz="4" w:space="0" w:color="000000"/>
            </w:tcBorders>
          </w:tcPr>
          <w:p w14:paraId="09592D5C"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кол-во</w:t>
            </w:r>
          </w:p>
        </w:tc>
        <w:tc>
          <w:tcPr>
            <w:tcW w:w="1419" w:type="dxa"/>
            <w:tcBorders>
              <w:top w:val="single" w:sz="4" w:space="0" w:color="000000"/>
              <w:left w:val="single" w:sz="4" w:space="0" w:color="000000"/>
              <w:bottom w:val="single" w:sz="4" w:space="0" w:color="000000"/>
              <w:right w:val="single" w:sz="4" w:space="0" w:color="000000"/>
            </w:tcBorders>
          </w:tcPr>
          <w:p w14:paraId="3D2DE7E2"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0</w:t>
            </w:r>
          </w:p>
        </w:tc>
        <w:tc>
          <w:tcPr>
            <w:tcW w:w="990" w:type="dxa"/>
            <w:tcBorders>
              <w:top w:val="single" w:sz="4" w:space="0" w:color="000000"/>
              <w:left w:val="single" w:sz="4" w:space="0" w:color="000000"/>
              <w:bottom w:val="single" w:sz="4" w:space="0" w:color="000000"/>
              <w:right w:val="single" w:sz="4" w:space="0" w:color="000000"/>
            </w:tcBorders>
          </w:tcPr>
          <w:p w14:paraId="25258B31"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0</w:t>
            </w:r>
          </w:p>
        </w:tc>
        <w:tc>
          <w:tcPr>
            <w:tcW w:w="1561" w:type="dxa"/>
            <w:tcBorders>
              <w:top w:val="single" w:sz="4" w:space="0" w:color="000000"/>
              <w:left w:val="single" w:sz="4" w:space="0" w:color="000000"/>
              <w:bottom w:val="single" w:sz="4" w:space="0" w:color="000000"/>
              <w:right w:val="single" w:sz="4" w:space="0" w:color="000000"/>
            </w:tcBorders>
          </w:tcPr>
          <w:p w14:paraId="2C599238"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достигнут</w:t>
            </w:r>
          </w:p>
        </w:tc>
        <w:tc>
          <w:tcPr>
            <w:tcW w:w="1418" w:type="dxa"/>
            <w:tcBorders>
              <w:top w:val="single" w:sz="4" w:space="0" w:color="000000"/>
              <w:left w:val="single" w:sz="4" w:space="0" w:color="000000"/>
              <w:bottom w:val="single" w:sz="4" w:space="0" w:color="000000"/>
              <w:right w:val="single" w:sz="4" w:space="0" w:color="000000"/>
            </w:tcBorders>
          </w:tcPr>
          <w:p w14:paraId="034B49C3"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Pr>
          <w:p w14:paraId="7A596207"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0</w:t>
            </w:r>
          </w:p>
        </w:tc>
        <w:tc>
          <w:tcPr>
            <w:tcW w:w="1415" w:type="dxa"/>
            <w:tcBorders>
              <w:top w:val="single" w:sz="4" w:space="0" w:color="000000"/>
              <w:left w:val="single" w:sz="4" w:space="0" w:color="000000"/>
              <w:bottom w:val="single" w:sz="4" w:space="0" w:color="000000"/>
              <w:right w:val="single" w:sz="4" w:space="0" w:color="000000"/>
            </w:tcBorders>
          </w:tcPr>
          <w:p w14:paraId="52129C7B"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0</w:t>
            </w:r>
          </w:p>
        </w:tc>
      </w:tr>
      <w:tr w:rsidR="002449C2" w14:paraId="6A4130A5" w14:textId="77777777">
        <w:tc>
          <w:tcPr>
            <w:tcW w:w="1695" w:type="dxa"/>
            <w:tcBorders>
              <w:top w:val="single" w:sz="4" w:space="0" w:color="000000"/>
              <w:left w:val="single" w:sz="4" w:space="0" w:color="000000"/>
              <w:bottom w:val="single" w:sz="4" w:space="0" w:color="000000"/>
              <w:right w:val="single" w:sz="4" w:space="0" w:color="000000"/>
            </w:tcBorders>
          </w:tcPr>
          <w:p w14:paraId="2EDC28FD"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Своевременное выполнение планов корректирующих мероприятий (ПКМ)</w:t>
            </w:r>
          </w:p>
        </w:tc>
        <w:tc>
          <w:tcPr>
            <w:tcW w:w="2694" w:type="dxa"/>
            <w:tcBorders>
              <w:top w:val="single" w:sz="4" w:space="0" w:color="000000"/>
              <w:left w:val="single" w:sz="4" w:space="0" w:color="000000"/>
              <w:bottom w:val="single" w:sz="4" w:space="0" w:color="000000"/>
              <w:right w:val="single" w:sz="4" w:space="0" w:color="000000"/>
            </w:tcBorders>
          </w:tcPr>
          <w:p w14:paraId="4F1D2FE0" w14:textId="77777777" w:rsidR="002449C2" w:rsidRDefault="00123961">
            <w:pPr>
              <w:spacing w:after="160" w:line="259" w:lineRule="auto"/>
              <w:contextualSpacing/>
              <w:jc w:val="both"/>
              <w:rPr>
                <w:rFonts w:ascii="Times New Roman" w:hAnsi="Times New Roman"/>
                <w:bCs/>
                <w:sz w:val="18"/>
                <w:szCs w:val="18"/>
              </w:rPr>
            </w:pPr>
            <w:r>
              <w:rPr>
                <w:rFonts w:ascii="Times New Roman" w:hAnsi="Times New Roman"/>
                <w:bCs/>
                <w:sz w:val="18"/>
                <w:szCs w:val="18"/>
              </w:rPr>
              <w:t>Показатель, оценивающий своевременность выполнения Обществом планов корректирующих мероприятий в отчетном периоде, разработанных и утвержденных в Обществе по итогам контрольных мероприятий, проводимых в отношении Общества и проверок, проводимых ревизионными комиссиями</w:t>
            </w:r>
          </w:p>
        </w:tc>
        <w:tc>
          <w:tcPr>
            <w:tcW w:w="1275" w:type="dxa"/>
            <w:tcBorders>
              <w:top w:val="single" w:sz="4" w:space="0" w:color="000000"/>
              <w:left w:val="single" w:sz="4" w:space="0" w:color="000000"/>
              <w:bottom w:val="single" w:sz="4" w:space="0" w:color="000000"/>
              <w:right w:val="single" w:sz="4" w:space="0" w:color="000000"/>
            </w:tcBorders>
          </w:tcPr>
          <w:p w14:paraId="2DC28688"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w:t>
            </w:r>
          </w:p>
        </w:tc>
        <w:tc>
          <w:tcPr>
            <w:tcW w:w="710" w:type="dxa"/>
            <w:tcBorders>
              <w:top w:val="single" w:sz="4" w:space="0" w:color="000000"/>
              <w:left w:val="single" w:sz="4" w:space="0" w:color="000000"/>
              <w:bottom w:val="single" w:sz="4" w:space="0" w:color="000000"/>
              <w:right w:val="single" w:sz="4" w:space="0" w:color="000000"/>
            </w:tcBorders>
          </w:tcPr>
          <w:p w14:paraId="1AAFE74D"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419" w:type="dxa"/>
            <w:tcBorders>
              <w:top w:val="single" w:sz="4" w:space="0" w:color="000000"/>
              <w:left w:val="single" w:sz="4" w:space="0" w:color="000000"/>
              <w:bottom w:val="single" w:sz="4" w:space="0" w:color="000000"/>
              <w:right w:val="single" w:sz="4" w:space="0" w:color="000000"/>
            </w:tcBorders>
          </w:tcPr>
          <w:p w14:paraId="69492AEB"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90</w:t>
            </w:r>
          </w:p>
        </w:tc>
        <w:tc>
          <w:tcPr>
            <w:tcW w:w="990" w:type="dxa"/>
            <w:tcBorders>
              <w:top w:val="single" w:sz="4" w:space="0" w:color="000000"/>
              <w:left w:val="single" w:sz="4" w:space="0" w:color="000000"/>
              <w:bottom w:val="single" w:sz="4" w:space="0" w:color="000000"/>
              <w:right w:val="single" w:sz="4" w:space="0" w:color="000000"/>
            </w:tcBorders>
          </w:tcPr>
          <w:p w14:paraId="3700712F"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100</w:t>
            </w:r>
          </w:p>
        </w:tc>
        <w:tc>
          <w:tcPr>
            <w:tcW w:w="1561" w:type="dxa"/>
            <w:tcBorders>
              <w:top w:val="single" w:sz="4" w:space="0" w:color="000000"/>
              <w:left w:val="single" w:sz="4" w:space="0" w:color="000000"/>
              <w:bottom w:val="single" w:sz="4" w:space="0" w:color="000000"/>
              <w:right w:val="single" w:sz="4" w:space="0" w:color="000000"/>
            </w:tcBorders>
          </w:tcPr>
          <w:p w14:paraId="2702DC8F"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достигнут</w:t>
            </w:r>
          </w:p>
        </w:tc>
        <w:tc>
          <w:tcPr>
            <w:tcW w:w="1418" w:type="dxa"/>
            <w:tcBorders>
              <w:top w:val="single" w:sz="4" w:space="0" w:color="000000"/>
              <w:left w:val="single" w:sz="4" w:space="0" w:color="000000"/>
              <w:bottom w:val="single" w:sz="4" w:space="0" w:color="000000"/>
              <w:right w:val="single" w:sz="4" w:space="0" w:color="000000"/>
            </w:tcBorders>
          </w:tcPr>
          <w:p w14:paraId="33D4348A"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Pr>
          <w:p w14:paraId="6EF05CC2"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90</w:t>
            </w:r>
          </w:p>
        </w:tc>
        <w:tc>
          <w:tcPr>
            <w:tcW w:w="1415" w:type="dxa"/>
            <w:tcBorders>
              <w:top w:val="single" w:sz="4" w:space="0" w:color="000000"/>
              <w:left w:val="single" w:sz="4" w:space="0" w:color="000000"/>
              <w:bottom w:val="single" w:sz="4" w:space="0" w:color="000000"/>
              <w:right w:val="single" w:sz="4" w:space="0" w:color="000000"/>
            </w:tcBorders>
          </w:tcPr>
          <w:p w14:paraId="16237B63"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90</w:t>
            </w:r>
          </w:p>
        </w:tc>
      </w:tr>
      <w:tr w:rsidR="002449C2" w14:paraId="6E6945F7" w14:textId="77777777">
        <w:trPr>
          <w:trHeight w:val="501"/>
        </w:trPr>
        <w:tc>
          <w:tcPr>
            <w:tcW w:w="14452" w:type="dxa"/>
            <w:gridSpan w:val="10"/>
            <w:tcBorders>
              <w:top w:val="single" w:sz="4" w:space="0" w:color="000000"/>
              <w:left w:val="single" w:sz="4" w:space="0" w:color="000000"/>
              <w:bottom w:val="single" w:sz="4" w:space="0" w:color="000000"/>
              <w:right w:val="single" w:sz="4" w:space="0" w:color="000000"/>
            </w:tcBorders>
            <w:vAlign w:val="center"/>
          </w:tcPr>
          <w:p w14:paraId="61F4262C" w14:textId="77777777" w:rsidR="002449C2" w:rsidRDefault="00123961">
            <w:pPr>
              <w:spacing w:after="160" w:line="259" w:lineRule="auto"/>
              <w:contextualSpacing/>
              <w:jc w:val="center"/>
              <w:rPr>
                <w:rFonts w:ascii="Times New Roman" w:hAnsi="Times New Roman"/>
                <w:b/>
                <w:color w:val="0070C0"/>
                <w:sz w:val="18"/>
                <w:szCs w:val="18"/>
              </w:rPr>
            </w:pPr>
            <w:r>
              <w:rPr>
                <w:rFonts w:ascii="Times New Roman" w:hAnsi="Times New Roman"/>
                <w:b/>
                <w:color w:val="0070C0"/>
                <w:sz w:val="18"/>
                <w:szCs w:val="18"/>
              </w:rPr>
              <w:t>ИНДИКАТИВНЫЕ ПОКАЗАТЕЛИ</w:t>
            </w:r>
          </w:p>
        </w:tc>
      </w:tr>
      <w:tr w:rsidR="002449C2" w14:paraId="621F11DC" w14:textId="77777777">
        <w:tc>
          <w:tcPr>
            <w:tcW w:w="1695" w:type="dxa"/>
            <w:tcBorders>
              <w:top w:val="single" w:sz="4" w:space="0" w:color="000000"/>
              <w:left w:val="single" w:sz="4" w:space="0" w:color="000000"/>
              <w:bottom w:val="single" w:sz="4" w:space="0" w:color="000000"/>
              <w:right w:val="single" w:sz="4" w:space="0" w:color="000000"/>
            </w:tcBorders>
          </w:tcPr>
          <w:p w14:paraId="57AE08B8"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Достижение фактора «Эффективность процедур по подключению электроэнергии» Национального рейтинга состояния инвестиционного климата</w:t>
            </w:r>
          </w:p>
        </w:tc>
        <w:tc>
          <w:tcPr>
            <w:tcW w:w="2694" w:type="dxa"/>
            <w:tcBorders>
              <w:top w:val="single" w:sz="4" w:space="0" w:color="000000"/>
              <w:left w:val="single" w:sz="4" w:space="0" w:color="000000"/>
              <w:bottom w:val="single" w:sz="4" w:space="0" w:color="000000"/>
              <w:right w:val="single" w:sz="4" w:space="0" w:color="000000"/>
            </w:tcBorders>
          </w:tcPr>
          <w:p w14:paraId="4A915B93"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Показатель определяется на основании степени достижения эталонных ориентиров показателей фактора «Эффективность процедур по подключению электроэнергии» Национального рейтинга состояния инвестиционного климата в субъектах Российской Федерации, входящих в зону эксплуатационной ответственности Общества</w:t>
            </w:r>
          </w:p>
        </w:tc>
        <w:tc>
          <w:tcPr>
            <w:tcW w:w="1275" w:type="dxa"/>
            <w:tcBorders>
              <w:top w:val="single" w:sz="4" w:space="0" w:color="000000"/>
              <w:left w:val="single" w:sz="4" w:space="0" w:color="000000"/>
              <w:bottom w:val="single" w:sz="4" w:space="0" w:color="000000"/>
              <w:right w:val="single" w:sz="4" w:space="0" w:color="000000"/>
            </w:tcBorders>
          </w:tcPr>
          <w:p w14:paraId="45730359"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Индикативный показатель</w:t>
            </w:r>
          </w:p>
        </w:tc>
        <w:tc>
          <w:tcPr>
            <w:tcW w:w="710" w:type="dxa"/>
            <w:tcBorders>
              <w:top w:val="single" w:sz="4" w:space="0" w:color="000000"/>
              <w:left w:val="single" w:sz="4" w:space="0" w:color="000000"/>
              <w:bottom w:val="single" w:sz="4" w:space="0" w:color="000000"/>
              <w:right w:val="single" w:sz="4" w:space="0" w:color="000000"/>
            </w:tcBorders>
          </w:tcPr>
          <w:p w14:paraId="68544B37"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419" w:type="dxa"/>
            <w:tcBorders>
              <w:top w:val="single" w:sz="4" w:space="0" w:color="000000"/>
              <w:left w:val="single" w:sz="4" w:space="0" w:color="000000"/>
              <w:bottom w:val="single" w:sz="4" w:space="0" w:color="000000"/>
              <w:right w:val="single" w:sz="4" w:space="0" w:color="000000"/>
            </w:tcBorders>
          </w:tcPr>
          <w:p w14:paraId="04D66DAD"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100,0</w:t>
            </w:r>
          </w:p>
        </w:tc>
        <w:tc>
          <w:tcPr>
            <w:tcW w:w="990" w:type="dxa"/>
            <w:tcBorders>
              <w:top w:val="single" w:sz="4" w:space="0" w:color="000000"/>
              <w:left w:val="single" w:sz="4" w:space="0" w:color="000000"/>
              <w:bottom w:val="single" w:sz="4" w:space="0" w:color="000000"/>
              <w:right w:val="single" w:sz="4" w:space="0" w:color="000000"/>
            </w:tcBorders>
          </w:tcPr>
          <w:p w14:paraId="313A4085"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100,0</w:t>
            </w:r>
          </w:p>
        </w:tc>
        <w:tc>
          <w:tcPr>
            <w:tcW w:w="1561" w:type="dxa"/>
            <w:tcBorders>
              <w:top w:val="single" w:sz="4" w:space="0" w:color="000000"/>
              <w:left w:val="single" w:sz="4" w:space="0" w:color="000000"/>
              <w:bottom w:val="single" w:sz="4" w:space="0" w:color="000000"/>
              <w:right w:val="single" w:sz="4" w:space="0" w:color="000000"/>
            </w:tcBorders>
          </w:tcPr>
          <w:p w14:paraId="22C9EA69"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достигнут</w:t>
            </w:r>
          </w:p>
        </w:tc>
        <w:tc>
          <w:tcPr>
            <w:tcW w:w="1418" w:type="dxa"/>
            <w:tcBorders>
              <w:top w:val="single" w:sz="4" w:space="0" w:color="000000"/>
              <w:left w:val="single" w:sz="4" w:space="0" w:color="000000"/>
              <w:bottom w:val="single" w:sz="4" w:space="0" w:color="000000"/>
              <w:right w:val="single" w:sz="4" w:space="0" w:color="000000"/>
            </w:tcBorders>
          </w:tcPr>
          <w:p w14:paraId="37328B8C"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Pr>
          <w:p w14:paraId="292045B0"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100,0</w:t>
            </w:r>
          </w:p>
        </w:tc>
        <w:tc>
          <w:tcPr>
            <w:tcW w:w="1415" w:type="dxa"/>
            <w:tcBorders>
              <w:top w:val="single" w:sz="4" w:space="0" w:color="000000"/>
              <w:left w:val="single" w:sz="4" w:space="0" w:color="000000"/>
              <w:bottom w:val="single" w:sz="4" w:space="0" w:color="000000"/>
              <w:right w:val="single" w:sz="4" w:space="0" w:color="000000"/>
            </w:tcBorders>
          </w:tcPr>
          <w:p w14:paraId="561E43E2"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100,0</w:t>
            </w:r>
          </w:p>
        </w:tc>
      </w:tr>
    </w:tbl>
    <w:p w14:paraId="5CFD202D" w14:textId="77777777" w:rsidR="002449C2" w:rsidRDefault="002449C2">
      <w:pPr>
        <w:sectPr w:rsidR="002449C2">
          <w:footerReference w:type="even" r:id="rId45"/>
          <w:footerReference w:type="default" r:id="rId46"/>
          <w:footerReference w:type="first" r:id="rId47"/>
          <w:pgSz w:w="16838" w:h="11906" w:orient="landscape"/>
          <w:pgMar w:top="1701" w:right="395" w:bottom="850" w:left="1134" w:header="0" w:footer="708" w:gutter="0"/>
          <w:cols w:space="720"/>
          <w:formProt w:val="0"/>
          <w:docGrid w:linePitch="360"/>
        </w:sectPr>
      </w:pPr>
    </w:p>
    <w:tbl>
      <w:tblPr>
        <w:tblpPr w:leftFromText="180" w:rightFromText="180" w:vertAnchor="text" w:tblpY="1"/>
        <w:tblOverlap w:val="never"/>
        <w:tblW w:w="14454" w:type="dxa"/>
        <w:tblLayout w:type="fixed"/>
        <w:tblLook w:val="04A0" w:firstRow="1" w:lastRow="0" w:firstColumn="1" w:lastColumn="0" w:noHBand="0" w:noVBand="1"/>
      </w:tblPr>
      <w:tblGrid>
        <w:gridCol w:w="1696"/>
        <w:gridCol w:w="2695"/>
        <w:gridCol w:w="1275"/>
        <w:gridCol w:w="710"/>
        <w:gridCol w:w="1419"/>
        <w:gridCol w:w="990"/>
        <w:gridCol w:w="1561"/>
        <w:gridCol w:w="1418"/>
        <w:gridCol w:w="1275"/>
        <w:gridCol w:w="1415"/>
      </w:tblGrid>
      <w:tr w:rsidR="002449C2" w14:paraId="0A88A076" w14:textId="77777777">
        <w:trPr>
          <w:trHeight w:val="1683"/>
          <w:tblHeader/>
        </w:trPr>
        <w:tc>
          <w:tcPr>
            <w:tcW w:w="1695" w:type="dxa"/>
            <w:tcBorders>
              <w:top w:val="single" w:sz="4" w:space="0" w:color="000000"/>
              <w:left w:val="single" w:sz="4" w:space="0" w:color="000000"/>
              <w:bottom w:val="single" w:sz="4" w:space="0" w:color="000000"/>
              <w:right w:val="single" w:sz="4" w:space="0" w:color="000000"/>
            </w:tcBorders>
            <w:vAlign w:val="center"/>
          </w:tcPr>
          <w:p w14:paraId="75C856D4" w14:textId="77777777" w:rsidR="002449C2" w:rsidRDefault="00123961">
            <w:pPr>
              <w:spacing w:after="160" w:line="259" w:lineRule="auto"/>
              <w:contextualSpacing/>
              <w:jc w:val="center"/>
              <w:rPr>
                <w:rFonts w:ascii="Times New Roman" w:hAnsi="Times New Roman"/>
                <w:b/>
                <w:sz w:val="18"/>
                <w:szCs w:val="18"/>
              </w:rPr>
            </w:pPr>
            <w:r>
              <w:rPr>
                <w:rFonts w:ascii="Times New Roman" w:hAnsi="Times New Roman"/>
                <w:b/>
                <w:sz w:val="18"/>
                <w:szCs w:val="18"/>
              </w:rPr>
              <w:t>Наименование показателя</w:t>
            </w:r>
          </w:p>
        </w:tc>
        <w:tc>
          <w:tcPr>
            <w:tcW w:w="2694" w:type="dxa"/>
            <w:tcBorders>
              <w:top w:val="single" w:sz="4" w:space="0" w:color="000000"/>
              <w:left w:val="single" w:sz="4" w:space="0" w:color="000000"/>
              <w:bottom w:val="single" w:sz="4" w:space="0" w:color="000000"/>
              <w:right w:val="single" w:sz="4" w:space="0" w:color="000000"/>
            </w:tcBorders>
            <w:vAlign w:val="center"/>
          </w:tcPr>
          <w:p w14:paraId="21B80638" w14:textId="77777777" w:rsidR="002449C2" w:rsidRDefault="00123961">
            <w:pPr>
              <w:spacing w:after="160" w:line="259" w:lineRule="auto"/>
              <w:contextualSpacing/>
              <w:jc w:val="center"/>
              <w:rPr>
                <w:rFonts w:ascii="Times New Roman" w:hAnsi="Times New Roman"/>
                <w:b/>
                <w:sz w:val="18"/>
                <w:szCs w:val="18"/>
              </w:rPr>
            </w:pPr>
            <w:r>
              <w:rPr>
                <w:rFonts w:ascii="Times New Roman" w:hAnsi="Times New Roman"/>
                <w:b/>
                <w:sz w:val="18"/>
                <w:szCs w:val="18"/>
              </w:rPr>
              <w:t>Порядок расчета</w:t>
            </w:r>
          </w:p>
        </w:tc>
        <w:tc>
          <w:tcPr>
            <w:tcW w:w="1275" w:type="dxa"/>
            <w:tcBorders>
              <w:top w:val="single" w:sz="4" w:space="0" w:color="000000"/>
              <w:left w:val="single" w:sz="4" w:space="0" w:color="000000"/>
              <w:bottom w:val="single" w:sz="4" w:space="0" w:color="000000"/>
              <w:right w:val="single" w:sz="4" w:space="0" w:color="000000"/>
            </w:tcBorders>
            <w:vAlign w:val="center"/>
          </w:tcPr>
          <w:p w14:paraId="2BD347EB" w14:textId="77777777" w:rsidR="002449C2" w:rsidRDefault="00123961">
            <w:pPr>
              <w:spacing w:after="160" w:line="259" w:lineRule="auto"/>
              <w:contextualSpacing/>
              <w:jc w:val="center"/>
              <w:rPr>
                <w:rFonts w:ascii="Times New Roman" w:hAnsi="Times New Roman"/>
                <w:b/>
                <w:sz w:val="18"/>
                <w:szCs w:val="18"/>
              </w:rPr>
            </w:pPr>
            <w:r>
              <w:rPr>
                <w:rFonts w:ascii="Times New Roman" w:hAnsi="Times New Roman"/>
                <w:b/>
                <w:sz w:val="18"/>
                <w:szCs w:val="18"/>
              </w:rPr>
              <w:t>Вес в системе вознаграждения//процент депремирования на 2024 год, %</w:t>
            </w:r>
          </w:p>
        </w:tc>
        <w:tc>
          <w:tcPr>
            <w:tcW w:w="710" w:type="dxa"/>
            <w:tcBorders>
              <w:top w:val="single" w:sz="4" w:space="0" w:color="000000"/>
              <w:left w:val="single" w:sz="4" w:space="0" w:color="000000"/>
              <w:bottom w:val="single" w:sz="4" w:space="0" w:color="000000"/>
              <w:right w:val="single" w:sz="4" w:space="0" w:color="000000"/>
            </w:tcBorders>
            <w:vAlign w:val="center"/>
          </w:tcPr>
          <w:p w14:paraId="637AD757" w14:textId="77777777" w:rsidR="002449C2" w:rsidRDefault="00123961">
            <w:pPr>
              <w:spacing w:after="160" w:line="259" w:lineRule="auto"/>
              <w:contextualSpacing/>
              <w:jc w:val="center"/>
              <w:rPr>
                <w:rFonts w:ascii="Times New Roman" w:hAnsi="Times New Roman"/>
                <w:b/>
                <w:sz w:val="18"/>
                <w:szCs w:val="18"/>
              </w:rPr>
            </w:pPr>
            <w:r>
              <w:rPr>
                <w:rFonts w:ascii="Times New Roman" w:hAnsi="Times New Roman"/>
                <w:b/>
                <w:sz w:val="18"/>
                <w:szCs w:val="18"/>
              </w:rPr>
              <w:t>Ед. изм.</w:t>
            </w:r>
          </w:p>
        </w:tc>
        <w:tc>
          <w:tcPr>
            <w:tcW w:w="1419" w:type="dxa"/>
            <w:tcBorders>
              <w:top w:val="single" w:sz="4" w:space="0" w:color="000000"/>
              <w:left w:val="single" w:sz="4" w:space="0" w:color="000000"/>
              <w:bottom w:val="single" w:sz="4" w:space="0" w:color="000000"/>
              <w:right w:val="single" w:sz="4" w:space="0" w:color="000000"/>
            </w:tcBorders>
            <w:vAlign w:val="center"/>
          </w:tcPr>
          <w:p w14:paraId="7AA3FDB1" w14:textId="77777777" w:rsidR="002449C2" w:rsidRDefault="00123961">
            <w:pPr>
              <w:spacing w:after="160" w:line="259" w:lineRule="auto"/>
              <w:contextualSpacing/>
              <w:jc w:val="center"/>
              <w:rPr>
                <w:rFonts w:ascii="Times New Roman" w:hAnsi="Times New Roman"/>
                <w:b/>
                <w:sz w:val="18"/>
                <w:szCs w:val="18"/>
              </w:rPr>
            </w:pPr>
            <w:r>
              <w:rPr>
                <w:rFonts w:ascii="Times New Roman" w:hAnsi="Times New Roman"/>
                <w:b/>
                <w:sz w:val="18"/>
                <w:szCs w:val="18"/>
              </w:rPr>
              <w:t>Целевое//пороговое значение на 2024 год</w:t>
            </w:r>
          </w:p>
        </w:tc>
        <w:tc>
          <w:tcPr>
            <w:tcW w:w="990" w:type="dxa"/>
            <w:tcBorders>
              <w:top w:val="single" w:sz="4" w:space="0" w:color="000000"/>
              <w:left w:val="single" w:sz="4" w:space="0" w:color="000000"/>
              <w:bottom w:val="single" w:sz="4" w:space="0" w:color="000000"/>
              <w:right w:val="single" w:sz="4" w:space="0" w:color="000000"/>
            </w:tcBorders>
            <w:vAlign w:val="center"/>
          </w:tcPr>
          <w:p w14:paraId="00486E62" w14:textId="77777777" w:rsidR="002449C2" w:rsidRDefault="00123961">
            <w:pPr>
              <w:spacing w:after="160" w:line="259" w:lineRule="auto"/>
              <w:contextualSpacing/>
              <w:jc w:val="center"/>
              <w:rPr>
                <w:rFonts w:ascii="Times New Roman" w:hAnsi="Times New Roman"/>
                <w:b/>
                <w:sz w:val="18"/>
                <w:szCs w:val="18"/>
              </w:rPr>
            </w:pPr>
            <w:r>
              <w:rPr>
                <w:rFonts w:ascii="Times New Roman" w:hAnsi="Times New Roman"/>
                <w:b/>
                <w:sz w:val="18"/>
                <w:szCs w:val="18"/>
              </w:rPr>
              <w:t>Достигнутое значение за 2024 год</w:t>
            </w:r>
          </w:p>
        </w:tc>
        <w:tc>
          <w:tcPr>
            <w:tcW w:w="1561" w:type="dxa"/>
            <w:tcBorders>
              <w:top w:val="single" w:sz="4" w:space="0" w:color="000000"/>
              <w:left w:val="single" w:sz="4" w:space="0" w:color="000000"/>
              <w:bottom w:val="single" w:sz="4" w:space="0" w:color="000000"/>
              <w:right w:val="single" w:sz="4" w:space="0" w:color="000000"/>
            </w:tcBorders>
            <w:vAlign w:val="center"/>
          </w:tcPr>
          <w:p w14:paraId="75BF5B79" w14:textId="77777777" w:rsidR="002449C2" w:rsidRDefault="00123961">
            <w:pPr>
              <w:spacing w:after="160" w:line="259" w:lineRule="auto"/>
              <w:contextualSpacing/>
              <w:jc w:val="center"/>
              <w:rPr>
                <w:rFonts w:ascii="Times New Roman" w:hAnsi="Times New Roman"/>
                <w:b/>
                <w:sz w:val="18"/>
                <w:szCs w:val="18"/>
              </w:rPr>
            </w:pPr>
            <w:r>
              <w:rPr>
                <w:rFonts w:ascii="Times New Roman" w:hAnsi="Times New Roman"/>
                <w:b/>
                <w:sz w:val="18"/>
                <w:szCs w:val="18"/>
              </w:rPr>
              <w:t>Оценка достижения в 2024 году (%, достигнут/</w:t>
            </w:r>
          </w:p>
          <w:p w14:paraId="492521CD" w14:textId="77777777" w:rsidR="002449C2" w:rsidRDefault="00123961">
            <w:pPr>
              <w:spacing w:after="160" w:line="259" w:lineRule="auto"/>
              <w:contextualSpacing/>
              <w:jc w:val="center"/>
              <w:rPr>
                <w:rFonts w:ascii="Times New Roman" w:hAnsi="Times New Roman"/>
                <w:b/>
                <w:sz w:val="18"/>
                <w:szCs w:val="18"/>
              </w:rPr>
            </w:pPr>
            <w:r>
              <w:rPr>
                <w:rFonts w:ascii="Times New Roman" w:hAnsi="Times New Roman"/>
                <w:b/>
                <w:sz w:val="18"/>
                <w:szCs w:val="18"/>
              </w:rPr>
              <w:t>не достигнут)</w:t>
            </w:r>
          </w:p>
        </w:tc>
        <w:tc>
          <w:tcPr>
            <w:tcW w:w="1418" w:type="dxa"/>
            <w:tcBorders>
              <w:top w:val="single" w:sz="4" w:space="0" w:color="000000"/>
              <w:left w:val="single" w:sz="4" w:space="0" w:color="000000"/>
              <w:bottom w:val="single" w:sz="4" w:space="0" w:color="000000"/>
              <w:right w:val="single" w:sz="4" w:space="0" w:color="000000"/>
            </w:tcBorders>
            <w:vAlign w:val="center"/>
          </w:tcPr>
          <w:p w14:paraId="308E8C77" w14:textId="77777777" w:rsidR="002449C2" w:rsidRDefault="00123961">
            <w:pPr>
              <w:spacing w:after="160" w:line="259" w:lineRule="auto"/>
              <w:contextualSpacing/>
              <w:jc w:val="center"/>
              <w:rPr>
                <w:rFonts w:ascii="Times New Roman" w:hAnsi="Times New Roman"/>
                <w:b/>
                <w:sz w:val="18"/>
                <w:szCs w:val="18"/>
              </w:rPr>
            </w:pPr>
            <w:r>
              <w:rPr>
                <w:rFonts w:ascii="Times New Roman" w:hAnsi="Times New Roman"/>
                <w:b/>
                <w:sz w:val="18"/>
                <w:szCs w:val="18"/>
              </w:rPr>
              <w:t>Причины недостижения</w:t>
            </w:r>
          </w:p>
        </w:tc>
        <w:tc>
          <w:tcPr>
            <w:tcW w:w="1275" w:type="dxa"/>
            <w:tcBorders>
              <w:top w:val="single" w:sz="4" w:space="0" w:color="000000"/>
              <w:left w:val="single" w:sz="4" w:space="0" w:color="000000"/>
              <w:bottom w:val="single" w:sz="4" w:space="0" w:color="000000"/>
              <w:right w:val="single" w:sz="4" w:space="0" w:color="000000"/>
            </w:tcBorders>
            <w:vAlign w:val="center"/>
          </w:tcPr>
          <w:p w14:paraId="67AF86A6" w14:textId="77777777" w:rsidR="002449C2" w:rsidRDefault="00123961">
            <w:pPr>
              <w:spacing w:after="160" w:line="259" w:lineRule="auto"/>
              <w:contextualSpacing/>
              <w:jc w:val="center"/>
              <w:rPr>
                <w:rFonts w:ascii="Times New Roman" w:hAnsi="Times New Roman"/>
                <w:b/>
                <w:sz w:val="18"/>
                <w:szCs w:val="18"/>
              </w:rPr>
            </w:pPr>
            <w:r>
              <w:rPr>
                <w:rFonts w:ascii="Times New Roman" w:hAnsi="Times New Roman"/>
                <w:b/>
                <w:sz w:val="18"/>
                <w:szCs w:val="18"/>
              </w:rPr>
              <w:t>Целевое значение на 2025 год</w:t>
            </w:r>
          </w:p>
        </w:tc>
        <w:tc>
          <w:tcPr>
            <w:tcW w:w="1415" w:type="dxa"/>
            <w:tcBorders>
              <w:top w:val="single" w:sz="4" w:space="0" w:color="000000"/>
              <w:left w:val="single" w:sz="4" w:space="0" w:color="000000"/>
              <w:bottom w:val="single" w:sz="4" w:space="0" w:color="000000"/>
              <w:right w:val="single" w:sz="4" w:space="0" w:color="000000"/>
            </w:tcBorders>
            <w:vAlign w:val="center"/>
          </w:tcPr>
          <w:p w14:paraId="53CD6AD7" w14:textId="77777777" w:rsidR="002449C2" w:rsidRDefault="00123961">
            <w:pPr>
              <w:spacing w:after="160" w:line="259" w:lineRule="auto"/>
              <w:contextualSpacing/>
              <w:jc w:val="center"/>
              <w:rPr>
                <w:rFonts w:ascii="Times New Roman" w:hAnsi="Times New Roman"/>
                <w:b/>
                <w:sz w:val="18"/>
                <w:szCs w:val="18"/>
              </w:rPr>
            </w:pPr>
            <w:r>
              <w:rPr>
                <w:rFonts w:ascii="Times New Roman" w:hAnsi="Times New Roman"/>
                <w:b/>
                <w:sz w:val="18"/>
                <w:szCs w:val="18"/>
              </w:rPr>
              <w:t>Целевое значение на 2026 год</w:t>
            </w:r>
            <w:r>
              <w:rPr>
                <w:rFonts w:ascii="Times New Roman" w:hAnsi="Times New Roman"/>
                <w:b/>
                <w:sz w:val="18"/>
                <w:szCs w:val="18"/>
                <w:vertAlign w:val="superscript"/>
              </w:rPr>
              <w:t>4</w:t>
            </w:r>
          </w:p>
        </w:tc>
      </w:tr>
      <w:tr w:rsidR="002449C2" w14:paraId="7BC7739E" w14:textId="77777777">
        <w:trPr>
          <w:trHeight w:val="497"/>
        </w:trPr>
        <w:tc>
          <w:tcPr>
            <w:tcW w:w="14452" w:type="dxa"/>
            <w:gridSpan w:val="10"/>
            <w:tcBorders>
              <w:top w:val="single" w:sz="4" w:space="0" w:color="000000"/>
              <w:left w:val="single" w:sz="4" w:space="0" w:color="000000"/>
              <w:bottom w:val="single" w:sz="4" w:space="0" w:color="000000"/>
              <w:right w:val="single" w:sz="4" w:space="0" w:color="000000"/>
            </w:tcBorders>
            <w:vAlign w:val="center"/>
          </w:tcPr>
          <w:p w14:paraId="368086FD" w14:textId="77777777" w:rsidR="002449C2" w:rsidRDefault="00123961">
            <w:pPr>
              <w:spacing w:after="160" w:line="259" w:lineRule="auto"/>
              <w:contextualSpacing/>
              <w:jc w:val="center"/>
              <w:rPr>
                <w:rFonts w:ascii="Times New Roman" w:hAnsi="Times New Roman"/>
                <w:b/>
                <w:color w:val="0070C0"/>
                <w:sz w:val="18"/>
                <w:szCs w:val="18"/>
              </w:rPr>
            </w:pPr>
            <w:r>
              <w:rPr>
                <w:rFonts w:ascii="Times New Roman" w:hAnsi="Times New Roman"/>
                <w:b/>
                <w:color w:val="0070C0"/>
                <w:sz w:val="18"/>
                <w:szCs w:val="18"/>
              </w:rPr>
              <w:t>ФИНАНСОВО-ЭКОНОМИЧЕСКИЕ КЛЮЧЕВЫЕ ПОКАЗАТЕЛИ ЭФФЕКТИВНОСТИ</w:t>
            </w:r>
          </w:p>
        </w:tc>
      </w:tr>
      <w:tr w:rsidR="002449C2" w14:paraId="41074DEB" w14:textId="77777777">
        <w:tc>
          <w:tcPr>
            <w:tcW w:w="1695" w:type="dxa"/>
            <w:tcBorders>
              <w:top w:val="single" w:sz="4" w:space="0" w:color="000000"/>
              <w:left w:val="single" w:sz="4" w:space="0" w:color="000000"/>
              <w:bottom w:val="single" w:sz="4" w:space="0" w:color="000000"/>
              <w:right w:val="single" w:sz="4" w:space="0" w:color="000000"/>
            </w:tcBorders>
          </w:tcPr>
          <w:p w14:paraId="2DAB8131"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ROIC</w:t>
            </w:r>
          </w:p>
          <w:p w14:paraId="2787F3F8"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(Рентабельность инвестированного капитала)</w:t>
            </w:r>
          </w:p>
        </w:tc>
        <w:tc>
          <w:tcPr>
            <w:tcW w:w="2694" w:type="dxa"/>
            <w:tcBorders>
              <w:top w:val="single" w:sz="4" w:space="0" w:color="000000"/>
              <w:left w:val="single" w:sz="4" w:space="0" w:color="000000"/>
              <w:bottom w:val="single" w:sz="4" w:space="0" w:color="000000"/>
              <w:right w:val="single" w:sz="4" w:space="0" w:color="000000"/>
            </w:tcBorders>
          </w:tcPr>
          <w:p w14:paraId="25A7294B"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Отношение операционной прибыли, скорректированной на размер обесценения/(восстановления обесценения) основных средств, выручки от оказания услуг по технологическому присоединению и начисления/(восстановление) резерва под ожидаемые кредитные убытки, к сумме средних величин капитала и долгосрочных кредитов и займов</w:t>
            </w:r>
          </w:p>
        </w:tc>
        <w:tc>
          <w:tcPr>
            <w:tcW w:w="1275" w:type="dxa"/>
            <w:tcBorders>
              <w:top w:val="single" w:sz="4" w:space="0" w:color="000000"/>
              <w:left w:val="single" w:sz="4" w:space="0" w:color="000000"/>
              <w:bottom w:val="single" w:sz="4" w:space="0" w:color="000000"/>
              <w:right w:val="single" w:sz="4" w:space="0" w:color="000000"/>
            </w:tcBorders>
          </w:tcPr>
          <w:p w14:paraId="18E7DE91"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w:t>
            </w:r>
          </w:p>
        </w:tc>
        <w:tc>
          <w:tcPr>
            <w:tcW w:w="710" w:type="dxa"/>
            <w:tcBorders>
              <w:top w:val="single" w:sz="4" w:space="0" w:color="000000"/>
              <w:left w:val="single" w:sz="4" w:space="0" w:color="000000"/>
              <w:bottom w:val="single" w:sz="4" w:space="0" w:color="000000"/>
              <w:right w:val="single" w:sz="4" w:space="0" w:color="000000"/>
            </w:tcBorders>
          </w:tcPr>
          <w:p w14:paraId="12521C9F" w14:textId="77777777" w:rsidR="002449C2" w:rsidRDefault="00123961">
            <w:pPr>
              <w:spacing w:after="160" w:line="259" w:lineRule="auto"/>
              <w:ind w:right="19"/>
              <w:contextualSpacing/>
              <w:jc w:val="center"/>
              <w:rPr>
                <w:rFonts w:ascii="Times New Roman" w:hAnsi="Times New Roman"/>
                <w:sz w:val="18"/>
                <w:szCs w:val="18"/>
              </w:rPr>
            </w:pPr>
            <w:r>
              <w:rPr>
                <w:rFonts w:ascii="Times New Roman" w:hAnsi="Times New Roman"/>
                <w:sz w:val="18"/>
                <w:szCs w:val="18"/>
              </w:rPr>
              <w:t>%</w:t>
            </w:r>
          </w:p>
        </w:tc>
        <w:tc>
          <w:tcPr>
            <w:tcW w:w="1419" w:type="dxa"/>
            <w:tcBorders>
              <w:top w:val="single" w:sz="4" w:space="0" w:color="000000"/>
              <w:left w:val="single" w:sz="4" w:space="0" w:color="000000"/>
              <w:bottom w:val="single" w:sz="4" w:space="0" w:color="000000"/>
              <w:right w:val="single" w:sz="4" w:space="0" w:color="000000"/>
            </w:tcBorders>
          </w:tcPr>
          <w:p w14:paraId="7320BF39"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12,7</w:t>
            </w:r>
          </w:p>
        </w:tc>
        <w:tc>
          <w:tcPr>
            <w:tcW w:w="990" w:type="dxa"/>
            <w:tcBorders>
              <w:top w:val="single" w:sz="4" w:space="0" w:color="000000"/>
              <w:left w:val="single" w:sz="4" w:space="0" w:color="000000"/>
              <w:bottom w:val="single" w:sz="4" w:space="0" w:color="000000"/>
              <w:right w:val="single" w:sz="4" w:space="0" w:color="000000"/>
            </w:tcBorders>
          </w:tcPr>
          <w:p w14:paraId="4A54E824"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15,7</w:t>
            </w:r>
          </w:p>
        </w:tc>
        <w:tc>
          <w:tcPr>
            <w:tcW w:w="1561" w:type="dxa"/>
            <w:tcBorders>
              <w:top w:val="single" w:sz="4" w:space="0" w:color="000000"/>
              <w:left w:val="single" w:sz="4" w:space="0" w:color="000000"/>
              <w:bottom w:val="single" w:sz="4" w:space="0" w:color="000000"/>
              <w:right w:val="single" w:sz="4" w:space="0" w:color="000000"/>
            </w:tcBorders>
          </w:tcPr>
          <w:p w14:paraId="365A7F6D"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120</w:t>
            </w:r>
          </w:p>
          <w:p w14:paraId="48D743FA"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достигнут</w:t>
            </w:r>
          </w:p>
        </w:tc>
        <w:tc>
          <w:tcPr>
            <w:tcW w:w="1418" w:type="dxa"/>
            <w:tcBorders>
              <w:top w:val="single" w:sz="4" w:space="0" w:color="000000"/>
              <w:left w:val="single" w:sz="4" w:space="0" w:color="000000"/>
              <w:bottom w:val="single" w:sz="4" w:space="0" w:color="000000"/>
              <w:right w:val="single" w:sz="4" w:space="0" w:color="000000"/>
            </w:tcBorders>
          </w:tcPr>
          <w:p w14:paraId="05579D53"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Pr>
          <w:p w14:paraId="0D3B21EB"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13,9</w:t>
            </w:r>
          </w:p>
        </w:tc>
        <w:tc>
          <w:tcPr>
            <w:tcW w:w="1415" w:type="dxa"/>
            <w:tcBorders>
              <w:top w:val="single" w:sz="4" w:space="0" w:color="000000"/>
              <w:left w:val="single" w:sz="4" w:space="0" w:color="000000"/>
              <w:bottom w:val="single" w:sz="4" w:space="0" w:color="000000"/>
              <w:right w:val="single" w:sz="4" w:space="0" w:color="000000"/>
            </w:tcBorders>
          </w:tcPr>
          <w:p w14:paraId="3090E0A8"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17,5</w:t>
            </w:r>
          </w:p>
        </w:tc>
      </w:tr>
      <w:tr w:rsidR="002449C2" w14:paraId="6A01FA6B" w14:textId="77777777">
        <w:tc>
          <w:tcPr>
            <w:tcW w:w="1695" w:type="dxa"/>
            <w:tcBorders>
              <w:top w:val="single" w:sz="4" w:space="0" w:color="000000"/>
              <w:left w:val="single" w:sz="4" w:space="0" w:color="000000"/>
              <w:bottom w:val="single" w:sz="4" w:space="0" w:color="000000"/>
              <w:right w:val="single" w:sz="4" w:space="0" w:color="000000"/>
            </w:tcBorders>
          </w:tcPr>
          <w:p w14:paraId="504515C0"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Рентабельность операционной деятельности</w:t>
            </w:r>
          </w:p>
        </w:tc>
        <w:tc>
          <w:tcPr>
            <w:tcW w:w="2694" w:type="dxa"/>
            <w:tcBorders>
              <w:top w:val="single" w:sz="4" w:space="0" w:color="000000"/>
              <w:left w:val="single" w:sz="4" w:space="0" w:color="000000"/>
              <w:bottom w:val="single" w:sz="4" w:space="0" w:color="000000"/>
              <w:right w:val="single" w:sz="4" w:space="0" w:color="000000"/>
            </w:tcBorders>
          </w:tcPr>
          <w:p w14:paraId="05603760"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Отношение операционной прибыли, скорректированной на размер обесценения/(восстановления обесценения) основных средств и выручки от оказания услуг по технологическому присоединению, к выручке без учета выручки от оказания услуг по технологическому присоединению</w:t>
            </w:r>
          </w:p>
        </w:tc>
        <w:tc>
          <w:tcPr>
            <w:tcW w:w="1275" w:type="dxa"/>
            <w:tcBorders>
              <w:top w:val="single" w:sz="4" w:space="0" w:color="000000"/>
              <w:left w:val="single" w:sz="4" w:space="0" w:color="000000"/>
              <w:bottom w:val="single" w:sz="4" w:space="0" w:color="000000"/>
              <w:right w:val="single" w:sz="4" w:space="0" w:color="000000"/>
            </w:tcBorders>
          </w:tcPr>
          <w:p w14:paraId="5739226F"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20</w:t>
            </w:r>
          </w:p>
        </w:tc>
        <w:tc>
          <w:tcPr>
            <w:tcW w:w="710" w:type="dxa"/>
            <w:tcBorders>
              <w:top w:val="single" w:sz="4" w:space="0" w:color="000000"/>
              <w:left w:val="single" w:sz="4" w:space="0" w:color="000000"/>
              <w:bottom w:val="single" w:sz="4" w:space="0" w:color="000000"/>
              <w:right w:val="single" w:sz="4" w:space="0" w:color="000000"/>
            </w:tcBorders>
          </w:tcPr>
          <w:p w14:paraId="45EADDE1"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419" w:type="dxa"/>
            <w:tcBorders>
              <w:top w:val="single" w:sz="4" w:space="0" w:color="000000"/>
              <w:left w:val="single" w:sz="4" w:space="0" w:color="000000"/>
              <w:bottom w:val="single" w:sz="4" w:space="0" w:color="000000"/>
              <w:right w:val="single" w:sz="4" w:space="0" w:color="000000"/>
            </w:tcBorders>
          </w:tcPr>
          <w:p w14:paraId="5E4EED9C"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5,6</w:t>
            </w:r>
          </w:p>
        </w:tc>
        <w:tc>
          <w:tcPr>
            <w:tcW w:w="990" w:type="dxa"/>
            <w:tcBorders>
              <w:top w:val="single" w:sz="4" w:space="0" w:color="000000"/>
              <w:left w:val="single" w:sz="4" w:space="0" w:color="000000"/>
              <w:bottom w:val="single" w:sz="4" w:space="0" w:color="000000"/>
              <w:right w:val="single" w:sz="4" w:space="0" w:color="000000"/>
            </w:tcBorders>
          </w:tcPr>
          <w:p w14:paraId="14FE5097"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7,1</w:t>
            </w:r>
          </w:p>
        </w:tc>
        <w:tc>
          <w:tcPr>
            <w:tcW w:w="1561" w:type="dxa"/>
            <w:tcBorders>
              <w:top w:val="single" w:sz="4" w:space="0" w:color="000000"/>
              <w:left w:val="single" w:sz="4" w:space="0" w:color="000000"/>
              <w:bottom w:val="single" w:sz="4" w:space="0" w:color="000000"/>
              <w:right w:val="single" w:sz="4" w:space="0" w:color="000000"/>
            </w:tcBorders>
          </w:tcPr>
          <w:p w14:paraId="7B667F4D"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120</w:t>
            </w:r>
          </w:p>
          <w:p w14:paraId="262EB3FF"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достигнут</w:t>
            </w:r>
          </w:p>
        </w:tc>
        <w:tc>
          <w:tcPr>
            <w:tcW w:w="1418" w:type="dxa"/>
            <w:tcBorders>
              <w:top w:val="single" w:sz="4" w:space="0" w:color="000000"/>
              <w:left w:val="single" w:sz="4" w:space="0" w:color="000000"/>
              <w:bottom w:val="single" w:sz="4" w:space="0" w:color="000000"/>
              <w:right w:val="single" w:sz="4" w:space="0" w:color="000000"/>
            </w:tcBorders>
          </w:tcPr>
          <w:p w14:paraId="68BBFD66"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Pr>
          <w:p w14:paraId="0EF52200"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7,0</w:t>
            </w:r>
          </w:p>
        </w:tc>
        <w:tc>
          <w:tcPr>
            <w:tcW w:w="1415" w:type="dxa"/>
            <w:tcBorders>
              <w:top w:val="single" w:sz="4" w:space="0" w:color="000000"/>
              <w:left w:val="single" w:sz="4" w:space="0" w:color="000000"/>
              <w:bottom w:val="single" w:sz="4" w:space="0" w:color="000000"/>
              <w:right w:val="single" w:sz="4" w:space="0" w:color="000000"/>
            </w:tcBorders>
          </w:tcPr>
          <w:p w14:paraId="6D261BB6"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8,9</w:t>
            </w:r>
          </w:p>
        </w:tc>
      </w:tr>
      <w:tr w:rsidR="002449C2" w14:paraId="2CBDAE1B" w14:textId="77777777">
        <w:tc>
          <w:tcPr>
            <w:tcW w:w="1695" w:type="dxa"/>
            <w:tcBorders>
              <w:top w:val="single" w:sz="4" w:space="0" w:color="000000"/>
              <w:left w:val="single" w:sz="4" w:space="0" w:color="000000"/>
              <w:bottom w:val="single" w:sz="4" w:space="0" w:color="000000"/>
              <w:right w:val="single" w:sz="4" w:space="0" w:color="000000"/>
            </w:tcBorders>
          </w:tcPr>
          <w:p w14:paraId="68F0CAE3"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Чистая прибыль без обесценения и ТП</w:t>
            </w:r>
          </w:p>
        </w:tc>
        <w:tc>
          <w:tcPr>
            <w:tcW w:w="2694" w:type="dxa"/>
            <w:tcBorders>
              <w:top w:val="single" w:sz="4" w:space="0" w:color="000000"/>
              <w:left w:val="single" w:sz="4" w:space="0" w:color="000000"/>
              <w:bottom w:val="single" w:sz="4" w:space="0" w:color="000000"/>
              <w:right w:val="single" w:sz="4" w:space="0" w:color="000000"/>
            </w:tcBorders>
          </w:tcPr>
          <w:p w14:paraId="78A45581"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Прибыль/(убыток), скорректированная на размер обесценения/(восстановления обесценения) основных средств и выручки от оказания услуг по технологическому присоединению (с учетом соответствующего налога на прибыль)</w:t>
            </w:r>
          </w:p>
        </w:tc>
        <w:tc>
          <w:tcPr>
            <w:tcW w:w="1275" w:type="dxa"/>
            <w:tcBorders>
              <w:top w:val="single" w:sz="4" w:space="0" w:color="000000"/>
              <w:left w:val="single" w:sz="4" w:space="0" w:color="000000"/>
              <w:bottom w:val="single" w:sz="4" w:space="0" w:color="000000"/>
              <w:right w:val="single" w:sz="4" w:space="0" w:color="000000"/>
            </w:tcBorders>
          </w:tcPr>
          <w:p w14:paraId="53713D68"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20</w:t>
            </w:r>
          </w:p>
        </w:tc>
        <w:tc>
          <w:tcPr>
            <w:tcW w:w="710" w:type="dxa"/>
            <w:tcBorders>
              <w:top w:val="single" w:sz="4" w:space="0" w:color="000000"/>
              <w:left w:val="single" w:sz="4" w:space="0" w:color="000000"/>
              <w:bottom w:val="single" w:sz="4" w:space="0" w:color="000000"/>
              <w:right w:val="single" w:sz="4" w:space="0" w:color="000000"/>
            </w:tcBorders>
          </w:tcPr>
          <w:p w14:paraId="3A4DAF40"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тыс. руб.</w:t>
            </w:r>
          </w:p>
        </w:tc>
        <w:tc>
          <w:tcPr>
            <w:tcW w:w="1419" w:type="dxa"/>
            <w:tcBorders>
              <w:top w:val="single" w:sz="4" w:space="0" w:color="000000"/>
              <w:left w:val="single" w:sz="4" w:space="0" w:color="000000"/>
              <w:bottom w:val="single" w:sz="4" w:space="0" w:color="000000"/>
              <w:right w:val="single" w:sz="4" w:space="0" w:color="000000"/>
            </w:tcBorders>
          </w:tcPr>
          <w:p w14:paraId="5148F660"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-1 370 185</w:t>
            </w:r>
          </w:p>
        </w:tc>
        <w:tc>
          <w:tcPr>
            <w:tcW w:w="990" w:type="dxa"/>
            <w:tcBorders>
              <w:top w:val="single" w:sz="4" w:space="0" w:color="000000"/>
              <w:left w:val="single" w:sz="4" w:space="0" w:color="000000"/>
              <w:bottom w:val="single" w:sz="4" w:space="0" w:color="000000"/>
              <w:right w:val="single" w:sz="4" w:space="0" w:color="000000"/>
            </w:tcBorders>
          </w:tcPr>
          <w:p w14:paraId="7720AFB1"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-72 971</w:t>
            </w:r>
          </w:p>
        </w:tc>
        <w:tc>
          <w:tcPr>
            <w:tcW w:w="1561" w:type="dxa"/>
            <w:tcBorders>
              <w:top w:val="single" w:sz="4" w:space="0" w:color="000000"/>
              <w:left w:val="single" w:sz="4" w:space="0" w:color="000000"/>
              <w:bottom w:val="single" w:sz="4" w:space="0" w:color="000000"/>
              <w:right w:val="single" w:sz="4" w:space="0" w:color="000000"/>
            </w:tcBorders>
          </w:tcPr>
          <w:p w14:paraId="3C010BF1"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120</w:t>
            </w:r>
          </w:p>
          <w:p w14:paraId="0F33F319"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достигнут</w:t>
            </w:r>
          </w:p>
        </w:tc>
        <w:tc>
          <w:tcPr>
            <w:tcW w:w="1418" w:type="dxa"/>
            <w:tcBorders>
              <w:top w:val="single" w:sz="4" w:space="0" w:color="000000"/>
              <w:left w:val="single" w:sz="4" w:space="0" w:color="000000"/>
              <w:bottom w:val="single" w:sz="4" w:space="0" w:color="000000"/>
              <w:right w:val="single" w:sz="4" w:space="0" w:color="000000"/>
            </w:tcBorders>
          </w:tcPr>
          <w:p w14:paraId="5701B1B0"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Pr>
          <w:p w14:paraId="770AA232"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222 038</w:t>
            </w:r>
          </w:p>
        </w:tc>
        <w:tc>
          <w:tcPr>
            <w:tcW w:w="1415" w:type="dxa"/>
            <w:tcBorders>
              <w:top w:val="single" w:sz="4" w:space="0" w:color="000000"/>
              <w:left w:val="single" w:sz="4" w:space="0" w:color="000000"/>
              <w:bottom w:val="single" w:sz="4" w:space="0" w:color="000000"/>
              <w:right w:val="single" w:sz="4" w:space="0" w:color="000000"/>
            </w:tcBorders>
          </w:tcPr>
          <w:p w14:paraId="6DFD62A1"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1 646 588</w:t>
            </w:r>
          </w:p>
        </w:tc>
      </w:tr>
      <w:tr w:rsidR="002449C2" w14:paraId="6A7D3115" w14:textId="77777777">
        <w:trPr>
          <w:trHeight w:val="501"/>
        </w:trPr>
        <w:tc>
          <w:tcPr>
            <w:tcW w:w="14452" w:type="dxa"/>
            <w:gridSpan w:val="10"/>
            <w:tcBorders>
              <w:top w:val="single" w:sz="4" w:space="0" w:color="000000"/>
              <w:left w:val="single" w:sz="4" w:space="0" w:color="000000"/>
              <w:bottom w:val="single" w:sz="4" w:space="0" w:color="000000"/>
              <w:right w:val="single" w:sz="4" w:space="0" w:color="000000"/>
            </w:tcBorders>
            <w:vAlign w:val="center"/>
          </w:tcPr>
          <w:p w14:paraId="03CCFFC7" w14:textId="77777777" w:rsidR="002449C2" w:rsidRDefault="00123961">
            <w:pPr>
              <w:spacing w:after="160" w:line="259" w:lineRule="auto"/>
              <w:contextualSpacing/>
              <w:jc w:val="center"/>
              <w:rPr>
                <w:rFonts w:ascii="Times New Roman" w:hAnsi="Times New Roman"/>
                <w:b/>
                <w:color w:val="0070C0"/>
                <w:sz w:val="18"/>
                <w:szCs w:val="18"/>
              </w:rPr>
            </w:pPr>
            <w:r>
              <w:rPr>
                <w:rFonts w:ascii="Times New Roman" w:hAnsi="Times New Roman"/>
                <w:b/>
                <w:color w:val="0070C0"/>
                <w:sz w:val="18"/>
                <w:szCs w:val="18"/>
              </w:rPr>
              <w:t>СПЕЦИАЛИЗИРОВАННЫЕ ОТРАСЛЕВЫЕ КЛЮЧЕВЫЕ ПОКАЗАТЕЛИ ЭФФЕКТИВНОСТИ</w:t>
            </w:r>
          </w:p>
        </w:tc>
      </w:tr>
      <w:tr w:rsidR="002449C2" w14:paraId="0758C16D" w14:textId="77777777">
        <w:tc>
          <w:tcPr>
            <w:tcW w:w="1695" w:type="dxa"/>
            <w:tcBorders>
              <w:top w:val="single" w:sz="4" w:space="0" w:color="000000"/>
              <w:left w:val="single" w:sz="4" w:space="0" w:color="000000"/>
              <w:bottom w:val="single" w:sz="4" w:space="0" w:color="000000"/>
              <w:right w:val="single" w:sz="4" w:space="0" w:color="000000"/>
            </w:tcBorders>
          </w:tcPr>
          <w:p w14:paraId="5FD0F0E2"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Уровень потерь электроэнергии</w:t>
            </w:r>
          </w:p>
        </w:tc>
        <w:tc>
          <w:tcPr>
            <w:tcW w:w="2694" w:type="dxa"/>
            <w:tcBorders>
              <w:top w:val="single" w:sz="4" w:space="0" w:color="000000"/>
              <w:left w:val="single" w:sz="4" w:space="0" w:color="000000"/>
              <w:bottom w:val="single" w:sz="4" w:space="0" w:color="000000"/>
              <w:right w:val="single" w:sz="4" w:space="0" w:color="000000"/>
            </w:tcBorders>
          </w:tcPr>
          <w:p w14:paraId="6DB5EA69"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Отношение объема потерь электроэнергии в сетях Общества (рассчитывается как разница отпуска электроэнергии в сеть и отпущенной электроэнергии из сети и расхода на хозяйственные нужды), увеличенного на величину разногласий за предшествующие периоды, урегулированную не в пользу Общества, к отпуску электроэнергии в сеть за отчетный период</w:t>
            </w:r>
          </w:p>
        </w:tc>
        <w:tc>
          <w:tcPr>
            <w:tcW w:w="1275" w:type="dxa"/>
            <w:tcBorders>
              <w:top w:val="single" w:sz="4" w:space="0" w:color="000000"/>
              <w:left w:val="single" w:sz="4" w:space="0" w:color="000000"/>
              <w:bottom w:val="single" w:sz="4" w:space="0" w:color="000000"/>
              <w:right w:val="single" w:sz="4" w:space="0" w:color="000000"/>
            </w:tcBorders>
          </w:tcPr>
          <w:p w14:paraId="76EEB5F4"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15</w:t>
            </w:r>
          </w:p>
        </w:tc>
        <w:tc>
          <w:tcPr>
            <w:tcW w:w="710" w:type="dxa"/>
            <w:tcBorders>
              <w:top w:val="single" w:sz="4" w:space="0" w:color="000000"/>
              <w:left w:val="single" w:sz="4" w:space="0" w:color="000000"/>
              <w:bottom w:val="single" w:sz="4" w:space="0" w:color="000000"/>
              <w:right w:val="single" w:sz="4" w:space="0" w:color="000000"/>
            </w:tcBorders>
          </w:tcPr>
          <w:p w14:paraId="3EC73C90"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419" w:type="dxa"/>
            <w:tcBorders>
              <w:top w:val="single" w:sz="4" w:space="0" w:color="000000"/>
              <w:left w:val="single" w:sz="4" w:space="0" w:color="000000"/>
              <w:bottom w:val="single" w:sz="4" w:space="0" w:color="000000"/>
              <w:right w:val="single" w:sz="4" w:space="0" w:color="000000"/>
            </w:tcBorders>
          </w:tcPr>
          <w:p w14:paraId="7C6B41F1"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9,59</w:t>
            </w:r>
          </w:p>
        </w:tc>
        <w:tc>
          <w:tcPr>
            <w:tcW w:w="990" w:type="dxa"/>
            <w:tcBorders>
              <w:top w:val="single" w:sz="4" w:space="0" w:color="000000"/>
              <w:left w:val="single" w:sz="4" w:space="0" w:color="000000"/>
              <w:bottom w:val="single" w:sz="4" w:space="0" w:color="000000"/>
              <w:right w:val="single" w:sz="4" w:space="0" w:color="000000"/>
            </w:tcBorders>
          </w:tcPr>
          <w:p w14:paraId="39CDAE64"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9,24</w:t>
            </w:r>
          </w:p>
        </w:tc>
        <w:tc>
          <w:tcPr>
            <w:tcW w:w="1561" w:type="dxa"/>
            <w:tcBorders>
              <w:top w:val="single" w:sz="4" w:space="0" w:color="000000"/>
              <w:left w:val="single" w:sz="4" w:space="0" w:color="000000"/>
              <w:bottom w:val="single" w:sz="4" w:space="0" w:color="000000"/>
              <w:right w:val="single" w:sz="4" w:space="0" w:color="000000"/>
            </w:tcBorders>
          </w:tcPr>
          <w:p w14:paraId="22A80547"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104</w:t>
            </w:r>
          </w:p>
          <w:p w14:paraId="22DF2B31"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достигнут</w:t>
            </w:r>
          </w:p>
        </w:tc>
        <w:tc>
          <w:tcPr>
            <w:tcW w:w="1418" w:type="dxa"/>
            <w:tcBorders>
              <w:top w:val="single" w:sz="4" w:space="0" w:color="000000"/>
              <w:left w:val="single" w:sz="4" w:space="0" w:color="000000"/>
              <w:bottom w:val="single" w:sz="4" w:space="0" w:color="000000"/>
              <w:right w:val="single" w:sz="4" w:space="0" w:color="000000"/>
            </w:tcBorders>
          </w:tcPr>
          <w:p w14:paraId="6688CBB1"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Pr>
          <w:p w14:paraId="28FB3DCA"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9,57</w:t>
            </w:r>
          </w:p>
        </w:tc>
        <w:tc>
          <w:tcPr>
            <w:tcW w:w="1415" w:type="dxa"/>
            <w:tcBorders>
              <w:top w:val="single" w:sz="4" w:space="0" w:color="000000"/>
              <w:left w:val="single" w:sz="4" w:space="0" w:color="000000"/>
              <w:bottom w:val="single" w:sz="4" w:space="0" w:color="000000"/>
              <w:right w:val="single" w:sz="4" w:space="0" w:color="000000"/>
            </w:tcBorders>
          </w:tcPr>
          <w:p w14:paraId="497E24DB"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9,55</w:t>
            </w:r>
          </w:p>
        </w:tc>
      </w:tr>
      <w:tr w:rsidR="002449C2" w14:paraId="5C8DDCF8" w14:textId="77777777">
        <w:tc>
          <w:tcPr>
            <w:tcW w:w="1695" w:type="dxa"/>
            <w:tcBorders>
              <w:top w:val="single" w:sz="4" w:space="0" w:color="000000"/>
              <w:left w:val="single" w:sz="4" w:space="0" w:color="000000"/>
              <w:bottom w:val="single" w:sz="4" w:space="0" w:color="000000"/>
              <w:right w:val="single" w:sz="4" w:space="0" w:color="000000"/>
            </w:tcBorders>
          </w:tcPr>
          <w:p w14:paraId="73011A3B"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Готовность к работе в отопительный сезон</w:t>
            </w:r>
          </w:p>
        </w:tc>
        <w:tc>
          <w:tcPr>
            <w:tcW w:w="2694" w:type="dxa"/>
            <w:tcBorders>
              <w:top w:val="single" w:sz="4" w:space="0" w:color="000000"/>
              <w:left w:val="single" w:sz="4" w:space="0" w:color="000000"/>
              <w:bottom w:val="single" w:sz="4" w:space="0" w:color="000000"/>
              <w:right w:val="single" w:sz="4" w:space="0" w:color="000000"/>
            </w:tcBorders>
          </w:tcPr>
          <w:p w14:paraId="0C584D03"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Показатель, оценивающий готовность Общества к работе в отопительный сезон на основании ежемесячного мониторинга, проводимого Минэнерго России</w:t>
            </w:r>
          </w:p>
        </w:tc>
        <w:tc>
          <w:tcPr>
            <w:tcW w:w="1275" w:type="dxa"/>
            <w:tcBorders>
              <w:top w:val="single" w:sz="4" w:space="0" w:color="000000"/>
              <w:left w:val="single" w:sz="4" w:space="0" w:color="000000"/>
              <w:bottom w:val="single" w:sz="4" w:space="0" w:color="000000"/>
              <w:right w:val="single" w:sz="4" w:space="0" w:color="000000"/>
            </w:tcBorders>
          </w:tcPr>
          <w:p w14:paraId="328F1E11"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20</w:t>
            </w:r>
          </w:p>
        </w:tc>
        <w:tc>
          <w:tcPr>
            <w:tcW w:w="710" w:type="dxa"/>
            <w:tcBorders>
              <w:top w:val="single" w:sz="4" w:space="0" w:color="000000"/>
              <w:left w:val="single" w:sz="4" w:space="0" w:color="000000"/>
              <w:bottom w:val="single" w:sz="4" w:space="0" w:color="000000"/>
              <w:right w:val="single" w:sz="4" w:space="0" w:color="000000"/>
            </w:tcBorders>
          </w:tcPr>
          <w:p w14:paraId="378151EF"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ед.</w:t>
            </w:r>
          </w:p>
        </w:tc>
        <w:tc>
          <w:tcPr>
            <w:tcW w:w="1419" w:type="dxa"/>
            <w:tcBorders>
              <w:top w:val="single" w:sz="4" w:space="0" w:color="000000"/>
              <w:left w:val="single" w:sz="4" w:space="0" w:color="000000"/>
              <w:bottom w:val="single" w:sz="4" w:space="0" w:color="000000"/>
              <w:right w:val="single" w:sz="4" w:space="0" w:color="000000"/>
            </w:tcBorders>
          </w:tcPr>
          <w:p w14:paraId="77311CE8"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w:t>
            </w:r>
          </w:p>
        </w:tc>
        <w:tc>
          <w:tcPr>
            <w:tcW w:w="990" w:type="dxa"/>
            <w:tcBorders>
              <w:top w:val="single" w:sz="4" w:space="0" w:color="000000"/>
              <w:left w:val="single" w:sz="4" w:space="0" w:color="000000"/>
              <w:bottom w:val="single" w:sz="4" w:space="0" w:color="000000"/>
              <w:right w:val="single" w:sz="4" w:space="0" w:color="000000"/>
            </w:tcBorders>
          </w:tcPr>
          <w:p w14:paraId="322EDD61"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w:t>
            </w:r>
          </w:p>
        </w:tc>
        <w:tc>
          <w:tcPr>
            <w:tcW w:w="1561" w:type="dxa"/>
            <w:tcBorders>
              <w:top w:val="single" w:sz="4" w:space="0" w:color="000000"/>
              <w:left w:val="single" w:sz="4" w:space="0" w:color="000000"/>
              <w:bottom w:val="single" w:sz="4" w:space="0" w:color="000000"/>
              <w:right w:val="single" w:sz="4" w:space="0" w:color="000000"/>
            </w:tcBorders>
          </w:tcPr>
          <w:p w14:paraId="4AEF97B2"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100</w:t>
            </w:r>
          </w:p>
          <w:p w14:paraId="649B701D"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достигнут</w:t>
            </w:r>
          </w:p>
        </w:tc>
        <w:tc>
          <w:tcPr>
            <w:tcW w:w="1418" w:type="dxa"/>
            <w:tcBorders>
              <w:top w:val="single" w:sz="4" w:space="0" w:color="000000"/>
              <w:left w:val="single" w:sz="4" w:space="0" w:color="000000"/>
              <w:bottom w:val="single" w:sz="4" w:space="0" w:color="000000"/>
              <w:right w:val="single" w:sz="4" w:space="0" w:color="000000"/>
            </w:tcBorders>
          </w:tcPr>
          <w:p w14:paraId="3A28EA51"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Pr>
          <w:p w14:paraId="4EB200D6"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w:t>
            </w:r>
          </w:p>
        </w:tc>
        <w:tc>
          <w:tcPr>
            <w:tcW w:w="1415" w:type="dxa"/>
            <w:tcBorders>
              <w:top w:val="single" w:sz="4" w:space="0" w:color="000000"/>
              <w:left w:val="single" w:sz="4" w:space="0" w:color="000000"/>
              <w:bottom w:val="single" w:sz="4" w:space="0" w:color="000000"/>
              <w:right w:val="single" w:sz="4" w:space="0" w:color="000000"/>
            </w:tcBorders>
          </w:tcPr>
          <w:p w14:paraId="1DD702A9"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w:t>
            </w:r>
          </w:p>
        </w:tc>
      </w:tr>
      <w:tr w:rsidR="002449C2" w14:paraId="4A4E4A20" w14:textId="77777777">
        <w:tc>
          <w:tcPr>
            <w:tcW w:w="1695" w:type="dxa"/>
            <w:tcBorders>
              <w:top w:val="single" w:sz="4" w:space="0" w:color="000000"/>
              <w:left w:val="single" w:sz="4" w:space="0" w:color="000000"/>
              <w:bottom w:val="single" w:sz="4" w:space="0" w:color="000000"/>
              <w:right w:val="single" w:sz="4" w:space="0" w:color="000000"/>
            </w:tcBorders>
          </w:tcPr>
          <w:p w14:paraId="4962EC30"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Выполнение графика ввода объектов в эксплуатацию</w:t>
            </w:r>
          </w:p>
        </w:tc>
        <w:tc>
          <w:tcPr>
            <w:tcW w:w="2694" w:type="dxa"/>
            <w:tcBorders>
              <w:top w:val="single" w:sz="4" w:space="0" w:color="000000"/>
              <w:left w:val="single" w:sz="4" w:space="0" w:color="000000"/>
              <w:bottom w:val="single" w:sz="4" w:space="0" w:color="000000"/>
              <w:right w:val="single" w:sz="4" w:space="0" w:color="000000"/>
            </w:tcBorders>
          </w:tcPr>
          <w:p w14:paraId="730BBBF6"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Отношение суммарного фактического объема вводов основных средств в эксплуатацию в отчетном году, определяемый на основании отчета об исполнении инвестиционной программы Общества (в денежном выражении, на основании даты подписания Акта приемки законченного строительством объекта приемочной комиссией) к плановому в соответствии с утвержденной инвестиционной программой и графиком реализации</w:t>
            </w:r>
          </w:p>
        </w:tc>
        <w:tc>
          <w:tcPr>
            <w:tcW w:w="1275" w:type="dxa"/>
            <w:tcBorders>
              <w:top w:val="single" w:sz="4" w:space="0" w:color="000000"/>
              <w:left w:val="single" w:sz="4" w:space="0" w:color="000000"/>
              <w:bottom w:val="single" w:sz="4" w:space="0" w:color="000000"/>
              <w:right w:val="single" w:sz="4" w:space="0" w:color="000000"/>
            </w:tcBorders>
          </w:tcPr>
          <w:p w14:paraId="2436B3FF"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15</w:t>
            </w:r>
          </w:p>
        </w:tc>
        <w:tc>
          <w:tcPr>
            <w:tcW w:w="710" w:type="dxa"/>
            <w:tcBorders>
              <w:top w:val="single" w:sz="4" w:space="0" w:color="000000"/>
              <w:left w:val="single" w:sz="4" w:space="0" w:color="000000"/>
              <w:bottom w:val="single" w:sz="4" w:space="0" w:color="000000"/>
              <w:right w:val="single" w:sz="4" w:space="0" w:color="000000"/>
            </w:tcBorders>
          </w:tcPr>
          <w:p w14:paraId="61A3F934"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419" w:type="dxa"/>
            <w:tcBorders>
              <w:top w:val="single" w:sz="4" w:space="0" w:color="000000"/>
              <w:left w:val="single" w:sz="4" w:space="0" w:color="000000"/>
              <w:bottom w:val="single" w:sz="4" w:space="0" w:color="000000"/>
              <w:right w:val="single" w:sz="4" w:space="0" w:color="000000"/>
            </w:tcBorders>
          </w:tcPr>
          <w:p w14:paraId="6A9C293D"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93,5</w:t>
            </w:r>
          </w:p>
        </w:tc>
        <w:tc>
          <w:tcPr>
            <w:tcW w:w="990" w:type="dxa"/>
            <w:tcBorders>
              <w:top w:val="single" w:sz="4" w:space="0" w:color="000000"/>
              <w:left w:val="single" w:sz="4" w:space="0" w:color="000000"/>
              <w:bottom w:val="single" w:sz="4" w:space="0" w:color="000000"/>
              <w:right w:val="single" w:sz="4" w:space="0" w:color="000000"/>
            </w:tcBorders>
          </w:tcPr>
          <w:p w14:paraId="03E6F1D7"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104,7</w:t>
            </w:r>
          </w:p>
        </w:tc>
        <w:tc>
          <w:tcPr>
            <w:tcW w:w="1561" w:type="dxa"/>
            <w:tcBorders>
              <w:top w:val="single" w:sz="4" w:space="0" w:color="000000"/>
              <w:left w:val="single" w:sz="4" w:space="0" w:color="000000"/>
              <w:bottom w:val="single" w:sz="4" w:space="0" w:color="000000"/>
              <w:right w:val="single" w:sz="4" w:space="0" w:color="000000"/>
            </w:tcBorders>
          </w:tcPr>
          <w:p w14:paraId="4DD86F11"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112</w:t>
            </w:r>
          </w:p>
          <w:p w14:paraId="0329AE3B"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достигнут</w:t>
            </w:r>
          </w:p>
        </w:tc>
        <w:tc>
          <w:tcPr>
            <w:tcW w:w="1418" w:type="dxa"/>
            <w:tcBorders>
              <w:top w:val="single" w:sz="4" w:space="0" w:color="000000"/>
              <w:left w:val="single" w:sz="4" w:space="0" w:color="000000"/>
              <w:bottom w:val="single" w:sz="4" w:space="0" w:color="000000"/>
              <w:right w:val="single" w:sz="4" w:space="0" w:color="000000"/>
            </w:tcBorders>
          </w:tcPr>
          <w:p w14:paraId="710DB2BF"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Pr>
          <w:p w14:paraId="358F34C3"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95,0</w:t>
            </w:r>
          </w:p>
        </w:tc>
        <w:tc>
          <w:tcPr>
            <w:tcW w:w="1415" w:type="dxa"/>
            <w:tcBorders>
              <w:top w:val="single" w:sz="4" w:space="0" w:color="000000"/>
              <w:left w:val="single" w:sz="4" w:space="0" w:color="000000"/>
              <w:bottom w:val="single" w:sz="4" w:space="0" w:color="000000"/>
              <w:right w:val="single" w:sz="4" w:space="0" w:color="000000"/>
            </w:tcBorders>
          </w:tcPr>
          <w:p w14:paraId="51E7F27B"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95,0</w:t>
            </w:r>
          </w:p>
        </w:tc>
      </w:tr>
      <w:tr w:rsidR="002449C2" w14:paraId="692571A4" w14:textId="77777777">
        <w:trPr>
          <w:trHeight w:val="518"/>
        </w:trPr>
        <w:tc>
          <w:tcPr>
            <w:tcW w:w="14452" w:type="dxa"/>
            <w:gridSpan w:val="10"/>
            <w:tcBorders>
              <w:top w:val="single" w:sz="4" w:space="0" w:color="000000"/>
              <w:left w:val="single" w:sz="4" w:space="0" w:color="000000"/>
              <w:bottom w:val="single" w:sz="4" w:space="0" w:color="000000"/>
              <w:right w:val="single" w:sz="4" w:space="0" w:color="000000"/>
            </w:tcBorders>
            <w:vAlign w:val="center"/>
          </w:tcPr>
          <w:p w14:paraId="387E879D" w14:textId="77777777" w:rsidR="002449C2" w:rsidRDefault="00123961">
            <w:pPr>
              <w:spacing w:after="160" w:line="259" w:lineRule="auto"/>
              <w:contextualSpacing/>
              <w:jc w:val="center"/>
              <w:rPr>
                <w:rFonts w:ascii="Times New Roman" w:hAnsi="Times New Roman"/>
                <w:b/>
                <w:color w:val="0070C0"/>
                <w:sz w:val="18"/>
                <w:szCs w:val="18"/>
              </w:rPr>
            </w:pPr>
            <w:r>
              <w:rPr>
                <w:rFonts w:ascii="Times New Roman" w:hAnsi="Times New Roman"/>
                <w:b/>
                <w:color w:val="0070C0"/>
                <w:sz w:val="18"/>
                <w:szCs w:val="18"/>
              </w:rPr>
              <w:t>ПОКАЗАТЕЛИ ДЕПРЕМИРОВАНИЯ</w:t>
            </w:r>
          </w:p>
        </w:tc>
      </w:tr>
      <w:tr w:rsidR="002449C2" w14:paraId="1AF20324" w14:textId="77777777">
        <w:tc>
          <w:tcPr>
            <w:tcW w:w="1695" w:type="dxa"/>
            <w:tcBorders>
              <w:top w:val="single" w:sz="4" w:space="0" w:color="000000"/>
              <w:left w:val="single" w:sz="4" w:space="0" w:color="000000"/>
              <w:bottom w:val="single" w:sz="4" w:space="0" w:color="000000"/>
              <w:right w:val="single" w:sz="4" w:space="0" w:color="000000"/>
            </w:tcBorders>
          </w:tcPr>
          <w:p w14:paraId="5C859816"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bCs/>
                <w:sz w:val="18"/>
                <w:szCs w:val="18"/>
              </w:rPr>
              <w:t>Предельный объем разногласий по объему потерь на конец отчетного периода (года)</w:t>
            </w:r>
          </w:p>
        </w:tc>
        <w:tc>
          <w:tcPr>
            <w:tcW w:w="2694" w:type="dxa"/>
            <w:tcBorders>
              <w:top w:val="single" w:sz="4" w:space="0" w:color="000000"/>
              <w:left w:val="single" w:sz="4" w:space="0" w:color="000000"/>
              <w:bottom w:val="single" w:sz="4" w:space="0" w:color="000000"/>
              <w:right w:val="single" w:sz="4" w:space="0" w:color="000000"/>
            </w:tcBorders>
          </w:tcPr>
          <w:p w14:paraId="0C287955"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bCs/>
                <w:sz w:val="18"/>
                <w:szCs w:val="18"/>
              </w:rPr>
              <w:t>Показатель депремирования, размер которого определяется расчетным путем как доля разногласий на конец отчетного периода (года) (не урегулированных по состоянию на конец второго месяца года, следующего за отчетным), не охваченных исковой работой, к объему потерь электроэнергии в сетях Общества</w:t>
            </w:r>
          </w:p>
        </w:tc>
        <w:tc>
          <w:tcPr>
            <w:tcW w:w="1275" w:type="dxa"/>
            <w:tcBorders>
              <w:top w:val="single" w:sz="4" w:space="0" w:color="000000"/>
              <w:left w:val="single" w:sz="4" w:space="0" w:color="000000"/>
              <w:bottom w:val="single" w:sz="4" w:space="0" w:color="000000"/>
              <w:right w:val="single" w:sz="4" w:space="0" w:color="000000"/>
            </w:tcBorders>
          </w:tcPr>
          <w:p w14:paraId="07C37698"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w:t>
            </w:r>
          </w:p>
        </w:tc>
        <w:tc>
          <w:tcPr>
            <w:tcW w:w="710" w:type="dxa"/>
            <w:tcBorders>
              <w:top w:val="single" w:sz="4" w:space="0" w:color="000000"/>
              <w:left w:val="single" w:sz="4" w:space="0" w:color="000000"/>
              <w:bottom w:val="single" w:sz="4" w:space="0" w:color="000000"/>
              <w:right w:val="single" w:sz="4" w:space="0" w:color="000000"/>
            </w:tcBorders>
          </w:tcPr>
          <w:p w14:paraId="70A947FC"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419" w:type="dxa"/>
            <w:tcBorders>
              <w:top w:val="single" w:sz="4" w:space="0" w:color="000000"/>
              <w:left w:val="single" w:sz="4" w:space="0" w:color="000000"/>
              <w:bottom w:val="single" w:sz="4" w:space="0" w:color="000000"/>
              <w:right w:val="single" w:sz="4" w:space="0" w:color="000000"/>
            </w:tcBorders>
          </w:tcPr>
          <w:p w14:paraId="293B732D"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3,50</w:t>
            </w:r>
          </w:p>
        </w:tc>
        <w:tc>
          <w:tcPr>
            <w:tcW w:w="990" w:type="dxa"/>
            <w:tcBorders>
              <w:top w:val="single" w:sz="4" w:space="0" w:color="000000"/>
              <w:left w:val="single" w:sz="4" w:space="0" w:color="000000"/>
              <w:bottom w:val="single" w:sz="4" w:space="0" w:color="000000"/>
              <w:right w:val="single" w:sz="4" w:space="0" w:color="000000"/>
            </w:tcBorders>
          </w:tcPr>
          <w:p w14:paraId="68BE5D16"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0,0</w:t>
            </w:r>
          </w:p>
        </w:tc>
        <w:tc>
          <w:tcPr>
            <w:tcW w:w="1561" w:type="dxa"/>
            <w:tcBorders>
              <w:top w:val="single" w:sz="4" w:space="0" w:color="000000"/>
              <w:left w:val="single" w:sz="4" w:space="0" w:color="000000"/>
              <w:bottom w:val="single" w:sz="4" w:space="0" w:color="000000"/>
              <w:right w:val="single" w:sz="4" w:space="0" w:color="000000"/>
            </w:tcBorders>
          </w:tcPr>
          <w:p w14:paraId="6A0609BA"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достигнут</w:t>
            </w:r>
          </w:p>
        </w:tc>
        <w:tc>
          <w:tcPr>
            <w:tcW w:w="1418" w:type="dxa"/>
            <w:tcBorders>
              <w:top w:val="single" w:sz="4" w:space="0" w:color="000000"/>
              <w:left w:val="single" w:sz="4" w:space="0" w:color="000000"/>
              <w:bottom w:val="single" w:sz="4" w:space="0" w:color="000000"/>
              <w:right w:val="single" w:sz="4" w:space="0" w:color="000000"/>
            </w:tcBorders>
          </w:tcPr>
          <w:p w14:paraId="04B024A0"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Pr>
          <w:p w14:paraId="7479D1DB"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3,50</w:t>
            </w:r>
          </w:p>
        </w:tc>
        <w:tc>
          <w:tcPr>
            <w:tcW w:w="1415" w:type="dxa"/>
            <w:tcBorders>
              <w:top w:val="single" w:sz="4" w:space="0" w:color="000000"/>
              <w:left w:val="single" w:sz="4" w:space="0" w:color="000000"/>
              <w:bottom w:val="single" w:sz="4" w:space="0" w:color="000000"/>
              <w:right w:val="single" w:sz="4" w:space="0" w:color="000000"/>
            </w:tcBorders>
          </w:tcPr>
          <w:p w14:paraId="0074C68F"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3,50</w:t>
            </w:r>
          </w:p>
        </w:tc>
      </w:tr>
      <w:tr w:rsidR="002449C2" w14:paraId="30F7E1F4" w14:textId="77777777">
        <w:tc>
          <w:tcPr>
            <w:tcW w:w="1695" w:type="dxa"/>
            <w:tcBorders>
              <w:top w:val="single" w:sz="4" w:space="0" w:color="000000"/>
              <w:left w:val="single" w:sz="4" w:space="0" w:color="000000"/>
              <w:bottom w:val="single" w:sz="4" w:space="0" w:color="000000"/>
              <w:right w:val="single" w:sz="4" w:space="0" w:color="000000"/>
            </w:tcBorders>
          </w:tcPr>
          <w:p w14:paraId="516F2F7B"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bCs/>
                <w:sz w:val="18"/>
                <w:szCs w:val="18"/>
              </w:rPr>
              <w:t>Нарушение порядка совершения сделок</w:t>
            </w:r>
          </w:p>
        </w:tc>
        <w:tc>
          <w:tcPr>
            <w:tcW w:w="2694" w:type="dxa"/>
            <w:tcBorders>
              <w:top w:val="single" w:sz="4" w:space="0" w:color="000000"/>
              <w:left w:val="single" w:sz="4" w:space="0" w:color="000000"/>
              <w:bottom w:val="single" w:sz="4" w:space="0" w:color="000000"/>
              <w:right w:val="single" w:sz="4" w:space="0" w:color="000000"/>
            </w:tcBorders>
          </w:tcPr>
          <w:p w14:paraId="317D57E4" w14:textId="77777777" w:rsidR="002449C2" w:rsidRDefault="00123961">
            <w:pPr>
              <w:spacing w:after="160" w:line="259" w:lineRule="auto"/>
              <w:contextualSpacing/>
              <w:jc w:val="both"/>
              <w:rPr>
                <w:rFonts w:ascii="Times New Roman" w:hAnsi="Times New Roman"/>
                <w:bCs/>
                <w:sz w:val="18"/>
                <w:szCs w:val="18"/>
              </w:rPr>
            </w:pPr>
            <w:r>
              <w:rPr>
                <w:rFonts w:ascii="Times New Roman" w:hAnsi="Times New Roman"/>
                <w:bCs/>
                <w:sz w:val="18"/>
                <w:szCs w:val="18"/>
              </w:rPr>
              <w:t>Показатель, оценивающий отсутствие нарушений в совершении крупных сделок, сделок, в совершении которых имеется заинтересованность, а также сделок, получение согласования на совершение которых предусмотрено Уставом Общества</w:t>
            </w:r>
          </w:p>
        </w:tc>
        <w:tc>
          <w:tcPr>
            <w:tcW w:w="1275" w:type="dxa"/>
            <w:tcBorders>
              <w:top w:val="single" w:sz="4" w:space="0" w:color="000000"/>
              <w:left w:val="single" w:sz="4" w:space="0" w:color="000000"/>
              <w:bottom w:val="single" w:sz="4" w:space="0" w:color="000000"/>
              <w:right w:val="single" w:sz="4" w:space="0" w:color="000000"/>
            </w:tcBorders>
          </w:tcPr>
          <w:p w14:paraId="30A18BAA"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w:t>
            </w:r>
          </w:p>
        </w:tc>
        <w:tc>
          <w:tcPr>
            <w:tcW w:w="710" w:type="dxa"/>
            <w:tcBorders>
              <w:top w:val="single" w:sz="4" w:space="0" w:color="000000"/>
              <w:left w:val="single" w:sz="4" w:space="0" w:color="000000"/>
              <w:bottom w:val="single" w:sz="4" w:space="0" w:color="000000"/>
              <w:right w:val="single" w:sz="4" w:space="0" w:color="000000"/>
            </w:tcBorders>
          </w:tcPr>
          <w:p w14:paraId="4077B753"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кол-во</w:t>
            </w:r>
          </w:p>
        </w:tc>
        <w:tc>
          <w:tcPr>
            <w:tcW w:w="1419" w:type="dxa"/>
            <w:tcBorders>
              <w:top w:val="single" w:sz="4" w:space="0" w:color="000000"/>
              <w:left w:val="single" w:sz="4" w:space="0" w:color="000000"/>
              <w:bottom w:val="single" w:sz="4" w:space="0" w:color="000000"/>
              <w:right w:val="single" w:sz="4" w:space="0" w:color="000000"/>
            </w:tcBorders>
          </w:tcPr>
          <w:p w14:paraId="4BC0B854"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0</w:t>
            </w:r>
          </w:p>
        </w:tc>
        <w:tc>
          <w:tcPr>
            <w:tcW w:w="990" w:type="dxa"/>
            <w:tcBorders>
              <w:top w:val="single" w:sz="4" w:space="0" w:color="000000"/>
              <w:left w:val="single" w:sz="4" w:space="0" w:color="000000"/>
              <w:bottom w:val="single" w:sz="4" w:space="0" w:color="000000"/>
              <w:right w:val="single" w:sz="4" w:space="0" w:color="000000"/>
            </w:tcBorders>
          </w:tcPr>
          <w:p w14:paraId="3B6C4BCD"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0</w:t>
            </w:r>
          </w:p>
        </w:tc>
        <w:tc>
          <w:tcPr>
            <w:tcW w:w="1561" w:type="dxa"/>
            <w:tcBorders>
              <w:top w:val="single" w:sz="4" w:space="0" w:color="000000"/>
              <w:left w:val="single" w:sz="4" w:space="0" w:color="000000"/>
              <w:bottom w:val="single" w:sz="4" w:space="0" w:color="000000"/>
              <w:right w:val="single" w:sz="4" w:space="0" w:color="000000"/>
            </w:tcBorders>
          </w:tcPr>
          <w:p w14:paraId="44A4D6C8"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достигнут</w:t>
            </w:r>
          </w:p>
        </w:tc>
        <w:tc>
          <w:tcPr>
            <w:tcW w:w="1418" w:type="dxa"/>
            <w:tcBorders>
              <w:top w:val="single" w:sz="4" w:space="0" w:color="000000"/>
              <w:left w:val="single" w:sz="4" w:space="0" w:color="000000"/>
              <w:bottom w:val="single" w:sz="4" w:space="0" w:color="000000"/>
              <w:right w:val="single" w:sz="4" w:space="0" w:color="000000"/>
            </w:tcBorders>
          </w:tcPr>
          <w:p w14:paraId="02D0924C"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Pr>
          <w:p w14:paraId="168926B5"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0</w:t>
            </w:r>
          </w:p>
        </w:tc>
        <w:tc>
          <w:tcPr>
            <w:tcW w:w="1415" w:type="dxa"/>
            <w:tcBorders>
              <w:top w:val="single" w:sz="4" w:space="0" w:color="000000"/>
              <w:left w:val="single" w:sz="4" w:space="0" w:color="000000"/>
              <w:bottom w:val="single" w:sz="4" w:space="0" w:color="000000"/>
              <w:right w:val="single" w:sz="4" w:space="0" w:color="000000"/>
            </w:tcBorders>
          </w:tcPr>
          <w:p w14:paraId="269EB0F8"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0</w:t>
            </w:r>
          </w:p>
        </w:tc>
      </w:tr>
      <w:tr w:rsidR="002449C2" w14:paraId="41A2A5C0" w14:textId="77777777">
        <w:tc>
          <w:tcPr>
            <w:tcW w:w="1695" w:type="dxa"/>
            <w:tcBorders>
              <w:top w:val="single" w:sz="4" w:space="0" w:color="000000"/>
              <w:left w:val="single" w:sz="4" w:space="0" w:color="000000"/>
              <w:bottom w:val="single" w:sz="4" w:space="0" w:color="000000"/>
              <w:right w:val="single" w:sz="4" w:space="0" w:color="000000"/>
            </w:tcBorders>
          </w:tcPr>
          <w:p w14:paraId="30A40889"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Своевременное выполнение планов корректирующих мероприятий (ПКМ)</w:t>
            </w:r>
          </w:p>
        </w:tc>
        <w:tc>
          <w:tcPr>
            <w:tcW w:w="2694" w:type="dxa"/>
            <w:tcBorders>
              <w:top w:val="single" w:sz="4" w:space="0" w:color="000000"/>
              <w:left w:val="single" w:sz="4" w:space="0" w:color="000000"/>
              <w:bottom w:val="single" w:sz="4" w:space="0" w:color="000000"/>
              <w:right w:val="single" w:sz="4" w:space="0" w:color="000000"/>
            </w:tcBorders>
          </w:tcPr>
          <w:p w14:paraId="1FE840C5" w14:textId="77777777" w:rsidR="002449C2" w:rsidRDefault="00123961">
            <w:pPr>
              <w:spacing w:after="160" w:line="259" w:lineRule="auto"/>
              <w:contextualSpacing/>
              <w:jc w:val="both"/>
              <w:rPr>
                <w:rFonts w:ascii="Times New Roman" w:hAnsi="Times New Roman"/>
                <w:bCs/>
                <w:sz w:val="18"/>
                <w:szCs w:val="18"/>
              </w:rPr>
            </w:pPr>
            <w:r>
              <w:rPr>
                <w:rFonts w:ascii="Times New Roman" w:hAnsi="Times New Roman"/>
                <w:bCs/>
                <w:sz w:val="18"/>
                <w:szCs w:val="18"/>
              </w:rPr>
              <w:t>Показатель, оценивающий своевременность выполнения Обществом планов корректирующих мероприятий в отчетном периоде, разработанных и утвержденных в Обществе по итогам контрольных мероприятий, проводимых в отношении Общества и проверок, проводимых ревизионными комиссиями</w:t>
            </w:r>
          </w:p>
        </w:tc>
        <w:tc>
          <w:tcPr>
            <w:tcW w:w="1275" w:type="dxa"/>
            <w:tcBorders>
              <w:top w:val="single" w:sz="4" w:space="0" w:color="000000"/>
              <w:left w:val="single" w:sz="4" w:space="0" w:color="000000"/>
              <w:bottom w:val="single" w:sz="4" w:space="0" w:color="000000"/>
              <w:right w:val="single" w:sz="4" w:space="0" w:color="000000"/>
            </w:tcBorders>
          </w:tcPr>
          <w:p w14:paraId="2C09869B"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w:t>
            </w:r>
          </w:p>
        </w:tc>
        <w:tc>
          <w:tcPr>
            <w:tcW w:w="710" w:type="dxa"/>
            <w:tcBorders>
              <w:top w:val="single" w:sz="4" w:space="0" w:color="000000"/>
              <w:left w:val="single" w:sz="4" w:space="0" w:color="000000"/>
              <w:bottom w:val="single" w:sz="4" w:space="0" w:color="000000"/>
              <w:right w:val="single" w:sz="4" w:space="0" w:color="000000"/>
            </w:tcBorders>
          </w:tcPr>
          <w:p w14:paraId="047DB544"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419" w:type="dxa"/>
            <w:tcBorders>
              <w:top w:val="single" w:sz="4" w:space="0" w:color="000000"/>
              <w:left w:val="single" w:sz="4" w:space="0" w:color="000000"/>
              <w:bottom w:val="single" w:sz="4" w:space="0" w:color="000000"/>
              <w:right w:val="single" w:sz="4" w:space="0" w:color="000000"/>
            </w:tcBorders>
          </w:tcPr>
          <w:p w14:paraId="659F93B8"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90</w:t>
            </w:r>
          </w:p>
        </w:tc>
        <w:tc>
          <w:tcPr>
            <w:tcW w:w="990" w:type="dxa"/>
            <w:tcBorders>
              <w:top w:val="single" w:sz="4" w:space="0" w:color="000000"/>
              <w:left w:val="single" w:sz="4" w:space="0" w:color="000000"/>
              <w:bottom w:val="single" w:sz="4" w:space="0" w:color="000000"/>
              <w:right w:val="single" w:sz="4" w:space="0" w:color="000000"/>
            </w:tcBorders>
          </w:tcPr>
          <w:p w14:paraId="35F2E584"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100</w:t>
            </w:r>
          </w:p>
        </w:tc>
        <w:tc>
          <w:tcPr>
            <w:tcW w:w="1561" w:type="dxa"/>
            <w:tcBorders>
              <w:top w:val="single" w:sz="4" w:space="0" w:color="000000"/>
              <w:left w:val="single" w:sz="4" w:space="0" w:color="000000"/>
              <w:bottom w:val="single" w:sz="4" w:space="0" w:color="000000"/>
              <w:right w:val="single" w:sz="4" w:space="0" w:color="000000"/>
            </w:tcBorders>
          </w:tcPr>
          <w:p w14:paraId="425BD377"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достигнут</w:t>
            </w:r>
          </w:p>
        </w:tc>
        <w:tc>
          <w:tcPr>
            <w:tcW w:w="1418" w:type="dxa"/>
            <w:tcBorders>
              <w:top w:val="single" w:sz="4" w:space="0" w:color="000000"/>
              <w:left w:val="single" w:sz="4" w:space="0" w:color="000000"/>
              <w:bottom w:val="single" w:sz="4" w:space="0" w:color="000000"/>
              <w:right w:val="single" w:sz="4" w:space="0" w:color="000000"/>
            </w:tcBorders>
          </w:tcPr>
          <w:p w14:paraId="57CC6641"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Pr>
          <w:p w14:paraId="577BA647"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90</w:t>
            </w:r>
          </w:p>
        </w:tc>
        <w:tc>
          <w:tcPr>
            <w:tcW w:w="1415" w:type="dxa"/>
            <w:tcBorders>
              <w:top w:val="single" w:sz="4" w:space="0" w:color="000000"/>
              <w:left w:val="single" w:sz="4" w:space="0" w:color="000000"/>
              <w:bottom w:val="single" w:sz="4" w:space="0" w:color="000000"/>
              <w:right w:val="single" w:sz="4" w:space="0" w:color="000000"/>
            </w:tcBorders>
          </w:tcPr>
          <w:p w14:paraId="3DA6C364"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90</w:t>
            </w:r>
          </w:p>
        </w:tc>
      </w:tr>
      <w:tr w:rsidR="002449C2" w14:paraId="5D414F75" w14:textId="77777777">
        <w:trPr>
          <w:trHeight w:val="501"/>
        </w:trPr>
        <w:tc>
          <w:tcPr>
            <w:tcW w:w="14452" w:type="dxa"/>
            <w:gridSpan w:val="10"/>
            <w:tcBorders>
              <w:top w:val="single" w:sz="4" w:space="0" w:color="000000"/>
              <w:left w:val="single" w:sz="4" w:space="0" w:color="000000"/>
              <w:bottom w:val="single" w:sz="4" w:space="0" w:color="000000"/>
              <w:right w:val="single" w:sz="4" w:space="0" w:color="000000"/>
            </w:tcBorders>
            <w:vAlign w:val="center"/>
          </w:tcPr>
          <w:p w14:paraId="17BD8919" w14:textId="77777777" w:rsidR="002449C2" w:rsidRDefault="00123961">
            <w:pPr>
              <w:spacing w:after="160" w:line="259" w:lineRule="auto"/>
              <w:contextualSpacing/>
              <w:jc w:val="center"/>
              <w:rPr>
                <w:rFonts w:ascii="Times New Roman" w:hAnsi="Times New Roman"/>
                <w:b/>
                <w:color w:val="0070C0"/>
                <w:sz w:val="18"/>
                <w:szCs w:val="18"/>
              </w:rPr>
            </w:pPr>
            <w:r>
              <w:rPr>
                <w:rFonts w:ascii="Times New Roman" w:hAnsi="Times New Roman"/>
                <w:b/>
                <w:color w:val="0070C0"/>
                <w:sz w:val="18"/>
                <w:szCs w:val="18"/>
              </w:rPr>
              <w:t>ИНДИКАТИВНЫЕ ПОКАЗАТЕЛИ</w:t>
            </w:r>
          </w:p>
        </w:tc>
      </w:tr>
      <w:tr w:rsidR="002449C2" w14:paraId="1460EC6F" w14:textId="77777777">
        <w:tc>
          <w:tcPr>
            <w:tcW w:w="1695" w:type="dxa"/>
            <w:tcBorders>
              <w:top w:val="single" w:sz="4" w:space="0" w:color="000000"/>
              <w:left w:val="single" w:sz="4" w:space="0" w:color="000000"/>
              <w:bottom w:val="single" w:sz="4" w:space="0" w:color="000000"/>
              <w:right w:val="single" w:sz="4" w:space="0" w:color="000000"/>
            </w:tcBorders>
          </w:tcPr>
          <w:p w14:paraId="2D92315E"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Достижение фактора «Эффективность процедур по подключению электроэнергии» Национального рейтинга состояния инвестиционного климата</w:t>
            </w:r>
          </w:p>
        </w:tc>
        <w:tc>
          <w:tcPr>
            <w:tcW w:w="2694" w:type="dxa"/>
            <w:tcBorders>
              <w:top w:val="single" w:sz="4" w:space="0" w:color="000000"/>
              <w:left w:val="single" w:sz="4" w:space="0" w:color="000000"/>
              <w:bottom w:val="single" w:sz="4" w:space="0" w:color="000000"/>
              <w:right w:val="single" w:sz="4" w:space="0" w:color="000000"/>
            </w:tcBorders>
          </w:tcPr>
          <w:p w14:paraId="5C7CB245" w14:textId="77777777" w:rsidR="002449C2" w:rsidRDefault="00123961">
            <w:pPr>
              <w:spacing w:after="160" w:line="259" w:lineRule="auto"/>
              <w:contextualSpacing/>
              <w:jc w:val="both"/>
              <w:rPr>
                <w:rFonts w:ascii="Times New Roman" w:hAnsi="Times New Roman"/>
                <w:sz w:val="18"/>
                <w:szCs w:val="18"/>
              </w:rPr>
            </w:pPr>
            <w:r>
              <w:rPr>
                <w:rFonts w:ascii="Times New Roman" w:hAnsi="Times New Roman"/>
                <w:sz w:val="18"/>
                <w:szCs w:val="18"/>
              </w:rPr>
              <w:t>Показатель определяется на основании степени достижения эталонных ориентиров показателей фактора «Эффективность процедур по подключению электроэнергии» Национального рейтинга состояния инвестиционного климата в субъектах Российской Федерации, входящих в зону эксплуатационной ответственности Общества</w:t>
            </w:r>
          </w:p>
        </w:tc>
        <w:tc>
          <w:tcPr>
            <w:tcW w:w="1275" w:type="dxa"/>
            <w:tcBorders>
              <w:top w:val="single" w:sz="4" w:space="0" w:color="000000"/>
              <w:left w:val="single" w:sz="4" w:space="0" w:color="000000"/>
              <w:bottom w:val="single" w:sz="4" w:space="0" w:color="000000"/>
              <w:right w:val="single" w:sz="4" w:space="0" w:color="000000"/>
            </w:tcBorders>
          </w:tcPr>
          <w:p w14:paraId="36CFFA14"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Индикативный показатель</w:t>
            </w:r>
          </w:p>
        </w:tc>
        <w:tc>
          <w:tcPr>
            <w:tcW w:w="710" w:type="dxa"/>
            <w:tcBorders>
              <w:top w:val="single" w:sz="4" w:space="0" w:color="000000"/>
              <w:left w:val="single" w:sz="4" w:space="0" w:color="000000"/>
              <w:bottom w:val="single" w:sz="4" w:space="0" w:color="000000"/>
              <w:right w:val="single" w:sz="4" w:space="0" w:color="000000"/>
            </w:tcBorders>
          </w:tcPr>
          <w:p w14:paraId="63B99227"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419" w:type="dxa"/>
            <w:tcBorders>
              <w:top w:val="single" w:sz="4" w:space="0" w:color="000000"/>
              <w:left w:val="single" w:sz="4" w:space="0" w:color="000000"/>
              <w:bottom w:val="single" w:sz="4" w:space="0" w:color="000000"/>
              <w:right w:val="single" w:sz="4" w:space="0" w:color="000000"/>
            </w:tcBorders>
          </w:tcPr>
          <w:p w14:paraId="6128C78B"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100,0</w:t>
            </w:r>
          </w:p>
        </w:tc>
        <w:tc>
          <w:tcPr>
            <w:tcW w:w="990" w:type="dxa"/>
            <w:tcBorders>
              <w:top w:val="single" w:sz="4" w:space="0" w:color="000000"/>
              <w:left w:val="single" w:sz="4" w:space="0" w:color="000000"/>
              <w:bottom w:val="single" w:sz="4" w:space="0" w:color="000000"/>
              <w:right w:val="single" w:sz="4" w:space="0" w:color="000000"/>
            </w:tcBorders>
          </w:tcPr>
          <w:p w14:paraId="747C167B"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100,0</w:t>
            </w:r>
          </w:p>
        </w:tc>
        <w:tc>
          <w:tcPr>
            <w:tcW w:w="1561" w:type="dxa"/>
            <w:tcBorders>
              <w:top w:val="single" w:sz="4" w:space="0" w:color="000000"/>
              <w:left w:val="single" w:sz="4" w:space="0" w:color="000000"/>
              <w:bottom w:val="single" w:sz="4" w:space="0" w:color="000000"/>
              <w:right w:val="single" w:sz="4" w:space="0" w:color="000000"/>
            </w:tcBorders>
          </w:tcPr>
          <w:p w14:paraId="5777579B"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достигнут</w:t>
            </w:r>
          </w:p>
        </w:tc>
        <w:tc>
          <w:tcPr>
            <w:tcW w:w="1418" w:type="dxa"/>
            <w:tcBorders>
              <w:top w:val="single" w:sz="4" w:space="0" w:color="000000"/>
              <w:left w:val="single" w:sz="4" w:space="0" w:color="000000"/>
              <w:bottom w:val="single" w:sz="4" w:space="0" w:color="000000"/>
              <w:right w:val="single" w:sz="4" w:space="0" w:color="000000"/>
            </w:tcBorders>
          </w:tcPr>
          <w:p w14:paraId="1868B6F1"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Pr>
          <w:p w14:paraId="043F0908"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100,0</w:t>
            </w:r>
          </w:p>
        </w:tc>
        <w:tc>
          <w:tcPr>
            <w:tcW w:w="1415" w:type="dxa"/>
            <w:tcBorders>
              <w:top w:val="single" w:sz="4" w:space="0" w:color="000000"/>
              <w:left w:val="single" w:sz="4" w:space="0" w:color="000000"/>
              <w:bottom w:val="single" w:sz="4" w:space="0" w:color="000000"/>
              <w:right w:val="single" w:sz="4" w:space="0" w:color="000000"/>
            </w:tcBorders>
          </w:tcPr>
          <w:p w14:paraId="014A2458" w14:textId="77777777" w:rsidR="002449C2" w:rsidRDefault="00123961">
            <w:pPr>
              <w:spacing w:after="160" w:line="259" w:lineRule="auto"/>
              <w:contextualSpacing/>
              <w:jc w:val="center"/>
              <w:rPr>
                <w:rFonts w:ascii="Times New Roman" w:hAnsi="Times New Roman"/>
                <w:sz w:val="18"/>
                <w:szCs w:val="18"/>
              </w:rPr>
            </w:pPr>
            <w:r>
              <w:rPr>
                <w:rFonts w:ascii="Times New Roman" w:hAnsi="Times New Roman"/>
                <w:sz w:val="18"/>
                <w:szCs w:val="18"/>
              </w:rPr>
              <w:t>100,0</w:t>
            </w:r>
          </w:p>
        </w:tc>
      </w:tr>
    </w:tbl>
    <w:p w14:paraId="655B1519" w14:textId="77777777" w:rsidR="002449C2" w:rsidRDefault="002449C2">
      <w:pPr>
        <w:sectPr w:rsidR="002449C2">
          <w:footerReference w:type="even" r:id="rId48"/>
          <w:footerReference w:type="default" r:id="rId49"/>
          <w:footerReference w:type="first" r:id="rId50"/>
          <w:pgSz w:w="16838" w:h="11906" w:orient="landscape"/>
          <w:pgMar w:top="1701" w:right="1134" w:bottom="766" w:left="1134" w:header="0" w:footer="709" w:gutter="0"/>
          <w:cols w:space="720"/>
          <w:formProt w:val="0"/>
          <w:docGrid w:linePitch="360"/>
        </w:sectPr>
      </w:pPr>
    </w:p>
    <w:p w14:paraId="72453CF4" w14:textId="77777777" w:rsidR="002449C2" w:rsidRDefault="00123961">
      <w:pPr>
        <w:keepNext/>
        <w:pBdr>
          <w:bottom w:val="single" w:sz="4" w:space="1" w:color="622423"/>
        </w:pBdr>
        <w:shd w:val="clear" w:color="auto" w:fill="FFFFFF"/>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44" w:name="_Toc195174921"/>
      <w:bookmarkStart w:id="45" w:name="_Toc196143013"/>
      <w:r>
        <w:rPr>
          <w:rFonts w:ascii="Times New Roman" w:eastAsia="Times New Roman" w:hAnsi="Times New Roman"/>
          <w:caps/>
          <w:color w:val="632423"/>
          <w:spacing w:val="15"/>
          <w:sz w:val="24"/>
          <w:szCs w:val="24"/>
          <w:lang w:eastAsia="en-US" w:bidi="en-US"/>
        </w:rPr>
        <w:t>Ключевые риски</w:t>
      </w:r>
      <w:bookmarkEnd w:id="44"/>
      <w:bookmarkEnd w:id="45"/>
    </w:p>
    <w:p w14:paraId="65404F21" w14:textId="77777777" w:rsidR="002449C2" w:rsidRDefault="00123961">
      <w:pPr>
        <w:shd w:val="clear" w:color="auto" w:fill="FFFFFF"/>
        <w:tabs>
          <w:tab w:val="left" w:pos="142"/>
        </w:tabs>
        <w:spacing w:before="120" w:after="120" w:line="240" w:lineRule="auto"/>
        <w:ind w:firstLine="567"/>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Информация о методологии оценки рисков.</w:t>
      </w:r>
    </w:p>
    <w:p w14:paraId="6F2893CE" w14:textId="77777777" w:rsidR="002449C2" w:rsidRDefault="00123961">
      <w:pPr>
        <w:tabs>
          <w:tab w:val="left" w:pos="1276"/>
          <w:tab w:val="left" w:pos="9922"/>
        </w:tabs>
        <w:spacing w:after="0" w:line="240" w:lineRule="auto"/>
        <w:ind w:firstLine="709"/>
        <w:contextualSpacing/>
        <w:jc w:val="both"/>
        <w:rPr>
          <w:rFonts w:ascii="Times New Roman" w:hAnsi="Times New Roman"/>
          <w:sz w:val="26"/>
          <w:szCs w:val="26"/>
          <w:lang w:eastAsia="ru-RU"/>
        </w:rPr>
      </w:pPr>
      <w:r>
        <w:rPr>
          <w:rFonts w:ascii="Times New Roman" w:hAnsi="Times New Roman"/>
          <w:sz w:val="26"/>
          <w:szCs w:val="26"/>
          <w:lang w:eastAsia="ru-RU"/>
        </w:rPr>
        <w:t xml:space="preserve">Информация о рисках корпоративного уровня, оказывающих существенное влияние на достижение целей Общества, владельцах рисков и применяемых ключевых индикаторах рисков, содержится в Реестре рисков Общества (решение Правления от 14.12.2023, протокол от 14.12.2023 № 535). </w:t>
      </w:r>
    </w:p>
    <w:p w14:paraId="02BB387B" w14:textId="77777777" w:rsidR="002449C2" w:rsidRDefault="00123961">
      <w:pPr>
        <w:tabs>
          <w:tab w:val="left" w:pos="1276"/>
          <w:tab w:val="left" w:pos="9922"/>
        </w:tabs>
        <w:spacing w:after="0" w:line="240" w:lineRule="auto"/>
        <w:ind w:firstLine="709"/>
        <w:contextualSpacing/>
        <w:jc w:val="both"/>
        <w:rPr>
          <w:rFonts w:ascii="Times New Roman" w:hAnsi="Times New Roman"/>
          <w:sz w:val="26"/>
          <w:szCs w:val="26"/>
          <w:lang w:eastAsia="ru-RU"/>
        </w:rPr>
      </w:pPr>
      <w:r>
        <w:rPr>
          <w:rFonts w:ascii="Times New Roman" w:hAnsi="Times New Roman"/>
          <w:sz w:val="26"/>
          <w:szCs w:val="26"/>
          <w:lang w:eastAsia="ru-RU"/>
        </w:rPr>
        <w:t>Оценка рисков осуществляется в соответствии с Методикой оценки и мониторинга рисков Общества (приказ от 15.01.2024 №15). Оценивание рисков выполняется для каждого идентифицированного риска и направлено на определение существенности риска с учетом последствий от реализации риска и вероятности его наступления. Оценивание рисков осуществляется с применением качественного и количественного подходов, а также их комбинации.</w:t>
      </w:r>
    </w:p>
    <w:p w14:paraId="637276DC" w14:textId="77777777" w:rsidR="002449C2" w:rsidRDefault="00123961">
      <w:pPr>
        <w:tabs>
          <w:tab w:val="left" w:pos="851"/>
        </w:tabs>
        <w:spacing w:after="0" w:line="240" w:lineRule="auto"/>
        <w:ind w:firstLine="709"/>
        <w:jc w:val="both"/>
        <w:rPr>
          <w:rFonts w:ascii="Times New Roman" w:eastAsiaTheme="minorEastAsia" w:hAnsi="Times New Roman"/>
          <w:sz w:val="26"/>
          <w:szCs w:val="26"/>
        </w:rPr>
      </w:pPr>
      <w:r>
        <w:rPr>
          <w:rFonts w:ascii="Times New Roman" w:eastAsiaTheme="minorEastAsia" w:hAnsi="Times New Roman"/>
          <w:sz w:val="26"/>
          <w:szCs w:val="26"/>
        </w:rPr>
        <w:t xml:space="preserve">Воздействие рисков на деятельность Общества оценивается по трем уровням существенности, которые являются обобщенной оценкой вероятности и последствий реализации риска: </w:t>
      </w:r>
    </w:p>
    <w:p w14:paraId="3946CE43" w14:textId="77777777" w:rsidR="002449C2" w:rsidRDefault="00123961">
      <w:pPr>
        <w:tabs>
          <w:tab w:val="left" w:pos="851"/>
        </w:tabs>
        <w:spacing w:after="0" w:line="240" w:lineRule="auto"/>
        <w:ind w:firstLine="709"/>
        <w:jc w:val="both"/>
        <w:rPr>
          <w:rFonts w:ascii="Times New Roman" w:eastAsiaTheme="minorEastAsia" w:hAnsi="Times New Roman"/>
          <w:color w:val="000000"/>
          <w:sz w:val="26"/>
          <w:szCs w:val="26"/>
        </w:rPr>
      </w:pPr>
      <w:r>
        <w:rPr>
          <w:rFonts w:ascii="Times New Roman" w:eastAsiaTheme="minorEastAsia" w:hAnsi="Times New Roman"/>
          <w:b/>
          <w:sz w:val="26"/>
          <w:szCs w:val="26"/>
          <w:bdr w:val="single" w:sz="4" w:space="0" w:color="000000"/>
          <w:shd w:val="clear" w:color="auto" w:fill="92D050"/>
        </w:rPr>
        <w:t>Умеренный</w:t>
      </w:r>
      <w:r>
        <w:rPr>
          <w:rFonts w:ascii="Times New Roman" w:eastAsiaTheme="minorEastAsia" w:hAnsi="Times New Roman"/>
          <w:sz w:val="26"/>
          <w:szCs w:val="26"/>
        </w:rPr>
        <w:t xml:space="preserve"> - не оказывающий существенного негативного влияния на показатели финансово-хозяйственной деятельности, но требующий непрерывного мониторинга для своевременного выявления возможного роста уровня существенности риска;</w:t>
      </w:r>
      <w:r>
        <w:rPr>
          <w:rFonts w:ascii="Times New Roman" w:eastAsiaTheme="minorEastAsia" w:hAnsi="Times New Roman"/>
          <w:color w:val="000000"/>
          <w:sz w:val="26"/>
          <w:szCs w:val="26"/>
        </w:rPr>
        <w:t xml:space="preserve"> </w:t>
      </w:r>
    </w:p>
    <w:p w14:paraId="6C639FE0" w14:textId="77777777" w:rsidR="002449C2" w:rsidRDefault="00123961">
      <w:pPr>
        <w:tabs>
          <w:tab w:val="left" w:pos="851"/>
        </w:tabs>
        <w:spacing w:after="0" w:line="240" w:lineRule="auto"/>
        <w:ind w:firstLine="709"/>
        <w:jc w:val="both"/>
        <w:rPr>
          <w:rFonts w:ascii="Times New Roman" w:eastAsiaTheme="minorEastAsia" w:hAnsi="Times New Roman"/>
          <w:sz w:val="26"/>
          <w:szCs w:val="26"/>
        </w:rPr>
      </w:pPr>
      <w:r>
        <w:rPr>
          <w:rFonts w:ascii="Times New Roman" w:eastAsiaTheme="minorEastAsia" w:hAnsi="Times New Roman"/>
          <w:b/>
          <w:sz w:val="26"/>
          <w:szCs w:val="26"/>
          <w:bdr w:val="single" w:sz="4" w:space="0" w:color="000000"/>
          <w:shd w:val="clear" w:color="auto" w:fill="FFFF00"/>
        </w:rPr>
        <w:t>Значимый</w:t>
      </w:r>
      <w:r>
        <w:rPr>
          <w:rFonts w:ascii="Times New Roman" w:eastAsiaTheme="minorEastAsia" w:hAnsi="Times New Roman"/>
          <w:sz w:val="26"/>
          <w:szCs w:val="26"/>
        </w:rPr>
        <w:t xml:space="preserve"> - при котором реализация риска может привести к значительным отклонениям ключевых показателей эффективности, краткосрочному приостановлению деятельности, снижению независимых рейтингов, негативному освещению деятельности</w:t>
      </w:r>
      <w:r>
        <w:rPr>
          <w:rFonts w:ascii="Times New Roman" w:eastAsiaTheme="minorEastAsia" w:hAnsi="Times New Roman"/>
          <w:color w:val="000000"/>
          <w:sz w:val="26"/>
          <w:szCs w:val="26"/>
        </w:rPr>
        <w:t xml:space="preserve">; </w:t>
      </w:r>
    </w:p>
    <w:p w14:paraId="44F955C7" w14:textId="77777777" w:rsidR="002449C2" w:rsidRDefault="00123961">
      <w:pPr>
        <w:tabs>
          <w:tab w:val="left" w:pos="851"/>
        </w:tabs>
        <w:spacing w:after="0" w:line="240" w:lineRule="auto"/>
        <w:ind w:firstLine="709"/>
        <w:jc w:val="both"/>
        <w:rPr>
          <w:rFonts w:ascii="Times New Roman" w:eastAsiaTheme="minorEastAsia" w:hAnsi="Times New Roman"/>
          <w:sz w:val="26"/>
          <w:szCs w:val="26"/>
        </w:rPr>
      </w:pPr>
      <w:r>
        <w:rPr>
          <w:rFonts w:ascii="Times New Roman" w:eastAsiaTheme="minorEastAsia" w:hAnsi="Times New Roman"/>
          <w:b/>
          <w:sz w:val="26"/>
          <w:szCs w:val="26"/>
          <w:bdr w:val="single" w:sz="4" w:space="0" w:color="000000"/>
          <w:shd w:val="clear" w:color="auto" w:fill="FF0000"/>
        </w:rPr>
        <w:t>Критический</w:t>
      </w:r>
      <w:r>
        <w:rPr>
          <w:rFonts w:ascii="Times New Roman" w:eastAsiaTheme="minorEastAsia" w:hAnsi="Times New Roman"/>
          <w:sz w:val="26"/>
          <w:szCs w:val="26"/>
        </w:rPr>
        <w:t xml:space="preserve"> - при котором реализация риска может привести к недостижению установленных органами управления целей, длительным прерыванием деятельности, негативному освещению деятельности в СМИ и снижению рыночной котировки акций Общества.</w:t>
      </w:r>
    </w:p>
    <w:p w14:paraId="2C5C8172" w14:textId="77777777" w:rsidR="002449C2" w:rsidRDefault="00123961">
      <w:pPr>
        <w:shd w:val="clear" w:color="auto" w:fill="FFFFFF"/>
        <w:tabs>
          <w:tab w:val="left" w:pos="142"/>
        </w:tabs>
        <w:spacing w:before="120" w:after="12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Сведения об утверждении предпочтительного риска (риск-аппетита) Общества, целевых показателях предпочтительного риска (риск-аппетита)</w:t>
      </w:r>
    </w:p>
    <w:p w14:paraId="73DEB732" w14:textId="77777777" w:rsidR="002449C2" w:rsidRDefault="00123961">
      <w:pPr>
        <w:tabs>
          <w:tab w:val="left" w:pos="1276"/>
          <w:tab w:val="left" w:pos="9922"/>
        </w:tabs>
        <w:spacing w:after="0" w:line="240" w:lineRule="auto"/>
        <w:ind w:firstLine="709"/>
        <w:contextualSpacing/>
        <w:jc w:val="both"/>
        <w:rPr>
          <w:rFonts w:ascii="Times New Roman" w:hAnsi="Times New Roman"/>
          <w:sz w:val="26"/>
          <w:szCs w:val="26"/>
          <w:lang w:eastAsia="ru-RU"/>
        </w:rPr>
      </w:pPr>
      <w:r>
        <w:rPr>
          <w:rFonts w:ascii="Times New Roman" w:hAnsi="Times New Roman"/>
          <w:sz w:val="26"/>
          <w:szCs w:val="26"/>
          <w:lang w:eastAsia="ru-RU"/>
        </w:rPr>
        <w:t>В соответствии с Политикой управления рисками и внутреннего контроля ПАО «Россети Юг» с учетом требований Порядка определения предпочтительного риска (риск-аппетита) решением Совета директоров Общества 06.10.2023 утвержден предпочтительный риск (риск-аппетит) (протокол от 06.10.2023 №546/2023).</w:t>
      </w:r>
    </w:p>
    <w:p w14:paraId="4226EFA0" w14:textId="77777777" w:rsidR="002449C2" w:rsidRDefault="00123961">
      <w:pPr>
        <w:tabs>
          <w:tab w:val="left" w:pos="1276"/>
          <w:tab w:val="left" w:pos="9922"/>
        </w:tabs>
        <w:spacing w:after="0" w:line="240" w:lineRule="auto"/>
        <w:ind w:firstLine="709"/>
        <w:contextualSpacing/>
        <w:jc w:val="both"/>
        <w:rPr>
          <w:rFonts w:ascii="Times New Roman" w:hAnsi="Times New Roman"/>
          <w:sz w:val="26"/>
          <w:szCs w:val="26"/>
          <w:lang w:eastAsia="ru-RU"/>
        </w:rPr>
      </w:pPr>
      <w:r>
        <w:rPr>
          <w:rFonts w:ascii="Times New Roman" w:hAnsi="Times New Roman"/>
          <w:bCs/>
          <w:spacing w:val="-2"/>
          <w:sz w:val="26"/>
          <w:szCs w:val="26"/>
        </w:rPr>
        <w:t xml:space="preserve">В соответствии с утвержденными </w:t>
      </w:r>
      <w:r>
        <w:rPr>
          <w:rFonts w:ascii="Times New Roman" w:hAnsi="Times New Roman"/>
          <w:sz w:val="26"/>
          <w:szCs w:val="26"/>
          <w:lang w:eastAsia="ru-RU"/>
        </w:rPr>
        <w:t xml:space="preserve">целевыми показателями риск-аппетита, ПАО «Россети Юг»: </w:t>
      </w:r>
    </w:p>
    <w:p w14:paraId="6AC3ADB5" w14:textId="77777777" w:rsidR="002449C2" w:rsidRDefault="00123961">
      <w:pPr>
        <w:pStyle w:val="afff6"/>
        <w:numPr>
          <w:ilvl w:val="0"/>
          <w:numId w:val="62"/>
        </w:numPr>
        <w:tabs>
          <w:tab w:val="left" w:pos="1276"/>
          <w:tab w:val="left" w:pos="9922"/>
        </w:tabs>
        <w:ind w:left="0" w:firstLine="709"/>
        <w:jc w:val="both"/>
        <w:rPr>
          <w:bCs/>
          <w:spacing w:val="-2"/>
          <w:sz w:val="26"/>
          <w:szCs w:val="26"/>
        </w:rPr>
      </w:pPr>
      <w:r>
        <w:rPr>
          <w:bCs/>
          <w:spacing w:val="-2"/>
          <w:sz w:val="26"/>
          <w:szCs w:val="26"/>
        </w:rPr>
        <w:t>обеспечивает надежное и качественное электроснабжение;</w:t>
      </w:r>
    </w:p>
    <w:p w14:paraId="6FEBD7C3" w14:textId="77777777" w:rsidR="002449C2" w:rsidRDefault="00123961">
      <w:pPr>
        <w:pStyle w:val="afff6"/>
        <w:numPr>
          <w:ilvl w:val="0"/>
          <w:numId w:val="62"/>
        </w:numPr>
        <w:tabs>
          <w:tab w:val="left" w:pos="1276"/>
          <w:tab w:val="left" w:pos="9922"/>
        </w:tabs>
        <w:ind w:left="0" w:firstLine="709"/>
        <w:jc w:val="both"/>
        <w:rPr>
          <w:bCs/>
          <w:spacing w:val="-2"/>
          <w:sz w:val="26"/>
          <w:szCs w:val="26"/>
        </w:rPr>
      </w:pPr>
      <w:r>
        <w:rPr>
          <w:bCs/>
          <w:spacing w:val="-2"/>
          <w:sz w:val="26"/>
          <w:szCs w:val="26"/>
        </w:rPr>
        <w:t>обеспечивает реализацию обязательств Политики в области охраны труда, развитие и совершенствование системы управления охраной труда и культуры безопасности;</w:t>
      </w:r>
    </w:p>
    <w:p w14:paraId="45C139F8" w14:textId="77777777" w:rsidR="002449C2" w:rsidRDefault="00123961">
      <w:pPr>
        <w:pStyle w:val="afff6"/>
        <w:numPr>
          <w:ilvl w:val="0"/>
          <w:numId w:val="62"/>
        </w:numPr>
        <w:tabs>
          <w:tab w:val="left" w:pos="1276"/>
          <w:tab w:val="left" w:pos="9922"/>
        </w:tabs>
        <w:ind w:left="0" w:firstLine="709"/>
        <w:jc w:val="both"/>
        <w:rPr>
          <w:bCs/>
          <w:spacing w:val="-2"/>
          <w:sz w:val="26"/>
          <w:szCs w:val="26"/>
        </w:rPr>
      </w:pPr>
      <w:r>
        <w:rPr>
          <w:bCs/>
          <w:spacing w:val="-2"/>
          <w:sz w:val="26"/>
          <w:szCs w:val="26"/>
        </w:rPr>
        <w:t xml:space="preserve">обеспечивает развитие и повышение доступности электросетевой инфраструктуры; </w:t>
      </w:r>
    </w:p>
    <w:p w14:paraId="20D9A8C0" w14:textId="77777777" w:rsidR="002449C2" w:rsidRDefault="00123961">
      <w:pPr>
        <w:pStyle w:val="afff6"/>
        <w:numPr>
          <w:ilvl w:val="0"/>
          <w:numId w:val="62"/>
        </w:numPr>
        <w:tabs>
          <w:tab w:val="left" w:pos="1276"/>
          <w:tab w:val="left" w:pos="9922"/>
        </w:tabs>
        <w:ind w:left="0" w:firstLine="709"/>
        <w:jc w:val="both"/>
        <w:rPr>
          <w:bCs/>
          <w:spacing w:val="-2"/>
          <w:sz w:val="26"/>
          <w:szCs w:val="26"/>
        </w:rPr>
      </w:pPr>
      <w:r>
        <w:rPr>
          <w:bCs/>
          <w:spacing w:val="-2"/>
          <w:sz w:val="26"/>
          <w:szCs w:val="26"/>
        </w:rPr>
        <w:t xml:space="preserve">стремится к снижению потерь электроэнергии при ее передаче и распределении; </w:t>
      </w:r>
    </w:p>
    <w:p w14:paraId="592B966E" w14:textId="77777777" w:rsidR="002449C2" w:rsidRDefault="00123961">
      <w:pPr>
        <w:pStyle w:val="afff6"/>
        <w:numPr>
          <w:ilvl w:val="0"/>
          <w:numId w:val="62"/>
        </w:numPr>
        <w:tabs>
          <w:tab w:val="left" w:pos="1276"/>
          <w:tab w:val="left" w:pos="9922"/>
        </w:tabs>
        <w:ind w:left="0" w:firstLine="709"/>
        <w:jc w:val="both"/>
        <w:rPr>
          <w:bCs/>
          <w:spacing w:val="-2"/>
          <w:sz w:val="26"/>
          <w:szCs w:val="26"/>
        </w:rPr>
      </w:pPr>
      <w:r>
        <w:rPr>
          <w:bCs/>
          <w:spacing w:val="-2"/>
          <w:sz w:val="26"/>
          <w:szCs w:val="26"/>
        </w:rPr>
        <w:t>стремится к сохранению устойчивого финансового положения;</w:t>
      </w:r>
    </w:p>
    <w:p w14:paraId="7836DB24" w14:textId="77777777" w:rsidR="002449C2" w:rsidRDefault="00123961">
      <w:pPr>
        <w:pStyle w:val="afff6"/>
        <w:numPr>
          <w:ilvl w:val="0"/>
          <w:numId w:val="62"/>
        </w:numPr>
        <w:tabs>
          <w:tab w:val="left" w:pos="1276"/>
          <w:tab w:val="left" w:pos="9922"/>
        </w:tabs>
        <w:ind w:left="0" w:firstLine="709"/>
        <w:jc w:val="both"/>
        <w:rPr>
          <w:bCs/>
          <w:spacing w:val="-2"/>
          <w:sz w:val="26"/>
          <w:szCs w:val="26"/>
        </w:rPr>
      </w:pPr>
      <w:r>
        <w:rPr>
          <w:bCs/>
          <w:spacing w:val="-2"/>
          <w:sz w:val="26"/>
          <w:szCs w:val="26"/>
        </w:rPr>
        <w:t>стремится к снижению (минимизации) негативного воздействия на окружающую среду;</w:t>
      </w:r>
    </w:p>
    <w:p w14:paraId="6B81E478" w14:textId="77777777" w:rsidR="002449C2" w:rsidRDefault="00123961">
      <w:pPr>
        <w:pStyle w:val="afff6"/>
        <w:numPr>
          <w:ilvl w:val="0"/>
          <w:numId w:val="62"/>
        </w:numPr>
        <w:tabs>
          <w:tab w:val="left" w:pos="1276"/>
          <w:tab w:val="left" w:pos="9922"/>
        </w:tabs>
        <w:ind w:left="0" w:firstLine="709"/>
        <w:jc w:val="both"/>
        <w:rPr>
          <w:bCs/>
          <w:spacing w:val="-2"/>
          <w:sz w:val="26"/>
          <w:szCs w:val="26"/>
        </w:rPr>
      </w:pPr>
      <w:r>
        <w:rPr>
          <w:bCs/>
          <w:spacing w:val="-2"/>
          <w:sz w:val="26"/>
          <w:szCs w:val="26"/>
        </w:rPr>
        <w:t>обеспечивает соблюдение прав акционеров;</w:t>
      </w:r>
    </w:p>
    <w:p w14:paraId="7126BB1D" w14:textId="77777777" w:rsidR="002449C2" w:rsidRDefault="00123961">
      <w:pPr>
        <w:pStyle w:val="afff6"/>
        <w:numPr>
          <w:ilvl w:val="0"/>
          <w:numId w:val="62"/>
        </w:numPr>
        <w:tabs>
          <w:tab w:val="left" w:pos="1276"/>
          <w:tab w:val="left" w:pos="9922"/>
        </w:tabs>
        <w:ind w:left="0" w:firstLine="709"/>
        <w:jc w:val="both"/>
        <w:rPr>
          <w:bCs/>
          <w:spacing w:val="-2"/>
          <w:sz w:val="26"/>
          <w:szCs w:val="26"/>
        </w:rPr>
      </w:pPr>
      <w:r>
        <w:rPr>
          <w:bCs/>
          <w:spacing w:val="-2"/>
          <w:sz w:val="26"/>
          <w:szCs w:val="26"/>
        </w:rPr>
        <w:t>не приемлет нарушение требований, установленных законодательством Российской Федерации;</w:t>
      </w:r>
    </w:p>
    <w:p w14:paraId="75E53A8C" w14:textId="77777777" w:rsidR="002449C2" w:rsidRDefault="00123961">
      <w:pPr>
        <w:pStyle w:val="afff6"/>
        <w:numPr>
          <w:ilvl w:val="0"/>
          <w:numId w:val="62"/>
        </w:numPr>
        <w:tabs>
          <w:tab w:val="left" w:pos="1276"/>
          <w:tab w:val="left" w:pos="9922"/>
        </w:tabs>
        <w:ind w:left="0" w:firstLine="709"/>
        <w:jc w:val="both"/>
        <w:rPr>
          <w:bCs/>
          <w:spacing w:val="-2"/>
          <w:sz w:val="26"/>
          <w:szCs w:val="26"/>
        </w:rPr>
      </w:pPr>
      <w:r>
        <w:rPr>
          <w:bCs/>
          <w:spacing w:val="-2"/>
          <w:sz w:val="26"/>
          <w:szCs w:val="26"/>
        </w:rPr>
        <w:t>стремится к обеспечению технологического и инновационного развития путем проведения и внедрения научных разработок;</w:t>
      </w:r>
    </w:p>
    <w:p w14:paraId="7604062A" w14:textId="77777777" w:rsidR="002449C2" w:rsidRDefault="00123961">
      <w:pPr>
        <w:widowControl w:val="0"/>
        <w:shd w:val="clear" w:color="auto" w:fill="FFFFFF"/>
        <w:tabs>
          <w:tab w:val="left" w:pos="993"/>
        </w:tabs>
        <w:spacing w:after="0" w:line="240" w:lineRule="auto"/>
        <w:ind w:firstLine="708"/>
        <w:jc w:val="both"/>
        <w:rPr>
          <w:rFonts w:ascii="Times New Roman" w:hAnsi="Times New Roman"/>
          <w:bCs/>
          <w:spacing w:val="-2"/>
          <w:sz w:val="26"/>
          <w:szCs w:val="26"/>
        </w:rPr>
      </w:pPr>
      <w:r>
        <w:rPr>
          <w:rFonts w:ascii="Times New Roman" w:hAnsi="Times New Roman"/>
          <w:bCs/>
          <w:spacing w:val="-2"/>
          <w:sz w:val="26"/>
          <w:szCs w:val="26"/>
        </w:rPr>
        <w:t>обеспечивает развитие кадрового потенциала электросетевого комплекса и поддерживает стабильно высокий уровень обеспеченности персоналом.</w:t>
      </w:r>
    </w:p>
    <w:p w14:paraId="136D7C76" w14:textId="77777777" w:rsidR="002449C2" w:rsidRDefault="00123961">
      <w:pPr>
        <w:widowControl w:val="0"/>
        <w:shd w:val="clear" w:color="auto" w:fill="FFFFFF"/>
        <w:tabs>
          <w:tab w:val="left" w:pos="993"/>
        </w:tabs>
        <w:spacing w:after="0" w:line="240" w:lineRule="auto"/>
        <w:ind w:firstLine="708"/>
        <w:jc w:val="both"/>
        <w:rPr>
          <w:rFonts w:ascii="Times New Roman" w:eastAsia="Times New Roman" w:hAnsi="Times New Roman"/>
          <w:b/>
          <w:color w:val="0070C0"/>
          <w:sz w:val="26"/>
          <w:szCs w:val="26"/>
          <w:lang w:eastAsia="ru-RU"/>
        </w:rPr>
      </w:pPr>
      <w:r>
        <w:rPr>
          <w:rFonts w:ascii="Times New Roman" w:eastAsia="Times New Roman" w:hAnsi="Times New Roman"/>
          <w:b/>
          <w:color w:val="0070C0"/>
          <w:sz w:val="26"/>
          <w:szCs w:val="26"/>
          <w:lang w:eastAsia="ru-RU"/>
        </w:rPr>
        <w:t>Сведения об оценке ключевых рисков.</w:t>
      </w:r>
    </w:p>
    <w:p w14:paraId="6A4C7070" w14:textId="77777777" w:rsidR="002449C2" w:rsidRDefault="00123961">
      <w:pPr>
        <w:shd w:val="clear" w:color="auto" w:fill="FFFFFF"/>
        <w:tabs>
          <w:tab w:val="left" w:pos="851"/>
        </w:tabs>
        <w:spacing w:after="0" w:line="240" w:lineRule="auto"/>
        <w:ind w:firstLine="709"/>
        <w:jc w:val="both"/>
        <w:rPr>
          <w:rFonts w:ascii="Times New Roman" w:hAnsi="Times New Roman"/>
          <w:sz w:val="26"/>
          <w:szCs w:val="26"/>
        </w:rPr>
      </w:pPr>
      <w:r>
        <w:rPr>
          <w:rFonts w:ascii="Times New Roman" w:eastAsia="Times New Roman" w:hAnsi="Times New Roman"/>
          <w:sz w:val="26"/>
          <w:szCs w:val="26"/>
        </w:rPr>
        <w:t xml:space="preserve">Результаты оценки уровня существенности ключевых рисков Общества в 2024 году, а также основные </w:t>
      </w:r>
      <w:r>
        <w:rPr>
          <w:rFonts w:ascii="Times New Roman" w:hAnsi="Times New Roman"/>
          <w:sz w:val="26"/>
          <w:szCs w:val="26"/>
        </w:rPr>
        <w:t>мероприятия, направленные на снижение и минимизацию последствий от реализации рисков:</w:t>
      </w:r>
    </w:p>
    <w:tbl>
      <w:tblPr>
        <w:tblStyle w:val="SmartTextTable21"/>
        <w:tblW w:w="10348" w:type="dxa"/>
        <w:jc w:val="center"/>
        <w:tblLayout w:type="fixed"/>
        <w:tblLook w:val="04A0" w:firstRow="1" w:lastRow="0" w:firstColumn="1" w:lastColumn="0" w:noHBand="0" w:noVBand="1"/>
      </w:tblPr>
      <w:tblGrid>
        <w:gridCol w:w="426"/>
        <w:gridCol w:w="844"/>
        <w:gridCol w:w="1844"/>
        <w:gridCol w:w="1134"/>
        <w:gridCol w:w="997"/>
        <w:gridCol w:w="5103"/>
      </w:tblGrid>
      <w:tr w:rsidR="002449C2" w14:paraId="10EE532B" w14:textId="77777777">
        <w:trPr>
          <w:trHeight w:val="203"/>
          <w:jc w:val="center"/>
        </w:trPr>
        <w:tc>
          <w:tcPr>
            <w:tcW w:w="425"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1827406" w14:textId="77777777" w:rsidR="002449C2" w:rsidRDefault="00123961">
            <w:pPr>
              <w:jc w:val="center"/>
              <w:rPr>
                <w:rFonts w:ascii="Times New Roman" w:hAnsi="Times New Roman"/>
                <w:b/>
                <w:sz w:val="20"/>
                <w:szCs w:val="20"/>
                <w:lang w:val="en-US"/>
              </w:rPr>
            </w:pPr>
            <w:r>
              <w:rPr>
                <w:rFonts w:ascii="Times New Roman" w:hAnsi="Times New Roman"/>
                <w:b/>
                <w:sz w:val="20"/>
                <w:szCs w:val="20"/>
              </w:rPr>
              <w:t>№ п/п</w:t>
            </w:r>
          </w:p>
        </w:tc>
        <w:tc>
          <w:tcPr>
            <w:tcW w:w="844"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4A9BCE8" w14:textId="77777777" w:rsidR="002449C2" w:rsidRDefault="00123961">
            <w:pPr>
              <w:jc w:val="center"/>
              <w:rPr>
                <w:rFonts w:ascii="Times New Roman" w:hAnsi="Times New Roman"/>
                <w:b/>
                <w:sz w:val="20"/>
                <w:szCs w:val="20"/>
              </w:rPr>
            </w:pPr>
            <w:r>
              <w:rPr>
                <w:rFonts w:ascii="Times New Roman" w:hAnsi="Times New Roman"/>
                <w:b/>
                <w:sz w:val="20"/>
                <w:szCs w:val="20"/>
                <w:lang w:val="en-US"/>
              </w:rPr>
              <w:t xml:space="preserve">ID </w:t>
            </w:r>
            <w:r>
              <w:rPr>
                <w:rFonts w:ascii="Times New Roman" w:hAnsi="Times New Roman"/>
                <w:b/>
                <w:sz w:val="20"/>
                <w:szCs w:val="20"/>
              </w:rPr>
              <w:t>риска</w:t>
            </w:r>
          </w:p>
        </w:tc>
        <w:tc>
          <w:tcPr>
            <w:tcW w:w="1844"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EC0E900" w14:textId="77777777" w:rsidR="002449C2" w:rsidRDefault="00123961">
            <w:pPr>
              <w:jc w:val="center"/>
              <w:rPr>
                <w:rFonts w:ascii="Times New Roman" w:hAnsi="Times New Roman"/>
                <w:b/>
                <w:sz w:val="20"/>
                <w:szCs w:val="20"/>
              </w:rPr>
            </w:pPr>
            <w:r>
              <w:rPr>
                <w:rFonts w:ascii="Times New Roman" w:hAnsi="Times New Roman"/>
                <w:b/>
                <w:sz w:val="20"/>
                <w:szCs w:val="20"/>
              </w:rPr>
              <w:t>Наименование риска</w:t>
            </w:r>
          </w:p>
        </w:tc>
        <w:tc>
          <w:tcPr>
            <w:tcW w:w="2131"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9B75AE0" w14:textId="77777777" w:rsidR="002449C2" w:rsidRDefault="00123961">
            <w:pPr>
              <w:jc w:val="center"/>
              <w:rPr>
                <w:rFonts w:ascii="Times New Roman" w:hAnsi="Times New Roman"/>
                <w:i/>
                <w:sz w:val="20"/>
                <w:szCs w:val="20"/>
              </w:rPr>
            </w:pPr>
            <w:r>
              <w:rPr>
                <w:rFonts w:ascii="Times New Roman" w:hAnsi="Times New Roman"/>
                <w:b/>
                <w:sz w:val="20"/>
                <w:szCs w:val="20"/>
              </w:rPr>
              <w:t>Уровень существенности риска</w:t>
            </w:r>
          </w:p>
        </w:tc>
        <w:tc>
          <w:tcPr>
            <w:tcW w:w="5103"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A260DDB" w14:textId="77777777" w:rsidR="002449C2" w:rsidRDefault="00123961">
            <w:pPr>
              <w:jc w:val="center"/>
              <w:rPr>
                <w:rFonts w:ascii="Times New Roman" w:hAnsi="Times New Roman"/>
                <w:b/>
                <w:sz w:val="20"/>
                <w:szCs w:val="20"/>
              </w:rPr>
            </w:pPr>
            <w:r>
              <w:rPr>
                <w:rFonts w:ascii="Times New Roman" w:hAnsi="Times New Roman"/>
                <w:b/>
                <w:sz w:val="20"/>
                <w:szCs w:val="20"/>
              </w:rPr>
              <w:t>Основные мероприятия по управлению риском</w:t>
            </w:r>
          </w:p>
        </w:tc>
      </w:tr>
      <w:tr w:rsidR="002449C2" w14:paraId="5C4391C1" w14:textId="77777777">
        <w:trPr>
          <w:trHeight w:val="203"/>
          <w:jc w:val="center"/>
        </w:trPr>
        <w:tc>
          <w:tcPr>
            <w:tcW w:w="425" w:type="dxa"/>
            <w:vMerge/>
            <w:tcBorders>
              <w:top w:val="single" w:sz="4" w:space="0" w:color="000000"/>
              <w:left w:val="single" w:sz="4" w:space="0" w:color="000000"/>
              <w:bottom w:val="single" w:sz="4" w:space="0" w:color="000000"/>
              <w:right w:val="single" w:sz="4" w:space="0" w:color="000000"/>
            </w:tcBorders>
            <w:vAlign w:val="center"/>
          </w:tcPr>
          <w:p w14:paraId="21F94C79" w14:textId="77777777" w:rsidR="002449C2" w:rsidRDefault="002449C2">
            <w:pPr>
              <w:rPr>
                <w:rFonts w:ascii="Times New Roman" w:hAnsi="Times New Roman"/>
                <w:b/>
                <w:sz w:val="20"/>
                <w:szCs w:val="20"/>
              </w:rPr>
            </w:pPr>
          </w:p>
        </w:tc>
        <w:tc>
          <w:tcPr>
            <w:tcW w:w="844" w:type="dxa"/>
            <w:vMerge/>
            <w:tcBorders>
              <w:top w:val="single" w:sz="4" w:space="0" w:color="000000"/>
              <w:left w:val="single" w:sz="4" w:space="0" w:color="000000"/>
              <w:bottom w:val="single" w:sz="4" w:space="0" w:color="000000"/>
              <w:right w:val="single" w:sz="4" w:space="0" w:color="000000"/>
            </w:tcBorders>
            <w:vAlign w:val="center"/>
          </w:tcPr>
          <w:p w14:paraId="73F78C1B" w14:textId="77777777" w:rsidR="002449C2" w:rsidRDefault="002449C2">
            <w:pPr>
              <w:rPr>
                <w:rFonts w:ascii="Times New Roman" w:hAnsi="Times New Roman"/>
                <w:b/>
                <w:sz w:val="20"/>
                <w:szCs w:val="20"/>
              </w:rPr>
            </w:pPr>
          </w:p>
        </w:tc>
        <w:tc>
          <w:tcPr>
            <w:tcW w:w="1844" w:type="dxa"/>
            <w:vMerge/>
            <w:tcBorders>
              <w:top w:val="single" w:sz="4" w:space="0" w:color="000000"/>
              <w:left w:val="single" w:sz="4" w:space="0" w:color="000000"/>
              <w:bottom w:val="single" w:sz="4" w:space="0" w:color="000000"/>
              <w:right w:val="single" w:sz="4" w:space="0" w:color="000000"/>
            </w:tcBorders>
            <w:vAlign w:val="center"/>
          </w:tcPr>
          <w:p w14:paraId="7AC6D2F4" w14:textId="77777777" w:rsidR="002449C2" w:rsidRDefault="002449C2">
            <w:pPr>
              <w:rPr>
                <w:rFonts w:ascii="Times New Roman" w:hAnsi="Times New Roman"/>
                <w:b/>
                <w:sz w:val="20"/>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897D141" w14:textId="77777777" w:rsidR="002449C2" w:rsidRDefault="00123961">
            <w:pPr>
              <w:jc w:val="center"/>
              <w:rPr>
                <w:rFonts w:ascii="Times New Roman" w:hAnsi="Times New Roman"/>
                <w:b/>
                <w:sz w:val="18"/>
                <w:szCs w:val="18"/>
              </w:rPr>
            </w:pPr>
            <w:r>
              <w:rPr>
                <w:rFonts w:ascii="Times New Roman" w:hAnsi="Times New Roman"/>
                <w:b/>
                <w:sz w:val="18"/>
                <w:szCs w:val="18"/>
              </w:rPr>
              <w:t>(на начало периода) 2024 года</w:t>
            </w:r>
          </w:p>
        </w:tc>
        <w:tc>
          <w:tcPr>
            <w:tcW w:w="99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34372C5" w14:textId="77777777" w:rsidR="002449C2" w:rsidRDefault="00123961">
            <w:pPr>
              <w:rPr>
                <w:rFonts w:ascii="Times New Roman" w:hAnsi="Times New Roman"/>
                <w:b/>
                <w:sz w:val="18"/>
                <w:szCs w:val="18"/>
              </w:rPr>
            </w:pPr>
            <w:r>
              <w:rPr>
                <w:rFonts w:ascii="Times New Roman" w:hAnsi="Times New Roman"/>
                <w:b/>
                <w:sz w:val="18"/>
                <w:szCs w:val="18"/>
              </w:rPr>
              <w:t>(по итогам) 2024года</w:t>
            </w:r>
          </w:p>
        </w:tc>
        <w:tc>
          <w:tcPr>
            <w:tcW w:w="5103" w:type="dxa"/>
            <w:vMerge/>
            <w:tcBorders>
              <w:left w:val="single" w:sz="4" w:space="0" w:color="000000"/>
              <w:bottom w:val="single" w:sz="4" w:space="0" w:color="000000"/>
              <w:right w:val="single" w:sz="4" w:space="0" w:color="000000"/>
            </w:tcBorders>
            <w:shd w:val="clear" w:color="auto" w:fill="D9D9D9" w:themeFill="background1" w:themeFillShade="D9"/>
          </w:tcPr>
          <w:p w14:paraId="3D96C655" w14:textId="77777777" w:rsidR="002449C2" w:rsidRDefault="002449C2">
            <w:pPr>
              <w:jc w:val="center"/>
              <w:rPr>
                <w:rFonts w:ascii="Times New Roman" w:hAnsi="Times New Roman"/>
                <w:b/>
                <w:sz w:val="20"/>
                <w:szCs w:val="20"/>
              </w:rPr>
            </w:pPr>
          </w:p>
        </w:tc>
      </w:tr>
      <w:tr w:rsidR="002449C2" w14:paraId="5CF4C684" w14:textId="77777777">
        <w:trPr>
          <w:trHeight w:val="213"/>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273B8204" w14:textId="77777777" w:rsidR="002449C2" w:rsidRDefault="00123961">
            <w:pPr>
              <w:jc w:val="center"/>
              <w:rPr>
                <w:rFonts w:ascii="Times New Roman" w:hAnsi="Times New Roman"/>
                <w:sz w:val="20"/>
                <w:szCs w:val="20"/>
                <w:lang w:val="en-US"/>
              </w:rPr>
            </w:pPr>
            <w:r>
              <w:rPr>
                <w:rFonts w:ascii="Times New Roman" w:hAnsi="Times New Roman"/>
                <w:sz w:val="20"/>
                <w:szCs w:val="20"/>
                <w:lang w:val="en-US"/>
              </w:rPr>
              <w:t>1</w:t>
            </w:r>
          </w:p>
        </w:tc>
        <w:tc>
          <w:tcPr>
            <w:tcW w:w="844" w:type="dxa"/>
            <w:tcBorders>
              <w:top w:val="single" w:sz="4" w:space="0" w:color="000000"/>
              <w:left w:val="single" w:sz="4" w:space="0" w:color="000000"/>
              <w:bottom w:val="single" w:sz="4" w:space="0" w:color="000000"/>
              <w:right w:val="single" w:sz="4" w:space="0" w:color="000000"/>
            </w:tcBorders>
            <w:vAlign w:val="center"/>
          </w:tcPr>
          <w:p w14:paraId="30F79252"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СР 1</w:t>
            </w:r>
          </w:p>
        </w:tc>
        <w:tc>
          <w:tcPr>
            <w:tcW w:w="1844" w:type="dxa"/>
            <w:tcBorders>
              <w:top w:val="single" w:sz="4" w:space="0" w:color="000000"/>
              <w:left w:val="single" w:sz="4" w:space="0" w:color="000000"/>
              <w:bottom w:val="single" w:sz="4" w:space="0" w:color="000000"/>
              <w:right w:val="single" w:sz="4" w:space="0" w:color="000000"/>
            </w:tcBorders>
            <w:vAlign w:val="center"/>
          </w:tcPr>
          <w:p w14:paraId="24B5167A"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Недостижение показателей уровня надежности электроснабжения</w:t>
            </w:r>
          </w:p>
        </w:tc>
        <w:tc>
          <w:tcPr>
            <w:tcW w:w="11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22C131F"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99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FE66D11" w14:textId="77777777" w:rsidR="002449C2" w:rsidRDefault="00123961">
            <w:pPr>
              <w:jc w:val="center"/>
              <w:rPr>
                <w:rFonts w:ascii="Times New Roman" w:hAnsi="Times New Roman"/>
                <w:sz w:val="20"/>
                <w:szCs w:val="20"/>
              </w:rPr>
            </w:pPr>
            <w:r>
              <w:rPr>
                <w:rFonts w:ascii="Times New Roman" w:hAnsi="Times New Roman"/>
                <w:b/>
                <w:sz w:val="20"/>
                <w:szCs w:val="20"/>
              </w:rPr>
              <w:t>З</w:t>
            </w:r>
          </w:p>
        </w:tc>
        <w:tc>
          <w:tcPr>
            <w:tcW w:w="51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31917" w14:textId="77777777" w:rsidR="002449C2" w:rsidRDefault="00123961">
            <w:pPr>
              <w:tabs>
                <w:tab w:val="left" w:pos="316"/>
              </w:tabs>
              <w:spacing w:line="240" w:lineRule="auto"/>
              <w:jc w:val="both"/>
              <w:rPr>
                <w:rFonts w:ascii="Times New Roman" w:hAnsi="Times New Roman"/>
                <w:sz w:val="20"/>
                <w:szCs w:val="20"/>
              </w:rPr>
            </w:pPr>
            <w:r>
              <w:rPr>
                <w:rFonts w:ascii="Times New Roman" w:hAnsi="Times New Roman"/>
                <w:sz w:val="20"/>
                <w:szCs w:val="20"/>
              </w:rPr>
              <w:t>1.Выполнение ремонтов объектов по техническому состоянию с учетом рисков и данных по отключениям2. Проведение мероприятий по контрольному снятию показаний расчетных приборов учета электрической энергии с привлечением дополнительного персонала.</w:t>
            </w:r>
          </w:p>
          <w:p w14:paraId="1A166132" w14:textId="77777777" w:rsidR="002449C2" w:rsidRDefault="00123961">
            <w:pPr>
              <w:tabs>
                <w:tab w:val="left" w:pos="316"/>
              </w:tabs>
              <w:spacing w:line="240" w:lineRule="auto"/>
              <w:jc w:val="both"/>
              <w:rPr>
                <w:rFonts w:ascii="Times New Roman" w:hAnsi="Times New Roman"/>
                <w:sz w:val="20"/>
                <w:szCs w:val="20"/>
              </w:rPr>
            </w:pPr>
            <w:r>
              <w:rPr>
                <w:rFonts w:ascii="Times New Roman" w:hAnsi="Times New Roman"/>
                <w:sz w:val="20"/>
                <w:szCs w:val="20"/>
              </w:rPr>
              <w:t>2.Систематическое повышение квалификации персонала и практическое обучение навыкам и методам безопасного выполнения работ, в том числе для формирования у работников навыков безопасного поведения на производстве и предупреждения опасных ситуаций.</w:t>
            </w:r>
          </w:p>
          <w:p w14:paraId="679B8CD5" w14:textId="77777777" w:rsidR="002449C2" w:rsidRDefault="00123961">
            <w:pPr>
              <w:tabs>
                <w:tab w:val="left" w:pos="316"/>
              </w:tabs>
              <w:spacing w:line="240" w:lineRule="auto"/>
              <w:jc w:val="both"/>
              <w:rPr>
                <w:rFonts w:ascii="Times New Roman" w:hAnsi="Times New Roman"/>
                <w:sz w:val="20"/>
                <w:szCs w:val="20"/>
              </w:rPr>
            </w:pPr>
            <w:r>
              <w:rPr>
                <w:rFonts w:ascii="Times New Roman" w:hAnsi="Times New Roman"/>
                <w:sz w:val="20"/>
                <w:szCs w:val="20"/>
              </w:rPr>
              <w:t>3.Разработка и актуализация положений о технологическом взаимодействии со смежными субъектами электроэнергетики (ССЭ).</w:t>
            </w:r>
          </w:p>
          <w:p w14:paraId="5576C721" w14:textId="77777777" w:rsidR="002449C2" w:rsidRDefault="00123961">
            <w:pPr>
              <w:tabs>
                <w:tab w:val="left" w:pos="316"/>
              </w:tabs>
              <w:spacing w:line="240" w:lineRule="auto"/>
              <w:jc w:val="both"/>
              <w:rPr>
                <w:rFonts w:ascii="Times New Roman" w:hAnsi="Times New Roman"/>
                <w:sz w:val="20"/>
                <w:szCs w:val="20"/>
              </w:rPr>
            </w:pPr>
            <w:r>
              <w:rPr>
                <w:rFonts w:ascii="Times New Roman" w:hAnsi="Times New Roman"/>
                <w:sz w:val="20"/>
                <w:szCs w:val="20"/>
              </w:rPr>
              <w:t>4.Информирование населения через средства печати, радио и телевидение об опасности приближения и нахождения в электроустановках, недопустимости нарушений требований правил охраны электрических сетей, проведение уроков электробезопасности в детских учреждениях, установка необходимых знаков и плакатов безопасности.</w:t>
            </w:r>
          </w:p>
          <w:p w14:paraId="48C23194" w14:textId="77777777" w:rsidR="002449C2" w:rsidRDefault="00123961">
            <w:pPr>
              <w:tabs>
                <w:tab w:val="left" w:pos="316"/>
              </w:tabs>
              <w:spacing w:line="240" w:lineRule="auto"/>
              <w:jc w:val="both"/>
              <w:rPr>
                <w:rFonts w:ascii="Times New Roman" w:hAnsi="Times New Roman"/>
                <w:sz w:val="20"/>
                <w:szCs w:val="20"/>
              </w:rPr>
            </w:pPr>
            <w:r>
              <w:rPr>
                <w:rFonts w:ascii="Times New Roman" w:hAnsi="Times New Roman"/>
                <w:sz w:val="20"/>
                <w:szCs w:val="20"/>
              </w:rPr>
              <w:t>5.Организация выборочного контроля выполнения мероприятий по результатам  расследования технологических нарушений (аварий).</w:t>
            </w:r>
          </w:p>
        </w:tc>
      </w:tr>
      <w:tr w:rsidR="002449C2" w14:paraId="0A57B1C4" w14:textId="77777777">
        <w:trPr>
          <w:trHeight w:val="213"/>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3570A84B" w14:textId="77777777" w:rsidR="002449C2" w:rsidRDefault="00123961">
            <w:pPr>
              <w:jc w:val="center"/>
              <w:rPr>
                <w:rFonts w:ascii="Times New Roman" w:hAnsi="Times New Roman"/>
                <w:sz w:val="20"/>
                <w:szCs w:val="20"/>
              </w:rPr>
            </w:pPr>
            <w:r>
              <w:rPr>
                <w:rFonts w:ascii="Times New Roman" w:hAnsi="Times New Roman"/>
                <w:sz w:val="20"/>
                <w:szCs w:val="20"/>
              </w:rPr>
              <w:t>2</w:t>
            </w:r>
          </w:p>
        </w:tc>
        <w:tc>
          <w:tcPr>
            <w:tcW w:w="844" w:type="dxa"/>
            <w:tcBorders>
              <w:top w:val="single" w:sz="4" w:space="0" w:color="000000"/>
              <w:left w:val="single" w:sz="4" w:space="0" w:color="000000"/>
              <w:bottom w:val="single" w:sz="4" w:space="0" w:color="000000"/>
              <w:right w:val="single" w:sz="4" w:space="0" w:color="000000"/>
            </w:tcBorders>
            <w:vAlign w:val="center"/>
          </w:tcPr>
          <w:p w14:paraId="3DF52621"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СР 2</w:t>
            </w:r>
          </w:p>
        </w:tc>
        <w:tc>
          <w:tcPr>
            <w:tcW w:w="1844" w:type="dxa"/>
            <w:tcBorders>
              <w:top w:val="single" w:sz="4" w:space="0" w:color="000000"/>
              <w:left w:val="single" w:sz="4" w:space="0" w:color="000000"/>
              <w:bottom w:val="single" w:sz="4" w:space="0" w:color="000000"/>
              <w:right w:val="single" w:sz="4" w:space="0" w:color="000000"/>
            </w:tcBorders>
            <w:vAlign w:val="center"/>
          </w:tcPr>
          <w:p w14:paraId="00C49483"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Ухудшение макроэкономических условий, влияющих на деятельность Общества</w:t>
            </w:r>
          </w:p>
        </w:tc>
        <w:tc>
          <w:tcPr>
            <w:tcW w:w="11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08214DF"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99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9677A17" w14:textId="77777777" w:rsidR="002449C2" w:rsidRDefault="00123961">
            <w:pPr>
              <w:jc w:val="center"/>
              <w:rPr>
                <w:rFonts w:ascii="Times New Roman" w:hAnsi="Times New Roman"/>
                <w:sz w:val="20"/>
                <w:szCs w:val="20"/>
              </w:rPr>
            </w:pPr>
            <w:r>
              <w:rPr>
                <w:rFonts w:ascii="Times New Roman" w:hAnsi="Times New Roman"/>
                <w:b/>
                <w:sz w:val="20"/>
                <w:szCs w:val="20"/>
              </w:rPr>
              <w:t>З</w:t>
            </w:r>
          </w:p>
        </w:tc>
        <w:tc>
          <w:tcPr>
            <w:tcW w:w="51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3A9D9" w14:textId="77777777" w:rsidR="002449C2" w:rsidRDefault="00123961">
            <w:pPr>
              <w:pStyle w:val="afff6"/>
              <w:tabs>
                <w:tab w:val="left" w:pos="316"/>
              </w:tabs>
              <w:ind w:left="0"/>
              <w:jc w:val="both"/>
              <w:rPr>
                <w:rFonts w:eastAsiaTheme="minorEastAsia"/>
                <w:sz w:val="20"/>
                <w:szCs w:val="20"/>
              </w:rPr>
            </w:pPr>
            <w:r>
              <w:rPr>
                <w:rFonts w:eastAsiaTheme="minorEastAsia"/>
                <w:sz w:val="20"/>
                <w:szCs w:val="20"/>
              </w:rPr>
              <w:t>В случае фактического снижения объема оказанных услуг по передаче электрической энергии относительно утвержденных параметров бизнес-плана на текущий отчетный период (год) более чем на 30% при наличии объективных геополитических, макроэкономических, техногенных, природных и других факторов, инициировать изменение утвержденных параметров бизнес-плана Общества на текущий год в части снижения объема оказанных услуг по передаче электрической энергии.</w:t>
            </w:r>
          </w:p>
        </w:tc>
      </w:tr>
      <w:tr w:rsidR="002449C2" w14:paraId="186D29A9" w14:textId="77777777">
        <w:trPr>
          <w:trHeight w:val="213"/>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614B6E10" w14:textId="77777777" w:rsidR="002449C2" w:rsidRDefault="00123961">
            <w:pPr>
              <w:jc w:val="center"/>
              <w:rPr>
                <w:rFonts w:ascii="Times New Roman" w:hAnsi="Times New Roman"/>
                <w:sz w:val="20"/>
                <w:szCs w:val="20"/>
              </w:rPr>
            </w:pPr>
            <w:r>
              <w:rPr>
                <w:rFonts w:ascii="Times New Roman" w:hAnsi="Times New Roman"/>
                <w:sz w:val="20"/>
                <w:szCs w:val="20"/>
              </w:rPr>
              <w:t>3</w:t>
            </w:r>
          </w:p>
        </w:tc>
        <w:tc>
          <w:tcPr>
            <w:tcW w:w="844" w:type="dxa"/>
            <w:tcBorders>
              <w:top w:val="single" w:sz="4" w:space="0" w:color="000000"/>
              <w:left w:val="single" w:sz="4" w:space="0" w:color="000000"/>
              <w:bottom w:val="single" w:sz="4" w:space="0" w:color="000000"/>
              <w:right w:val="single" w:sz="4" w:space="0" w:color="000000"/>
            </w:tcBorders>
            <w:vAlign w:val="center"/>
          </w:tcPr>
          <w:p w14:paraId="25CA4F0E"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СР 4</w:t>
            </w:r>
          </w:p>
        </w:tc>
        <w:tc>
          <w:tcPr>
            <w:tcW w:w="1844" w:type="dxa"/>
            <w:tcBorders>
              <w:top w:val="single" w:sz="4" w:space="0" w:color="000000"/>
              <w:left w:val="single" w:sz="4" w:space="0" w:color="000000"/>
              <w:bottom w:val="single" w:sz="4" w:space="0" w:color="000000"/>
              <w:right w:val="single" w:sz="4" w:space="0" w:color="000000"/>
            </w:tcBorders>
            <w:vAlign w:val="center"/>
          </w:tcPr>
          <w:p w14:paraId="5D478D7F"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Недостижение показателей Стратегии цифровой трансформации</w:t>
            </w:r>
          </w:p>
        </w:tc>
        <w:tc>
          <w:tcPr>
            <w:tcW w:w="11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D0C30EF" w14:textId="77777777" w:rsidR="002449C2" w:rsidRDefault="00123961">
            <w:pPr>
              <w:jc w:val="center"/>
              <w:rPr>
                <w:rFonts w:ascii="Times New Roman" w:hAnsi="Times New Roman"/>
                <w:sz w:val="20"/>
                <w:szCs w:val="20"/>
              </w:rPr>
            </w:pPr>
            <w:r>
              <w:rPr>
                <w:rFonts w:ascii="Times New Roman" w:hAnsi="Times New Roman"/>
                <w:b/>
                <w:sz w:val="20"/>
                <w:szCs w:val="20"/>
              </w:rPr>
              <w:t>З</w:t>
            </w:r>
          </w:p>
        </w:tc>
        <w:tc>
          <w:tcPr>
            <w:tcW w:w="99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7BDF499" w14:textId="77777777" w:rsidR="002449C2" w:rsidRDefault="00123961">
            <w:pPr>
              <w:jc w:val="center"/>
              <w:rPr>
                <w:rFonts w:ascii="Times New Roman" w:hAnsi="Times New Roman"/>
                <w:sz w:val="20"/>
                <w:szCs w:val="20"/>
              </w:rPr>
            </w:pPr>
            <w:r>
              <w:rPr>
                <w:rFonts w:ascii="Times New Roman" w:hAnsi="Times New Roman"/>
                <w:b/>
                <w:sz w:val="20"/>
                <w:szCs w:val="20"/>
              </w:rPr>
              <w:t>З</w:t>
            </w:r>
          </w:p>
        </w:tc>
        <w:tc>
          <w:tcPr>
            <w:tcW w:w="51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D7F20" w14:textId="77777777" w:rsidR="002449C2" w:rsidRDefault="00123961">
            <w:pPr>
              <w:spacing w:line="240" w:lineRule="auto"/>
              <w:jc w:val="both"/>
              <w:rPr>
                <w:rFonts w:ascii="Times New Roman" w:hAnsi="Times New Roman"/>
                <w:sz w:val="20"/>
                <w:szCs w:val="20"/>
              </w:rPr>
            </w:pPr>
            <w:r>
              <w:rPr>
                <w:rFonts w:ascii="Times New Roman" w:hAnsi="Times New Roman"/>
                <w:sz w:val="20"/>
                <w:szCs w:val="20"/>
              </w:rPr>
              <w:t>1.Мониторинг информационных ресурсов, регулярное взаимодействие с ведущими производителями отечественных платформ и решений с целью проведения оценки соответствия необходимым требованиям в отношении отдельных классов программного обеспечения, используемых в Обществе. Создание совместно с ведущими производителями отечественных платформ и решений тестовых полигонов для определения степени готовности их решений для нужд Общества.</w:t>
            </w:r>
          </w:p>
          <w:p w14:paraId="16E2DE0C" w14:textId="77777777" w:rsidR="002449C2" w:rsidRDefault="00123961">
            <w:pPr>
              <w:spacing w:line="240" w:lineRule="auto"/>
              <w:jc w:val="both"/>
              <w:rPr>
                <w:rFonts w:ascii="Times New Roman" w:hAnsi="Times New Roman"/>
                <w:sz w:val="20"/>
                <w:szCs w:val="20"/>
              </w:rPr>
            </w:pPr>
            <w:r>
              <w:rPr>
                <w:rFonts w:ascii="Times New Roman" w:hAnsi="Times New Roman"/>
                <w:sz w:val="20"/>
                <w:szCs w:val="20"/>
              </w:rPr>
              <w:t>2. Формирование бизнес-плана ПАО «Россети Юг» на новый финансовый год с учетом соблюдения необходимой доли расходов на закупку российского программного обеспечения и связанных с ним работ (услуг) в общем объеме расходов на закупку программного обеспечения и связанных с ним работ (услуг).</w:t>
            </w:r>
          </w:p>
        </w:tc>
      </w:tr>
      <w:tr w:rsidR="002449C2" w14:paraId="0017AFFD" w14:textId="77777777">
        <w:trPr>
          <w:trHeight w:val="213"/>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2EE3EDD2" w14:textId="77777777" w:rsidR="002449C2" w:rsidRDefault="00123961">
            <w:pPr>
              <w:jc w:val="center"/>
              <w:rPr>
                <w:rFonts w:ascii="Times New Roman" w:hAnsi="Times New Roman"/>
                <w:sz w:val="20"/>
                <w:szCs w:val="20"/>
              </w:rPr>
            </w:pPr>
            <w:r>
              <w:rPr>
                <w:rFonts w:ascii="Times New Roman" w:hAnsi="Times New Roman"/>
                <w:sz w:val="20"/>
                <w:szCs w:val="20"/>
              </w:rPr>
              <w:t>4</w:t>
            </w:r>
          </w:p>
        </w:tc>
        <w:tc>
          <w:tcPr>
            <w:tcW w:w="844" w:type="dxa"/>
            <w:tcBorders>
              <w:top w:val="single" w:sz="4" w:space="0" w:color="000000"/>
              <w:left w:val="single" w:sz="4" w:space="0" w:color="000000"/>
              <w:bottom w:val="single" w:sz="4" w:space="0" w:color="000000"/>
              <w:right w:val="single" w:sz="4" w:space="0" w:color="000000"/>
            </w:tcBorders>
            <w:vAlign w:val="center"/>
          </w:tcPr>
          <w:p w14:paraId="79275851"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ОР 2</w:t>
            </w:r>
          </w:p>
        </w:tc>
        <w:tc>
          <w:tcPr>
            <w:tcW w:w="1844" w:type="dxa"/>
            <w:tcBorders>
              <w:top w:val="single" w:sz="4" w:space="0" w:color="000000"/>
              <w:left w:val="single" w:sz="4" w:space="0" w:color="000000"/>
              <w:bottom w:val="single" w:sz="4" w:space="0" w:color="000000"/>
              <w:right w:val="single" w:sz="4" w:space="0" w:color="000000"/>
            </w:tcBorders>
            <w:vAlign w:val="center"/>
          </w:tcPr>
          <w:p w14:paraId="7574231E"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Возникновение несчастного случая на производстве</w:t>
            </w:r>
          </w:p>
        </w:tc>
        <w:tc>
          <w:tcPr>
            <w:tcW w:w="1134"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0374344E" w14:textId="77777777" w:rsidR="002449C2" w:rsidRDefault="00123961">
            <w:pPr>
              <w:jc w:val="center"/>
              <w:rPr>
                <w:rFonts w:ascii="Times New Roman" w:hAnsi="Times New Roman"/>
                <w:color w:val="000000"/>
                <w:sz w:val="20"/>
                <w:szCs w:val="20"/>
                <w:highlight w:val="yellow"/>
              </w:rPr>
            </w:pPr>
            <w:r>
              <w:rPr>
                <w:rFonts w:ascii="Times New Roman" w:hAnsi="Times New Roman"/>
                <w:b/>
                <w:sz w:val="20"/>
                <w:szCs w:val="20"/>
              </w:rPr>
              <w:t>К</w:t>
            </w:r>
          </w:p>
        </w:tc>
        <w:tc>
          <w:tcPr>
            <w:tcW w:w="99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1C07584C" w14:textId="77777777" w:rsidR="002449C2" w:rsidRDefault="00123961">
            <w:pPr>
              <w:jc w:val="center"/>
              <w:rPr>
                <w:rFonts w:ascii="Times New Roman" w:hAnsi="Times New Roman"/>
                <w:color w:val="000000"/>
                <w:sz w:val="20"/>
                <w:szCs w:val="20"/>
                <w:highlight w:val="yellow"/>
              </w:rPr>
            </w:pPr>
            <w:r>
              <w:rPr>
                <w:rFonts w:ascii="Times New Roman" w:hAnsi="Times New Roman"/>
                <w:b/>
                <w:sz w:val="20"/>
                <w:szCs w:val="20"/>
              </w:rPr>
              <w:t>К</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14:paraId="60D32BC8"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1.Проведение работы с персоналом в соответствии с требованиями НПА в области охраны труда.</w:t>
            </w:r>
          </w:p>
          <w:p w14:paraId="20437F22"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2.Обеспечение средствами индивидуальной защиты и смывающими средствами, прошедшими подтверждение соответствия в установленном законодательством Российской Федерации порядке, в соответствии с требованиями охраны труда и установленными нормами работников, занятых на работах с вредными и (или) опасными условиями труда, а также на работах, выполняемых в особых температурных условиях или связанных с загрязнением.</w:t>
            </w:r>
          </w:p>
          <w:p w14:paraId="58710F45"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3.Контроль обеспечения безопасных условий труда, соблюдения работниками требований охраны труда, а также за правильностью применения ими средств индивидуальной и коллективной защиты.</w:t>
            </w:r>
          </w:p>
          <w:p w14:paraId="0463B4B1" w14:textId="77777777" w:rsidR="002449C2" w:rsidRDefault="00123961">
            <w:pPr>
              <w:spacing w:line="240" w:lineRule="auto"/>
              <w:jc w:val="both"/>
              <w:rPr>
                <w:rFonts w:ascii="Times New Roman" w:hAnsi="Times New Roman"/>
                <w:color w:val="000000"/>
                <w:sz w:val="20"/>
                <w:szCs w:val="20"/>
                <w:highlight w:val="yellow"/>
              </w:rPr>
            </w:pPr>
            <w:r>
              <w:rPr>
                <w:rFonts w:ascii="Times New Roman" w:hAnsi="Times New Roman"/>
                <w:color w:val="000000"/>
                <w:sz w:val="20"/>
                <w:szCs w:val="20"/>
              </w:rPr>
              <w:t>4.Выполнение мероприятий Комплексной программы по снижению рисков травматизма персонала ПАО «Россети Юг».</w:t>
            </w:r>
          </w:p>
        </w:tc>
      </w:tr>
      <w:tr w:rsidR="002449C2" w14:paraId="7615986B" w14:textId="77777777">
        <w:trPr>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27C72D8A" w14:textId="77777777" w:rsidR="002449C2" w:rsidRDefault="00123961">
            <w:pPr>
              <w:jc w:val="center"/>
              <w:rPr>
                <w:rFonts w:ascii="Times New Roman" w:hAnsi="Times New Roman"/>
                <w:sz w:val="20"/>
                <w:szCs w:val="20"/>
              </w:rPr>
            </w:pPr>
            <w:r>
              <w:rPr>
                <w:rFonts w:ascii="Times New Roman" w:hAnsi="Times New Roman"/>
                <w:sz w:val="20"/>
                <w:szCs w:val="20"/>
              </w:rPr>
              <w:t>5</w:t>
            </w:r>
          </w:p>
        </w:tc>
        <w:tc>
          <w:tcPr>
            <w:tcW w:w="844" w:type="dxa"/>
            <w:tcBorders>
              <w:top w:val="single" w:sz="4" w:space="0" w:color="000000"/>
              <w:left w:val="single" w:sz="4" w:space="0" w:color="000000"/>
              <w:bottom w:val="single" w:sz="4" w:space="0" w:color="000000"/>
              <w:right w:val="single" w:sz="4" w:space="0" w:color="000000"/>
            </w:tcBorders>
            <w:vAlign w:val="center"/>
          </w:tcPr>
          <w:p w14:paraId="1F2ADC8E"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ОР 5</w:t>
            </w:r>
          </w:p>
        </w:tc>
        <w:tc>
          <w:tcPr>
            <w:tcW w:w="1844" w:type="dxa"/>
            <w:tcBorders>
              <w:top w:val="single" w:sz="4" w:space="0" w:color="000000"/>
              <w:left w:val="single" w:sz="4" w:space="0" w:color="000000"/>
              <w:bottom w:val="single" w:sz="4" w:space="0" w:color="000000"/>
              <w:right w:val="single" w:sz="4" w:space="0" w:color="000000"/>
            </w:tcBorders>
            <w:vAlign w:val="center"/>
          </w:tcPr>
          <w:p w14:paraId="4A5BF765"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Превышение установленного целевого значения уровня потерь электроэнергии (%)</w:t>
            </w:r>
          </w:p>
        </w:tc>
        <w:tc>
          <w:tcPr>
            <w:tcW w:w="1134"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52EC64B" w14:textId="77777777" w:rsidR="002449C2" w:rsidRDefault="00123961">
            <w:pPr>
              <w:jc w:val="center"/>
              <w:rPr>
                <w:rFonts w:ascii="Times New Roman" w:hAnsi="Times New Roman"/>
                <w:color w:val="000000"/>
                <w:sz w:val="20"/>
                <w:szCs w:val="20"/>
              </w:rPr>
            </w:pPr>
            <w:r>
              <w:rPr>
                <w:rFonts w:ascii="Times New Roman" w:hAnsi="Times New Roman"/>
                <w:b/>
                <w:sz w:val="20"/>
                <w:szCs w:val="20"/>
              </w:rPr>
              <w:t>К</w:t>
            </w:r>
          </w:p>
        </w:tc>
        <w:tc>
          <w:tcPr>
            <w:tcW w:w="99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2E79F49A" w14:textId="77777777" w:rsidR="002449C2" w:rsidRDefault="00123961">
            <w:pPr>
              <w:jc w:val="center"/>
              <w:rPr>
                <w:rFonts w:ascii="Times New Roman" w:hAnsi="Times New Roman"/>
                <w:color w:val="000000"/>
                <w:sz w:val="20"/>
                <w:szCs w:val="20"/>
              </w:rPr>
            </w:pPr>
            <w:r>
              <w:rPr>
                <w:rFonts w:ascii="Times New Roman" w:hAnsi="Times New Roman"/>
                <w:b/>
                <w:sz w:val="20"/>
                <w:szCs w:val="20"/>
              </w:rPr>
              <w:t>К</w:t>
            </w:r>
          </w:p>
        </w:tc>
        <w:tc>
          <w:tcPr>
            <w:tcW w:w="51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A98B1E"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1.Выполнение программ мероприятий по снижению потерь электрической энергии и программы развития интеллектуального учета электроэнергии.</w:t>
            </w:r>
          </w:p>
          <w:p w14:paraId="5E4AC933"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2.Формирование графика проведения рейдовых мероприятий в разрезе фидеров/ТП, являющихся «очагами»  потерь электроэнергии.</w:t>
            </w:r>
          </w:p>
        </w:tc>
      </w:tr>
      <w:tr w:rsidR="002449C2" w14:paraId="3625D8F9" w14:textId="77777777">
        <w:trPr>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35853A7B" w14:textId="77777777" w:rsidR="002449C2" w:rsidRDefault="00123961">
            <w:pPr>
              <w:jc w:val="center"/>
              <w:rPr>
                <w:rFonts w:ascii="Times New Roman" w:hAnsi="Times New Roman"/>
                <w:sz w:val="20"/>
                <w:szCs w:val="20"/>
              </w:rPr>
            </w:pPr>
            <w:r>
              <w:rPr>
                <w:rFonts w:ascii="Times New Roman" w:hAnsi="Times New Roman"/>
                <w:sz w:val="20"/>
                <w:szCs w:val="20"/>
              </w:rPr>
              <w:t>6</w:t>
            </w:r>
          </w:p>
        </w:tc>
        <w:tc>
          <w:tcPr>
            <w:tcW w:w="844" w:type="dxa"/>
            <w:tcBorders>
              <w:top w:val="single" w:sz="4" w:space="0" w:color="000000"/>
              <w:left w:val="single" w:sz="4" w:space="0" w:color="000000"/>
              <w:bottom w:val="single" w:sz="4" w:space="0" w:color="000000"/>
              <w:right w:val="single" w:sz="4" w:space="0" w:color="000000"/>
            </w:tcBorders>
            <w:vAlign w:val="center"/>
          </w:tcPr>
          <w:p w14:paraId="53215307"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ОР 6</w:t>
            </w:r>
          </w:p>
        </w:tc>
        <w:tc>
          <w:tcPr>
            <w:tcW w:w="1844" w:type="dxa"/>
            <w:tcBorders>
              <w:top w:val="single" w:sz="4" w:space="0" w:color="000000"/>
              <w:left w:val="single" w:sz="4" w:space="0" w:color="000000"/>
              <w:bottom w:val="single" w:sz="4" w:space="0" w:color="000000"/>
              <w:right w:val="single" w:sz="4" w:space="0" w:color="000000"/>
            </w:tcBorders>
            <w:vAlign w:val="center"/>
          </w:tcPr>
          <w:p w14:paraId="407B2549"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Нарушение сроков осуществления технологического присоединения</w:t>
            </w:r>
          </w:p>
        </w:tc>
        <w:tc>
          <w:tcPr>
            <w:tcW w:w="11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F523105" w14:textId="77777777" w:rsidR="002449C2" w:rsidRDefault="00123961">
            <w:pPr>
              <w:jc w:val="center"/>
              <w:rPr>
                <w:rFonts w:ascii="Times New Roman" w:hAnsi="Times New Roman"/>
                <w:color w:val="000000"/>
                <w:sz w:val="20"/>
                <w:szCs w:val="20"/>
                <w:highlight w:val="green"/>
              </w:rPr>
            </w:pPr>
            <w:r>
              <w:rPr>
                <w:rFonts w:ascii="Times New Roman" w:hAnsi="Times New Roman"/>
                <w:b/>
                <w:sz w:val="20"/>
                <w:szCs w:val="20"/>
              </w:rPr>
              <w:t>З</w:t>
            </w:r>
          </w:p>
        </w:tc>
        <w:tc>
          <w:tcPr>
            <w:tcW w:w="99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F2F5BF1" w14:textId="77777777" w:rsidR="002449C2" w:rsidRDefault="00123961">
            <w:pPr>
              <w:jc w:val="center"/>
              <w:rPr>
                <w:rFonts w:ascii="Times New Roman" w:hAnsi="Times New Roman"/>
                <w:color w:val="000000"/>
                <w:sz w:val="20"/>
                <w:szCs w:val="20"/>
              </w:rPr>
            </w:pPr>
            <w:r>
              <w:rPr>
                <w:rFonts w:ascii="Times New Roman" w:hAnsi="Times New Roman"/>
                <w:b/>
                <w:sz w:val="20"/>
                <w:szCs w:val="20"/>
              </w:rPr>
              <w:t>З</w:t>
            </w:r>
          </w:p>
        </w:tc>
        <w:tc>
          <w:tcPr>
            <w:tcW w:w="51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6FF32"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1.Обеспечение исполнения накопленных обязательств Общества по ранее заключённым договорам ТП.</w:t>
            </w:r>
          </w:p>
          <w:p w14:paraId="16D9086B"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2.Организация контроля за своевременным исполнение договоров ТП (на каждом из этапов: разработка ТЗ, расчёт стоимости ТП, проведение ТЗП, заключение и исполнение договоров подряда, исполнение договоров ТП хоз. способом), в том числе автоматизация деятельности по ТП.</w:t>
            </w:r>
          </w:p>
          <w:p w14:paraId="1F24B00A"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3.Претензионно-исковая работа с целью контроля сроков исполнения мероприятий по ТП со стороны заявителя.</w:t>
            </w:r>
          </w:p>
          <w:p w14:paraId="5D8227D4"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4.Своевременная подготовка и направление материалов для утверждения инвестиционной программы в соответствии с действующим законодательством.</w:t>
            </w:r>
          </w:p>
          <w:p w14:paraId="653ED2B2"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5.Мониторинг и проведение плановых проверок по деятельности ТП.</w:t>
            </w:r>
          </w:p>
        </w:tc>
      </w:tr>
      <w:tr w:rsidR="002449C2" w14:paraId="4852A372" w14:textId="77777777">
        <w:trPr>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650187EB" w14:textId="77777777" w:rsidR="002449C2" w:rsidRDefault="00123961">
            <w:pPr>
              <w:jc w:val="center"/>
              <w:rPr>
                <w:rFonts w:ascii="Times New Roman" w:hAnsi="Times New Roman"/>
                <w:sz w:val="20"/>
                <w:szCs w:val="20"/>
              </w:rPr>
            </w:pPr>
            <w:r>
              <w:rPr>
                <w:rFonts w:ascii="Times New Roman" w:hAnsi="Times New Roman"/>
                <w:sz w:val="20"/>
                <w:szCs w:val="20"/>
              </w:rPr>
              <w:t>7</w:t>
            </w:r>
          </w:p>
        </w:tc>
        <w:tc>
          <w:tcPr>
            <w:tcW w:w="844" w:type="dxa"/>
            <w:tcBorders>
              <w:top w:val="single" w:sz="4" w:space="0" w:color="000000"/>
              <w:left w:val="single" w:sz="4" w:space="0" w:color="000000"/>
              <w:bottom w:val="single" w:sz="4" w:space="0" w:color="000000"/>
              <w:right w:val="single" w:sz="4" w:space="0" w:color="000000"/>
            </w:tcBorders>
            <w:vAlign w:val="center"/>
          </w:tcPr>
          <w:p w14:paraId="06C83CCF"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ОР 7</w:t>
            </w:r>
          </w:p>
        </w:tc>
        <w:tc>
          <w:tcPr>
            <w:tcW w:w="1844" w:type="dxa"/>
            <w:tcBorders>
              <w:top w:val="single" w:sz="4" w:space="0" w:color="000000"/>
              <w:left w:val="single" w:sz="4" w:space="0" w:color="000000"/>
              <w:bottom w:val="single" w:sz="4" w:space="0" w:color="000000"/>
              <w:right w:val="single" w:sz="4" w:space="0" w:color="000000"/>
            </w:tcBorders>
            <w:vAlign w:val="center"/>
          </w:tcPr>
          <w:p w14:paraId="4AD17D08"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Неисполнение графика ввода объектов в эксплуатацию</w:t>
            </w:r>
          </w:p>
        </w:tc>
        <w:tc>
          <w:tcPr>
            <w:tcW w:w="11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1B67FB6" w14:textId="77777777" w:rsidR="002449C2" w:rsidRDefault="00123961">
            <w:pPr>
              <w:jc w:val="center"/>
              <w:rPr>
                <w:rFonts w:ascii="Times New Roman" w:hAnsi="Times New Roman"/>
                <w:color w:val="000000"/>
                <w:sz w:val="20"/>
                <w:szCs w:val="20"/>
              </w:rPr>
            </w:pPr>
            <w:r>
              <w:rPr>
                <w:rFonts w:ascii="Times New Roman" w:hAnsi="Times New Roman"/>
                <w:b/>
                <w:sz w:val="20"/>
                <w:szCs w:val="20"/>
              </w:rPr>
              <w:t>З</w:t>
            </w:r>
          </w:p>
        </w:tc>
        <w:tc>
          <w:tcPr>
            <w:tcW w:w="99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14E40DC" w14:textId="77777777" w:rsidR="002449C2" w:rsidRDefault="00123961">
            <w:pPr>
              <w:jc w:val="center"/>
              <w:rPr>
                <w:rFonts w:ascii="Times New Roman" w:hAnsi="Times New Roman"/>
                <w:color w:val="000000"/>
                <w:sz w:val="20"/>
                <w:szCs w:val="20"/>
              </w:rPr>
            </w:pPr>
            <w:r>
              <w:rPr>
                <w:rFonts w:ascii="Times New Roman" w:hAnsi="Times New Roman"/>
                <w:b/>
                <w:sz w:val="20"/>
                <w:szCs w:val="20"/>
              </w:rPr>
              <w:t>З</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14:paraId="221B064D"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1.Контроль сроков проведения закупочных процедур, заключения договоров на выполнение исходно-разрешительной документации, проектно-изыскательских и строительно-монтажных работ.</w:t>
            </w:r>
          </w:p>
          <w:p w14:paraId="01CD6B4D"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2.Контроль выполнения договорных обязательств подрядными организациями.</w:t>
            </w:r>
          </w:p>
          <w:p w14:paraId="409A2CB5"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3.Контроль исполнения графиков реализации инвестиционных проектов.</w:t>
            </w:r>
          </w:p>
          <w:p w14:paraId="75B1FD63"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4.Контроль исполнения филиалами Общества мероприятий, связанных с вводом объектов в эксплуатацию в соответствии с Порядком приемки в эксплуатацию законченных строительством объектов ПАО «Россети Юг», утвержденным приказом Общества от 09.01.2020 №10.</w:t>
            </w:r>
          </w:p>
        </w:tc>
      </w:tr>
      <w:tr w:rsidR="002449C2" w14:paraId="3A7D16B8" w14:textId="77777777">
        <w:trPr>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25551638" w14:textId="77777777" w:rsidR="002449C2" w:rsidRDefault="00123961">
            <w:pPr>
              <w:jc w:val="center"/>
              <w:rPr>
                <w:rFonts w:ascii="Times New Roman" w:hAnsi="Times New Roman"/>
                <w:sz w:val="20"/>
                <w:szCs w:val="20"/>
              </w:rPr>
            </w:pPr>
            <w:r>
              <w:rPr>
                <w:rFonts w:ascii="Times New Roman" w:hAnsi="Times New Roman"/>
                <w:sz w:val="20"/>
                <w:szCs w:val="20"/>
              </w:rPr>
              <w:t>8</w:t>
            </w:r>
          </w:p>
        </w:tc>
        <w:tc>
          <w:tcPr>
            <w:tcW w:w="844" w:type="dxa"/>
            <w:tcBorders>
              <w:top w:val="single" w:sz="4" w:space="0" w:color="000000"/>
              <w:left w:val="single" w:sz="4" w:space="0" w:color="000000"/>
              <w:bottom w:val="single" w:sz="4" w:space="0" w:color="000000"/>
              <w:right w:val="single" w:sz="4" w:space="0" w:color="000000"/>
            </w:tcBorders>
            <w:vAlign w:val="center"/>
          </w:tcPr>
          <w:p w14:paraId="4C4238F6"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ОР 9</w:t>
            </w:r>
          </w:p>
        </w:tc>
        <w:tc>
          <w:tcPr>
            <w:tcW w:w="1844" w:type="dxa"/>
            <w:tcBorders>
              <w:top w:val="single" w:sz="4" w:space="0" w:color="000000"/>
              <w:left w:val="single" w:sz="4" w:space="0" w:color="000000"/>
              <w:bottom w:val="single" w:sz="4" w:space="0" w:color="000000"/>
              <w:right w:val="single" w:sz="4" w:space="0" w:color="000000"/>
            </w:tcBorders>
            <w:vAlign w:val="center"/>
          </w:tcPr>
          <w:p w14:paraId="23900E4F" w14:textId="77777777" w:rsidR="002449C2" w:rsidRDefault="00123961">
            <w:pPr>
              <w:jc w:val="center"/>
              <w:rPr>
                <w:rFonts w:ascii="Times New Roman" w:hAnsi="Times New Roman"/>
                <w:sz w:val="20"/>
                <w:szCs w:val="20"/>
              </w:rPr>
            </w:pPr>
            <w:r>
              <w:rPr>
                <w:rFonts w:ascii="Times New Roman" w:hAnsi="Times New Roman"/>
                <w:sz w:val="20"/>
                <w:szCs w:val="20"/>
              </w:rPr>
              <w:t>Нарушение и (или) прекращение функционирования объектов КИИ в результате совершения компьютерных атак</w:t>
            </w:r>
          </w:p>
        </w:tc>
        <w:tc>
          <w:tcPr>
            <w:tcW w:w="11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881B77A"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99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368A7CC"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14:paraId="70FA2D33"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1.Администрирование систем информационной безопасности.</w:t>
            </w:r>
          </w:p>
          <w:p w14:paraId="48A4F38A"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2.Своевременная закупка и обновление лицензий на специализированное ПО.</w:t>
            </w:r>
          </w:p>
          <w:p w14:paraId="7B1FD244"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3.Своевременное техническое обслуживание СЗИ.</w:t>
            </w:r>
          </w:p>
          <w:p w14:paraId="0ED27271"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4.Финансирование закупок лицензий и технической поддержки со стороны производителя.</w:t>
            </w:r>
          </w:p>
        </w:tc>
      </w:tr>
      <w:tr w:rsidR="002449C2" w14:paraId="0286DB47" w14:textId="77777777">
        <w:trPr>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6BDD5720" w14:textId="77777777" w:rsidR="002449C2" w:rsidRDefault="00123961">
            <w:pPr>
              <w:jc w:val="center"/>
              <w:rPr>
                <w:rFonts w:ascii="Times New Roman" w:hAnsi="Times New Roman"/>
                <w:sz w:val="20"/>
                <w:szCs w:val="20"/>
              </w:rPr>
            </w:pPr>
            <w:r>
              <w:rPr>
                <w:rFonts w:ascii="Times New Roman" w:hAnsi="Times New Roman"/>
                <w:sz w:val="20"/>
                <w:szCs w:val="20"/>
              </w:rPr>
              <w:t>9</w:t>
            </w:r>
          </w:p>
        </w:tc>
        <w:tc>
          <w:tcPr>
            <w:tcW w:w="844" w:type="dxa"/>
            <w:tcBorders>
              <w:top w:val="single" w:sz="4" w:space="0" w:color="000000"/>
              <w:left w:val="single" w:sz="4" w:space="0" w:color="000000"/>
              <w:bottom w:val="single" w:sz="4" w:space="0" w:color="000000"/>
              <w:right w:val="single" w:sz="4" w:space="0" w:color="000000"/>
            </w:tcBorders>
            <w:vAlign w:val="center"/>
          </w:tcPr>
          <w:p w14:paraId="25644F01"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ОР 10</w:t>
            </w:r>
          </w:p>
        </w:tc>
        <w:tc>
          <w:tcPr>
            <w:tcW w:w="1844" w:type="dxa"/>
            <w:tcBorders>
              <w:top w:val="single" w:sz="4" w:space="0" w:color="000000"/>
              <w:left w:val="single" w:sz="4" w:space="0" w:color="000000"/>
              <w:bottom w:val="single" w:sz="4" w:space="0" w:color="000000"/>
              <w:right w:val="single" w:sz="4" w:space="0" w:color="000000"/>
            </w:tcBorders>
            <w:vAlign w:val="center"/>
          </w:tcPr>
          <w:p w14:paraId="14378DE4"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Неправомерный доступ к конфиденциальной информации</w:t>
            </w:r>
          </w:p>
        </w:tc>
        <w:tc>
          <w:tcPr>
            <w:tcW w:w="11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24B23F8"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99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7AFA728"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14:paraId="78AC56A3"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1.Проведение инструктажей вновь принимаемых работников.</w:t>
            </w:r>
          </w:p>
          <w:p w14:paraId="06849265"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2.Регламентация процессов в области защиты конфиденциальной информации.</w:t>
            </w:r>
          </w:p>
          <w:p w14:paraId="26F0E4D1"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3.Проведение служебных проверок по факту нарушения режима конфиденциальности.</w:t>
            </w:r>
          </w:p>
        </w:tc>
      </w:tr>
      <w:tr w:rsidR="002449C2" w14:paraId="4242FA4D" w14:textId="77777777">
        <w:trPr>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0A96F2DC" w14:textId="77777777" w:rsidR="002449C2" w:rsidRDefault="00123961">
            <w:pPr>
              <w:jc w:val="center"/>
              <w:rPr>
                <w:rFonts w:ascii="Times New Roman" w:hAnsi="Times New Roman"/>
                <w:sz w:val="20"/>
                <w:szCs w:val="20"/>
              </w:rPr>
            </w:pPr>
            <w:r>
              <w:rPr>
                <w:rFonts w:ascii="Times New Roman" w:hAnsi="Times New Roman"/>
                <w:sz w:val="20"/>
                <w:szCs w:val="20"/>
              </w:rPr>
              <w:t>10</w:t>
            </w:r>
          </w:p>
        </w:tc>
        <w:tc>
          <w:tcPr>
            <w:tcW w:w="844" w:type="dxa"/>
            <w:tcBorders>
              <w:top w:val="single" w:sz="4" w:space="0" w:color="000000"/>
              <w:left w:val="single" w:sz="4" w:space="0" w:color="000000"/>
              <w:bottom w:val="single" w:sz="4" w:space="0" w:color="000000"/>
              <w:right w:val="single" w:sz="4" w:space="0" w:color="000000"/>
            </w:tcBorders>
            <w:vAlign w:val="center"/>
          </w:tcPr>
          <w:p w14:paraId="5BEFA103"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ОР 12</w:t>
            </w:r>
          </w:p>
        </w:tc>
        <w:tc>
          <w:tcPr>
            <w:tcW w:w="1844" w:type="dxa"/>
            <w:tcBorders>
              <w:top w:val="single" w:sz="4" w:space="0" w:color="000000"/>
              <w:left w:val="single" w:sz="4" w:space="0" w:color="000000"/>
              <w:bottom w:val="single" w:sz="4" w:space="0" w:color="000000"/>
              <w:right w:val="single" w:sz="4" w:space="0" w:color="000000"/>
            </w:tcBorders>
            <w:vAlign w:val="center"/>
          </w:tcPr>
          <w:p w14:paraId="1300DEAD"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Недостижение уровня обеспеченности персоналом</w:t>
            </w:r>
          </w:p>
        </w:tc>
        <w:tc>
          <w:tcPr>
            <w:tcW w:w="1134"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36B614D" w14:textId="77777777" w:rsidR="002449C2" w:rsidRDefault="00123961">
            <w:pPr>
              <w:jc w:val="center"/>
              <w:rPr>
                <w:rFonts w:ascii="Times New Roman" w:hAnsi="Times New Roman"/>
                <w:b/>
                <w:sz w:val="20"/>
                <w:szCs w:val="20"/>
              </w:rPr>
            </w:pPr>
            <w:r>
              <w:rPr>
                <w:rFonts w:ascii="Times New Roman" w:hAnsi="Times New Roman"/>
                <w:b/>
                <w:sz w:val="20"/>
                <w:szCs w:val="20"/>
              </w:rPr>
              <w:t>У</w:t>
            </w:r>
          </w:p>
        </w:tc>
        <w:tc>
          <w:tcPr>
            <w:tcW w:w="99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9808144"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14:paraId="01EBF3AF"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1.Организация работ по укомплектованию персоналом (подбор с внешнего рынка труда, кадровый резерв).</w:t>
            </w:r>
          </w:p>
          <w:p w14:paraId="53F03C37"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2.Организация работ по обучению персонала.</w:t>
            </w:r>
          </w:p>
        </w:tc>
      </w:tr>
      <w:tr w:rsidR="002449C2" w14:paraId="2B475021" w14:textId="77777777">
        <w:trPr>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1E89312B" w14:textId="77777777" w:rsidR="002449C2" w:rsidRDefault="00123961">
            <w:pPr>
              <w:jc w:val="center"/>
              <w:rPr>
                <w:rFonts w:ascii="Times New Roman" w:hAnsi="Times New Roman"/>
                <w:sz w:val="20"/>
                <w:szCs w:val="20"/>
              </w:rPr>
            </w:pPr>
            <w:r>
              <w:rPr>
                <w:rFonts w:ascii="Times New Roman" w:hAnsi="Times New Roman"/>
                <w:sz w:val="20"/>
                <w:szCs w:val="20"/>
              </w:rPr>
              <w:t>11</w:t>
            </w:r>
          </w:p>
        </w:tc>
        <w:tc>
          <w:tcPr>
            <w:tcW w:w="844" w:type="dxa"/>
            <w:tcBorders>
              <w:top w:val="single" w:sz="4" w:space="0" w:color="000000"/>
              <w:left w:val="single" w:sz="4" w:space="0" w:color="000000"/>
              <w:bottom w:val="single" w:sz="4" w:space="0" w:color="000000"/>
              <w:right w:val="single" w:sz="4" w:space="0" w:color="000000"/>
            </w:tcBorders>
            <w:vAlign w:val="center"/>
          </w:tcPr>
          <w:p w14:paraId="10300641"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ФР 1</w:t>
            </w:r>
          </w:p>
        </w:tc>
        <w:tc>
          <w:tcPr>
            <w:tcW w:w="1844" w:type="dxa"/>
            <w:tcBorders>
              <w:top w:val="single" w:sz="4" w:space="0" w:color="000000"/>
              <w:left w:val="single" w:sz="4" w:space="0" w:color="000000"/>
              <w:bottom w:val="single" w:sz="4" w:space="0" w:color="000000"/>
              <w:right w:val="single" w:sz="4" w:space="0" w:color="000000"/>
            </w:tcBorders>
            <w:vAlign w:val="center"/>
          </w:tcPr>
          <w:p w14:paraId="1D6CB7F8"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Недостижение планового уровня выручки от услуг по передаче электроэнергии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EDA5C17"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99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A0BC4A2"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14:paraId="40835271"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1.Мониторинг и прогнозирование электропотребления в разбивке по уровням напряжения, по которым дифференцируется цена (тариф) на услуги по передаче электрической энергии, и категориям потребителей, а также мониторинг физических параметров баланса электрической энергии и мощности.</w:t>
            </w:r>
          </w:p>
          <w:p w14:paraId="08FE9FDB"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2.Проведение мероприятий по контрольному снятию показаний расчетных приборов учета электрической энергии с привлечением дополнительного персонала.</w:t>
            </w:r>
          </w:p>
        </w:tc>
      </w:tr>
      <w:tr w:rsidR="002449C2" w14:paraId="0441EE32" w14:textId="77777777">
        <w:trPr>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69D9C4F9" w14:textId="77777777" w:rsidR="002449C2" w:rsidRDefault="00123961">
            <w:pPr>
              <w:jc w:val="center"/>
              <w:rPr>
                <w:rFonts w:ascii="Times New Roman" w:hAnsi="Times New Roman"/>
                <w:sz w:val="20"/>
                <w:szCs w:val="20"/>
              </w:rPr>
            </w:pPr>
            <w:r>
              <w:rPr>
                <w:rFonts w:ascii="Times New Roman" w:hAnsi="Times New Roman"/>
                <w:sz w:val="20"/>
                <w:szCs w:val="20"/>
              </w:rPr>
              <w:t>12</w:t>
            </w:r>
          </w:p>
        </w:tc>
        <w:tc>
          <w:tcPr>
            <w:tcW w:w="844" w:type="dxa"/>
            <w:tcBorders>
              <w:top w:val="single" w:sz="4" w:space="0" w:color="000000"/>
              <w:left w:val="single" w:sz="4" w:space="0" w:color="000000"/>
              <w:bottom w:val="single" w:sz="4" w:space="0" w:color="000000"/>
              <w:right w:val="single" w:sz="4" w:space="0" w:color="000000"/>
            </w:tcBorders>
            <w:vAlign w:val="center"/>
          </w:tcPr>
          <w:p w14:paraId="62666D21"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ФР 2</w:t>
            </w:r>
          </w:p>
        </w:tc>
        <w:tc>
          <w:tcPr>
            <w:tcW w:w="1844" w:type="dxa"/>
            <w:tcBorders>
              <w:top w:val="single" w:sz="4" w:space="0" w:color="000000"/>
              <w:left w:val="single" w:sz="4" w:space="0" w:color="000000"/>
              <w:bottom w:val="single" w:sz="4" w:space="0" w:color="000000"/>
              <w:right w:val="single" w:sz="4" w:space="0" w:color="000000"/>
            </w:tcBorders>
            <w:vAlign w:val="center"/>
          </w:tcPr>
          <w:p w14:paraId="0E7581AE"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Недостижение планового уровня выручки от услуг по технологическому присоединению</w:t>
            </w:r>
          </w:p>
        </w:tc>
        <w:tc>
          <w:tcPr>
            <w:tcW w:w="11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CFC98E6"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99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1827B3C"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14:paraId="55BE71CE"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1.Регулярная актуализация спроса на технологическое присоединение по ранее заключенным договорам ТП.</w:t>
            </w:r>
          </w:p>
          <w:p w14:paraId="0620D0D8"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2.Обеспечение проведения инвентаризации обязательств заявителей по внесению платы за ТП (включая внесение авансовых платежей согласно графикам оплаты по условиям договора ТП).</w:t>
            </w:r>
          </w:p>
          <w:p w14:paraId="33F89C40"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3.Своевременная подготовка и направление материалов для утверждения инвестиционной программы в соответствии с действующим законодательством.</w:t>
            </w:r>
          </w:p>
          <w:p w14:paraId="638F1C6A"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4.Мониторинг и проведение плановых проверок по деятельности ТП.</w:t>
            </w:r>
          </w:p>
        </w:tc>
      </w:tr>
      <w:tr w:rsidR="002449C2" w14:paraId="5BE1AD5E" w14:textId="77777777">
        <w:trPr>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705BA5EA" w14:textId="77777777" w:rsidR="002449C2" w:rsidRDefault="00123961">
            <w:pPr>
              <w:jc w:val="center"/>
              <w:rPr>
                <w:rFonts w:ascii="Times New Roman" w:hAnsi="Times New Roman"/>
                <w:sz w:val="20"/>
                <w:szCs w:val="20"/>
              </w:rPr>
            </w:pPr>
            <w:r>
              <w:rPr>
                <w:rFonts w:ascii="Times New Roman" w:hAnsi="Times New Roman"/>
                <w:sz w:val="20"/>
                <w:szCs w:val="20"/>
              </w:rPr>
              <w:t>13</w:t>
            </w:r>
          </w:p>
        </w:tc>
        <w:tc>
          <w:tcPr>
            <w:tcW w:w="844" w:type="dxa"/>
            <w:tcBorders>
              <w:top w:val="single" w:sz="4" w:space="0" w:color="000000"/>
              <w:left w:val="single" w:sz="4" w:space="0" w:color="000000"/>
              <w:bottom w:val="single" w:sz="4" w:space="0" w:color="000000"/>
              <w:right w:val="single" w:sz="4" w:space="0" w:color="000000"/>
            </w:tcBorders>
            <w:vAlign w:val="center"/>
          </w:tcPr>
          <w:p w14:paraId="06F8F33A"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ФР 3</w:t>
            </w:r>
          </w:p>
        </w:tc>
        <w:tc>
          <w:tcPr>
            <w:tcW w:w="1844" w:type="dxa"/>
            <w:tcBorders>
              <w:top w:val="single" w:sz="4" w:space="0" w:color="000000"/>
              <w:left w:val="single" w:sz="4" w:space="0" w:color="000000"/>
              <w:bottom w:val="single" w:sz="4" w:space="0" w:color="000000"/>
              <w:right w:val="single" w:sz="4" w:space="0" w:color="000000"/>
            </w:tcBorders>
            <w:vAlign w:val="center"/>
          </w:tcPr>
          <w:p w14:paraId="1797BD3B"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Недостижение планового уровня выручки от дополнительных (нетарифных) услуг</w:t>
            </w:r>
          </w:p>
        </w:tc>
        <w:tc>
          <w:tcPr>
            <w:tcW w:w="11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3434D03"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99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7EE37FE"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14:paraId="48E6E530" w14:textId="77777777" w:rsidR="002449C2" w:rsidRDefault="00123961">
            <w:pPr>
              <w:spacing w:after="0" w:line="240" w:lineRule="auto"/>
              <w:jc w:val="both"/>
              <w:rPr>
                <w:rFonts w:ascii="Times New Roman" w:eastAsiaTheme="minorHAnsi" w:hAnsi="Times New Roman"/>
                <w:sz w:val="20"/>
                <w:szCs w:val="20"/>
                <w:lang w:eastAsia="en-US"/>
              </w:rPr>
            </w:pPr>
            <w:r>
              <w:rPr>
                <w:rFonts w:ascii="Times New Roman" w:hAnsi="Times New Roman"/>
                <w:color w:val="000000"/>
                <w:sz w:val="20"/>
                <w:szCs w:val="20"/>
              </w:rPr>
              <w:t xml:space="preserve">1.Исполнение мероприятий </w:t>
            </w:r>
            <w:r>
              <w:rPr>
                <w:rFonts w:ascii="Times New Roman" w:eastAsiaTheme="minorHAnsi" w:hAnsi="Times New Roman"/>
                <w:sz w:val="20"/>
                <w:szCs w:val="20"/>
                <w:lang w:eastAsia="en-US"/>
              </w:rPr>
              <w:t>Дорожной карты по развитию дополнительных (нетарифных) услуг.</w:t>
            </w:r>
          </w:p>
          <w:p w14:paraId="5CF33B14" w14:textId="77777777" w:rsidR="002449C2" w:rsidRDefault="002449C2">
            <w:pPr>
              <w:spacing w:after="0" w:line="240" w:lineRule="auto"/>
              <w:jc w:val="both"/>
              <w:rPr>
                <w:rFonts w:ascii="Times New Roman" w:eastAsiaTheme="minorHAnsi" w:hAnsi="Times New Roman"/>
                <w:sz w:val="20"/>
                <w:szCs w:val="20"/>
                <w:lang w:eastAsia="en-US"/>
              </w:rPr>
            </w:pPr>
          </w:p>
          <w:p w14:paraId="7A2E4388" w14:textId="77777777" w:rsidR="002449C2" w:rsidRDefault="00123961">
            <w:pPr>
              <w:spacing w:after="0" w:line="240" w:lineRule="auto"/>
              <w:jc w:val="both"/>
              <w:rPr>
                <w:rFonts w:ascii="Times New Roman" w:hAnsi="Times New Roman"/>
                <w:color w:val="000000"/>
                <w:sz w:val="20"/>
                <w:szCs w:val="20"/>
              </w:rPr>
            </w:pPr>
            <w:r>
              <w:rPr>
                <w:rFonts w:ascii="Times New Roman" w:hAnsi="Times New Roman"/>
                <w:color w:val="000000"/>
                <w:sz w:val="20"/>
                <w:szCs w:val="20"/>
              </w:rPr>
              <w:t>2.Формирование детальных планов продаж по конкурентным услугам, работа по достижению целевых показателей ПАО "Россети" по услуге размещения ВОЛС на ЭСХ Общества. Реализован комплекс вспомогательных решений по оптимизации внутренних бизнес-процессов для достижения целевых показателей Бизнес-плана.</w:t>
            </w:r>
          </w:p>
        </w:tc>
      </w:tr>
      <w:tr w:rsidR="002449C2" w14:paraId="48392643" w14:textId="77777777">
        <w:trPr>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7BC4DDD0" w14:textId="77777777" w:rsidR="002449C2" w:rsidRDefault="00123961">
            <w:pPr>
              <w:jc w:val="center"/>
              <w:rPr>
                <w:rFonts w:ascii="Times New Roman" w:hAnsi="Times New Roman"/>
                <w:sz w:val="20"/>
                <w:szCs w:val="20"/>
              </w:rPr>
            </w:pPr>
            <w:r>
              <w:rPr>
                <w:rFonts w:ascii="Times New Roman" w:hAnsi="Times New Roman"/>
                <w:sz w:val="20"/>
                <w:szCs w:val="20"/>
              </w:rPr>
              <w:t>14</w:t>
            </w:r>
          </w:p>
        </w:tc>
        <w:tc>
          <w:tcPr>
            <w:tcW w:w="844" w:type="dxa"/>
            <w:tcBorders>
              <w:top w:val="single" w:sz="4" w:space="0" w:color="000000"/>
              <w:left w:val="single" w:sz="4" w:space="0" w:color="000000"/>
              <w:bottom w:val="single" w:sz="4" w:space="0" w:color="000000"/>
              <w:right w:val="single" w:sz="4" w:space="0" w:color="000000"/>
            </w:tcBorders>
            <w:vAlign w:val="center"/>
          </w:tcPr>
          <w:p w14:paraId="4A7E7FA1"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ФР 4</w:t>
            </w:r>
          </w:p>
        </w:tc>
        <w:tc>
          <w:tcPr>
            <w:tcW w:w="1844" w:type="dxa"/>
            <w:tcBorders>
              <w:top w:val="single" w:sz="4" w:space="0" w:color="000000"/>
              <w:left w:val="single" w:sz="4" w:space="0" w:color="000000"/>
              <w:bottom w:val="single" w:sz="4" w:space="0" w:color="000000"/>
              <w:right w:val="single" w:sz="4" w:space="0" w:color="000000"/>
            </w:tcBorders>
            <w:vAlign w:val="center"/>
          </w:tcPr>
          <w:p w14:paraId="71F3221F"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 xml:space="preserve">Превышение планового уровня неподконтрольных операционных расходов: </w:t>
            </w:r>
            <w:r>
              <w:rPr>
                <w:rFonts w:ascii="Times New Roman" w:hAnsi="Times New Roman"/>
                <w:color w:val="000000"/>
                <w:sz w:val="20"/>
                <w:szCs w:val="20"/>
              </w:rPr>
              <w:br/>
            </w:r>
            <w:r>
              <w:rPr>
                <w:rFonts w:ascii="Times New Roman" w:hAnsi="Times New Roman"/>
                <w:color w:val="000000"/>
                <w:sz w:val="20"/>
                <w:szCs w:val="20"/>
              </w:rPr>
              <w:br/>
              <w:t>- на покупку электроэнергии в целях компенсации потерь, на оплату услуг по передаче электроэнергии по сетям ТСО, ЕНЭС</w:t>
            </w:r>
          </w:p>
        </w:tc>
        <w:tc>
          <w:tcPr>
            <w:tcW w:w="11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770E8EA"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99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1A410FA"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14:paraId="6E2C3AF5"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1.Проведение работы с ТСО и ФСК по согласованию на очередной период регулирования плановых объемов услуг, в том числе заявленной мощности, в целях последующего планирования и представления в органы государственного регулирования тарифов.</w:t>
            </w:r>
          </w:p>
          <w:p w14:paraId="31DEB7AD"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2.Обращение в органы исполнительной власти субъектов Российской Федерации в области государственного регулирования тарифов в части принятых ТБР на текущий расчетный период.</w:t>
            </w:r>
          </w:p>
        </w:tc>
      </w:tr>
      <w:tr w:rsidR="002449C2" w14:paraId="7AD90A1A" w14:textId="77777777">
        <w:trPr>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537DBDF1" w14:textId="77777777" w:rsidR="002449C2" w:rsidRDefault="00123961">
            <w:pPr>
              <w:jc w:val="center"/>
              <w:rPr>
                <w:rFonts w:ascii="Times New Roman" w:hAnsi="Times New Roman"/>
                <w:sz w:val="20"/>
                <w:szCs w:val="20"/>
              </w:rPr>
            </w:pPr>
            <w:r>
              <w:rPr>
                <w:rFonts w:ascii="Times New Roman" w:hAnsi="Times New Roman"/>
                <w:sz w:val="20"/>
                <w:szCs w:val="20"/>
              </w:rPr>
              <w:t>15</w:t>
            </w:r>
          </w:p>
        </w:tc>
        <w:tc>
          <w:tcPr>
            <w:tcW w:w="844" w:type="dxa"/>
            <w:tcBorders>
              <w:top w:val="single" w:sz="4" w:space="0" w:color="000000"/>
              <w:left w:val="single" w:sz="4" w:space="0" w:color="000000"/>
              <w:bottom w:val="single" w:sz="4" w:space="0" w:color="000000"/>
              <w:right w:val="single" w:sz="4" w:space="0" w:color="000000"/>
            </w:tcBorders>
            <w:vAlign w:val="center"/>
          </w:tcPr>
          <w:p w14:paraId="19ECAC15"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ФР 5</w:t>
            </w:r>
          </w:p>
        </w:tc>
        <w:tc>
          <w:tcPr>
            <w:tcW w:w="1844" w:type="dxa"/>
            <w:tcBorders>
              <w:top w:val="single" w:sz="4" w:space="0" w:color="000000"/>
              <w:left w:val="single" w:sz="4" w:space="0" w:color="000000"/>
              <w:bottom w:val="single" w:sz="4" w:space="0" w:color="000000"/>
              <w:right w:val="single" w:sz="4" w:space="0" w:color="000000"/>
            </w:tcBorders>
            <w:vAlign w:val="center"/>
          </w:tcPr>
          <w:p w14:paraId="279259D4"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Превышение планового уровня прочих операционных (подконтрольных и неподконтрольных) расходов</w:t>
            </w:r>
          </w:p>
        </w:tc>
        <w:tc>
          <w:tcPr>
            <w:tcW w:w="11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48CD655"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99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A075D30"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14:paraId="278EB9E7"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1.Проверка заключаемых договоров на этапе их согласования на предмет наличия плановых доходов (расходов) по договору в утвержденном БДР соответствующего центра финансовой ответственности Общества.</w:t>
            </w:r>
          </w:p>
          <w:p w14:paraId="297EA6FD"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2.Анализ факторов влияния на отклонения фактических операционных расходов от плановых показателей и принятие  мер по компенсации отрицательного воздействия внешних и внутренних факторов на объем операционных расходов Общества.</w:t>
            </w:r>
          </w:p>
        </w:tc>
      </w:tr>
      <w:tr w:rsidR="002449C2" w14:paraId="11674717" w14:textId="77777777">
        <w:trPr>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7365919C" w14:textId="77777777" w:rsidR="002449C2" w:rsidRDefault="00123961">
            <w:pPr>
              <w:jc w:val="center"/>
              <w:rPr>
                <w:rFonts w:ascii="Times New Roman" w:hAnsi="Times New Roman"/>
                <w:sz w:val="20"/>
                <w:szCs w:val="20"/>
              </w:rPr>
            </w:pPr>
            <w:r>
              <w:rPr>
                <w:rFonts w:ascii="Times New Roman" w:hAnsi="Times New Roman"/>
                <w:sz w:val="20"/>
                <w:szCs w:val="20"/>
              </w:rPr>
              <w:t>16</w:t>
            </w:r>
          </w:p>
        </w:tc>
        <w:tc>
          <w:tcPr>
            <w:tcW w:w="844" w:type="dxa"/>
            <w:tcBorders>
              <w:top w:val="single" w:sz="4" w:space="0" w:color="000000"/>
              <w:left w:val="single" w:sz="4" w:space="0" w:color="000000"/>
              <w:bottom w:val="single" w:sz="4" w:space="0" w:color="000000"/>
              <w:right w:val="single" w:sz="4" w:space="0" w:color="000000"/>
            </w:tcBorders>
            <w:vAlign w:val="center"/>
          </w:tcPr>
          <w:p w14:paraId="1A900BC7"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ФР 6</w:t>
            </w:r>
          </w:p>
        </w:tc>
        <w:tc>
          <w:tcPr>
            <w:tcW w:w="1844" w:type="dxa"/>
            <w:tcBorders>
              <w:top w:val="single" w:sz="4" w:space="0" w:color="000000"/>
              <w:left w:val="single" w:sz="4" w:space="0" w:color="000000"/>
              <w:bottom w:val="single" w:sz="4" w:space="0" w:color="000000"/>
              <w:right w:val="single" w:sz="4" w:space="0" w:color="000000"/>
            </w:tcBorders>
            <w:vAlign w:val="center"/>
          </w:tcPr>
          <w:p w14:paraId="23209FBF"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Превышение планового уровня процентных расходов</w:t>
            </w:r>
          </w:p>
        </w:tc>
        <w:tc>
          <w:tcPr>
            <w:tcW w:w="11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59D1CAF"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99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7622530"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14:paraId="3B398472"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1.Переговоры с представителями банковских организаций, по вопросам снижения (не увеличения) процентных ставок.</w:t>
            </w:r>
          </w:p>
          <w:p w14:paraId="289AD35F"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2.Проведение аукционов по привлечению кредитных ресурсов с разбивкой общей суммы аукционов на несколько лотов, установление основных параметров кредитования, исходя из существующих условий в действующих кредитных договорах и мониторинга индикативных ставок кредитования Банков для привлечения большего количества участников на ТЗП.</w:t>
            </w:r>
          </w:p>
          <w:p w14:paraId="56ABA1B3"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3.Ежеквартальный мониторинг выполнения ковенантных ограничений по кредитным договорам.</w:t>
            </w:r>
          </w:p>
        </w:tc>
      </w:tr>
      <w:tr w:rsidR="002449C2" w14:paraId="311225EF" w14:textId="77777777">
        <w:trPr>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421F08E2" w14:textId="77777777" w:rsidR="002449C2" w:rsidRDefault="00123961">
            <w:pPr>
              <w:jc w:val="center"/>
              <w:rPr>
                <w:rFonts w:ascii="Times New Roman" w:hAnsi="Times New Roman"/>
                <w:sz w:val="20"/>
                <w:szCs w:val="20"/>
              </w:rPr>
            </w:pPr>
            <w:r>
              <w:rPr>
                <w:rFonts w:ascii="Times New Roman" w:hAnsi="Times New Roman"/>
                <w:sz w:val="20"/>
                <w:szCs w:val="20"/>
              </w:rPr>
              <w:t>17</w:t>
            </w:r>
          </w:p>
        </w:tc>
        <w:tc>
          <w:tcPr>
            <w:tcW w:w="844" w:type="dxa"/>
            <w:tcBorders>
              <w:top w:val="single" w:sz="4" w:space="0" w:color="000000"/>
              <w:left w:val="single" w:sz="4" w:space="0" w:color="000000"/>
              <w:bottom w:val="single" w:sz="4" w:space="0" w:color="000000"/>
              <w:right w:val="single" w:sz="4" w:space="0" w:color="000000"/>
            </w:tcBorders>
            <w:vAlign w:val="center"/>
          </w:tcPr>
          <w:p w14:paraId="3BA4A38A"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ФР 7</w:t>
            </w:r>
          </w:p>
        </w:tc>
        <w:tc>
          <w:tcPr>
            <w:tcW w:w="1844" w:type="dxa"/>
            <w:tcBorders>
              <w:top w:val="single" w:sz="4" w:space="0" w:color="000000"/>
              <w:left w:val="single" w:sz="4" w:space="0" w:color="000000"/>
              <w:bottom w:val="single" w:sz="4" w:space="0" w:color="000000"/>
              <w:right w:val="single" w:sz="4" w:space="0" w:color="000000"/>
            </w:tcBorders>
            <w:vAlign w:val="center"/>
          </w:tcPr>
          <w:p w14:paraId="3622AC04"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Превышение планового значения просроченной дебиторской задолженности от услуг по передаче электроэнергии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B2DE8D9"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99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B4AAD0A" w14:textId="77777777" w:rsidR="002449C2" w:rsidRDefault="00123961">
            <w:pPr>
              <w:jc w:val="center"/>
              <w:rPr>
                <w:rFonts w:ascii="Times New Roman" w:hAnsi="Times New Roman"/>
                <w:b/>
                <w:sz w:val="20"/>
                <w:szCs w:val="20"/>
              </w:rPr>
            </w:pPr>
            <w:r>
              <w:rPr>
                <w:rFonts w:ascii="Times New Roman" w:hAnsi="Times New Roman"/>
                <w:b/>
                <w:sz w:val="20"/>
                <w:szCs w:val="20"/>
              </w:rPr>
              <w:t>К</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14:paraId="5ADD3B2A"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1.Предъявление контрагентам, нарушившим сроки оплаты, штрафных санкций (неустойки), предусмотренных 307-ФЗ.</w:t>
            </w:r>
          </w:p>
          <w:p w14:paraId="74338EA0"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2.Мониторинг платежей и согласование ежемесячных графиков платежей с гарантирующими поставщиками.</w:t>
            </w:r>
          </w:p>
          <w:p w14:paraId="78F37E31"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3.Введение ограничения режима потребления в отношении контрагентов, нарушающих условия заключенных договоров по оплате оказанных услуг по передаче электрической энергии.</w:t>
            </w:r>
          </w:p>
          <w:p w14:paraId="303D1790"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4.Взаимодействие со службой ФССП России на стадии исполнительных производств, подписание с ФССП России соглашений о взаимодействии, осуществление контроля погашения задолженности в рамках исполнительного производства по полученным судебным решениям по взысканию просроченной задолженности.</w:t>
            </w:r>
          </w:p>
          <w:p w14:paraId="32BDA93C"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5.Инициирование процедуры банкротства в отношении предприятий должников. Защита интересов в процедурах банкротства должников.</w:t>
            </w:r>
          </w:p>
        </w:tc>
      </w:tr>
      <w:tr w:rsidR="002449C2" w14:paraId="67239416" w14:textId="77777777">
        <w:trPr>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20461213" w14:textId="77777777" w:rsidR="002449C2" w:rsidRDefault="00123961">
            <w:pPr>
              <w:jc w:val="center"/>
              <w:rPr>
                <w:rFonts w:ascii="Times New Roman" w:hAnsi="Times New Roman"/>
                <w:sz w:val="20"/>
                <w:szCs w:val="20"/>
              </w:rPr>
            </w:pPr>
            <w:r>
              <w:rPr>
                <w:rFonts w:ascii="Times New Roman" w:hAnsi="Times New Roman"/>
                <w:sz w:val="20"/>
                <w:szCs w:val="20"/>
              </w:rPr>
              <w:t>18</w:t>
            </w:r>
          </w:p>
        </w:tc>
        <w:tc>
          <w:tcPr>
            <w:tcW w:w="844" w:type="dxa"/>
            <w:tcBorders>
              <w:top w:val="single" w:sz="4" w:space="0" w:color="000000"/>
              <w:left w:val="single" w:sz="4" w:space="0" w:color="000000"/>
              <w:bottom w:val="single" w:sz="4" w:space="0" w:color="000000"/>
              <w:right w:val="single" w:sz="4" w:space="0" w:color="000000"/>
            </w:tcBorders>
            <w:vAlign w:val="center"/>
          </w:tcPr>
          <w:p w14:paraId="3B302AFC"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ФР 8</w:t>
            </w:r>
          </w:p>
        </w:tc>
        <w:tc>
          <w:tcPr>
            <w:tcW w:w="1844" w:type="dxa"/>
            <w:tcBorders>
              <w:top w:val="single" w:sz="4" w:space="0" w:color="000000"/>
              <w:left w:val="single" w:sz="4" w:space="0" w:color="000000"/>
              <w:bottom w:val="single" w:sz="4" w:space="0" w:color="000000"/>
              <w:right w:val="single" w:sz="4" w:space="0" w:color="000000"/>
            </w:tcBorders>
            <w:vAlign w:val="center"/>
          </w:tcPr>
          <w:p w14:paraId="41EDD559"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Превышение планового уровня долговой нагрузки</w:t>
            </w:r>
          </w:p>
        </w:tc>
        <w:tc>
          <w:tcPr>
            <w:tcW w:w="11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C1E7BF7"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99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8869B42"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14:paraId="7EFEF55C"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1.Получение экономически обоснованных тарифно-балансовых решений с учетом обеспечения соответствия уровня тарифов не ниже уровня утвержденного бизнес-плана.</w:t>
            </w:r>
          </w:p>
          <w:p w14:paraId="1617C814"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2.Формирование и реализация Программы повышения операционной эффективности и сокращения расходов.</w:t>
            </w:r>
          </w:p>
          <w:p w14:paraId="29637245"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3.Выполнение мероприятий по снижению дебиторской задолженности за услуги по передаче электроэнергии и урегулированию разногласий, контроль достижения запланированного уровня сбора платежей за электроэнергию.</w:t>
            </w:r>
          </w:p>
        </w:tc>
      </w:tr>
      <w:tr w:rsidR="002449C2" w14:paraId="6ABE1DC1" w14:textId="77777777">
        <w:trPr>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5AF4F3B8" w14:textId="77777777" w:rsidR="002449C2" w:rsidRDefault="00123961">
            <w:pPr>
              <w:jc w:val="center"/>
              <w:rPr>
                <w:rFonts w:ascii="Times New Roman" w:hAnsi="Times New Roman"/>
                <w:sz w:val="20"/>
                <w:szCs w:val="20"/>
              </w:rPr>
            </w:pPr>
            <w:r>
              <w:rPr>
                <w:rFonts w:ascii="Times New Roman" w:hAnsi="Times New Roman"/>
                <w:sz w:val="20"/>
                <w:szCs w:val="20"/>
              </w:rPr>
              <w:t>19</w:t>
            </w:r>
          </w:p>
        </w:tc>
        <w:tc>
          <w:tcPr>
            <w:tcW w:w="844" w:type="dxa"/>
            <w:tcBorders>
              <w:top w:val="single" w:sz="4" w:space="0" w:color="000000"/>
              <w:left w:val="single" w:sz="4" w:space="0" w:color="000000"/>
              <w:bottom w:val="single" w:sz="4" w:space="0" w:color="000000"/>
              <w:right w:val="single" w:sz="4" w:space="0" w:color="000000"/>
            </w:tcBorders>
            <w:vAlign w:val="center"/>
          </w:tcPr>
          <w:p w14:paraId="0236D0FC"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ФР 11</w:t>
            </w:r>
          </w:p>
        </w:tc>
        <w:tc>
          <w:tcPr>
            <w:tcW w:w="1844" w:type="dxa"/>
            <w:tcBorders>
              <w:top w:val="single" w:sz="4" w:space="0" w:color="000000"/>
              <w:left w:val="single" w:sz="4" w:space="0" w:color="000000"/>
              <w:bottom w:val="single" w:sz="4" w:space="0" w:color="000000"/>
              <w:right w:val="single" w:sz="4" w:space="0" w:color="000000"/>
            </w:tcBorders>
            <w:vAlign w:val="center"/>
          </w:tcPr>
          <w:p w14:paraId="0BFBFFAF"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Недостижение планового финансового результата от продажи электроэнергии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D8C8F87"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99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46B0C4A"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14:paraId="49C37722"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Мониторинг и прогнозирование электропотребления в разбивке по уровням напряжения, по которым дифференцируется цена (тариф) за поставленную электроэнергию, и категориям потребителей.</w:t>
            </w:r>
          </w:p>
        </w:tc>
      </w:tr>
      <w:tr w:rsidR="002449C2" w14:paraId="756558EB" w14:textId="77777777">
        <w:trPr>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1A885D1E" w14:textId="77777777" w:rsidR="002449C2" w:rsidRDefault="00123961">
            <w:pPr>
              <w:jc w:val="center"/>
              <w:rPr>
                <w:rFonts w:ascii="Times New Roman" w:hAnsi="Times New Roman"/>
                <w:sz w:val="20"/>
                <w:szCs w:val="20"/>
              </w:rPr>
            </w:pPr>
            <w:r>
              <w:rPr>
                <w:rFonts w:ascii="Times New Roman" w:hAnsi="Times New Roman"/>
                <w:sz w:val="20"/>
                <w:szCs w:val="20"/>
              </w:rPr>
              <w:t>20</w:t>
            </w:r>
          </w:p>
        </w:tc>
        <w:tc>
          <w:tcPr>
            <w:tcW w:w="844" w:type="dxa"/>
            <w:tcBorders>
              <w:top w:val="single" w:sz="4" w:space="0" w:color="000000"/>
              <w:left w:val="single" w:sz="4" w:space="0" w:color="000000"/>
              <w:bottom w:val="single" w:sz="4" w:space="0" w:color="000000"/>
              <w:right w:val="single" w:sz="4" w:space="0" w:color="000000"/>
            </w:tcBorders>
            <w:vAlign w:val="center"/>
          </w:tcPr>
          <w:p w14:paraId="7C68FFDE"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ПР 1</w:t>
            </w:r>
          </w:p>
        </w:tc>
        <w:tc>
          <w:tcPr>
            <w:tcW w:w="1844" w:type="dxa"/>
            <w:tcBorders>
              <w:top w:val="single" w:sz="4" w:space="0" w:color="000000"/>
              <w:left w:val="single" w:sz="4" w:space="0" w:color="000000"/>
              <w:bottom w:val="single" w:sz="4" w:space="0" w:color="000000"/>
              <w:right w:val="single" w:sz="4" w:space="0" w:color="000000"/>
            </w:tcBorders>
            <w:vAlign w:val="center"/>
          </w:tcPr>
          <w:p w14:paraId="632CDBC9"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Нарушение антимонопольного законодательства</w:t>
            </w:r>
          </w:p>
        </w:tc>
        <w:tc>
          <w:tcPr>
            <w:tcW w:w="11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AF89CD7"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99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EA5B062"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14:paraId="756C75FE" w14:textId="77777777" w:rsidR="002449C2" w:rsidRDefault="00123961">
            <w:pPr>
              <w:keepLines/>
              <w:spacing w:line="240" w:lineRule="auto"/>
              <w:rPr>
                <w:rFonts w:ascii="Times New Roman" w:hAnsi="Times New Roman"/>
                <w:sz w:val="20"/>
                <w:szCs w:val="20"/>
              </w:rPr>
            </w:pPr>
            <w:r>
              <w:rPr>
                <w:rFonts w:ascii="Times New Roman" w:hAnsi="Times New Roman"/>
                <w:sz w:val="20"/>
                <w:szCs w:val="20"/>
              </w:rPr>
              <w:t>1. Мониторинг законодательства в области деятельности Компании и изменения судебной практики по антимонопольным делам (вопросам);</w:t>
            </w:r>
          </w:p>
          <w:p w14:paraId="5CF77BAC" w14:textId="77777777" w:rsidR="002449C2" w:rsidRDefault="00123961">
            <w:pPr>
              <w:keepLines/>
              <w:spacing w:line="240" w:lineRule="auto"/>
              <w:rPr>
                <w:rFonts w:ascii="Times New Roman" w:hAnsi="Times New Roman"/>
                <w:sz w:val="20"/>
                <w:szCs w:val="20"/>
              </w:rPr>
            </w:pPr>
            <w:r>
              <w:rPr>
                <w:rFonts w:ascii="Times New Roman" w:hAnsi="Times New Roman"/>
                <w:sz w:val="20"/>
                <w:szCs w:val="20"/>
              </w:rPr>
              <w:t>2. Обжалование судебных актов, вынесенных не в пользу Компании, в вышестоящих инстанциях;</w:t>
            </w:r>
          </w:p>
          <w:p w14:paraId="1D504CA1" w14:textId="77777777" w:rsidR="002449C2" w:rsidRDefault="00123961">
            <w:pPr>
              <w:keepLines/>
              <w:spacing w:line="240" w:lineRule="auto"/>
              <w:rPr>
                <w:rFonts w:ascii="Times New Roman" w:hAnsi="Times New Roman"/>
                <w:sz w:val="20"/>
                <w:szCs w:val="20"/>
              </w:rPr>
            </w:pPr>
            <w:r>
              <w:rPr>
                <w:rFonts w:ascii="Times New Roman" w:hAnsi="Times New Roman"/>
                <w:sz w:val="20"/>
                <w:szCs w:val="20"/>
              </w:rPr>
              <w:t>3. Учет в инвестиционной программе всех объектов ТП в целях выполнения договоров льготного технологического присоединения, в том числе рассмотрение возможности выделения дополнительного источника финансирования.</w:t>
            </w:r>
          </w:p>
          <w:p w14:paraId="2C98797B" w14:textId="77777777" w:rsidR="002449C2" w:rsidRDefault="00123961">
            <w:pPr>
              <w:keepLines/>
              <w:spacing w:line="240" w:lineRule="auto"/>
              <w:rPr>
                <w:rFonts w:ascii="Times New Roman" w:hAnsi="Times New Roman"/>
                <w:sz w:val="20"/>
                <w:szCs w:val="20"/>
              </w:rPr>
            </w:pPr>
            <w:r>
              <w:rPr>
                <w:rFonts w:ascii="Times New Roman" w:hAnsi="Times New Roman"/>
                <w:sz w:val="20"/>
                <w:szCs w:val="20"/>
              </w:rPr>
              <w:t>4. Обеспечение исполнения обязательств Компании по ранее заключенным договорам об осуществлении технологического присоединения, срок по которым нарушен со стороны Компании;</w:t>
            </w:r>
          </w:p>
          <w:p w14:paraId="707937FA" w14:textId="77777777" w:rsidR="002449C2" w:rsidRDefault="00123961">
            <w:pPr>
              <w:spacing w:line="240" w:lineRule="auto"/>
              <w:jc w:val="both"/>
              <w:rPr>
                <w:rFonts w:ascii="Times New Roman" w:hAnsi="Times New Roman"/>
                <w:color w:val="000000"/>
                <w:sz w:val="20"/>
                <w:szCs w:val="20"/>
              </w:rPr>
            </w:pPr>
            <w:r>
              <w:rPr>
                <w:rFonts w:ascii="Times New Roman" w:hAnsi="Times New Roman"/>
                <w:sz w:val="20"/>
                <w:szCs w:val="20"/>
              </w:rPr>
              <w:t>5. Контроль соблюдения требования ОРД Общества, регламентирующих судебную работу</w:t>
            </w:r>
          </w:p>
        </w:tc>
      </w:tr>
      <w:tr w:rsidR="002449C2" w14:paraId="71910368" w14:textId="77777777">
        <w:trPr>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4C112D2D" w14:textId="77777777" w:rsidR="002449C2" w:rsidRDefault="00123961">
            <w:pPr>
              <w:rPr>
                <w:rFonts w:ascii="Times New Roman" w:hAnsi="Times New Roman"/>
                <w:sz w:val="20"/>
                <w:szCs w:val="20"/>
              </w:rPr>
            </w:pPr>
            <w:r>
              <w:rPr>
                <w:rFonts w:ascii="Times New Roman" w:hAnsi="Times New Roman"/>
                <w:sz w:val="20"/>
                <w:szCs w:val="20"/>
              </w:rPr>
              <w:t>21</w:t>
            </w:r>
          </w:p>
        </w:tc>
        <w:tc>
          <w:tcPr>
            <w:tcW w:w="844" w:type="dxa"/>
            <w:tcBorders>
              <w:top w:val="single" w:sz="4" w:space="0" w:color="000000"/>
              <w:left w:val="single" w:sz="4" w:space="0" w:color="000000"/>
              <w:bottom w:val="single" w:sz="4" w:space="0" w:color="000000"/>
              <w:right w:val="single" w:sz="4" w:space="0" w:color="000000"/>
            </w:tcBorders>
            <w:vAlign w:val="center"/>
          </w:tcPr>
          <w:p w14:paraId="49FEF04A"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ПР 2</w:t>
            </w:r>
          </w:p>
        </w:tc>
        <w:tc>
          <w:tcPr>
            <w:tcW w:w="1844" w:type="dxa"/>
            <w:tcBorders>
              <w:top w:val="single" w:sz="4" w:space="0" w:color="000000"/>
              <w:left w:val="single" w:sz="4" w:space="0" w:color="000000"/>
              <w:bottom w:val="single" w:sz="4" w:space="0" w:color="000000"/>
              <w:right w:val="single" w:sz="4" w:space="0" w:color="000000"/>
            </w:tcBorders>
            <w:vAlign w:val="center"/>
          </w:tcPr>
          <w:p w14:paraId="545511A9"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Нарушение трудового законодательства</w:t>
            </w:r>
          </w:p>
        </w:tc>
        <w:tc>
          <w:tcPr>
            <w:tcW w:w="11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E9364DF"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99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791AF1A"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14:paraId="0AF76E76"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1.Обеспечение Общества квалифицированными кадрами, соответствующими должностным требованиям для решения текущих и перспективных задач Общества.</w:t>
            </w:r>
          </w:p>
          <w:p w14:paraId="51555B90"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2.Своевременное и качественное обеспечение потребностей Общества в высококвалифицированных специалистах для замещения ключевых должностей и высвобождаемых должностей руководителей подразделений.</w:t>
            </w:r>
          </w:p>
          <w:p w14:paraId="52A69414"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3.Обеспечение повышения квалификации работников Общества, организация профессиональной переподготовки персонала, контроль за соблюдением законодательных норм в области обязательного обучения, организация выполнения обязательных требований органов внешнего контроля/надзора.</w:t>
            </w:r>
          </w:p>
          <w:p w14:paraId="5B8BAB44"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4.Обеспечение соблюдения трудового законодательства и ЛНА Общества и исполнение кадровых решений.</w:t>
            </w:r>
          </w:p>
          <w:p w14:paraId="18362E0A"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5.Определение психологических и психофизиологических профессионально важных качеств работников/ кандидатов на должность.</w:t>
            </w:r>
          </w:p>
        </w:tc>
      </w:tr>
      <w:tr w:rsidR="002449C2" w14:paraId="4C99A602" w14:textId="77777777">
        <w:trPr>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633C9B73" w14:textId="77777777" w:rsidR="002449C2" w:rsidRDefault="00123961">
            <w:pPr>
              <w:jc w:val="center"/>
              <w:rPr>
                <w:rFonts w:ascii="Times New Roman" w:hAnsi="Times New Roman"/>
                <w:sz w:val="20"/>
                <w:szCs w:val="20"/>
              </w:rPr>
            </w:pPr>
            <w:r>
              <w:rPr>
                <w:rFonts w:ascii="Times New Roman" w:hAnsi="Times New Roman"/>
                <w:sz w:val="20"/>
                <w:szCs w:val="20"/>
              </w:rPr>
              <w:t>22</w:t>
            </w:r>
          </w:p>
        </w:tc>
        <w:tc>
          <w:tcPr>
            <w:tcW w:w="844" w:type="dxa"/>
            <w:tcBorders>
              <w:top w:val="single" w:sz="4" w:space="0" w:color="000000"/>
              <w:left w:val="single" w:sz="4" w:space="0" w:color="000000"/>
              <w:bottom w:val="single" w:sz="4" w:space="0" w:color="000000"/>
              <w:right w:val="single" w:sz="4" w:space="0" w:color="000000"/>
            </w:tcBorders>
            <w:vAlign w:val="center"/>
          </w:tcPr>
          <w:p w14:paraId="27246F8F"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ПР 3</w:t>
            </w:r>
          </w:p>
        </w:tc>
        <w:tc>
          <w:tcPr>
            <w:tcW w:w="1844" w:type="dxa"/>
            <w:tcBorders>
              <w:top w:val="single" w:sz="4" w:space="0" w:color="000000"/>
              <w:left w:val="single" w:sz="4" w:space="0" w:color="000000"/>
              <w:bottom w:val="single" w:sz="4" w:space="0" w:color="000000"/>
              <w:right w:val="single" w:sz="4" w:space="0" w:color="000000"/>
            </w:tcBorders>
            <w:vAlign w:val="center"/>
          </w:tcPr>
          <w:p w14:paraId="3BD88030"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Нарушение законодательства об охране труда</w:t>
            </w:r>
          </w:p>
        </w:tc>
        <w:tc>
          <w:tcPr>
            <w:tcW w:w="11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BBA96F6"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99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03E604A"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14:paraId="3400D9B7"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1.Обеспечение необходимого уровня компетентности и осведомленности работников в вопросах охраны труда.</w:t>
            </w:r>
          </w:p>
          <w:p w14:paraId="1FAD0B5D"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2.Планирование мероприятий по охране труда с учетом изменений в государственных нормативных требованиях по охране труда. Организация и осуществление контроля за своевременной реализацией мероприятий.</w:t>
            </w:r>
          </w:p>
        </w:tc>
      </w:tr>
      <w:tr w:rsidR="002449C2" w14:paraId="067271E7" w14:textId="77777777">
        <w:trPr>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3D826F8C" w14:textId="77777777" w:rsidR="002449C2" w:rsidRDefault="00123961">
            <w:pPr>
              <w:jc w:val="center"/>
              <w:rPr>
                <w:rFonts w:ascii="Times New Roman" w:hAnsi="Times New Roman"/>
                <w:sz w:val="20"/>
                <w:szCs w:val="20"/>
              </w:rPr>
            </w:pPr>
            <w:r>
              <w:rPr>
                <w:rFonts w:ascii="Times New Roman" w:hAnsi="Times New Roman"/>
                <w:sz w:val="20"/>
                <w:szCs w:val="20"/>
              </w:rPr>
              <w:t>23</w:t>
            </w:r>
          </w:p>
        </w:tc>
        <w:tc>
          <w:tcPr>
            <w:tcW w:w="844" w:type="dxa"/>
            <w:tcBorders>
              <w:top w:val="single" w:sz="4" w:space="0" w:color="000000"/>
              <w:left w:val="single" w:sz="4" w:space="0" w:color="000000"/>
              <w:bottom w:val="single" w:sz="4" w:space="0" w:color="000000"/>
              <w:right w:val="single" w:sz="4" w:space="0" w:color="000000"/>
            </w:tcBorders>
            <w:vAlign w:val="center"/>
          </w:tcPr>
          <w:p w14:paraId="4FFE1903"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ПР 4</w:t>
            </w:r>
          </w:p>
        </w:tc>
        <w:tc>
          <w:tcPr>
            <w:tcW w:w="1844" w:type="dxa"/>
            <w:tcBorders>
              <w:top w:val="single" w:sz="4" w:space="0" w:color="000000"/>
              <w:left w:val="single" w:sz="4" w:space="0" w:color="000000"/>
              <w:bottom w:val="single" w:sz="4" w:space="0" w:color="000000"/>
              <w:right w:val="single" w:sz="4" w:space="0" w:color="000000"/>
            </w:tcBorders>
            <w:vAlign w:val="center"/>
          </w:tcPr>
          <w:p w14:paraId="6212690C" w14:textId="77777777" w:rsidR="002449C2" w:rsidRDefault="00123961">
            <w:pPr>
              <w:jc w:val="center"/>
              <w:rPr>
                <w:rFonts w:ascii="Times New Roman" w:hAnsi="Times New Roman"/>
                <w:sz w:val="20"/>
                <w:szCs w:val="20"/>
              </w:rPr>
            </w:pPr>
            <w:r>
              <w:rPr>
                <w:rFonts w:ascii="Times New Roman" w:hAnsi="Times New Roman"/>
                <w:sz w:val="20"/>
                <w:szCs w:val="20"/>
              </w:rPr>
              <w:t>Нарушение законодательства в области промышленной и пожарной безопасности</w:t>
            </w:r>
          </w:p>
        </w:tc>
        <w:tc>
          <w:tcPr>
            <w:tcW w:w="11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754CCD8"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99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B43725C"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14:paraId="3586D883"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1.Планирование и выполнение мероприятий направленных на обеспечение пожарной безопасности (ТО и ремонт автоматических установок пожарной сигнализации, систем оповещения, противодымной защиты и прочих систем противопожарной автоматики; эксплуатация систем противопожарного водоснабжения; проверка и зарядка огнетушителей; огнезащитная обработка строительных конструкций и кабелей; приобретение первичных средств пожаротушения и противопожарного оборудования; подготовка и обучение персонала по пожарной безопасности; приобретение средств индивидуальной защиты; приобретение плакатов, стендов, учебных пособий, планов эвакуации и т.д.).</w:t>
            </w:r>
          </w:p>
          <w:p w14:paraId="112CF00F"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2.Планирование и выполнение мероприятий, направленных на обеспечение промышленной безопасности (проведение экспертизы промышленной безопасности, проверка и обслуживание приборов безопасности ГПМ, страхование ОПО, получение лицензии на эксплуатацию ОПО, предэкзаменационная, предаттестационная подготовка персонала, обучение по промышленной безопасности).</w:t>
            </w:r>
          </w:p>
          <w:p w14:paraId="04023A75"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3.Разработка и выполнение плана работ по осуществлению производственного контроля за соблюдением требований промышленной безопасности.</w:t>
            </w:r>
          </w:p>
          <w:p w14:paraId="64894729"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4.Контроль выполнения требований законодательства в области промышленной и пожарной безопасности при внутренних проверках производственной деятельности.</w:t>
            </w:r>
          </w:p>
          <w:p w14:paraId="017BD3A1"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5.Контроль исполнения в установленные сроки мероприятий по результатам проведенных проверок в области промышленной и пожарной безопасности (включая проверки внешних надзорных органов).</w:t>
            </w:r>
          </w:p>
        </w:tc>
      </w:tr>
      <w:tr w:rsidR="002449C2" w14:paraId="3C4326B1" w14:textId="77777777">
        <w:trPr>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6F88570D" w14:textId="77777777" w:rsidR="002449C2" w:rsidRDefault="00123961">
            <w:pPr>
              <w:jc w:val="center"/>
              <w:rPr>
                <w:rFonts w:ascii="Times New Roman" w:hAnsi="Times New Roman"/>
                <w:sz w:val="20"/>
                <w:szCs w:val="20"/>
              </w:rPr>
            </w:pPr>
            <w:r>
              <w:rPr>
                <w:rFonts w:ascii="Times New Roman" w:hAnsi="Times New Roman"/>
                <w:sz w:val="20"/>
                <w:szCs w:val="20"/>
              </w:rPr>
              <w:t>24</w:t>
            </w:r>
          </w:p>
        </w:tc>
        <w:tc>
          <w:tcPr>
            <w:tcW w:w="844" w:type="dxa"/>
            <w:tcBorders>
              <w:top w:val="single" w:sz="4" w:space="0" w:color="000000"/>
              <w:left w:val="single" w:sz="4" w:space="0" w:color="000000"/>
              <w:bottom w:val="single" w:sz="4" w:space="0" w:color="000000"/>
              <w:right w:val="single" w:sz="4" w:space="0" w:color="000000"/>
            </w:tcBorders>
            <w:vAlign w:val="center"/>
          </w:tcPr>
          <w:p w14:paraId="5C807288"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ПР 7</w:t>
            </w:r>
          </w:p>
        </w:tc>
        <w:tc>
          <w:tcPr>
            <w:tcW w:w="1844" w:type="dxa"/>
            <w:tcBorders>
              <w:top w:val="single" w:sz="4" w:space="0" w:color="000000"/>
              <w:left w:val="single" w:sz="4" w:space="0" w:color="000000"/>
              <w:bottom w:val="single" w:sz="4" w:space="0" w:color="000000"/>
              <w:right w:val="single" w:sz="4" w:space="0" w:color="000000"/>
            </w:tcBorders>
            <w:vAlign w:val="center"/>
          </w:tcPr>
          <w:p w14:paraId="46B6C012" w14:textId="77777777" w:rsidR="002449C2" w:rsidRDefault="00123961">
            <w:pPr>
              <w:jc w:val="center"/>
              <w:rPr>
                <w:rFonts w:ascii="Times New Roman" w:hAnsi="Times New Roman"/>
                <w:sz w:val="20"/>
                <w:szCs w:val="20"/>
              </w:rPr>
            </w:pPr>
            <w:r>
              <w:rPr>
                <w:rFonts w:ascii="Times New Roman" w:hAnsi="Times New Roman"/>
                <w:sz w:val="20"/>
                <w:szCs w:val="20"/>
              </w:rPr>
              <w:t>Нарушение законодательства об акционерных обществах и законодательства о ценных бумагах</w:t>
            </w:r>
          </w:p>
        </w:tc>
        <w:tc>
          <w:tcPr>
            <w:tcW w:w="11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BF34542"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99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EB4E332"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14:paraId="2C7CD67F"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1.Осуществление контроля соблюдения сотрудниками Общества действующего законодательства Российской Федерации об акционерных обществах и ценных бумагах.</w:t>
            </w:r>
          </w:p>
          <w:p w14:paraId="4C3D9E2D"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2.Мониторинг изменений законодательства Российской Федерации об акционерных обществах и ценных бумагах, при необходимости актуализация локальных нормативных актов Общества.</w:t>
            </w:r>
          </w:p>
          <w:p w14:paraId="72EA0E98"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3.Своевременное размещение информации и материалов на серверах раскрытия информации в сети Интернет.</w:t>
            </w:r>
          </w:p>
          <w:p w14:paraId="183ECCCA"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4.Соблюдение порядка и сроков подготовки и проведения общих собраний акционеров.</w:t>
            </w:r>
          </w:p>
        </w:tc>
      </w:tr>
      <w:tr w:rsidR="002449C2" w14:paraId="47AD09FB" w14:textId="77777777">
        <w:trPr>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77302ED0" w14:textId="77777777" w:rsidR="002449C2" w:rsidRDefault="00123961">
            <w:pPr>
              <w:jc w:val="center"/>
              <w:rPr>
                <w:rFonts w:ascii="Times New Roman" w:hAnsi="Times New Roman"/>
                <w:sz w:val="20"/>
                <w:szCs w:val="20"/>
              </w:rPr>
            </w:pPr>
            <w:r>
              <w:rPr>
                <w:rFonts w:ascii="Times New Roman" w:hAnsi="Times New Roman"/>
                <w:sz w:val="20"/>
                <w:szCs w:val="20"/>
              </w:rPr>
              <w:t>25</w:t>
            </w:r>
          </w:p>
        </w:tc>
        <w:tc>
          <w:tcPr>
            <w:tcW w:w="844" w:type="dxa"/>
            <w:tcBorders>
              <w:top w:val="single" w:sz="4" w:space="0" w:color="000000"/>
              <w:left w:val="single" w:sz="4" w:space="0" w:color="000000"/>
              <w:bottom w:val="single" w:sz="4" w:space="0" w:color="000000"/>
              <w:right w:val="single" w:sz="4" w:space="0" w:color="000000"/>
            </w:tcBorders>
            <w:vAlign w:val="center"/>
          </w:tcPr>
          <w:p w14:paraId="0E80CB97"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ПР 8</w:t>
            </w:r>
          </w:p>
        </w:tc>
        <w:tc>
          <w:tcPr>
            <w:tcW w:w="1844" w:type="dxa"/>
            <w:tcBorders>
              <w:top w:val="single" w:sz="4" w:space="0" w:color="000000"/>
              <w:left w:val="single" w:sz="4" w:space="0" w:color="000000"/>
              <w:bottom w:val="single" w:sz="4" w:space="0" w:color="000000"/>
              <w:right w:val="single" w:sz="4" w:space="0" w:color="000000"/>
            </w:tcBorders>
            <w:vAlign w:val="center"/>
          </w:tcPr>
          <w:p w14:paraId="7E0F143A" w14:textId="77777777" w:rsidR="002449C2" w:rsidRDefault="00123961">
            <w:pPr>
              <w:jc w:val="center"/>
              <w:rPr>
                <w:rFonts w:ascii="Times New Roman" w:hAnsi="Times New Roman"/>
                <w:sz w:val="20"/>
                <w:szCs w:val="20"/>
              </w:rPr>
            </w:pPr>
            <w:r>
              <w:rPr>
                <w:rFonts w:ascii="Times New Roman" w:hAnsi="Times New Roman"/>
                <w:sz w:val="20"/>
                <w:szCs w:val="20"/>
              </w:rPr>
              <w:t>Нарушение законодательства о налогах и сборах и законодательства о бухгалтерском учете</w:t>
            </w:r>
          </w:p>
        </w:tc>
        <w:tc>
          <w:tcPr>
            <w:tcW w:w="11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387F400"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99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1A87273"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14:paraId="263B8670"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1.Повышение квалификации и обучение персонала.</w:t>
            </w:r>
          </w:p>
          <w:p w14:paraId="54A1364D"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2.Текущий анализ регистров налогового учета, проверка правильности и полноты отражения налоговых платежей.</w:t>
            </w:r>
          </w:p>
        </w:tc>
      </w:tr>
      <w:tr w:rsidR="002449C2" w14:paraId="4FB9D5E5" w14:textId="77777777">
        <w:trPr>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5464AC23" w14:textId="77777777" w:rsidR="002449C2" w:rsidRDefault="00123961">
            <w:pPr>
              <w:jc w:val="center"/>
              <w:rPr>
                <w:rFonts w:ascii="Times New Roman" w:hAnsi="Times New Roman"/>
                <w:sz w:val="20"/>
                <w:szCs w:val="20"/>
              </w:rPr>
            </w:pPr>
            <w:r>
              <w:rPr>
                <w:rFonts w:ascii="Times New Roman" w:hAnsi="Times New Roman"/>
                <w:sz w:val="20"/>
                <w:szCs w:val="20"/>
              </w:rPr>
              <w:t>26</w:t>
            </w:r>
          </w:p>
        </w:tc>
        <w:tc>
          <w:tcPr>
            <w:tcW w:w="844" w:type="dxa"/>
            <w:tcBorders>
              <w:top w:val="single" w:sz="4" w:space="0" w:color="000000"/>
              <w:left w:val="single" w:sz="4" w:space="0" w:color="000000"/>
              <w:bottom w:val="single" w:sz="4" w:space="0" w:color="000000"/>
              <w:right w:val="single" w:sz="4" w:space="0" w:color="000000"/>
            </w:tcBorders>
            <w:vAlign w:val="center"/>
          </w:tcPr>
          <w:p w14:paraId="352C9F45"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ПР 9</w:t>
            </w:r>
          </w:p>
        </w:tc>
        <w:tc>
          <w:tcPr>
            <w:tcW w:w="1844" w:type="dxa"/>
            <w:tcBorders>
              <w:top w:val="single" w:sz="4" w:space="0" w:color="000000"/>
              <w:left w:val="single" w:sz="4" w:space="0" w:color="000000"/>
              <w:bottom w:val="single" w:sz="4" w:space="0" w:color="000000"/>
              <w:right w:val="single" w:sz="4" w:space="0" w:color="000000"/>
            </w:tcBorders>
            <w:vAlign w:val="center"/>
          </w:tcPr>
          <w:p w14:paraId="0BE6EAC5" w14:textId="77777777" w:rsidR="002449C2" w:rsidRDefault="00123961">
            <w:pPr>
              <w:jc w:val="center"/>
              <w:rPr>
                <w:rFonts w:ascii="Times New Roman" w:hAnsi="Times New Roman"/>
                <w:sz w:val="20"/>
                <w:szCs w:val="20"/>
              </w:rPr>
            </w:pPr>
            <w:r>
              <w:rPr>
                <w:rFonts w:ascii="Times New Roman" w:hAnsi="Times New Roman"/>
                <w:sz w:val="20"/>
                <w:szCs w:val="20"/>
              </w:rPr>
              <w:t>Совершение преступления  коррупционной направленности работниками Общества</w:t>
            </w:r>
          </w:p>
        </w:tc>
        <w:tc>
          <w:tcPr>
            <w:tcW w:w="1134"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4C92CBB" w14:textId="77777777" w:rsidR="002449C2" w:rsidRDefault="00123961">
            <w:pPr>
              <w:jc w:val="center"/>
              <w:rPr>
                <w:rFonts w:ascii="Times New Roman" w:hAnsi="Times New Roman"/>
                <w:b/>
                <w:sz w:val="20"/>
                <w:szCs w:val="20"/>
              </w:rPr>
            </w:pPr>
            <w:r>
              <w:rPr>
                <w:rFonts w:ascii="Times New Roman" w:hAnsi="Times New Roman"/>
                <w:b/>
                <w:sz w:val="20"/>
                <w:szCs w:val="20"/>
              </w:rPr>
              <w:t>К</w:t>
            </w:r>
          </w:p>
        </w:tc>
        <w:tc>
          <w:tcPr>
            <w:tcW w:w="99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24C5DF5F" w14:textId="77777777" w:rsidR="002449C2" w:rsidRDefault="00123961">
            <w:pPr>
              <w:jc w:val="center"/>
              <w:rPr>
                <w:rFonts w:ascii="Times New Roman" w:hAnsi="Times New Roman"/>
                <w:b/>
                <w:sz w:val="20"/>
                <w:szCs w:val="20"/>
              </w:rPr>
            </w:pPr>
            <w:r>
              <w:rPr>
                <w:rFonts w:ascii="Times New Roman" w:hAnsi="Times New Roman"/>
                <w:b/>
                <w:sz w:val="20"/>
                <w:szCs w:val="20"/>
              </w:rPr>
              <w:t>К</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14:paraId="56170665" w14:textId="77777777" w:rsidR="002449C2" w:rsidRDefault="00123961">
            <w:pPr>
              <w:spacing w:line="240" w:lineRule="auto"/>
              <w:rPr>
                <w:rFonts w:ascii="Times New Roman" w:hAnsi="Times New Roman"/>
                <w:sz w:val="20"/>
                <w:szCs w:val="20"/>
              </w:rPr>
            </w:pPr>
            <w:r>
              <w:rPr>
                <w:rFonts w:ascii="Times New Roman" w:hAnsi="Times New Roman"/>
                <w:sz w:val="20"/>
                <w:szCs w:val="20"/>
              </w:rPr>
              <w:t>1.Организация процесса управления коррупционными рисками и внутреннего контроля в Обществе;</w:t>
            </w:r>
          </w:p>
          <w:p w14:paraId="4C5D2416" w14:textId="77777777" w:rsidR="002449C2" w:rsidRDefault="00123961">
            <w:pPr>
              <w:spacing w:line="240" w:lineRule="auto"/>
              <w:rPr>
                <w:rFonts w:ascii="Times New Roman" w:hAnsi="Times New Roman"/>
                <w:sz w:val="20"/>
                <w:szCs w:val="20"/>
              </w:rPr>
            </w:pPr>
            <w:r>
              <w:rPr>
                <w:rFonts w:ascii="Times New Roman" w:hAnsi="Times New Roman"/>
                <w:sz w:val="20"/>
                <w:szCs w:val="20"/>
              </w:rPr>
              <w:t>2.Предотвращение и урегулирование конфликта интересов;</w:t>
            </w:r>
          </w:p>
          <w:p w14:paraId="2C3E4034" w14:textId="77777777" w:rsidR="002449C2" w:rsidRDefault="00123961">
            <w:pPr>
              <w:spacing w:line="240" w:lineRule="auto"/>
              <w:rPr>
                <w:rFonts w:ascii="Times New Roman" w:hAnsi="Times New Roman"/>
                <w:sz w:val="20"/>
                <w:szCs w:val="20"/>
              </w:rPr>
            </w:pPr>
            <w:r>
              <w:rPr>
                <w:rFonts w:ascii="Times New Roman" w:hAnsi="Times New Roman"/>
                <w:sz w:val="20"/>
                <w:szCs w:val="20"/>
              </w:rPr>
              <w:t>3.Разработка и внедрение в деятельность Общества стандартов и процедур, направленных на обеспечение добросовестной работы;</w:t>
            </w:r>
          </w:p>
          <w:p w14:paraId="6B31C70E" w14:textId="77777777" w:rsidR="002449C2" w:rsidRDefault="00123961">
            <w:pPr>
              <w:spacing w:line="240" w:lineRule="auto"/>
              <w:rPr>
                <w:rFonts w:ascii="Times New Roman" w:hAnsi="Times New Roman"/>
                <w:sz w:val="20"/>
                <w:szCs w:val="20"/>
              </w:rPr>
            </w:pPr>
            <w:r>
              <w:rPr>
                <w:rFonts w:ascii="Times New Roman" w:hAnsi="Times New Roman"/>
                <w:sz w:val="20"/>
                <w:szCs w:val="20"/>
              </w:rPr>
              <w:t>4.формирование основ законопослушного поведения работников и правовое просвещение;</w:t>
            </w:r>
          </w:p>
          <w:p w14:paraId="6FAE5ED1" w14:textId="77777777" w:rsidR="002449C2" w:rsidRDefault="00123961">
            <w:pPr>
              <w:spacing w:line="240" w:lineRule="auto"/>
              <w:rPr>
                <w:rFonts w:ascii="Times New Roman" w:hAnsi="Times New Roman"/>
                <w:sz w:val="20"/>
                <w:szCs w:val="20"/>
              </w:rPr>
            </w:pPr>
            <w:r>
              <w:rPr>
                <w:rFonts w:ascii="Times New Roman" w:hAnsi="Times New Roman"/>
                <w:sz w:val="20"/>
                <w:szCs w:val="20"/>
              </w:rPr>
              <w:t>5.рассмотрение и проверка сведений о возможных фактах коррупции;</w:t>
            </w:r>
          </w:p>
          <w:p w14:paraId="0F786626" w14:textId="77777777" w:rsidR="002449C2" w:rsidRDefault="00123961">
            <w:pPr>
              <w:spacing w:line="240" w:lineRule="auto"/>
              <w:rPr>
                <w:rFonts w:ascii="Times New Roman" w:hAnsi="Times New Roman"/>
                <w:sz w:val="20"/>
                <w:szCs w:val="20"/>
              </w:rPr>
            </w:pPr>
            <w:r>
              <w:rPr>
                <w:rFonts w:ascii="Times New Roman" w:hAnsi="Times New Roman"/>
                <w:sz w:val="20"/>
                <w:szCs w:val="20"/>
              </w:rPr>
              <w:t>6.сотрудничество с правоохранительными органами в противодействия коррупции;</w:t>
            </w:r>
          </w:p>
          <w:p w14:paraId="18F37AC7" w14:textId="77777777" w:rsidR="002449C2" w:rsidRDefault="00123961">
            <w:pPr>
              <w:spacing w:line="240" w:lineRule="auto"/>
              <w:rPr>
                <w:rFonts w:ascii="Times New Roman" w:hAnsi="Times New Roman"/>
                <w:sz w:val="20"/>
                <w:szCs w:val="20"/>
              </w:rPr>
            </w:pPr>
            <w:r>
              <w:rPr>
                <w:rFonts w:ascii="Times New Roman" w:hAnsi="Times New Roman"/>
                <w:sz w:val="20"/>
                <w:szCs w:val="20"/>
              </w:rPr>
              <w:t>7.участие в коллективных инициативах по предупреждению и профилактике коррупции.</w:t>
            </w:r>
          </w:p>
        </w:tc>
      </w:tr>
      <w:tr w:rsidR="002449C2" w14:paraId="37FB1581" w14:textId="77777777">
        <w:trPr>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274F9579" w14:textId="77777777" w:rsidR="002449C2" w:rsidRDefault="00123961">
            <w:pPr>
              <w:jc w:val="center"/>
              <w:rPr>
                <w:rFonts w:ascii="Times New Roman" w:hAnsi="Times New Roman"/>
                <w:sz w:val="20"/>
                <w:szCs w:val="20"/>
              </w:rPr>
            </w:pPr>
            <w:r>
              <w:rPr>
                <w:rFonts w:ascii="Times New Roman" w:hAnsi="Times New Roman"/>
                <w:sz w:val="20"/>
                <w:szCs w:val="20"/>
              </w:rPr>
              <w:t>27</w:t>
            </w:r>
          </w:p>
        </w:tc>
        <w:tc>
          <w:tcPr>
            <w:tcW w:w="844" w:type="dxa"/>
            <w:tcBorders>
              <w:top w:val="single" w:sz="4" w:space="0" w:color="000000"/>
              <w:left w:val="single" w:sz="4" w:space="0" w:color="000000"/>
              <w:bottom w:val="single" w:sz="4" w:space="0" w:color="000000"/>
              <w:right w:val="single" w:sz="4" w:space="0" w:color="000000"/>
            </w:tcBorders>
            <w:vAlign w:val="center"/>
          </w:tcPr>
          <w:p w14:paraId="33261049" w14:textId="77777777" w:rsidR="002449C2" w:rsidRDefault="00123961">
            <w:pPr>
              <w:jc w:val="center"/>
              <w:rPr>
                <w:rFonts w:ascii="Times New Roman" w:hAnsi="Times New Roman"/>
                <w:color w:val="000000"/>
                <w:sz w:val="20"/>
                <w:szCs w:val="20"/>
              </w:rPr>
            </w:pPr>
            <w:r>
              <w:rPr>
                <w:rFonts w:ascii="Times New Roman" w:hAnsi="Times New Roman"/>
                <w:color w:val="000000"/>
                <w:sz w:val="20"/>
                <w:szCs w:val="20"/>
              </w:rPr>
              <w:t>ПР10</w:t>
            </w:r>
          </w:p>
        </w:tc>
        <w:tc>
          <w:tcPr>
            <w:tcW w:w="1844" w:type="dxa"/>
            <w:tcBorders>
              <w:top w:val="single" w:sz="4" w:space="0" w:color="000000"/>
              <w:left w:val="single" w:sz="4" w:space="0" w:color="000000"/>
              <w:bottom w:val="single" w:sz="4" w:space="0" w:color="000000"/>
              <w:right w:val="single" w:sz="4" w:space="0" w:color="000000"/>
            </w:tcBorders>
            <w:vAlign w:val="center"/>
          </w:tcPr>
          <w:p w14:paraId="564B8561" w14:textId="77777777" w:rsidR="002449C2" w:rsidRDefault="00123961">
            <w:pPr>
              <w:jc w:val="center"/>
              <w:rPr>
                <w:rFonts w:ascii="Times New Roman" w:hAnsi="Times New Roman"/>
                <w:sz w:val="20"/>
                <w:szCs w:val="20"/>
              </w:rPr>
            </w:pPr>
            <w:r>
              <w:rPr>
                <w:rFonts w:ascii="Times New Roman" w:hAnsi="Times New Roman"/>
                <w:sz w:val="20"/>
                <w:szCs w:val="20"/>
              </w:rPr>
              <w:t>Неправомерные действия юридических и физических лиц, в том числе работников Общества, наносящие экономический ущерб, а также вред деловой репутации</w:t>
            </w:r>
          </w:p>
        </w:tc>
        <w:tc>
          <w:tcPr>
            <w:tcW w:w="1134"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A48B14E" w14:textId="77777777" w:rsidR="002449C2" w:rsidRDefault="00123961">
            <w:pPr>
              <w:jc w:val="center"/>
              <w:rPr>
                <w:rFonts w:ascii="Times New Roman" w:hAnsi="Times New Roman"/>
                <w:b/>
                <w:sz w:val="20"/>
                <w:szCs w:val="20"/>
              </w:rPr>
            </w:pPr>
            <w:r>
              <w:rPr>
                <w:rFonts w:ascii="Times New Roman" w:hAnsi="Times New Roman"/>
                <w:b/>
                <w:sz w:val="20"/>
                <w:szCs w:val="20"/>
              </w:rPr>
              <w:t>У</w:t>
            </w:r>
          </w:p>
        </w:tc>
        <w:tc>
          <w:tcPr>
            <w:tcW w:w="99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1C6D9B9" w14:textId="77777777" w:rsidR="002449C2" w:rsidRDefault="00123961">
            <w:pPr>
              <w:jc w:val="center"/>
              <w:rPr>
                <w:rFonts w:ascii="Times New Roman" w:hAnsi="Times New Roman"/>
                <w:b/>
                <w:sz w:val="20"/>
                <w:szCs w:val="20"/>
              </w:rPr>
            </w:pPr>
            <w:r>
              <w:rPr>
                <w:rFonts w:ascii="Times New Roman" w:hAnsi="Times New Roman"/>
                <w:b/>
                <w:sz w:val="20"/>
                <w:szCs w:val="20"/>
              </w:rPr>
              <w:t>З</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14:paraId="049B66A0" w14:textId="77777777" w:rsidR="002449C2" w:rsidRDefault="00123961">
            <w:pPr>
              <w:spacing w:line="240" w:lineRule="auto"/>
              <w:jc w:val="both"/>
              <w:rPr>
                <w:rFonts w:ascii="Times New Roman" w:hAnsi="Times New Roman"/>
                <w:color w:val="000000"/>
                <w:sz w:val="20"/>
                <w:szCs w:val="20"/>
              </w:rPr>
            </w:pPr>
            <w:r>
              <w:rPr>
                <w:rFonts w:ascii="Times New Roman" w:hAnsi="Times New Roman"/>
                <w:color w:val="000000"/>
                <w:sz w:val="20"/>
                <w:szCs w:val="20"/>
              </w:rPr>
              <w:t>1.</w:t>
            </w:r>
            <w:r>
              <w:rPr>
                <w:rFonts w:ascii="Times New Roman" w:hAnsi="Times New Roman"/>
                <w:sz w:val="20"/>
                <w:szCs w:val="20"/>
              </w:rPr>
              <w:t>Возмещение ущерба, причиненного Компании;</w:t>
            </w:r>
          </w:p>
          <w:p w14:paraId="58BCC87D" w14:textId="77777777" w:rsidR="002449C2" w:rsidRDefault="00123961">
            <w:pPr>
              <w:spacing w:line="240" w:lineRule="auto"/>
              <w:rPr>
                <w:rFonts w:ascii="Times New Roman" w:hAnsi="Times New Roman"/>
                <w:sz w:val="20"/>
                <w:szCs w:val="20"/>
              </w:rPr>
            </w:pPr>
            <w:r>
              <w:rPr>
                <w:rFonts w:ascii="Times New Roman" w:hAnsi="Times New Roman"/>
                <w:sz w:val="20"/>
                <w:szCs w:val="20"/>
              </w:rPr>
              <w:t>2. Участие по привлечению к дисциплинарной и/или материальной ответственности лиц, виновных в реализации риска;</w:t>
            </w:r>
          </w:p>
          <w:p w14:paraId="5D643E5F" w14:textId="77777777" w:rsidR="002449C2" w:rsidRDefault="00123961">
            <w:pPr>
              <w:spacing w:line="240" w:lineRule="auto"/>
              <w:rPr>
                <w:rFonts w:ascii="Times New Roman" w:hAnsi="Times New Roman"/>
                <w:sz w:val="20"/>
                <w:szCs w:val="20"/>
              </w:rPr>
            </w:pPr>
            <w:r>
              <w:rPr>
                <w:rFonts w:ascii="Times New Roman" w:hAnsi="Times New Roman"/>
                <w:sz w:val="20"/>
                <w:szCs w:val="20"/>
              </w:rPr>
              <w:t>3.  Разработка мероприятий по профилактике риска (направление указаний, рекомендаций, ориентировок в Филиалы по выявляемым факторам риска);</w:t>
            </w:r>
          </w:p>
          <w:p w14:paraId="69B9AFFB" w14:textId="77777777" w:rsidR="002449C2" w:rsidRDefault="00123961">
            <w:pPr>
              <w:spacing w:line="240" w:lineRule="auto"/>
              <w:rPr>
                <w:rFonts w:ascii="Times New Roman" w:hAnsi="Times New Roman"/>
                <w:sz w:val="20"/>
                <w:szCs w:val="20"/>
              </w:rPr>
            </w:pPr>
            <w:r>
              <w:rPr>
                <w:rFonts w:ascii="Times New Roman" w:hAnsi="Times New Roman"/>
                <w:sz w:val="20"/>
                <w:szCs w:val="20"/>
              </w:rPr>
              <w:t>4. Взаимодействие с ФССП России на стадии исполнительных производств в отношении оказанных услуг по передаче электрической энергии, осуществление контроля погашения задолженности в рамках исполнительного производства по полученным судебным решениям по взысканию просроченной задолженности в отношении указанных услуг;</w:t>
            </w:r>
          </w:p>
          <w:p w14:paraId="13A1187D" w14:textId="77777777" w:rsidR="002449C2" w:rsidRDefault="00123961">
            <w:pPr>
              <w:spacing w:line="240" w:lineRule="auto"/>
              <w:rPr>
                <w:rFonts w:ascii="Times New Roman" w:hAnsi="Times New Roman"/>
                <w:sz w:val="20"/>
                <w:szCs w:val="20"/>
              </w:rPr>
            </w:pPr>
            <w:r>
              <w:rPr>
                <w:rFonts w:ascii="Times New Roman" w:hAnsi="Times New Roman"/>
                <w:sz w:val="20"/>
                <w:szCs w:val="20"/>
              </w:rPr>
              <w:t>5. Проведение выборочных проверок соответствия объёмов фактически выполненных работ и указанных в договорах подряда;</w:t>
            </w:r>
          </w:p>
          <w:p w14:paraId="263520E5" w14:textId="77777777" w:rsidR="002449C2" w:rsidRDefault="00123961">
            <w:pPr>
              <w:spacing w:line="240" w:lineRule="auto"/>
              <w:rPr>
                <w:rFonts w:ascii="Times New Roman" w:hAnsi="Times New Roman"/>
                <w:sz w:val="20"/>
                <w:szCs w:val="20"/>
              </w:rPr>
            </w:pPr>
            <w:r>
              <w:rPr>
                <w:rFonts w:ascii="Times New Roman" w:hAnsi="Times New Roman"/>
                <w:sz w:val="20"/>
                <w:szCs w:val="20"/>
              </w:rPr>
              <w:t>6. Мониторинг соблюдения сроков рассмотрения заявлений и выявление возможных злоупотреблений, инициирование проведения проверки в филиалах;</w:t>
            </w:r>
          </w:p>
          <w:p w14:paraId="5F3BAE7B" w14:textId="77777777" w:rsidR="002449C2" w:rsidRDefault="00123961">
            <w:pPr>
              <w:spacing w:line="240" w:lineRule="auto"/>
              <w:rPr>
                <w:rFonts w:ascii="Times New Roman" w:hAnsi="Times New Roman"/>
                <w:sz w:val="20"/>
                <w:szCs w:val="20"/>
              </w:rPr>
            </w:pPr>
            <w:r>
              <w:rPr>
                <w:rFonts w:ascii="Times New Roman" w:hAnsi="Times New Roman"/>
                <w:sz w:val="20"/>
                <w:szCs w:val="20"/>
              </w:rPr>
              <w:t>7. Участие в проведении проверок (служебных расследований) по выявлению признаков противоправных действий как со стороны юридических и физических лиц, так и со стороны работников Компании;</w:t>
            </w:r>
          </w:p>
          <w:p w14:paraId="0FA194DB" w14:textId="77777777" w:rsidR="002449C2" w:rsidRDefault="00123961">
            <w:pPr>
              <w:spacing w:line="240" w:lineRule="auto"/>
              <w:rPr>
                <w:rFonts w:ascii="Times New Roman" w:hAnsi="Times New Roman"/>
                <w:sz w:val="20"/>
                <w:szCs w:val="20"/>
              </w:rPr>
            </w:pPr>
            <w:r>
              <w:rPr>
                <w:rFonts w:ascii="Times New Roman" w:hAnsi="Times New Roman"/>
                <w:sz w:val="20"/>
                <w:szCs w:val="20"/>
              </w:rPr>
              <w:t>8. Своевременная защита интересов Компании с привлечением по необходимости правоохранительных органов и иных инстанций;</w:t>
            </w:r>
          </w:p>
          <w:p w14:paraId="44D845D0" w14:textId="77777777" w:rsidR="002449C2" w:rsidRDefault="002449C2">
            <w:pPr>
              <w:spacing w:line="240" w:lineRule="auto"/>
              <w:jc w:val="both"/>
              <w:rPr>
                <w:rFonts w:ascii="Times New Roman" w:hAnsi="Times New Roman"/>
                <w:color w:val="000000"/>
                <w:sz w:val="20"/>
                <w:szCs w:val="20"/>
              </w:rPr>
            </w:pPr>
          </w:p>
        </w:tc>
      </w:tr>
    </w:tbl>
    <w:p w14:paraId="3AE6612E" w14:textId="77777777" w:rsidR="002449C2" w:rsidRDefault="002449C2">
      <w:pPr>
        <w:tabs>
          <w:tab w:val="left" w:pos="2527"/>
        </w:tabs>
        <w:spacing w:after="0" w:line="240" w:lineRule="auto"/>
        <w:rPr>
          <w:rFonts w:ascii="Times New Roman" w:hAnsi="Times New Roman"/>
        </w:rPr>
      </w:pPr>
    </w:p>
    <w:p w14:paraId="332AF15C" w14:textId="77777777" w:rsidR="002449C2" w:rsidRDefault="00123961">
      <w:pPr>
        <w:tabs>
          <w:tab w:val="left" w:pos="2527"/>
        </w:tabs>
        <w:spacing w:after="0" w:line="240" w:lineRule="auto"/>
        <w:rPr>
          <w:rFonts w:ascii="Times New Roman" w:hAnsi="Times New Roman"/>
          <w:b/>
          <w:sz w:val="26"/>
          <w:szCs w:val="26"/>
        </w:rPr>
      </w:pPr>
      <w:r>
        <w:rPr>
          <w:rFonts w:ascii="Times New Roman" w:hAnsi="Times New Roman"/>
          <w:b/>
          <w:sz w:val="26"/>
          <w:szCs w:val="26"/>
        </w:rPr>
        <w:t xml:space="preserve">Карта ключевых рисков на 01.01.2024:   Карта ключевых рисков на 31.12.2024:   </w:t>
      </w:r>
    </w:p>
    <w:p w14:paraId="117A337C" w14:textId="77777777" w:rsidR="002449C2" w:rsidRDefault="00123961">
      <w:pPr>
        <w:tabs>
          <w:tab w:val="left" w:pos="2527"/>
        </w:tabs>
        <w:spacing w:after="0" w:line="240" w:lineRule="auto"/>
        <w:rPr>
          <w:rFonts w:ascii="Times New Roman" w:hAnsi="Times New Roman"/>
          <w:b/>
          <w:sz w:val="26"/>
          <w:szCs w:val="26"/>
        </w:rPr>
        <w:sectPr w:rsidR="002449C2">
          <w:footerReference w:type="even" r:id="rId51"/>
          <w:footerReference w:type="default" r:id="rId52"/>
          <w:footerReference w:type="first" r:id="rId53"/>
          <w:pgSz w:w="11906" w:h="16838"/>
          <w:pgMar w:top="1134" w:right="851" w:bottom="1134" w:left="1701" w:header="0" w:footer="709" w:gutter="0"/>
          <w:cols w:space="720"/>
          <w:formProt w:val="0"/>
          <w:docGrid w:linePitch="360"/>
        </w:sectPr>
      </w:pPr>
      <w:r>
        <w:rPr>
          <w:noProof/>
          <w:lang w:eastAsia="ru-RU"/>
        </w:rPr>
        <w:drawing>
          <wp:inline distT="0" distB="0" distL="0" distR="0" wp14:anchorId="28C43496" wp14:editId="0A221ABD">
            <wp:extent cx="2954655" cy="2906395"/>
            <wp:effectExtent l="0" t="0" r="0" b="0"/>
            <wp:docPr id="2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5"/>
                    <pic:cNvPicPr>
                      <a:picLocks noChangeAspect="1" noChangeArrowheads="1"/>
                    </pic:cNvPicPr>
                  </pic:nvPicPr>
                  <pic:blipFill>
                    <a:blip r:embed="rId54"/>
                    <a:stretch>
                      <a:fillRect/>
                    </a:stretch>
                  </pic:blipFill>
                  <pic:spPr bwMode="auto">
                    <a:xfrm>
                      <a:off x="0" y="0"/>
                      <a:ext cx="2954655" cy="2906395"/>
                    </a:xfrm>
                    <a:prstGeom prst="rect">
                      <a:avLst/>
                    </a:prstGeom>
                    <a:noFill/>
                  </pic:spPr>
                </pic:pic>
              </a:graphicData>
            </a:graphic>
          </wp:inline>
        </w:drawing>
      </w:r>
      <w:r>
        <w:rPr>
          <w:noProof/>
          <w:lang w:eastAsia="ru-RU"/>
        </w:rPr>
        <w:drawing>
          <wp:inline distT="0" distB="0" distL="0" distR="0" wp14:anchorId="596879A2" wp14:editId="180F25CE">
            <wp:extent cx="2934970" cy="2868930"/>
            <wp:effectExtent l="0" t="0" r="0" b="0"/>
            <wp:docPr id="30"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27"/>
                    <pic:cNvPicPr>
                      <a:picLocks noChangeAspect="1" noChangeArrowheads="1"/>
                    </pic:cNvPicPr>
                  </pic:nvPicPr>
                  <pic:blipFill>
                    <a:blip r:embed="rId55"/>
                    <a:stretch>
                      <a:fillRect/>
                    </a:stretch>
                  </pic:blipFill>
                  <pic:spPr bwMode="auto">
                    <a:xfrm>
                      <a:off x="0" y="0"/>
                      <a:ext cx="2934970" cy="2868930"/>
                    </a:xfrm>
                    <a:prstGeom prst="rect">
                      <a:avLst/>
                    </a:prstGeom>
                    <a:noFill/>
                  </pic:spPr>
                </pic:pic>
              </a:graphicData>
            </a:graphic>
          </wp:inline>
        </w:drawing>
      </w:r>
    </w:p>
    <w:p w14:paraId="1815E674" w14:textId="77777777" w:rsidR="002449C2" w:rsidRDefault="00123961">
      <w:pPr>
        <w:spacing w:after="160" w:line="259" w:lineRule="auto"/>
        <w:rPr>
          <w:rFonts w:ascii="Times New Roman" w:hAnsi="Times New Roman"/>
          <w:b/>
          <w:color w:val="000000" w:themeColor="text1"/>
          <w:sz w:val="28"/>
          <w:szCs w:val="28"/>
          <w:lang w:eastAsia="en-US"/>
        </w:rPr>
      </w:pPr>
      <w:r>
        <w:rPr>
          <w:rFonts w:ascii="Times New Roman" w:hAnsi="Times New Roman"/>
          <w:b/>
          <w:color w:val="000000" w:themeColor="text1"/>
          <w:sz w:val="28"/>
          <w:szCs w:val="28"/>
          <w:lang w:eastAsia="en-US"/>
        </w:rPr>
        <w:t>Реализация рисков по итогам 2024 года</w:t>
      </w:r>
    </w:p>
    <w:p w14:paraId="1B36B1C8" w14:textId="77777777" w:rsidR="002449C2" w:rsidRDefault="00123961">
      <w:pPr>
        <w:tabs>
          <w:tab w:val="left" w:pos="142"/>
        </w:tabs>
        <w:spacing w:before="120" w:after="0" w:line="240" w:lineRule="auto"/>
        <w:ind w:firstLine="567"/>
        <w:jc w:val="both"/>
        <w:rPr>
          <w:rFonts w:ascii="Times New Roman" w:hAnsi="Times New Roman"/>
          <w:sz w:val="26"/>
          <w:szCs w:val="26"/>
        </w:rPr>
      </w:pPr>
      <w:r>
        <w:rPr>
          <w:rFonts w:ascii="Times New Roman" w:hAnsi="Times New Roman"/>
          <w:sz w:val="26"/>
          <w:szCs w:val="26"/>
        </w:rPr>
        <w:t>Информация о реализации критических и значимых рисков рассматривается органами управления Общества в рамках отчета об организации, функционировании и эффективности системы управления рисками и внутреннего контроля ПАО «Россети Юг» за 2024 год.</w:t>
      </w:r>
    </w:p>
    <w:p w14:paraId="1C4EFDA1" w14:textId="77777777" w:rsidR="002449C2" w:rsidRDefault="002449C2">
      <w:pPr>
        <w:spacing w:after="160" w:line="259" w:lineRule="auto"/>
        <w:rPr>
          <w:rFonts w:ascii="Times New Roman" w:hAnsi="Times New Roman"/>
          <w:b/>
          <w:color w:val="2E74B5"/>
          <w:sz w:val="28"/>
          <w:szCs w:val="28"/>
          <w:lang w:eastAsia="en-US"/>
        </w:rPr>
      </w:pPr>
    </w:p>
    <w:p w14:paraId="1D64D744" w14:textId="77777777" w:rsidR="002449C2" w:rsidRDefault="00123961">
      <w:pPr>
        <w:shd w:val="clear" w:color="auto" w:fill="FFFFFF"/>
        <w:tabs>
          <w:tab w:val="left" w:pos="142"/>
        </w:tabs>
        <w:spacing w:before="120" w:after="120" w:line="240" w:lineRule="auto"/>
        <w:rPr>
          <w:rFonts w:ascii="Times New Roman" w:eastAsia="Times New Roman" w:hAnsi="Times New Roman"/>
          <w:b/>
          <w:color w:val="000000" w:themeColor="text1"/>
          <w:sz w:val="28"/>
          <w:szCs w:val="28"/>
          <w:lang w:eastAsia="ru-RU"/>
        </w:rPr>
      </w:pPr>
      <w:r>
        <w:rPr>
          <w:rFonts w:ascii="Times New Roman" w:eastAsia="Times New Roman" w:hAnsi="Times New Roman"/>
          <w:b/>
          <w:color w:val="000000" w:themeColor="text1"/>
          <w:sz w:val="28"/>
          <w:szCs w:val="28"/>
          <w:lang w:eastAsia="ru-RU"/>
        </w:rPr>
        <w:t>Риски информационной безопасности и киберугроз</w:t>
      </w:r>
    </w:p>
    <w:p w14:paraId="40A31402" w14:textId="77777777" w:rsidR="002449C2" w:rsidRDefault="00123961">
      <w:pPr>
        <w:tabs>
          <w:tab w:val="left" w:pos="1276"/>
          <w:tab w:val="left" w:pos="9922"/>
        </w:tabs>
        <w:spacing w:after="0" w:line="240" w:lineRule="auto"/>
        <w:ind w:firstLine="709"/>
        <w:contextualSpacing/>
        <w:jc w:val="both"/>
        <w:rPr>
          <w:rFonts w:ascii="Times New Roman" w:hAnsi="Times New Roman"/>
          <w:sz w:val="26"/>
          <w:szCs w:val="26"/>
        </w:rPr>
      </w:pPr>
      <w:r>
        <w:rPr>
          <w:rFonts w:ascii="Times New Roman" w:hAnsi="Times New Roman"/>
          <w:sz w:val="26"/>
          <w:szCs w:val="26"/>
        </w:rPr>
        <w:t>1. Риск, связанный с реализацией информационных угроз, в том числе обусловленных недостатком (уязвимостью) применяемых информационных технологий.</w:t>
      </w:r>
    </w:p>
    <w:p w14:paraId="4B43756E" w14:textId="77777777" w:rsidR="002449C2" w:rsidRDefault="00123961">
      <w:pPr>
        <w:tabs>
          <w:tab w:val="left" w:pos="1276"/>
          <w:tab w:val="left" w:pos="9922"/>
        </w:tabs>
        <w:spacing w:after="0" w:line="240" w:lineRule="auto"/>
        <w:ind w:firstLine="709"/>
        <w:contextualSpacing/>
        <w:jc w:val="both"/>
        <w:rPr>
          <w:rFonts w:ascii="Times New Roman" w:hAnsi="Times New Roman"/>
          <w:sz w:val="26"/>
          <w:szCs w:val="26"/>
        </w:rPr>
      </w:pPr>
      <w:r>
        <w:rPr>
          <w:rFonts w:ascii="Times New Roman" w:hAnsi="Times New Roman"/>
          <w:sz w:val="26"/>
          <w:szCs w:val="26"/>
        </w:rPr>
        <w:t>Причинами возникновения данного риска может стать использование морального устаревшего оборудования, отсутствие технической поддержки, использование оборудования после окончания срока эксплуатации оборудования. Реализация данного риска может привести к снижению защищенности объектов электросетевого комплекса, временный простой работы в информационных и телекоммуникационных системах. Общество оценивает риск как «умеренный» с низким уровнем последствий от реализации.</w:t>
      </w:r>
    </w:p>
    <w:p w14:paraId="75FCDB98" w14:textId="77777777" w:rsidR="002449C2" w:rsidRDefault="00123961">
      <w:pPr>
        <w:tabs>
          <w:tab w:val="left" w:pos="1276"/>
          <w:tab w:val="left" w:pos="9922"/>
        </w:tabs>
        <w:spacing w:after="0" w:line="240" w:lineRule="auto"/>
        <w:ind w:firstLine="709"/>
        <w:contextualSpacing/>
        <w:jc w:val="both"/>
        <w:rPr>
          <w:rFonts w:ascii="Times New Roman" w:hAnsi="Times New Roman"/>
          <w:sz w:val="26"/>
          <w:szCs w:val="26"/>
        </w:rPr>
      </w:pPr>
      <w:r>
        <w:rPr>
          <w:rFonts w:ascii="Times New Roman" w:hAnsi="Times New Roman"/>
          <w:sz w:val="26"/>
          <w:szCs w:val="26"/>
        </w:rPr>
        <w:t>В целях недопущения реализации данного риска Общество осуществляет обеспечение технической поддержкой средств защиты информации, проводит периодический анализ работоспособности средств защиты информации, обеспечивает ремонт и/или замену оборудования, а также осуществляет контроль обеспечения систем защиты гарантированным и резервным питанием.</w:t>
      </w:r>
    </w:p>
    <w:p w14:paraId="00813FDF" w14:textId="77777777" w:rsidR="002449C2" w:rsidRDefault="00123961">
      <w:pPr>
        <w:tabs>
          <w:tab w:val="left" w:pos="1276"/>
          <w:tab w:val="left" w:pos="9922"/>
        </w:tabs>
        <w:spacing w:after="0" w:line="240" w:lineRule="auto"/>
        <w:ind w:firstLine="709"/>
        <w:contextualSpacing/>
        <w:jc w:val="both"/>
        <w:rPr>
          <w:rFonts w:ascii="Times New Roman" w:hAnsi="Times New Roman"/>
          <w:sz w:val="26"/>
          <w:szCs w:val="26"/>
        </w:rPr>
      </w:pPr>
      <w:r>
        <w:rPr>
          <w:rFonts w:ascii="Times New Roman" w:hAnsi="Times New Roman"/>
          <w:sz w:val="26"/>
          <w:szCs w:val="26"/>
        </w:rPr>
        <w:t>2. Риск нарушения и (или) прекращения функционирования объектов информационной инфраструктуры и телекоммуникационных систем объектов электросетевого комплекса.</w:t>
      </w:r>
    </w:p>
    <w:p w14:paraId="797C05FB" w14:textId="77777777" w:rsidR="002449C2" w:rsidRDefault="00123961">
      <w:pPr>
        <w:tabs>
          <w:tab w:val="left" w:pos="1276"/>
          <w:tab w:val="left" w:pos="9922"/>
        </w:tabs>
        <w:spacing w:after="0" w:line="240" w:lineRule="auto"/>
        <w:ind w:firstLine="709"/>
        <w:contextualSpacing/>
        <w:jc w:val="both"/>
        <w:rPr>
          <w:rFonts w:ascii="Times New Roman" w:hAnsi="Times New Roman"/>
          <w:sz w:val="26"/>
          <w:szCs w:val="26"/>
        </w:rPr>
      </w:pPr>
      <w:r>
        <w:rPr>
          <w:rFonts w:ascii="Times New Roman" w:hAnsi="Times New Roman"/>
          <w:sz w:val="26"/>
          <w:szCs w:val="26"/>
        </w:rPr>
        <w:t>Главными источниками реализации риска могут стать противоправные действия сторонних лиц в результате компьютерной атаки, которые могут привести к причинению материального ущерба Обществу, ущербу деловой репутации, а также отключению потребителей электроэнергии. Общество оценивает риск как «значимый» с высоким уровнем последствий в случае его реализации.</w:t>
      </w:r>
    </w:p>
    <w:p w14:paraId="25FE6253" w14:textId="77777777" w:rsidR="002449C2" w:rsidRDefault="00123961">
      <w:pPr>
        <w:tabs>
          <w:tab w:val="left" w:pos="1276"/>
          <w:tab w:val="left" w:pos="9922"/>
        </w:tabs>
        <w:spacing w:after="0" w:line="240" w:lineRule="auto"/>
        <w:ind w:firstLine="709"/>
        <w:contextualSpacing/>
        <w:jc w:val="both"/>
        <w:rPr>
          <w:rFonts w:ascii="Times New Roman" w:hAnsi="Times New Roman"/>
          <w:sz w:val="26"/>
          <w:szCs w:val="26"/>
        </w:rPr>
      </w:pPr>
      <w:r>
        <w:rPr>
          <w:rFonts w:ascii="Times New Roman" w:hAnsi="Times New Roman"/>
          <w:sz w:val="26"/>
          <w:szCs w:val="26"/>
        </w:rPr>
        <w:t>Включение в технические задания на создание объектов информационной инфраструктуры и телекоммуникационных систем объектов электросетевого комплекса требований по информационной безопасности.</w:t>
      </w:r>
    </w:p>
    <w:p w14:paraId="2B0EDE00" w14:textId="77777777" w:rsidR="002449C2" w:rsidRDefault="00123961">
      <w:pPr>
        <w:tabs>
          <w:tab w:val="left" w:pos="1276"/>
          <w:tab w:val="left" w:pos="9922"/>
        </w:tabs>
        <w:spacing w:after="0" w:line="240" w:lineRule="auto"/>
        <w:ind w:firstLine="709"/>
        <w:contextualSpacing/>
        <w:jc w:val="both"/>
        <w:rPr>
          <w:rFonts w:ascii="Times New Roman" w:hAnsi="Times New Roman"/>
          <w:sz w:val="26"/>
          <w:szCs w:val="26"/>
        </w:rPr>
      </w:pPr>
      <w:r>
        <w:rPr>
          <w:rFonts w:ascii="Times New Roman" w:hAnsi="Times New Roman"/>
          <w:sz w:val="26"/>
          <w:szCs w:val="26"/>
        </w:rPr>
        <w:t xml:space="preserve">Внедрение средств защиты информации на объектах информационной инфраструктуры в соответствии с техническими заданиями на их создание. </w:t>
      </w:r>
    </w:p>
    <w:p w14:paraId="7467634A" w14:textId="77777777" w:rsidR="002449C2" w:rsidRDefault="00123961">
      <w:pPr>
        <w:tabs>
          <w:tab w:val="left" w:pos="1276"/>
          <w:tab w:val="left" w:pos="9922"/>
        </w:tabs>
        <w:spacing w:after="0" w:line="240" w:lineRule="auto"/>
        <w:ind w:firstLine="709"/>
        <w:contextualSpacing/>
        <w:jc w:val="both"/>
        <w:rPr>
          <w:rFonts w:ascii="Times New Roman" w:hAnsi="Times New Roman"/>
          <w:sz w:val="26"/>
          <w:szCs w:val="26"/>
        </w:rPr>
      </w:pPr>
      <w:r>
        <w:rPr>
          <w:rFonts w:ascii="Times New Roman" w:hAnsi="Times New Roman"/>
          <w:sz w:val="26"/>
          <w:szCs w:val="26"/>
        </w:rPr>
        <w:t>Компания осуществляет контроль за действиями работников Общества посредством систем информационной безопасности, мониторинг и анализ внешних событий информационной безопасности, применяет сертифицированные средства защиты информации.</w:t>
      </w:r>
    </w:p>
    <w:p w14:paraId="3D58FE0D" w14:textId="77777777" w:rsidR="002449C2" w:rsidRDefault="002449C2">
      <w:pPr>
        <w:tabs>
          <w:tab w:val="left" w:pos="1276"/>
          <w:tab w:val="left" w:pos="9922"/>
        </w:tabs>
        <w:spacing w:after="0" w:line="240" w:lineRule="auto"/>
        <w:ind w:firstLine="709"/>
        <w:contextualSpacing/>
        <w:jc w:val="both"/>
        <w:rPr>
          <w:rFonts w:ascii="Times New Roman" w:hAnsi="Times New Roman"/>
          <w:sz w:val="26"/>
          <w:szCs w:val="26"/>
        </w:rPr>
      </w:pPr>
    </w:p>
    <w:p w14:paraId="1A170F6B" w14:textId="77777777" w:rsidR="002449C2" w:rsidRDefault="00123961">
      <w:pPr>
        <w:tabs>
          <w:tab w:val="left" w:pos="1276"/>
          <w:tab w:val="left" w:pos="9922"/>
        </w:tabs>
        <w:spacing w:after="0" w:line="240" w:lineRule="auto"/>
        <w:ind w:firstLine="709"/>
        <w:contextualSpacing/>
        <w:jc w:val="both"/>
        <w:rPr>
          <w:rFonts w:ascii="Times New Roman" w:hAnsi="Times New Roman"/>
          <w:b/>
          <w:sz w:val="26"/>
          <w:szCs w:val="26"/>
        </w:rPr>
      </w:pPr>
      <w:r>
        <w:rPr>
          <w:rFonts w:ascii="Times New Roman" w:hAnsi="Times New Roman"/>
          <w:b/>
          <w:sz w:val="26"/>
          <w:szCs w:val="26"/>
        </w:rPr>
        <w:t>Риски в области устойчивого развития</w:t>
      </w:r>
    </w:p>
    <w:p w14:paraId="01B7356C" w14:textId="77777777" w:rsidR="002449C2" w:rsidRDefault="00123961">
      <w:pPr>
        <w:spacing w:after="0" w:line="240" w:lineRule="auto"/>
        <w:ind w:firstLine="709"/>
        <w:jc w:val="both"/>
        <w:rPr>
          <w:rFonts w:ascii="Times New Roman" w:hAnsi="Times New Roman"/>
          <w:b/>
          <w:sz w:val="26"/>
          <w:szCs w:val="26"/>
        </w:rPr>
      </w:pPr>
      <w:r>
        <w:rPr>
          <w:rFonts w:ascii="Times New Roman" w:hAnsi="Times New Roman"/>
          <w:b/>
          <w:sz w:val="26"/>
          <w:szCs w:val="26"/>
        </w:rPr>
        <w:t>1. Экологический риск</w:t>
      </w:r>
    </w:p>
    <w:p w14:paraId="6C891087" w14:textId="77777777" w:rsidR="002449C2" w:rsidRDefault="00123961">
      <w:pPr>
        <w:spacing w:after="0" w:line="240" w:lineRule="auto"/>
        <w:ind w:firstLine="709"/>
        <w:jc w:val="both"/>
        <w:rPr>
          <w:rFonts w:ascii="Times New Roman" w:hAnsi="Times New Roman"/>
          <w:sz w:val="26"/>
          <w:szCs w:val="26"/>
        </w:rPr>
      </w:pPr>
      <w:r>
        <w:rPr>
          <w:rFonts w:ascii="Times New Roman" w:hAnsi="Times New Roman"/>
          <w:sz w:val="26"/>
          <w:szCs w:val="26"/>
        </w:rPr>
        <w:t>Вероятность возникновения ущерба (возмещения вреда), связанного с негативным воздействием производственно-хозяйственной деятельности Общества, на окружающую среду, оценивается как незначительная, поскольку Общество не осуществляет эксплуатацию производственных объектов, оказывающих значительное негативное воздействие на окружающую среду. Общество, осуществляет производственную деятельность в соответствии с требованиями в области охраны окружающей среды и обеспечения экологической безопасности.</w:t>
      </w:r>
    </w:p>
    <w:p w14:paraId="614BEFE6" w14:textId="77777777" w:rsidR="002449C2" w:rsidRDefault="00123961">
      <w:pPr>
        <w:spacing w:after="0" w:line="240" w:lineRule="auto"/>
        <w:ind w:firstLine="709"/>
        <w:jc w:val="both"/>
        <w:rPr>
          <w:rFonts w:ascii="Times New Roman" w:hAnsi="Times New Roman"/>
          <w:sz w:val="26"/>
          <w:szCs w:val="26"/>
        </w:rPr>
      </w:pPr>
      <w:r>
        <w:rPr>
          <w:rFonts w:ascii="Times New Roman" w:hAnsi="Times New Roman"/>
          <w:sz w:val="26"/>
          <w:szCs w:val="26"/>
        </w:rPr>
        <w:t>Общество оценивает риск как «умеренный» с низким уровнем последствий от реализации.</w:t>
      </w:r>
    </w:p>
    <w:p w14:paraId="393F27D7" w14:textId="77777777" w:rsidR="002449C2" w:rsidRDefault="00123961">
      <w:pPr>
        <w:spacing w:after="0" w:line="240" w:lineRule="auto"/>
        <w:ind w:firstLine="709"/>
        <w:jc w:val="both"/>
        <w:rPr>
          <w:rFonts w:ascii="Times New Roman" w:hAnsi="Times New Roman"/>
          <w:sz w:val="26"/>
          <w:szCs w:val="26"/>
        </w:rPr>
      </w:pPr>
      <w:r>
        <w:rPr>
          <w:noProof/>
          <w:lang w:eastAsia="ru-RU"/>
        </w:rPr>
        <w:drawing>
          <wp:inline distT="0" distB="0" distL="0" distR="0" wp14:anchorId="1829FD2C" wp14:editId="1DE23057">
            <wp:extent cx="586740" cy="593725"/>
            <wp:effectExtent l="0" t="0" r="0" b="0"/>
            <wp:docPr id="31"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154"/>
                    <pic:cNvPicPr>
                      <a:picLocks noChangeAspect="1" noChangeArrowheads="1"/>
                    </pic:cNvPicPr>
                  </pic:nvPicPr>
                  <pic:blipFill>
                    <a:blip r:embed="rId56"/>
                    <a:stretch>
                      <a:fillRect/>
                    </a:stretch>
                  </pic:blipFill>
                  <pic:spPr bwMode="auto">
                    <a:xfrm>
                      <a:off x="0" y="0"/>
                      <a:ext cx="586740" cy="593725"/>
                    </a:xfrm>
                    <a:prstGeom prst="rect">
                      <a:avLst/>
                    </a:prstGeom>
                    <a:noFill/>
                  </pic:spPr>
                </pic:pic>
              </a:graphicData>
            </a:graphic>
          </wp:inline>
        </w:drawing>
      </w:r>
    </w:p>
    <w:p w14:paraId="1FBDD949" w14:textId="77777777" w:rsidR="00CD5274" w:rsidRDefault="00CD5274">
      <w:pPr>
        <w:spacing w:after="0" w:line="240" w:lineRule="auto"/>
        <w:ind w:firstLine="709"/>
        <w:jc w:val="both"/>
        <w:rPr>
          <w:rFonts w:ascii="Times New Roman" w:hAnsi="Times New Roman"/>
          <w:b/>
          <w:sz w:val="26"/>
          <w:szCs w:val="26"/>
        </w:rPr>
      </w:pPr>
    </w:p>
    <w:p w14:paraId="46E8426A" w14:textId="79FAA5F6" w:rsidR="002449C2" w:rsidRDefault="00123961">
      <w:pPr>
        <w:spacing w:after="0" w:line="240" w:lineRule="auto"/>
        <w:ind w:firstLine="709"/>
        <w:jc w:val="both"/>
        <w:rPr>
          <w:rFonts w:ascii="Times New Roman" w:hAnsi="Times New Roman"/>
          <w:b/>
          <w:sz w:val="26"/>
          <w:szCs w:val="26"/>
        </w:rPr>
      </w:pPr>
      <w:r>
        <w:rPr>
          <w:rFonts w:ascii="Times New Roman" w:hAnsi="Times New Roman"/>
          <w:b/>
          <w:sz w:val="26"/>
          <w:szCs w:val="26"/>
        </w:rPr>
        <w:t>2. Природно-климатический риск</w:t>
      </w:r>
    </w:p>
    <w:p w14:paraId="5748B825" w14:textId="77777777" w:rsidR="002449C2" w:rsidRDefault="00123961">
      <w:pPr>
        <w:spacing w:after="0" w:line="240" w:lineRule="auto"/>
        <w:ind w:firstLine="709"/>
        <w:jc w:val="both"/>
        <w:rPr>
          <w:rFonts w:ascii="Times New Roman" w:hAnsi="Times New Roman"/>
          <w:sz w:val="26"/>
          <w:szCs w:val="26"/>
        </w:rPr>
      </w:pPr>
      <w:r>
        <w:rPr>
          <w:rFonts w:ascii="Times New Roman" w:hAnsi="Times New Roman"/>
          <w:sz w:val="26"/>
          <w:szCs w:val="26"/>
        </w:rPr>
        <w:t>Риски, связанные с климатическими изменениями, могут оказать определенное влияние на производственную деятельность и финансовые результаты.</w:t>
      </w:r>
    </w:p>
    <w:p w14:paraId="1BCD42E7" w14:textId="77777777" w:rsidR="002449C2" w:rsidRDefault="00123961">
      <w:pPr>
        <w:spacing w:after="0" w:line="240" w:lineRule="auto"/>
        <w:ind w:firstLine="709"/>
        <w:jc w:val="both"/>
        <w:rPr>
          <w:rFonts w:ascii="Times New Roman" w:hAnsi="Times New Roman"/>
          <w:sz w:val="26"/>
          <w:szCs w:val="26"/>
        </w:rPr>
      </w:pPr>
      <w:r>
        <w:rPr>
          <w:rFonts w:ascii="Times New Roman" w:hAnsi="Times New Roman"/>
          <w:sz w:val="26"/>
          <w:szCs w:val="26"/>
        </w:rPr>
        <w:t>Климатические риски связаны с повышением среднегодовой температуры воздуха. Кроме того, изменение традиционных климатических условий может вызывать чрезвычайные ситуации природного характера.</w:t>
      </w:r>
    </w:p>
    <w:p w14:paraId="2C8C5B21" w14:textId="77777777" w:rsidR="002449C2" w:rsidRDefault="00123961">
      <w:pPr>
        <w:spacing w:after="0" w:line="240" w:lineRule="auto"/>
        <w:ind w:firstLine="709"/>
        <w:jc w:val="both"/>
        <w:rPr>
          <w:rFonts w:ascii="Times New Roman" w:hAnsi="Times New Roman"/>
          <w:sz w:val="26"/>
          <w:szCs w:val="26"/>
        </w:rPr>
      </w:pPr>
      <w:r>
        <w:rPr>
          <w:rFonts w:ascii="Times New Roman" w:hAnsi="Times New Roman"/>
          <w:sz w:val="26"/>
          <w:szCs w:val="26"/>
        </w:rPr>
        <w:t>В частности, такие природные явления, вызванные температурными изменениями, как ураган, наводнение, обильный снегопад и ледяной дождь, способны нанести урон активам Общества, в первую очередь линиям электропередачи, тем самым нарушая бесперебойный процесс электроснабжения потребителей.</w:t>
      </w:r>
    </w:p>
    <w:p w14:paraId="1F90D835" w14:textId="77777777" w:rsidR="002449C2" w:rsidRDefault="00123961">
      <w:pPr>
        <w:spacing w:after="0" w:line="240" w:lineRule="auto"/>
        <w:ind w:firstLine="709"/>
        <w:jc w:val="both"/>
        <w:rPr>
          <w:rFonts w:ascii="Times New Roman" w:hAnsi="Times New Roman"/>
          <w:sz w:val="26"/>
          <w:szCs w:val="26"/>
        </w:rPr>
      </w:pPr>
      <w:r>
        <w:rPr>
          <w:rFonts w:ascii="Times New Roman" w:hAnsi="Times New Roman"/>
          <w:sz w:val="26"/>
          <w:szCs w:val="26"/>
        </w:rPr>
        <w:t>Регионы, где Общество осуществляет свою производственно-хозяйственную деятельность, не относится к числу регионов с постоянной повышенной опасностью стихийных бедствий (землетрясений, наводнений, бурь, эпидемий). Общество оценивает риск как «умеренный» с низким уровнем последствий от реализации.</w:t>
      </w:r>
    </w:p>
    <w:p w14:paraId="42BFD28C" w14:textId="77777777" w:rsidR="00CD5274" w:rsidRDefault="00CD5274">
      <w:pPr>
        <w:spacing w:after="0" w:line="240" w:lineRule="auto"/>
        <w:ind w:firstLine="709"/>
        <w:jc w:val="both"/>
        <w:rPr>
          <w:rFonts w:ascii="Times New Roman" w:hAnsi="Times New Roman"/>
          <w:b/>
          <w:sz w:val="26"/>
          <w:szCs w:val="26"/>
        </w:rPr>
      </w:pPr>
    </w:p>
    <w:p w14:paraId="12C32D38" w14:textId="1C068F9A" w:rsidR="002449C2" w:rsidRDefault="00123961">
      <w:pPr>
        <w:spacing w:after="0" w:line="240" w:lineRule="auto"/>
        <w:ind w:firstLine="709"/>
        <w:jc w:val="both"/>
        <w:rPr>
          <w:rFonts w:ascii="Times New Roman" w:hAnsi="Times New Roman"/>
          <w:b/>
          <w:sz w:val="26"/>
          <w:szCs w:val="26"/>
        </w:rPr>
      </w:pPr>
      <w:r>
        <w:rPr>
          <w:rFonts w:ascii="Times New Roman" w:hAnsi="Times New Roman"/>
          <w:b/>
          <w:sz w:val="26"/>
          <w:szCs w:val="26"/>
        </w:rPr>
        <w:t>3. Риски, связанные с несоблюдением социальных права и гарантий работников.</w:t>
      </w:r>
    </w:p>
    <w:p w14:paraId="64AA6727" w14:textId="77777777" w:rsidR="002449C2" w:rsidRDefault="00123961">
      <w:pPr>
        <w:spacing w:after="0" w:line="240" w:lineRule="auto"/>
        <w:ind w:firstLine="709"/>
        <w:jc w:val="both"/>
        <w:rPr>
          <w:rFonts w:ascii="Times New Roman" w:hAnsi="Times New Roman"/>
          <w:sz w:val="26"/>
          <w:szCs w:val="26"/>
        </w:rPr>
      </w:pPr>
      <w:r>
        <w:rPr>
          <w:rFonts w:ascii="Times New Roman" w:hAnsi="Times New Roman"/>
          <w:sz w:val="26"/>
          <w:szCs w:val="26"/>
        </w:rPr>
        <w:t>Социальные права распространяются на справедливые и благоприятные условия труда, защиту от безработицы, справедливое и удовлетворительное вознаграждение, равную оплату за равный труд, возможность поддержания здоровья и благосостояния человека и его семьи, на образование.</w:t>
      </w:r>
    </w:p>
    <w:p w14:paraId="78442AA4" w14:textId="77777777" w:rsidR="002449C2" w:rsidRDefault="00123961">
      <w:pPr>
        <w:spacing w:after="0" w:line="240" w:lineRule="auto"/>
        <w:ind w:firstLine="709"/>
        <w:jc w:val="both"/>
        <w:rPr>
          <w:rFonts w:ascii="Times New Roman" w:hAnsi="Times New Roman"/>
          <w:sz w:val="26"/>
          <w:szCs w:val="26"/>
        </w:rPr>
      </w:pPr>
      <w:r>
        <w:rPr>
          <w:rFonts w:ascii="Times New Roman" w:hAnsi="Times New Roman"/>
          <w:sz w:val="26"/>
          <w:szCs w:val="26"/>
        </w:rPr>
        <w:t xml:space="preserve">Обществом ведется работа по соблюдению социальных прав работников, защиту от безработицы, справедливое вознаграждение, возмещение затрат на спорт, повышение уровня образования работников Общества. </w:t>
      </w:r>
    </w:p>
    <w:p w14:paraId="6A24CFDC" w14:textId="77777777" w:rsidR="002449C2" w:rsidRDefault="00123961">
      <w:pPr>
        <w:spacing w:after="0" w:line="240" w:lineRule="auto"/>
        <w:ind w:firstLine="709"/>
        <w:jc w:val="both"/>
        <w:rPr>
          <w:rFonts w:ascii="Times New Roman" w:hAnsi="Times New Roman"/>
          <w:sz w:val="26"/>
          <w:szCs w:val="26"/>
        </w:rPr>
      </w:pPr>
      <w:r>
        <w:rPr>
          <w:rFonts w:ascii="Times New Roman" w:hAnsi="Times New Roman"/>
          <w:sz w:val="26"/>
          <w:szCs w:val="26"/>
        </w:rPr>
        <w:t xml:space="preserve">С учетом высокого уровня ответственности Общества в рамках реализации своих социальных обязательств данный риск как «умеренный» с низким уровнем последствий от реализации. </w:t>
      </w:r>
    </w:p>
    <w:p w14:paraId="2F1AF1D5" w14:textId="77777777" w:rsidR="002449C2" w:rsidRDefault="002449C2">
      <w:pPr>
        <w:shd w:val="clear" w:color="auto" w:fill="FFFFFF"/>
        <w:spacing w:after="0" w:line="240" w:lineRule="auto"/>
        <w:ind w:left="142"/>
        <w:jc w:val="both"/>
        <w:rPr>
          <w:rFonts w:ascii="Times New Roman" w:hAnsi="Times New Roman"/>
          <w:sz w:val="24"/>
          <w:szCs w:val="24"/>
          <w:lang w:eastAsia="en-US"/>
        </w:rPr>
      </w:pPr>
    </w:p>
    <w:p w14:paraId="37BC5704" w14:textId="77777777" w:rsidR="002449C2" w:rsidRDefault="00123961">
      <w:pPr>
        <w:keepNext/>
        <w:keepLines/>
        <w:spacing w:before="120" w:after="120" w:line="240" w:lineRule="auto"/>
        <w:ind w:left="360"/>
        <w:outlineLvl w:val="0"/>
        <w:rPr>
          <w:rFonts w:ascii="Times New Roman" w:eastAsia="Times New Roman" w:hAnsi="Times New Roman"/>
          <w:bCs/>
          <w:color w:val="0066CC"/>
          <w:sz w:val="36"/>
          <w:szCs w:val="28"/>
          <w:lang w:eastAsia="ru-RU"/>
        </w:rPr>
      </w:pPr>
      <w:bookmarkStart w:id="46" w:name="_Toc195174922"/>
      <w:bookmarkStart w:id="47" w:name="_Toc196143014"/>
      <w:r>
        <w:rPr>
          <w:rFonts w:ascii="Times New Roman" w:eastAsia="Times New Roman" w:hAnsi="Times New Roman"/>
          <w:bCs/>
          <w:color w:val="0066CC"/>
          <w:sz w:val="36"/>
          <w:szCs w:val="28"/>
          <w:lang w:eastAsia="ru-RU"/>
        </w:rPr>
        <w:t>РЕЗУЛЬТАТЫ ДЕЯТЕЛЬНОСТИ</w:t>
      </w:r>
      <w:bookmarkEnd w:id="46"/>
      <w:bookmarkEnd w:id="47"/>
    </w:p>
    <w:p w14:paraId="4F62F7BD"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48" w:name="_Toc195174923"/>
      <w:bookmarkStart w:id="49" w:name="_Toc196143015"/>
      <w:r>
        <w:rPr>
          <w:rFonts w:ascii="Times New Roman" w:eastAsia="Times New Roman" w:hAnsi="Times New Roman"/>
          <w:caps/>
          <w:color w:val="632423"/>
          <w:spacing w:val="15"/>
          <w:sz w:val="24"/>
          <w:szCs w:val="24"/>
          <w:lang w:eastAsia="en-US" w:bidi="en-US"/>
        </w:rPr>
        <w:t>Производственные результаты</w:t>
      </w:r>
      <w:bookmarkEnd w:id="48"/>
      <w:bookmarkEnd w:id="49"/>
    </w:p>
    <w:p w14:paraId="22C6EBD9" w14:textId="77777777" w:rsidR="002449C2" w:rsidRDefault="00123961">
      <w:pPr>
        <w:keepNext/>
        <w:keepLines/>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50" w:name="_Toc195174924"/>
      <w:bookmarkStart w:id="51" w:name="_Toc196143016"/>
      <w:r>
        <w:rPr>
          <w:rFonts w:ascii="Times New Roman" w:eastAsia="Times New Roman" w:hAnsi="Times New Roman"/>
          <w:color w:val="385623"/>
          <w:sz w:val="28"/>
          <w:szCs w:val="28"/>
          <w:lang w:eastAsia="en-US" w:bidi="en-US"/>
        </w:rPr>
        <w:t>Передача электроэнергии и потери</w:t>
      </w:r>
      <w:bookmarkEnd w:id="50"/>
      <w:bookmarkEnd w:id="51"/>
    </w:p>
    <w:p w14:paraId="4452A3AC" w14:textId="77777777" w:rsidR="002449C2" w:rsidRDefault="00123961">
      <w:pPr>
        <w:spacing w:after="0" w:line="240" w:lineRule="auto"/>
        <w:ind w:firstLine="567"/>
        <w:jc w:val="center"/>
        <w:rPr>
          <w:rFonts w:ascii="Times New Roman" w:eastAsia="Times New Roman" w:hAnsi="Times New Roman"/>
          <w:b/>
          <w:i/>
          <w:sz w:val="26"/>
          <w:szCs w:val="26"/>
          <w:lang w:eastAsia="ru-RU"/>
        </w:rPr>
      </w:pPr>
      <w:r>
        <w:rPr>
          <w:rFonts w:ascii="Times New Roman" w:eastAsia="Times New Roman" w:hAnsi="Times New Roman"/>
          <w:b/>
          <w:i/>
          <w:sz w:val="26"/>
          <w:szCs w:val="26"/>
          <w:lang w:eastAsia="ru-RU"/>
        </w:rPr>
        <w:t>По Компании за 2024 год:</w:t>
      </w:r>
    </w:p>
    <w:p w14:paraId="315DCE09" w14:textId="77777777" w:rsidR="002449C2" w:rsidRDefault="00123961">
      <w:pPr>
        <w:shd w:val="clear" w:color="auto" w:fill="FFFFFF"/>
        <w:tabs>
          <w:tab w:val="left" w:pos="1080"/>
          <w:tab w:val="left" w:pos="1320"/>
        </w:tabs>
        <w:spacing w:after="0" w:line="240" w:lineRule="auto"/>
        <w:ind w:firstLine="567"/>
        <w:jc w:val="center"/>
        <w:rPr>
          <w:rFonts w:ascii="Times New Roman" w:eastAsia="Times New Roman" w:hAnsi="Times New Roman"/>
          <w:sz w:val="26"/>
          <w:szCs w:val="26"/>
          <w:lang w:eastAsia="ru-RU"/>
        </w:rPr>
      </w:pPr>
      <w:r>
        <w:rPr>
          <w:rFonts w:ascii="Times New Roman" w:eastAsia="Times New Roman" w:hAnsi="Times New Roman"/>
          <w:sz w:val="26"/>
          <w:szCs w:val="26"/>
          <w:lang w:eastAsia="ru-RU"/>
        </w:rPr>
        <w:t>27 989 млн кВтч отпуск в сеть,</w:t>
      </w:r>
    </w:p>
    <w:p w14:paraId="76B5ECDC" w14:textId="77777777" w:rsidR="002449C2" w:rsidRDefault="00123961">
      <w:pPr>
        <w:shd w:val="clear" w:color="auto" w:fill="FFFFFF"/>
        <w:tabs>
          <w:tab w:val="left" w:pos="1080"/>
          <w:tab w:val="left" w:pos="1320"/>
        </w:tabs>
        <w:spacing w:after="0" w:line="240" w:lineRule="auto"/>
        <w:ind w:firstLine="567"/>
        <w:jc w:val="center"/>
        <w:rPr>
          <w:rFonts w:ascii="Times New Roman" w:eastAsia="Times New Roman" w:hAnsi="Times New Roman"/>
          <w:sz w:val="26"/>
          <w:szCs w:val="26"/>
          <w:lang w:eastAsia="ru-RU"/>
        </w:rPr>
      </w:pPr>
      <w:r>
        <w:rPr>
          <w:rFonts w:ascii="Times New Roman" w:eastAsia="Times New Roman" w:hAnsi="Times New Roman"/>
          <w:sz w:val="26"/>
          <w:szCs w:val="26"/>
          <w:lang w:eastAsia="ru-RU"/>
        </w:rPr>
        <w:t>25 485 млн кВтч отпуск из сети,</w:t>
      </w:r>
    </w:p>
    <w:p w14:paraId="3C4C999A" w14:textId="77777777" w:rsidR="002449C2" w:rsidRDefault="00123961">
      <w:pPr>
        <w:shd w:val="clear" w:color="auto" w:fill="FFFFFF"/>
        <w:tabs>
          <w:tab w:val="left" w:pos="1080"/>
          <w:tab w:val="left" w:pos="1320"/>
        </w:tabs>
        <w:spacing w:after="0" w:line="240" w:lineRule="auto"/>
        <w:ind w:firstLine="567"/>
        <w:jc w:val="center"/>
        <w:rPr>
          <w:rFonts w:ascii="Times New Roman" w:eastAsia="Times New Roman" w:hAnsi="Times New Roman"/>
          <w:sz w:val="26"/>
          <w:szCs w:val="26"/>
          <w:lang w:eastAsia="ru-RU"/>
        </w:rPr>
      </w:pPr>
      <w:r>
        <w:rPr>
          <w:rFonts w:ascii="Times New Roman" w:eastAsia="Times New Roman" w:hAnsi="Times New Roman"/>
          <w:sz w:val="26"/>
          <w:szCs w:val="26"/>
          <w:lang w:eastAsia="ru-RU"/>
        </w:rPr>
        <w:t>8,95% потери электроэнергии</w:t>
      </w:r>
    </w:p>
    <w:p w14:paraId="61AD6F27" w14:textId="77777777" w:rsidR="002449C2" w:rsidRDefault="00123961">
      <w:pPr>
        <w:tabs>
          <w:tab w:val="left" w:pos="142"/>
        </w:tabs>
        <w:spacing w:before="120" w:after="12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Балансовые показатели электрической энергии за 2024 год</w:t>
      </w:r>
    </w:p>
    <w:tbl>
      <w:tblPr>
        <w:tblW w:w="9502" w:type="dxa"/>
        <w:tblInd w:w="250" w:type="dxa"/>
        <w:tblLayout w:type="fixed"/>
        <w:tblLook w:val="04A0" w:firstRow="1" w:lastRow="0" w:firstColumn="1" w:lastColumn="0" w:noHBand="0" w:noVBand="1"/>
      </w:tblPr>
      <w:tblGrid>
        <w:gridCol w:w="2552"/>
        <w:gridCol w:w="2408"/>
        <w:gridCol w:w="2370"/>
        <w:gridCol w:w="1231"/>
        <w:gridCol w:w="941"/>
      </w:tblGrid>
      <w:tr w:rsidR="002449C2" w14:paraId="2BFCF50B" w14:textId="77777777">
        <w:trPr>
          <w:cantSplit/>
          <w:trHeight w:val="298"/>
        </w:trPr>
        <w:tc>
          <w:tcPr>
            <w:tcW w:w="2552" w:type="dxa"/>
            <w:vMerge w:val="restart"/>
            <w:tcBorders>
              <w:top w:val="single" w:sz="4" w:space="0" w:color="000000"/>
              <w:left w:val="single" w:sz="4" w:space="0" w:color="000000"/>
              <w:bottom w:val="single" w:sz="4" w:space="0" w:color="000000"/>
            </w:tcBorders>
            <w:shd w:val="clear" w:color="auto" w:fill="FFFFFF"/>
            <w:vAlign w:val="center"/>
          </w:tcPr>
          <w:p w14:paraId="558E0C93" w14:textId="77777777" w:rsidR="002449C2" w:rsidRDefault="00123961">
            <w:pPr>
              <w:shd w:val="clear" w:color="auto" w:fill="FFFFFF"/>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Наименование филиала</w:t>
            </w:r>
          </w:p>
        </w:tc>
        <w:tc>
          <w:tcPr>
            <w:tcW w:w="2408" w:type="dxa"/>
            <w:vMerge w:val="restart"/>
            <w:tcBorders>
              <w:top w:val="single" w:sz="4" w:space="0" w:color="000000"/>
              <w:left w:val="single" w:sz="4" w:space="0" w:color="000000"/>
              <w:bottom w:val="single" w:sz="4" w:space="0" w:color="000000"/>
            </w:tcBorders>
            <w:shd w:val="clear" w:color="auto" w:fill="FFFFFF"/>
            <w:vAlign w:val="center"/>
          </w:tcPr>
          <w:p w14:paraId="45854256" w14:textId="77777777" w:rsidR="002449C2" w:rsidRDefault="00123961">
            <w:pPr>
              <w:shd w:val="clear" w:color="auto" w:fill="FFFFFF"/>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Отпуск в сеть,</w:t>
            </w:r>
          </w:p>
          <w:p w14:paraId="244EBC67" w14:textId="77777777" w:rsidR="002449C2" w:rsidRDefault="00123961">
            <w:pPr>
              <w:shd w:val="clear" w:color="auto" w:fill="FFFFFF"/>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Млн кВт ч</w:t>
            </w:r>
          </w:p>
        </w:tc>
        <w:tc>
          <w:tcPr>
            <w:tcW w:w="2370" w:type="dxa"/>
            <w:vMerge w:val="restart"/>
            <w:tcBorders>
              <w:top w:val="single" w:sz="4" w:space="0" w:color="000000"/>
              <w:left w:val="single" w:sz="4" w:space="0" w:color="000000"/>
              <w:bottom w:val="single" w:sz="4" w:space="0" w:color="000000"/>
            </w:tcBorders>
            <w:shd w:val="clear" w:color="auto" w:fill="FFFFFF"/>
            <w:vAlign w:val="center"/>
          </w:tcPr>
          <w:p w14:paraId="7B9E891E" w14:textId="77777777" w:rsidR="002449C2" w:rsidRDefault="00123961">
            <w:pPr>
              <w:shd w:val="clear" w:color="auto" w:fill="FFFFFF"/>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Отпуск из сети,</w:t>
            </w:r>
          </w:p>
          <w:p w14:paraId="0BFF2B9A" w14:textId="77777777" w:rsidR="002449C2" w:rsidRDefault="00123961">
            <w:pPr>
              <w:shd w:val="clear" w:color="auto" w:fill="FFFFFF"/>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млн кВт ч</w:t>
            </w:r>
          </w:p>
        </w:tc>
        <w:tc>
          <w:tcPr>
            <w:tcW w:w="2172"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7387568" w14:textId="77777777" w:rsidR="002449C2" w:rsidRDefault="00123961">
            <w:pPr>
              <w:shd w:val="clear" w:color="auto" w:fill="FFFFFF"/>
              <w:spacing w:after="0" w:line="240" w:lineRule="auto"/>
              <w:jc w:val="center"/>
              <w:rPr>
                <w:rFonts w:ascii="Times New Roman" w:hAnsi="Times New Roman"/>
                <w:sz w:val="20"/>
                <w:szCs w:val="20"/>
              </w:rPr>
            </w:pPr>
            <w:r>
              <w:rPr>
                <w:rFonts w:ascii="Times New Roman" w:eastAsia="Times New Roman" w:hAnsi="Times New Roman"/>
                <w:b/>
                <w:sz w:val="20"/>
                <w:szCs w:val="20"/>
                <w:lang w:eastAsia="ru-RU"/>
              </w:rPr>
              <w:t>Потери</w:t>
            </w:r>
            <w:r>
              <w:rPr>
                <w:rFonts w:ascii="Times New Roman" w:hAnsi="Times New Roman"/>
                <w:sz w:val="20"/>
                <w:szCs w:val="20"/>
              </w:rPr>
              <w:t xml:space="preserve"> </w:t>
            </w:r>
            <w:r>
              <w:rPr>
                <w:rFonts w:ascii="Times New Roman" w:eastAsia="Times New Roman" w:hAnsi="Times New Roman"/>
                <w:b/>
                <w:sz w:val="20"/>
                <w:szCs w:val="20"/>
                <w:lang w:eastAsia="ru-RU"/>
              </w:rPr>
              <w:t>электрической энергии</w:t>
            </w:r>
          </w:p>
        </w:tc>
      </w:tr>
      <w:tr w:rsidR="002449C2" w14:paraId="0F6B00E4" w14:textId="77777777">
        <w:trPr>
          <w:cantSplit/>
          <w:trHeight w:val="297"/>
        </w:trPr>
        <w:tc>
          <w:tcPr>
            <w:tcW w:w="2552" w:type="dxa"/>
            <w:vMerge/>
            <w:tcBorders>
              <w:top w:val="single" w:sz="4" w:space="0" w:color="000000"/>
              <w:left w:val="single" w:sz="4" w:space="0" w:color="000000"/>
              <w:bottom w:val="single" w:sz="4" w:space="0" w:color="000000"/>
            </w:tcBorders>
            <w:shd w:val="clear" w:color="auto" w:fill="FFFFFF"/>
            <w:vAlign w:val="center"/>
          </w:tcPr>
          <w:p w14:paraId="22516DCE" w14:textId="77777777" w:rsidR="002449C2" w:rsidRDefault="002449C2">
            <w:pPr>
              <w:shd w:val="clear" w:color="auto" w:fill="FFFFFF"/>
              <w:spacing w:after="0" w:line="240" w:lineRule="auto"/>
              <w:jc w:val="center"/>
              <w:rPr>
                <w:rFonts w:ascii="Times New Roman" w:eastAsia="Times New Roman" w:hAnsi="Times New Roman"/>
                <w:b/>
                <w:sz w:val="20"/>
                <w:szCs w:val="20"/>
                <w:lang w:eastAsia="ru-RU"/>
              </w:rPr>
            </w:pPr>
          </w:p>
        </w:tc>
        <w:tc>
          <w:tcPr>
            <w:tcW w:w="2408" w:type="dxa"/>
            <w:vMerge/>
            <w:tcBorders>
              <w:top w:val="single" w:sz="4" w:space="0" w:color="000000"/>
              <w:left w:val="single" w:sz="4" w:space="0" w:color="000000"/>
              <w:bottom w:val="single" w:sz="4" w:space="0" w:color="000000"/>
            </w:tcBorders>
            <w:shd w:val="clear" w:color="auto" w:fill="FFFFFF"/>
            <w:vAlign w:val="center"/>
          </w:tcPr>
          <w:p w14:paraId="28EE4444" w14:textId="77777777" w:rsidR="002449C2" w:rsidRDefault="002449C2">
            <w:pPr>
              <w:shd w:val="clear" w:color="auto" w:fill="FFFFFF"/>
              <w:spacing w:after="0" w:line="240" w:lineRule="auto"/>
              <w:jc w:val="center"/>
              <w:rPr>
                <w:rFonts w:ascii="Times New Roman" w:eastAsia="Times New Roman" w:hAnsi="Times New Roman"/>
                <w:b/>
                <w:sz w:val="20"/>
                <w:szCs w:val="20"/>
                <w:lang w:eastAsia="ru-RU"/>
              </w:rPr>
            </w:pPr>
          </w:p>
        </w:tc>
        <w:tc>
          <w:tcPr>
            <w:tcW w:w="2370" w:type="dxa"/>
            <w:vMerge/>
            <w:tcBorders>
              <w:top w:val="single" w:sz="4" w:space="0" w:color="000000"/>
              <w:left w:val="single" w:sz="4" w:space="0" w:color="000000"/>
              <w:bottom w:val="single" w:sz="4" w:space="0" w:color="000000"/>
            </w:tcBorders>
            <w:shd w:val="clear" w:color="auto" w:fill="FFFFFF"/>
            <w:vAlign w:val="center"/>
          </w:tcPr>
          <w:p w14:paraId="57BDA2AB" w14:textId="77777777" w:rsidR="002449C2" w:rsidRDefault="002449C2">
            <w:pPr>
              <w:shd w:val="clear" w:color="auto" w:fill="FFFFFF"/>
              <w:spacing w:after="0" w:line="240" w:lineRule="auto"/>
              <w:jc w:val="center"/>
              <w:rPr>
                <w:rFonts w:ascii="Times New Roman" w:eastAsia="Times New Roman" w:hAnsi="Times New Roman"/>
                <w:b/>
                <w:sz w:val="20"/>
                <w:szCs w:val="20"/>
                <w:lang w:eastAsia="ru-RU"/>
              </w:rPr>
            </w:pPr>
          </w:p>
        </w:tc>
        <w:tc>
          <w:tcPr>
            <w:tcW w:w="1231" w:type="dxa"/>
            <w:tcBorders>
              <w:top w:val="single" w:sz="4" w:space="0" w:color="000000"/>
              <w:left w:val="single" w:sz="4" w:space="0" w:color="000000"/>
              <w:bottom w:val="single" w:sz="4" w:space="0" w:color="000000"/>
            </w:tcBorders>
            <w:shd w:val="clear" w:color="auto" w:fill="FFFFFF"/>
            <w:vAlign w:val="center"/>
          </w:tcPr>
          <w:p w14:paraId="21165C48" w14:textId="77777777" w:rsidR="002449C2" w:rsidRDefault="00123961">
            <w:pPr>
              <w:shd w:val="clear" w:color="auto" w:fill="FFFFFF"/>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млн кВт ч</w:t>
            </w:r>
          </w:p>
        </w:tc>
        <w:tc>
          <w:tcPr>
            <w:tcW w:w="9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DEE7AE" w14:textId="77777777" w:rsidR="002449C2" w:rsidRDefault="00123961">
            <w:pPr>
              <w:shd w:val="clear" w:color="auto" w:fill="FFFFFF"/>
              <w:spacing w:after="0" w:line="240" w:lineRule="auto"/>
              <w:jc w:val="center"/>
              <w:rPr>
                <w:rFonts w:ascii="Times New Roman" w:hAnsi="Times New Roman"/>
                <w:sz w:val="20"/>
                <w:szCs w:val="20"/>
              </w:rPr>
            </w:pPr>
            <w:r>
              <w:rPr>
                <w:rFonts w:ascii="Times New Roman" w:eastAsia="Times New Roman" w:hAnsi="Times New Roman"/>
                <w:b/>
                <w:sz w:val="20"/>
                <w:szCs w:val="20"/>
                <w:lang w:eastAsia="ru-RU"/>
              </w:rPr>
              <w:t>%</w:t>
            </w:r>
          </w:p>
        </w:tc>
      </w:tr>
      <w:tr w:rsidR="002449C2" w14:paraId="1EBAC5B2" w14:textId="77777777">
        <w:trPr>
          <w:trHeight w:val="289"/>
        </w:trPr>
        <w:tc>
          <w:tcPr>
            <w:tcW w:w="2552" w:type="dxa"/>
            <w:tcBorders>
              <w:top w:val="single" w:sz="4" w:space="0" w:color="000000"/>
              <w:left w:val="single" w:sz="4" w:space="0" w:color="000000"/>
              <w:bottom w:val="single" w:sz="4" w:space="0" w:color="000000"/>
            </w:tcBorders>
            <w:shd w:val="clear" w:color="auto" w:fill="FFFFFF"/>
            <w:vAlign w:val="center"/>
          </w:tcPr>
          <w:p w14:paraId="170DD5EA" w14:textId="77777777" w:rsidR="002449C2" w:rsidRDefault="00123961">
            <w:pPr>
              <w:shd w:val="clear" w:color="auto" w:fill="FFFFFF"/>
              <w:tabs>
                <w:tab w:val="left" w:pos="142"/>
              </w:tabs>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«Астраханьэнерго»</w:t>
            </w:r>
          </w:p>
        </w:tc>
        <w:tc>
          <w:tcPr>
            <w:tcW w:w="2408" w:type="dxa"/>
            <w:tcBorders>
              <w:top w:val="single" w:sz="4" w:space="0" w:color="000000"/>
              <w:left w:val="single" w:sz="4" w:space="0" w:color="000000"/>
              <w:bottom w:val="single" w:sz="4" w:space="0" w:color="000000"/>
            </w:tcBorders>
            <w:shd w:val="clear" w:color="auto" w:fill="FFFFFF"/>
          </w:tcPr>
          <w:p w14:paraId="08D4367F" w14:textId="77777777" w:rsidR="002449C2" w:rsidRDefault="00123961">
            <w:pPr>
              <w:shd w:val="clear" w:color="auto" w:fill="FFFFFF"/>
              <w:spacing w:after="0" w:line="240" w:lineRule="auto"/>
              <w:jc w:val="center"/>
              <w:rPr>
                <w:rFonts w:ascii="Times New Roman" w:hAnsi="Times New Roman"/>
              </w:rPr>
            </w:pPr>
            <w:r>
              <w:rPr>
                <w:rFonts w:ascii="Times New Roman" w:eastAsia="Times New Roman" w:hAnsi="Times New Roman"/>
                <w:sz w:val="24"/>
                <w:szCs w:val="24"/>
                <w:lang w:eastAsia="ru-RU"/>
              </w:rPr>
              <w:t>3 361,4</w:t>
            </w:r>
          </w:p>
        </w:tc>
        <w:tc>
          <w:tcPr>
            <w:tcW w:w="2370" w:type="dxa"/>
            <w:tcBorders>
              <w:top w:val="single" w:sz="4" w:space="0" w:color="000000"/>
              <w:left w:val="single" w:sz="4" w:space="0" w:color="000000"/>
              <w:bottom w:val="single" w:sz="4" w:space="0" w:color="000000"/>
            </w:tcBorders>
            <w:shd w:val="clear" w:color="auto" w:fill="FFFFFF"/>
          </w:tcPr>
          <w:p w14:paraId="503B5A5C" w14:textId="77777777" w:rsidR="002449C2" w:rsidRDefault="00123961">
            <w:pPr>
              <w:shd w:val="clear" w:color="auto" w:fill="FFFFFF"/>
              <w:spacing w:after="0" w:line="240" w:lineRule="auto"/>
              <w:jc w:val="center"/>
              <w:rPr>
                <w:rFonts w:ascii="Times New Roman" w:hAnsi="Times New Roman"/>
              </w:rPr>
            </w:pPr>
            <w:r>
              <w:rPr>
                <w:rFonts w:ascii="Times New Roman" w:eastAsia="Times New Roman" w:hAnsi="Times New Roman"/>
                <w:sz w:val="24"/>
                <w:szCs w:val="24"/>
                <w:lang w:eastAsia="ru-RU"/>
              </w:rPr>
              <w:t>2 845,7</w:t>
            </w:r>
          </w:p>
        </w:tc>
        <w:tc>
          <w:tcPr>
            <w:tcW w:w="1231" w:type="dxa"/>
            <w:tcBorders>
              <w:top w:val="single" w:sz="4" w:space="0" w:color="000000"/>
              <w:left w:val="single" w:sz="4" w:space="0" w:color="000000"/>
              <w:bottom w:val="single" w:sz="4" w:space="0" w:color="000000"/>
            </w:tcBorders>
            <w:shd w:val="clear" w:color="auto" w:fill="FFFFFF"/>
          </w:tcPr>
          <w:p w14:paraId="10066C6B" w14:textId="77777777" w:rsidR="002449C2" w:rsidRDefault="00123961">
            <w:pPr>
              <w:shd w:val="clear" w:color="auto" w:fill="FFFFFF"/>
              <w:spacing w:after="0" w:line="240" w:lineRule="auto"/>
              <w:jc w:val="center"/>
              <w:rPr>
                <w:rFonts w:ascii="Times New Roman" w:hAnsi="Times New Roman"/>
              </w:rPr>
            </w:pPr>
            <w:r>
              <w:rPr>
                <w:rFonts w:ascii="Times New Roman" w:eastAsia="Times New Roman" w:hAnsi="Times New Roman"/>
                <w:sz w:val="24"/>
                <w:szCs w:val="24"/>
                <w:lang w:eastAsia="ru-RU"/>
              </w:rPr>
              <w:t>515,7</w:t>
            </w:r>
          </w:p>
        </w:tc>
        <w:tc>
          <w:tcPr>
            <w:tcW w:w="941" w:type="dxa"/>
            <w:tcBorders>
              <w:top w:val="single" w:sz="4" w:space="0" w:color="000000"/>
              <w:left w:val="single" w:sz="4" w:space="0" w:color="000000"/>
              <w:bottom w:val="single" w:sz="4" w:space="0" w:color="000000"/>
              <w:right w:val="single" w:sz="4" w:space="0" w:color="000000"/>
            </w:tcBorders>
            <w:shd w:val="clear" w:color="auto" w:fill="FFFFFF"/>
          </w:tcPr>
          <w:p w14:paraId="6179F50C"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15,34</w:t>
            </w:r>
          </w:p>
        </w:tc>
      </w:tr>
      <w:tr w:rsidR="002449C2" w14:paraId="03634B18" w14:textId="77777777">
        <w:trPr>
          <w:trHeight w:val="289"/>
        </w:trPr>
        <w:tc>
          <w:tcPr>
            <w:tcW w:w="2552" w:type="dxa"/>
            <w:tcBorders>
              <w:top w:val="single" w:sz="4" w:space="0" w:color="000000"/>
              <w:left w:val="single" w:sz="4" w:space="0" w:color="000000"/>
              <w:bottom w:val="single" w:sz="4" w:space="0" w:color="000000"/>
            </w:tcBorders>
            <w:shd w:val="clear" w:color="auto" w:fill="FFFFFF"/>
            <w:vAlign w:val="center"/>
          </w:tcPr>
          <w:p w14:paraId="7E3F0C8F" w14:textId="77777777" w:rsidR="002449C2" w:rsidRDefault="00123961">
            <w:pPr>
              <w:shd w:val="clear" w:color="auto" w:fill="FFFFFF"/>
              <w:tabs>
                <w:tab w:val="left" w:pos="142"/>
              </w:tabs>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«Волгоградэнерго»</w:t>
            </w:r>
          </w:p>
        </w:tc>
        <w:tc>
          <w:tcPr>
            <w:tcW w:w="2408" w:type="dxa"/>
            <w:tcBorders>
              <w:top w:val="single" w:sz="4" w:space="0" w:color="000000"/>
              <w:left w:val="single" w:sz="4" w:space="0" w:color="000000"/>
              <w:bottom w:val="single" w:sz="4" w:space="0" w:color="000000"/>
            </w:tcBorders>
            <w:shd w:val="clear" w:color="auto" w:fill="FFFFFF"/>
          </w:tcPr>
          <w:p w14:paraId="53D1D46A" w14:textId="77777777" w:rsidR="002449C2" w:rsidRDefault="00123961">
            <w:pPr>
              <w:shd w:val="clear" w:color="auto" w:fill="FFFFFF"/>
              <w:spacing w:after="0" w:line="240" w:lineRule="auto"/>
              <w:jc w:val="center"/>
              <w:rPr>
                <w:rFonts w:ascii="Times New Roman" w:hAnsi="Times New Roman"/>
              </w:rPr>
            </w:pPr>
            <w:r>
              <w:rPr>
                <w:rFonts w:ascii="Times New Roman" w:eastAsia="Times New Roman" w:hAnsi="Times New Roman"/>
                <w:sz w:val="24"/>
                <w:szCs w:val="24"/>
                <w:lang w:eastAsia="ru-RU"/>
              </w:rPr>
              <w:t>8 923,8</w:t>
            </w:r>
          </w:p>
        </w:tc>
        <w:tc>
          <w:tcPr>
            <w:tcW w:w="2370" w:type="dxa"/>
            <w:tcBorders>
              <w:top w:val="single" w:sz="4" w:space="0" w:color="000000"/>
              <w:left w:val="single" w:sz="4" w:space="0" w:color="000000"/>
              <w:bottom w:val="single" w:sz="4" w:space="0" w:color="000000"/>
            </w:tcBorders>
            <w:shd w:val="clear" w:color="auto" w:fill="FFFFFF"/>
          </w:tcPr>
          <w:p w14:paraId="33CEDA20" w14:textId="77777777" w:rsidR="002449C2" w:rsidRDefault="00123961">
            <w:pPr>
              <w:shd w:val="clear" w:color="auto" w:fill="FFFFFF"/>
              <w:spacing w:after="0" w:line="240" w:lineRule="auto"/>
              <w:jc w:val="center"/>
              <w:rPr>
                <w:rFonts w:ascii="Times New Roman" w:hAnsi="Times New Roman"/>
              </w:rPr>
            </w:pPr>
            <w:r>
              <w:rPr>
                <w:rFonts w:ascii="Times New Roman" w:eastAsia="Times New Roman" w:hAnsi="Times New Roman"/>
                <w:sz w:val="24"/>
                <w:szCs w:val="24"/>
                <w:lang w:eastAsia="ru-RU"/>
              </w:rPr>
              <w:t>8 327,1</w:t>
            </w:r>
          </w:p>
        </w:tc>
        <w:tc>
          <w:tcPr>
            <w:tcW w:w="1231" w:type="dxa"/>
            <w:tcBorders>
              <w:top w:val="single" w:sz="4" w:space="0" w:color="000000"/>
              <w:left w:val="single" w:sz="4" w:space="0" w:color="000000"/>
              <w:bottom w:val="single" w:sz="4" w:space="0" w:color="000000"/>
            </w:tcBorders>
            <w:shd w:val="clear" w:color="auto" w:fill="FFFFFF"/>
          </w:tcPr>
          <w:p w14:paraId="2192BB85" w14:textId="77777777" w:rsidR="002449C2" w:rsidRDefault="00123961">
            <w:pPr>
              <w:shd w:val="clear" w:color="auto" w:fill="FFFFFF"/>
              <w:spacing w:after="0" w:line="240" w:lineRule="auto"/>
              <w:jc w:val="center"/>
              <w:rPr>
                <w:rFonts w:ascii="Times New Roman" w:hAnsi="Times New Roman"/>
              </w:rPr>
            </w:pPr>
            <w:r>
              <w:rPr>
                <w:rFonts w:ascii="Times New Roman" w:eastAsia="Times New Roman" w:hAnsi="Times New Roman"/>
                <w:sz w:val="24"/>
                <w:szCs w:val="24"/>
                <w:lang w:eastAsia="ru-RU"/>
              </w:rPr>
              <w:t>596,8</w:t>
            </w:r>
          </w:p>
        </w:tc>
        <w:tc>
          <w:tcPr>
            <w:tcW w:w="941" w:type="dxa"/>
            <w:tcBorders>
              <w:top w:val="single" w:sz="4" w:space="0" w:color="000000"/>
              <w:left w:val="single" w:sz="4" w:space="0" w:color="000000"/>
              <w:bottom w:val="single" w:sz="4" w:space="0" w:color="000000"/>
              <w:right w:val="single" w:sz="4" w:space="0" w:color="000000"/>
            </w:tcBorders>
            <w:shd w:val="clear" w:color="auto" w:fill="FFFFFF"/>
          </w:tcPr>
          <w:p w14:paraId="15309225"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6,69</w:t>
            </w:r>
          </w:p>
        </w:tc>
      </w:tr>
      <w:tr w:rsidR="002449C2" w14:paraId="4334DBAD" w14:textId="77777777">
        <w:trPr>
          <w:trHeight w:val="289"/>
        </w:trPr>
        <w:tc>
          <w:tcPr>
            <w:tcW w:w="2552" w:type="dxa"/>
            <w:tcBorders>
              <w:top w:val="single" w:sz="4" w:space="0" w:color="000000"/>
              <w:left w:val="single" w:sz="4" w:space="0" w:color="000000"/>
              <w:bottom w:val="single" w:sz="4" w:space="0" w:color="000000"/>
            </w:tcBorders>
            <w:shd w:val="clear" w:color="auto" w:fill="FFFFFF"/>
            <w:vAlign w:val="center"/>
          </w:tcPr>
          <w:p w14:paraId="13448D4C" w14:textId="77777777" w:rsidR="002449C2" w:rsidRDefault="00123961">
            <w:pPr>
              <w:shd w:val="clear" w:color="auto" w:fill="FFFFFF"/>
              <w:tabs>
                <w:tab w:val="left" w:pos="142"/>
              </w:tabs>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«Калмэнерго»</w:t>
            </w:r>
          </w:p>
        </w:tc>
        <w:tc>
          <w:tcPr>
            <w:tcW w:w="2408" w:type="dxa"/>
            <w:tcBorders>
              <w:top w:val="single" w:sz="4" w:space="0" w:color="000000"/>
              <w:left w:val="single" w:sz="4" w:space="0" w:color="000000"/>
              <w:bottom w:val="single" w:sz="4" w:space="0" w:color="000000"/>
            </w:tcBorders>
            <w:shd w:val="clear" w:color="auto" w:fill="FFFFFF"/>
          </w:tcPr>
          <w:p w14:paraId="47ED4B37" w14:textId="77777777" w:rsidR="002449C2" w:rsidRDefault="00123961">
            <w:pPr>
              <w:shd w:val="clear" w:color="auto" w:fill="FFFFFF"/>
              <w:spacing w:after="0" w:line="240" w:lineRule="auto"/>
              <w:jc w:val="center"/>
              <w:rPr>
                <w:rFonts w:ascii="Times New Roman" w:hAnsi="Times New Roman"/>
              </w:rPr>
            </w:pPr>
            <w:r>
              <w:rPr>
                <w:rFonts w:ascii="Times New Roman" w:eastAsia="Times New Roman" w:hAnsi="Times New Roman"/>
                <w:sz w:val="24"/>
                <w:szCs w:val="24"/>
                <w:lang w:eastAsia="ru-RU"/>
              </w:rPr>
              <w:t>884,3</w:t>
            </w:r>
          </w:p>
        </w:tc>
        <w:tc>
          <w:tcPr>
            <w:tcW w:w="2370" w:type="dxa"/>
            <w:tcBorders>
              <w:top w:val="single" w:sz="4" w:space="0" w:color="000000"/>
              <w:left w:val="single" w:sz="4" w:space="0" w:color="000000"/>
              <w:bottom w:val="single" w:sz="4" w:space="0" w:color="000000"/>
            </w:tcBorders>
            <w:shd w:val="clear" w:color="auto" w:fill="FFFFFF"/>
          </w:tcPr>
          <w:p w14:paraId="756B5611" w14:textId="77777777" w:rsidR="002449C2" w:rsidRDefault="00123961">
            <w:pPr>
              <w:shd w:val="clear" w:color="auto" w:fill="FFFFFF"/>
              <w:spacing w:after="0" w:line="240" w:lineRule="auto"/>
              <w:jc w:val="center"/>
              <w:rPr>
                <w:rFonts w:ascii="Times New Roman" w:hAnsi="Times New Roman"/>
              </w:rPr>
            </w:pPr>
            <w:r>
              <w:rPr>
                <w:rFonts w:ascii="Times New Roman" w:eastAsia="Times New Roman" w:hAnsi="Times New Roman"/>
                <w:sz w:val="24"/>
                <w:szCs w:val="24"/>
                <w:lang w:eastAsia="ru-RU"/>
              </w:rPr>
              <w:t>677,4</w:t>
            </w:r>
          </w:p>
        </w:tc>
        <w:tc>
          <w:tcPr>
            <w:tcW w:w="1231" w:type="dxa"/>
            <w:tcBorders>
              <w:top w:val="single" w:sz="4" w:space="0" w:color="000000"/>
              <w:left w:val="single" w:sz="4" w:space="0" w:color="000000"/>
              <w:bottom w:val="single" w:sz="4" w:space="0" w:color="000000"/>
            </w:tcBorders>
            <w:shd w:val="clear" w:color="auto" w:fill="FFFFFF"/>
          </w:tcPr>
          <w:p w14:paraId="31D1C941" w14:textId="77777777" w:rsidR="002449C2" w:rsidRDefault="00123961">
            <w:pPr>
              <w:shd w:val="clear" w:color="auto" w:fill="FFFFFF"/>
              <w:spacing w:after="0" w:line="240" w:lineRule="auto"/>
              <w:jc w:val="center"/>
              <w:rPr>
                <w:rFonts w:ascii="Times New Roman" w:hAnsi="Times New Roman"/>
              </w:rPr>
            </w:pPr>
            <w:r>
              <w:rPr>
                <w:rFonts w:ascii="Times New Roman" w:eastAsia="Times New Roman" w:hAnsi="Times New Roman"/>
                <w:sz w:val="24"/>
                <w:szCs w:val="24"/>
                <w:lang w:eastAsia="ru-RU"/>
              </w:rPr>
              <w:t>206,9</w:t>
            </w:r>
          </w:p>
        </w:tc>
        <w:tc>
          <w:tcPr>
            <w:tcW w:w="941" w:type="dxa"/>
            <w:tcBorders>
              <w:top w:val="single" w:sz="4" w:space="0" w:color="000000"/>
              <w:left w:val="single" w:sz="4" w:space="0" w:color="000000"/>
              <w:bottom w:val="single" w:sz="4" w:space="0" w:color="000000"/>
              <w:right w:val="single" w:sz="4" w:space="0" w:color="000000"/>
            </w:tcBorders>
            <w:shd w:val="clear" w:color="auto" w:fill="FFFFFF"/>
          </w:tcPr>
          <w:p w14:paraId="58229ED9"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23,40</w:t>
            </w:r>
          </w:p>
        </w:tc>
      </w:tr>
      <w:tr w:rsidR="002449C2" w14:paraId="730A2C33" w14:textId="77777777">
        <w:trPr>
          <w:trHeight w:val="289"/>
        </w:trPr>
        <w:tc>
          <w:tcPr>
            <w:tcW w:w="2552" w:type="dxa"/>
            <w:tcBorders>
              <w:top w:val="single" w:sz="4" w:space="0" w:color="000000"/>
              <w:left w:val="single" w:sz="4" w:space="0" w:color="000000"/>
              <w:bottom w:val="single" w:sz="4" w:space="0" w:color="000000"/>
            </w:tcBorders>
            <w:shd w:val="clear" w:color="auto" w:fill="FFFFFF"/>
            <w:vAlign w:val="center"/>
          </w:tcPr>
          <w:p w14:paraId="5DDC4474" w14:textId="77777777" w:rsidR="002449C2" w:rsidRDefault="00123961">
            <w:pPr>
              <w:shd w:val="clear" w:color="auto" w:fill="FFFFFF"/>
              <w:tabs>
                <w:tab w:val="left" w:pos="142"/>
              </w:tabs>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«Ростовэнерго»</w:t>
            </w:r>
          </w:p>
        </w:tc>
        <w:tc>
          <w:tcPr>
            <w:tcW w:w="2408" w:type="dxa"/>
            <w:tcBorders>
              <w:top w:val="single" w:sz="4" w:space="0" w:color="000000"/>
              <w:left w:val="single" w:sz="4" w:space="0" w:color="000000"/>
              <w:bottom w:val="single" w:sz="4" w:space="0" w:color="000000"/>
            </w:tcBorders>
            <w:shd w:val="clear" w:color="auto" w:fill="FFFFFF"/>
          </w:tcPr>
          <w:p w14:paraId="663AF05A" w14:textId="77777777" w:rsidR="002449C2" w:rsidRDefault="00123961">
            <w:pPr>
              <w:shd w:val="clear" w:color="auto" w:fill="FFFFFF"/>
              <w:spacing w:after="0" w:line="240" w:lineRule="auto"/>
              <w:jc w:val="center"/>
              <w:rPr>
                <w:rFonts w:ascii="Times New Roman" w:hAnsi="Times New Roman"/>
              </w:rPr>
            </w:pPr>
            <w:r>
              <w:rPr>
                <w:rFonts w:ascii="Times New Roman" w:eastAsia="Times New Roman" w:hAnsi="Times New Roman"/>
                <w:sz w:val="24"/>
                <w:szCs w:val="24"/>
                <w:lang w:eastAsia="ru-RU"/>
              </w:rPr>
              <w:t>14 819,5</w:t>
            </w:r>
          </w:p>
        </w:tc>
        <w:tc>
          <w:tcPr>
            <w:tcW w:w="2370" w:type="dxa"/>
            <w:tcBorders>
              <w:top w:val="single" w:sz="4" w:space="0" w:color="000000"/>
              <w:left w:val="single" w:sz="4" w:space="0" w:color="000000"/>
              <w:bottom w:val="single" w:sz="4" w:space="0" w:color="000000"/>
            </w:tcBorders>
            <w:shd w:val="clear" w:color="auto" w:fill="FFFFFF"/>
          </w:tcPr>
          <w:p w14:paraId="7E23A135" w14:textId="77777777" w:rsidR="002449C2" w:rsidRDefault="00123961">
            <w:pPr>
              <w:shd w:val="clear" w:color="auto" w:fill="FFFFFF"/>
              <w:spacing w:after="0" w:line="240" w:lineRule="auto"/>
              <w:jc w:val="center"/>
              <w:rPr>
                <w:rFonts w:ascii="Times New Roman" w:hAnsi="Times New Roman"/>
              </w:rPr>
            </w:pPr>
            <w:r>
              <w:rPr>
                <w:rFonts w:ascii="Times New Roman" w:eastAsia="Times New Roman" w:hAnsi="Times New Roman"/>
                <w:sz w:val="24"/>
                <w:szCs w:val="24"/>
                <w:lang w:eastAsia="ru-RU"/>
              </w:rPr>
              <w:t>13 635,0</w:t>
            </w:r>
          </w:p>
        </w:tc>
        <w:tc>
          <w:tcPr>
            <w:tcW w:w="1231" w:type="dxa"/>
            <w:tcBorders>
              <w:top w:val="single" w:sz="4" w:space="0" w:color="000000"/>
              <w:left w:val="single" w:sz="4" w:space="0" w:color="000000"/>
              <w:bottom w:val="single" w:sz="4" w:space="0" w:color="000000"/>
            </w:tcBorders>
            <w:shd w:val="clear" w:color="auto" w:fill="FFFFFF"/>
          </w:tcPr>
          <w:p w14:paraId="37EC5967" w14:textId="77777777" w:rsidR="002449C2" w:rsidRDefault="00123961">
            <w:pPr>
              <w:shd w:val="clear" w:color="auto" w:fill="FFFFFF"/>
              <w:spacing w:after="0" w:line="240" w:lineRule="auto"/>
              <w:jc w:val="center"/>
              <w:rPr>
                <w:rFonts w:ascii="Times New Roman" w:hAnsi="Times New Roman"/>
              </w:rPr>
            </w:pPr>
            <w:r>
              <w:rPr>
                <w:rFonts w:ascii="Times New Roman" w:eastAsia="Times New Roman" w:hAnsi="Times New Roman"/>
                <w:sz w:val="24"/>
                <w:szCs w:val="24"/>
                <w:lang w:eastAsia="ru-RU"/>
              </w:rPr>
              <w:t>1 184,5</w:t>
            </w:r>
          </w:p>
        </w:tc>
        <w:tc>
          <w:tcPr>
            <w:tcW w:w="941" w:type="dxa"/>
            <w:tcBorders>
              <w:top w:val="single" w:sz="4" w:space="0" w:color="000000"/>
              <w:left w:val="single" w:sz="4" w:space="0" w:color="000000"/>
              <w:bottom w:val="single" w:sz="4" w:space="0" w:color="000000"/>
              <w:right w:val="single" w:sz="4" w:space="0" w:color="000000"/>
            </w:tcBorders>
            <w:shd w:val="clear" w:color="auto" w:fill="FFFFFF"/>
          </w:tcPr>
          <w:p w14:paraId="012E94AC"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7,99</w:t>
            </w:r>
          </w:p>
        </w:tc>
      </w:tr>
      <w:tr w:rsidR="002449C2" w14:paraId="042576DC" w14:textId="77777777">
        <w:trPr>
          <w:trHeight w:val="306"/>
        </w:trPr>
        <w:tc>
          <w:tcPr>
            <w:tcW w:w="2552" w:type="dxa"/>
            <w:tcBorders>
              <w:top w:val="single" w:sz="4" w:space="0" w:color="000000"/>
              <w:left w:val="single" w:sz="4" w:space="0" w:color="000000"/>
              <w:bottom w:val="single" w:sz="4" w:space="0" w:color="000000"/>
            </w:tcBorders>
            <w:shd w:val="clear" w:color="auto" w:fill="FFFFFF"/>
            <w:vAlign w:val="center"/>
          </w:tcPr>
          <w:p w14:paraId="684E96B0" w14:textId="77777777" w:rsidR="002449C2" w:rsidRDefault="00123961">
            <w:pPr>
              <w:shd w:val="clear" w:color="auto" w:fill="FFFFFF"/>
              <w:tabs>
                <w:tab w:val="left" w:pos="142"/>
              </w:tabs>
              <w:spacing w:after="0" w:line="240" w:lineRule="auto"/>
              <w:rPr>
                <w:rFonts w:ascii="Times New Roman" w:eastAsia="Times New Roman" w:hAnsi="Times New Roman"/>
                <w:bCs/>
                <w:lang w:eastAsia="ru-RU"/>
              </w:rPr>
            </w:pPr>
            <w:r>
              <w:rPr>
                <w:rFonts w:ascii="Times New Roman" w:eastAsia="Times New Roman" w:hAnsi="Times New Roman"/>
                <w:lang w:eastAsia="ru-RU"/>
              </w:rPr>
              <w:t>ПАО «Россети Юг»</w:t>
            </w:r>
          </w:p>
        </w:tc>
        <w:tc>
          <w:tcPr>
            <w:tcW w:w="2408" w:type="dxa"/>
            <w:tcBorders>
              <w:top w:val="single" w:sz="4" w:space="0" w:color="000000"/>
              <w:left w:val="single" w:sz="4" w:space="0" w:color="000000"/>
              <w:bottom w:val="single" w:sz="4" w:space="0" w:color="000000"/>
            </w:tcBorders>
            <w:shd w:val="clear" w:color="auto" w:fill="FFFFFF"/>
          </w:tcPr>
          <w:p w14:paraId="29F7D48D" w14:textId="77777777" w:rsidR="002449C2" w:rsidRDefault="00123961">
            <w:pPr>
              <w:shd w:val="clear" w:color="auto" w:fill="FFFFFF"/>
              <w:spacing w:after="0" w:line="240" w:lineRule="auto"/>
              <w:jc w:val="center"/>
              <w:rPr>
                <w:rFonts w:ascii="Times New Roman" w:hAnsi="Times New Roman"/>
              </w:rPr>
            </w:pPr>
            <w:r>
              <w:rPr>
                <w:rFonts w:ascii="Times New Roman" w:eastAsia="Times New Roman" w:hAnsi="Times New Roman"/>
                <w:sz w:val="24"/>
                <w:szCs w:val="24"/>
                <w:lang w:eastAsia="ru-RU"/>
              </w:rPr>
              <w:t>27 989,0</w:t>
            </w:r>
          </w:p>
        </w:tc>
        <w:tc>
          <w:tcPr>
            <w:tcW w:w="2370" w:type="dxa"/>
            <w:tcBorders>
              <w:top w:val="single" w:sz="4" w:space="0" w:color="000000"/>
              <w:left w:val="single" w:sz="4" w:space="0" w:color="000000"/>
              <w:bottom w:val="single" w:sz="4" w:space="0" w:color="000000"/>
            </w:tcBorders>
            <w:shd w:val="clear" w:color="auto" w:fill="FFFFFF"/>
          </w:tcPr>
          <w:p w14:paraId="23A1ED4E" w14:textId="77777777" w:rsidR="002449C2" w:rsidRDefault="00123961">
            <w:pPr>
              <w:shd w:val="clear" w:color="auto" w:fill="FFFFFF"/>
              <w:spacing w:after="0" w:line="240" w:lineRule="auto"/>
              <w:jc w:val="center"/>
              <w:rPr>
                <w:rFonts w:ascii="Times New Roman" w:hAnsi="Times New Roman"/>
              </w:rPr>
            </w:pPr>
            <w:r>
              <w:rPr>
                <w:rFonts w:ascii="Times New Roman" w:eastAsia="Times New Roman" w:hAnsi="Times New Roman"/>
                <w:sz w:val="24"/>
                <w:szCs w:val="24"/>
                <w:lang w:eastAsia="ru-RU"/>
              </w:rPr>
              <w:t>25 485,2</w:t>
            </w:r>
          </w:p>
        </w:tc>
        <w:tc>
          <w:tcPr>
            <w:tcW w:w="1231" w:type="dxa"/>
            <w:tcBorders>
              <w:top w:val="single" w:sz="4" w:space="0" w:color="000000"/>
              <w:left w:val="single" w:sz="4" w:space="0" w:color="000000"/>
              <w:bottom w:val="single" w:sz="4" w:space="0" w:color="000000"/>
            </w:tcBorders>
            <w:shd w:val="clear" w:color="auto" w:fill="FFFFFF"/>
          </w:tcPr>
          <w:p w14:paraId="16199923" w14:textId="77777777" w:rsidR="002449C2" w:rsidRDefault="00123961">
            <w:pPr>
              <w:shd w:val="clear" w:color="auto" w:fill="FFFFFF"/>
              <w:spacing w:after="0" w:line="240" w:lineRule="auto"/>
              <w:jc w:val="center"/>
              <w:rPr>
                <w:rFonts w:ascii="Times New Roman" w:hAnsi="Times New Roman"/>
              </w:rPr>
            </w:pPr>
            <w:r>
              <w:rPr>
                <w:rFonts w:ascii="Times New Roman" w:eastAsia="Times New Roman" w:hAnsi="Times New Roman"/>
                <w:sz w:val="24"/>
                <w:szCs w:val="24"/>
                <w:lang w:eastAsia="ru-RU"/>
              </w:rPr>
              <w:t>2 503,9</w:t>
            </w:r>
          </w:p>
        </w:tc>
        <w:tc>
          <w:tcPr>
            <w:tcW w:w="941" w:type="dxa"/>
            <w:tcBorders>
              <w:top w:val="single" w:sz="4" w:space="0" w:color="000000"/>
              <w:left w:val="single" w:sz="4" w:space="0" w:color="000000"/>
              <w:bottom w:val="single" w:sz="4" w:space="0" w:color="000000"/>
              <w:right w:val="single" w:sz="4" w:space="0" w:color="000000"/>
            </w:tcBorders>
            <w:shd w:val="clear" w:color="auto" w:fill="FFFFFF"/>
          </w:tcPr>
          <w:p w14:paraId="6F149859"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8,95</w:t>
            </w:r>
          </w:p>
        </w:tc>
      </w:tr>
    </w:tbl>
    <w:p w14:paraId="2C4D9863" w14:textId="77777777" w:rsidR="002449C2" w:rsidRDefault="002449C2">
      <w:pPr>
        <w:tabs>
          <w:tab w:val="left" w:pos="1080"/>
          <w:tab w:val="left" w:pos="1320"/>
        </w:tabs>
        <w:spacing w:after="0" w:line="240" w:lineRule="auto"/>
        <w:ind w:firstLine="567"/>
        <w:jc w:val="both"/>
        <w:rPr>
          <w:rFonts w:ascii="Cambria" w:eastAsia="Times New Roman" w:hAnsi="Cambria"/>
          <w:sz w:val="20"/>
          <w:szCs w:val="20"/>
          <w:lang w:eastAsia="ru-RU"/>
        </w:rPr>
      </w:pPr>
    </w:p>
    <w:p w14:paraId="37DBC5DD" w14:textId="77777777" w:rsidR="002449C2" w:rsidRDefault="00123961">
      <w:pPr>
        <w:shd w:val="clear" w:color="auto" w:fill="FFFFFF"/>
        <w:tabs>
          <w:tab w:val="left" w:pos="1080"/>
          <w:tab w:val="left" w:pos="1320"/>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2024 году объем отпуска из сети потребителям и смежным ТСО в границах балансовой и эксплуатационной ответственности составил 25 485 млн кВтч, что в сравнении с показателем 2023 года (24 601 млн кВтч) на 884 млн кВтч или 3,59% выше, в том числе по филиалам:</w:t>
      </w:r>
    </w:p>
    <w:p w14:paraId="05427619" w14:textId="77777777" w:rsidR="002449C2" w:rsidRDefault="00123961">
      <w:pPr>
        <w:shd w:val="clear" w:color="auto" w:fill="FFFFFF"/>
        <w:tabs>
          <w:tab w:val="left" w:pos="1080"/>
          <w:tab w:val="left" w:pos="1320"/>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 по филиалу «Астраханьэнерго» в 2024 году объем отпуска из сети составил </w:t>
      </w:r>
      <w:r>
        <w:rPr>
          <w:rFonts w:ascii="Times New Roman" w:eastAsia="Times New Roman" w:hAnsi="Times New Roman"/>
          <w:sz w:val="26"/>
          <w:szCs w:val="26"/>
          <w:lang w:eastAsia="ru-RU"/>
        </w:rPr>
        <w:br w:type="textWrapping" w:clear="all"/>
        <w:t xml:space="preserve">2 846 млн кВтч, что выше показателя 2023 года (2 782 млн кВтч) на 63 млн кВтч или 2,26%; </w:t>
      </w:r>
    </w:p>
    <w:p w14:paraId="61B94325" w14:textId="77777777" w:rsidR="002449C2" w:rsidRDefault="00123961">
      <w:pPr>
        <w:shd w:val="clear" w:color="auto" w:fill="FFFFFF"/>
        <w:tabs>
          <w:tab w:val="left" w:pos="1080"/>
          <w:tab w:val="left" w:pos="1320"/>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 по филиалу «Волгоградэнерго» в 2024 году объем отпуска из сети составил </w:t>
      </w:r>
      <w:r>
        <w:rPr>
          <w:rFonts w:ascii="Times New Roman" w:eastAsia="Times New Roman" w:hAnsi="Times New Roman"/>
          <w:sz w:val="26"/>
          <w:szCs w:val="26"/>
          <w:lang w:eastAsia="ru-RU"/>
        </w:rPr>
        <w:br w:type="textWrapping" w:clear="all"/>
        <w:t>8 327 млн кВтч, что выше показателя 2023 года (8 083 млн кВтч) на 244 млн кВтч или 3,02%;</w:t>
      </w:r>
    </w:p>
    <w:p w14:paraId="1B51C6C6" w14:textId="77777777" w:rsidR="002449C2" w:rsidRDefault="00123961">
      <w:pPr>
        <w:shd w:val="clear" w:color="auto" w:fill="FFFFFF"/>
        <w:tabs>
          <w:tab w:val="left" w:pos="1080"/>
          <w:tab w:val="left" w:pos="1320"/>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по филиалу «Калмэнерго» в 2024 году объем отпуска из сети составил 677 млн кВтч, что выше показателя 2023 года (665 млн кВтч) на 12 млн кВтч или 1,83%;</w:t>
      </w:r>
    </w:p>
    <w:p w14:paraId="2B4355B9" w14:textId="77777777" w:rsidR="002449C2" w:rsidRDefault="00123961">
      <w:pPr>
        <w:shd w:val="clear" w:color="auto" w:fill="FFFFFF"/>
        <w:tabs>
          <w:tab w:val="left" w:pos="1080"/>
          <w:tab w:val="left" w:pos="1320"/>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по филиалу «Ростовэнерго» в 2024 году объем отпуска из сети составил 13 635 млн кВтч, что выше показателя 2023 года (13 070 млн кВтч) на 565 млн кВтч или 4,32%.</w:t>
      </w:r>
    </w:p>
    <w:p w14:paraId="513C7219" w14:textId="77777777" w:rsidR="002449C2" w:rsidRDefault="00123961">
      <w:pPr>
        <w:shd w:val="clear" w:color="auto" w:fill="FFFFFF"/>
        <w:tabs>
          <w:tab w:val="left" w:pos="142"/>
        </w:tabs>
        <w:spacing w:before="120" w:after="12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Объемы реализации услуг по передаче электроэнергии ПАО «Россети Юг» </w:t>
      </w:r>
    </w:p>
    <w:tbl>
      <w:tblPr>
        <w:tblW w:w="10360" w:type="dxa"/>
        <w:tblInd w:w="-318" w:type="dxa"/>
        <w:tblLayout w:type="fixed"/>
        <w:tblLook w:val="04A0" w:firstRow="1" w:lastRow="0" w:firstColumn="1" w:lastColumn="0" w:noHBand="0" w:noVBand="1"/>
      </w:tblPr>
      <w:tblGrid>
        <w:gridCol w:w="2352"/>
        <w:gridCol w:w="975"/>
        <w:gridCol w:w="1113"/>
        <w:gridCol w:w="1107"/>
        <w:gridCol w:w="1114"/>
        <w:gridCol w:w="1105"/>
        <w:gridCol w:w="1253"/>
        <w:gridCol w:w="1105"/>
        <w:gridCol w:w="236"/>
      </w:tblGrid>
      <w:tr w:rsidR="002449C2" w14:paraId="408A00E7" w14:textId="77777777">
        <w:trPr>
          <w:trHeight w:val="274"/>
        </w:trPr>
        <w:tc>
          <w:tcPr>
            <w:tcW w:w="235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16F20566" w14:textId="77777777" w:rsidR="002449C2" w:rsidRDefault="00123961">
            <w:pPr>
              <w:shd w:val="clear" w:color="auto" w:fill="FFFFFF"/>
              <w:tabs>
                <w:tab w:val="left" w:pos="142"/>
              </w:tabs>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Наименование филиала</w:t>
            </w:r>
          </w:p>
        </w:tc>
        <w:tc>
          <w:tcPr>
            <w:tcW w:w="8008" w:type="dxa"/>
            <w:gridSpan w:val="8"/>
            <w:tcBorders>
              <w:top w:val="single" w:sz="4" w:space="0" w:color="000000"/>
              <w:left w:val="single" w:sz="4" w:space="0" w:color="000000"/>
              <w:bottom w:val="single" w:sz="4" w:space="0" w:color="000000"/>
              <w:right w:val="single" w:sz="4" w:space="0" w:color="000000"/>
            </w:tcBorders>
            <w:shd w:val="clear" w:color="auto" w:fill="FFFFFF"/>
            <w:vAlign w:val="center"/>
          </w:tcPr>
          <w:p w14:paraId="5DC5C523" w14:textId="77777777" w:rsidR="002449C2" w:rsidRDefault="00123961">
            <w:pPr>
              <w:shd w:val="clear" w:color="auto" w:fill="FFFFFF"/>
              <w:tabs>
                <w:tab w:val="left" w:pos="142"/>
              </w:tabs>
              <w:spacing w:after="0" w:line="240" w:lineRule="auto"/>
              <w:ind w:firstLine="567"/>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Объем оказанных услуг по передаче электрической энергии</w:t>
            </w:r>
          </w:p>
          <w:p w14:paraId="0728BA91" w14:textId="77777777" w:rsidR="002449C2" w:rsidRDefault="00123961">
            <w:pPr>
              <w:shd w:val="clear" w:color="auto" w:fill="FFFFFF"/>
              <w:tabs>
                <w:tab w:val="left" w:pos="142"/>
              </w:tabs>
              <w:spacing w:after="0" w:line="240" w:lineRule="auto"/>
              <w:ind w:firstLine="567"/>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с учетом внутреннего оборота</w:t>
            </w:r>
          </w:p>
        </w:tc>
      </w:tr>
      <w:tr w:rsidR="002449C2" w14:paraId="4ABB5A40" w14:textId="77777777">
        <w:trPr>
          <w:trHeight w:val="282"/>
        </w:trPr>
        <w:tc>
          <w:tcPr>
            <w:tcW w:w="235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0951688D" w14:textId="77777777" w:rsidR="002449C2" w:rsidRDefault="002449C2">
            <w:pPr>
              <w:shd w:val="clear" w:color="auto" w:fill="FFFFFF"/>
              <w:tabs>
                <w:tab w:val="left" w:pos="142"/>
              </w:tabs>
              <w:spacing w:after="0" w:line="240" w:lineRule="auto"/>
              <w:ind w:firstLine="567"/>
              <w:jc w:val="center"/>
              <w:rPr>
                <w:rFonts w:ascii="Times New Roman" w:eastAsia="Times New Roman" w:hAnsi="Times New Roman"/>
                <w:sz w:val="20"/>
                <w:szCs w:val="20"/>
                <w:lang w:eastAsia="ru-RU"/>
              </w:rPr>
            </w:pPr>
          </w:p>
        </w:tc>
        <w:tc>
          <w:tcPr>
            <w:tcW w:w="2088"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13249968" w14:textId="77777777" w:rsidR="002449C2" w:rsidRDefault="00123961">
            <w:pPr>
              <w:shd w:val="clear" w:color="auto" w:fill="FFFFFF"/>
              <w:tabs>
                <w:tab w:val="left" w:pos="142"/>
              </w:tabs>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2023 год</w:t>
            </w:r>
          </w:p>
        </w:tc>
        <w:tc>
          <w:tcPr>
            <w:tcW w:w="2221"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7E1DD663" w14:textId="77777777" w:rsidR="002449C2" w:rsidRDefault="00123961">
            <w:pPr>
              <w:shd w:val="clear" w:color="auto" w:fill="FFFFFF"/>
              <w:tabs>
                <w:tab w:val="left" w:pos="142"/>
              </w:tabs>
              <w:spacing w:after="0" w:line="240" w:lineRule="auto"/>
              <w:ind w:firstLine="567"/>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2024 год</w:t>
            </w:r>
          </w:p>
        </w:tc>
        <w:tc>
          <w:tcPr>
            <w:tcW w:w="3699" w:type="dxa"/>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59B6893A" w14:textId="77777777" w:rsidR="002449C2" w:rsidRDefault="00123961">
            <w:pPr>
              <w:shd w:val="clear" w:color="auto" w:fill="FFFFFF"/>
              <w:tabs>
                <w:tab w:val="left" w:pos="142"/>
              </w:tabs>
              <w:spacing w:after="0" w:line="240" w:lineRule="auto"/>
              <w:ind w:firstLine="567"/>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Изменение</w:t>
            </w:r>
          </w:p>
        </w:tc>
      </w:tr>
      <w:tr w:rsidR="002449C2" w14:paraId="43CA77D3" w14:textId="77777777">
        <w:trPr>
          <w:trHeight w:val="230"/>
        </w:trPr>
        <w:tc>
          <w:tcPr>
            <w:tcW w:w="235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10821D79" w14:textId="77777777" w:rsidR="002449C2" w:rsidRDefault="002449C2">
            <w:pPr>
              <w:shd w:val="clear" w:color="auto" w:fill="FFFFFF"/>
              <w:tabs>
                <w:tab w:val="left" w:pos="142"/>
              </w:tabs>
              <w:spacing w:after="0" w:line="240" w:lineRule="auto"/>
              <w:ind w:firstLine="567"/>
              <w:jc w:val="center"/>
              <w:rPr>
                <w:rFonts w:ascii="Times New Roman" w:eastAsia="Times New Roman" w:hAnsi="Times New Roman"/>
                <w:sz w:val="20"/>
                <w:szCs w:val="20"/>
                <w:lang w:eastAsia="ru-RU"/>
              </w:rPr>
            </w:pPr>
          </w:p>
        </w:tc>
        <w:tc>
          <w:tcPr>
            <w:tcW w:w="97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6AB164B9" w14:textId="77777777" w:rsidR="002449C2" w:rsidRDefault="00123961">
            <w:pPr>
              <w:shd w:val="clear" w:color="auto" w:fill="FFFFFF"/>
              <w:tabs>
                <w:tab w:val="left" w:pos="142"/>
              </w:tabs>
              <w:spacing w:after="0" w:line="240" w:lineRule="auto"/>
              <w:ind w:firstLine="34"/>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млн</w:t>
            </w:r>
          </w:p>
          <w:p w14:paraId="32720F22" w14:textId="77777777" w:rsidR="002449C2" w:rsidRDefault="00123961">
            <w:pPr>
              <w:shd w:val="clear" w:color="auto" w:fill="FFFFFF"/>
              <w:tabs>
                <w:tab w:val="left" w:pos="142"/>
              </w:tabs>
              <w:spacing w:after="0" w:line="240" w:lineRule="auto"/>
              <w:ind w:firstLine="34"/>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кВт ч</w:t>
            </w:r>
          </w:p>
        </w:tc>
        <w:tc>
          <w:tcPr>
            <w:tcW w:w="1113"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CBB63D7" w14:textId="77777777" w:rsidR="002449C2" w:rsidRDefault="00123961">
            <w:pPr>
              <w:shd w:val="clear" w:color="auto" w:fill="FFFFFF"/>
              <w:tabs>
                <w:tab w:val="left" w:pos="142"/>
              </w:tabs>
              <w:spacing w:after="0" w:line="240" w:lineRule="auto"/>
              <w:ind w:firstLine="34"/>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млн</w:t>
            </w:r>
          </w:p>
          <w:p w14:paraId="1BF21CCE" w14:textId="77777777" w:rsidR="002449C2" w:rsidRDefault="00123961">
            <w:pPr>
              <w:shd w:val="clear" w:color="auto" w:fill="FFFFFF"/>
              <w:tabs>
                <w:tab w:val="left" w:pos="142"/>
              </w:tabs>
              <w:spacing w:after="0" w:line="240" w:lineRule="auto"/>
              <w:ind w:firstLine="34"/>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руб.</w:t>
            </w:r>
          </w:p>
        </w:tc>
        <w:tc>
          <w:tcPr>
            <w:tcW w:w="110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3247BB51" w14:textId="77777777" w:rsidR="002449C2" w:rsidRDefault="00123961">
            <w:pPr>
              <w:shd w:val="clear" w:color="auto" w:fill="FFFFFF"/>
              <w:tabs>
                <w:tab w:val="left" w:pos="142"/>
              </w:tabs>
              <w:spacing w:after="0" w:line="240" w:lineRule="auto"/>
              <w:ind w:firstLine="34"/>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млн</w:t>
            </w:r>
          </w:p>
          <w:p w14:paraId="04E9D9E9" w14:textId="77777777" w:rsidR="002449C2" w:rsidRDefault="00123961">
            <w:pPr>
              <w:shd w:val="clear" w:color="auto" w:fill="FFFFFF"/>
              <w:tabs>
                <w:tab w:val="left" w:pos="142"/>
              </w:tabs>
              <w:spacing w:after="0" w:line="240" w:lineRule="auto"/>
              <w:ind w:firstLine="34"/>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кВт ч</w:t>
            </w:r>
          </w:p>
        </w:tc>
        <w:tc>
          <w:tcPr>
            <w:tcW w:w="1114"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1A597E10" w14:textId="77777777" w:rsidR="002449C2" w:rsidRDefault="00123961">
            <w:pPr>
              <w:shd w:val="clear" w:color="auto" w:fill="FFFFFF"/>
              <w:tabs>
                <w:tab w:val="left" w:pos="142"/>
              </w:tabs>
              <w:spacing w:after="0" w:line="240" w:lineRule="auto"/>
              <w:ind w:firstLine="34"/>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млн</w:t>
            </w:r>
          </w:p>
          <w:p w14:paraId="7645EB0D" w14:textId="77777777" w:rsidR="002449C2" w:rsidRDefault="00123961">
            <w:pPr>
              <w:shd w:val="clear" w:color="auto" w:fill="FFFFFF"/>
              <w:tabs>
                <w:tab w:val="left" w:pos="142"/>
              </w:tabs>
              <w:spacing w:after="0" w:line="240" w:lineRule="auto"/>
              <w:ind w:firstLine="34"/>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руб.</w:t>
            </w:r>
          </w:p>
        </w:tc>
        <w:tc>
          <w:tcPr>
            <w:tcW w:w="3463" w:type="dxa"/>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7357373F" w14:textId="77777777" w:rsidR="002449C2" w:rsidRDefault="002449C2">
            <w:pPr>
              <w:shd w:val="clear" w:color="auto" w:fill="FFFFFF"/>
              <w:tabs>
                <w:tab w:val="left" w:pos="142"/>
              </w:tabs>
              <w:spacing w:after="0" w:line="240" w:lineRule="auto"/>
              <w:ind w:firstLine="34"/>
              <w:jc w:val="center"/>
              <w:rPr>
                <w:rFonts w:ascii="Times New Roman" w:eastAsia="Times New Roman" w:hAnsi="Times New Roman"/>
                <w:b/>
                <w:sz w:val="20"/>
                <w:szCs w:val="20"/>
                <w:lang w:eastAsia="ru-RU"/>
              </w:rPr>
            </w:pPr>
          </w:p>
        </w:tc>
        <w:tc>
          <w:tcPr>
            <w:tcW w:w="236" w:type="dxa"/>
          </w:tcPr>
          <w:p w14:paraId="73EF70E2" w14:textId="77777777" w:rsidR="002449C2" w:rsidRDefault="002449C2"/>
        </w:tc>
      </w:tr>
      <w:tr w:rsidR="002449C2" w14:paraId="2080CE01" w14:textId="77777777">
        <w:trPr>
          <w:trHeight w:val="226"/>
        </w:trPr>
        <w:tc>
          <w:tcPr>
            <w:tcW w:w="235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963BEE1" w14:textId="77777777" w:rsidR="002449C2" w:rsidRDefault="002449C2">
            <w:pPr>
              <w:shd w:val="clear" w:color="auto" w:fill="FFFFFF"/>
              <w:tabs>
                <w:tab w:val="left" w:pos="142"/>
              </w:tabs>
              <w:spacing w:after="0" w:line="240" w:lineRule="auto"/>
              <w:ind w:firstLine="567"/>
              <w:jc w:val="center"/>
              <w:rPr>
                <w:rFonts w:ascii="Times New Roman" w:eastAsia="Times New Roman" w:hAnsi="Times New Roman"/>
                <w:sz w:val="20"/>
                <w:szCs w:val="20"/>
                <w:lang w:eastAsia="ru-RU"/>
              </w:rPr>
            </w:pPr>
          </w:p>
        </w:tc>
        <w:tc>
          <w:tcPr>
            <w:tcW w:w="97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129EA6CA" w14:textId="77777777" w:rsidR="002449C2" w:rsidRDefault="002449C2">
            <w:pPr>
              <w:shd w:val="clear" w:color="auto" w:fill="FFFFFF"/>
              <w:tabs>
                <w:tab w:val="left" w:pos="142"/>
              </w:tabs>
              <w:spacing w:after="0" w:line="240" w:lineRule="auto"/>
              <w:ind w:firstLine="34"/>
              <w:jc w:val="center"/>
              <w:rPr>
                <w:rFonts w:ascii="Times New Roman" w:eastAsia="Times New Roman" w:hAnsi="Times New Roman"/>
                <w:b/>
                <w:sz w:val="20"/>
                <w:szCs w:val="20"/>
                <w:lang w:eastAsia="ru-RU"/>
              </w:rPr>
            </w:pPr>
          </w:p>
        </w:tc>
        <w:tc>
          <w:tcPr>
            <w:tcW w:w="1113"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B71602F" w14:textId="77777777" w:rsidR="002449C2" w:rsidRDefault="002449C2">
            <w:pPr>
              <w:shd w:val="clear" w:color="auto" w:fill="FFFFFF"/>
              <w:tabs>
                <w:tab w:val="left" w:pos="142"/>
              </w:tabs>
              <w:spacing w:after="0" w:line="240" w:lineRule="auto"/>
              <w:ind w:firstLine="34"/>
              <w:jc w:val="center"/>
              <w:rPr>
                <w:rFonts w:ascii="Times New Roman" w:eastAsia="Times New Roman" w:hAnsi="Times New Roman"/>
                <w:b/>
                <w:sz w:val="20"/>
                <w:szCs w:val="20"/>
                <w:lang w:eastAsia="ru-RU"/>
              </w:rPr>
            </w:pPr>
          </w:p>
        </w:tc>
        <w:tc>
          <w:tcPr>
            <w:tcW w:w="110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783CBE1" w14:textId="77777777" w:rsidR="002449C2" w:rsidRDefault="002449C2">
            <w:pPr>
              <w:shd w:val="clear" w:color="auto" w:fill="FFFFFF"/>
              <w:tabs>
                <w:tab w:val="left" w:pos="142"/>
              </w:tabs>
              <w:spacing w:after="0" w:line="240" w:lineRule="auto"/>
              <w:ind w:firstLine="34"/>
              <w:jc w:val="center"/>
              <w:rPr>
                <w:rFonts w:ascii="Times New Roman" w:eastAsia="Times New Roman" w:hAnsi="Times New Roman"/>
                <w:b/>
                <w:sz w:val="20"/>
                <w:szCs w:val="20"/>
                <w:lang w:eastAsia="ru-RU"/>
              </w:rPr>
            </w:pPr>
          </w:p>
        </w:tc>
        <w:tc>
          <w:tcPr>
            <w:tcW w:w="111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16316AA8" w14:textId="77777777" w:rsidR="002449C2" w:rsidRDefault="002449C2">
            <w:pPr>
              <w:shd w:val="clear" w:color="auto" w:fill="FFFFFF"/>
              <w:tabs>
                <w:tab w:val="left" w:pos="142"/>
              </w:tabs>
              <w:spacing w:after="0" w:line="240" w:lineRule="auto"/>
              <w:ind w:firstLine="34"/>
              <w:jc w:val="center"/>
              <w:rPr>
                <w:rFonts w:ascii="Times New Roman" w:eastAsia="Times New Roman" w:hAnsi="Times New Roman"/>
                <w:b/>
                <w:sz w:val="20"/>
                <w:szCs w:val="20"/>
                <w:lang w:eastAsia="ru-RU"/>
              </w:rPr>
            </w:pPr>
          </w:p>
        </w:tc>
        <w:tc>
          <w:tcPr>
            <w:tcW w:w="11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D56283" w14:textId="77777777" w:rsidR="002449C2" w:rsidRDefault="00123961">
            <w:pPr>
              <w:shd w:val="clear" w:color="auto" w:fill="FFFFFF"/>
              <w:tabs>
                <w:tab w:val="left" w:pos="142"/>
              </w:tabs>
              <w:spacing w:after="0" w:line="240" w:lineRule="auto"/>
              <w:ind w:firstLine="34"/>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млн</w:t>
            </w:r>
          </w:p>
          <w:p w14:paraId="1530E6E7" w14:textId="77777777" w:rsidR="002449C2" w:rsidRDefault="00123961">
            <w:pPr>
              <w:shd w:val="clear" w:color="auto" w:fill="FFFFFF"/>
              <w:tabs>
                <w:tab w:val="left" w:pos="142"/>
              </w:tabs>
              <w:spacing w:after="0" w:line="240" w:lineRule="auto"/>
              <w:ind w:firstLine="34"/>
              <w:jc w:val="center"/>
              <w:rPr>
                <w:rFonts w:ascii="Times New Roman" w:eastAsia="Times New Roman" w:hAnsi="Times New Roman"/>
                <w:b/>
                <w:sz w:val="20"/>
                <w:szCs w:val="20"/>
                <w:lang w:eastAsia="ru-RU"/>
              </w:rPr>
            </w:pPr>
            <w:r>
              <w:rPr>
                <w:rFonts w:ascii="Times New Roman" w:eastAsia="Times New Roman" w:hAnsi="Times New Roman"/>
                <w:b/>
                <w:bCs/>
                <w:sz w:val="20"/>
                <w:szCs w:val="20"/>
                <w:lang w:eastAsia="ru-RU"/>
              </w:rPr>
              <w:t>кВтч</w:t>
            </w:r>
          </w:p>
        </w:tc>
        <w:tc>
          <w:tcPr>
            <w:tcW w:w="125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16DEF3" w14:textId="77777777" w:rsidR="002449C2" w:rsidRDefault="00123961">
            <w:pPr>
              <w:shd w:val="clear" w:color="auto" w:fill="FFFFFF"/>
              <w:tabs>
                <w:tab w:val="left" w:pos="142"/>
              </w:tabs>
              <w:spacing w:after="0" w:line="240" w:lineRule="auto"/>
              <w:ind w:firstLine="34"/>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млн</w:t>
            </w:r>
          </w:p>
          <w:p w14:paraId="5873C3A4" w14:textId="77777777" w:rsidR="002449C2" w:rsidRDefault="00123961">
            <w:pPr>
              <w:shd w:val="clear" w:color="auto" w:fill="FFFFFF"/>
              <w:tabs>
                <w:tab w:val="left" w:pos="142"/>
              </w:tabs>
              <w:spacing w:after="0" w:line="240" w:lineRule="auto"/>
              <w:ind w:firstLine="34"/>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руб.</w:t>
            </w:r>
          </w:p>
        </w:tc>
        <w:tc>
          <w:tcPr>
            <w:tcW w:w="11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2544FA" w14:textId="77777777" w:rsidR="002449C2" w:rsidRDefault="00123961">
            <w:pPr>
              <w:shd w:val="clear" w:color="auto" w:fill="FFFFFF"/>
              <w:tabs>
                <w:tab w:val="left" w:pos="142"/>
              </w:tabs>
              <w:spacing w:after="0" w:line="240" w:lineRule="auto"/>
              <w:ind w:firstLine="34"/>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 ок.усл.</w:t>
            </w:r>
          </w:p>
        </w:tc>
        <w:tc>
          <w:tcPr>
            <w:tcW w:w="236" w:type="dxa"/>
          </w:tcPr>
          <w:p w14:paraId="6CD41D9C" w14:textId="77777777" w:rsidR="002449C2" w:rsidRDefault="002449C2"/>
        </w:tc>
      </w:tr>
      <w:tr w:rsidR="002449C2" w14:paraId="39C14DFA" w14:textId="77777777">
        <w:trPr>
          <w:trHeight w:val="284"/>
        </w:trPr>
        <w:tc>
          <w:tcPr>
            <w:tcW w:w="235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6BB83C"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Астраханьэнерго</w:t>
            </w:r>
          </w:p>
        </w:tc>
        <w:tc>
          <w:tcPr>
            <w:tcW w:w="975" w:type="dxa"/>
            <w:tcBorders>
              <w:top w:val="single" w:sz="4" w:space="0" w:color="000000"/>
              <w:left w:val="single" w:sz="4" w:space="0" w:color="000000"/>
              <w:bottom w:val="single" w:sz="4" w:space="0" w:color="000000"/>
              <w:right w:val="single" w:sz="4" w:space="0" w:color="000000"/>
            </w:tcBorders>
            <w:vAlign w:val="center"/>
          </w:tcPr>
          <w:p w14:paraId="27878E4B"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2 761,1</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6AAB71"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6 685,5</w:t>
            </w:r>
          </w:p>
        </w:tc>
        <w:tc>
          <w:tcPr>
            <w:tcW w:w="11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3FB983"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2 823,9</w:t>
            </w:r>
          </w:p>
        </w:tc>
        <w:tc>
          <w:tcPr>
            <w:tcW w:w="1114" w:type="dxa"/>
            <w:tcBorders>
              <w:top w:val="single" w:sz="4" w:space="0" w:color="000000"/>
              <w:bottom w:val="single" w:sz="4" w:space="0" w:color="000000"/>
              <w:right w:val="single" w:sz="4" w:space="0" w:color="000000"/>
            </w:tcBorders>
            <w:shd w:val="clear" w:color="auto" w:fill="auto"/>
            <w:vAlign w:val="center"/>
          </w:tcPr>
          <w:p w14:paraId="48BC978D"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7 229,4</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EE893"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62, 85</w:t>
            </w:r>
          </w:p>
        </w:tc>
        <w:tc>
          <w:tcPr>
            <w:tcW w:w="1253" w:type="dxa"/>
            <w:tcBorders>
              <w:bottom w:val="single" w:sz="8" w:space="0" w:color="000000"/>
              <w:right w:val="single" w:sz="8" w:space="0" w:color="000000"/>
            </w:tcBorders>
            <w:shd w:val="clear" w:color="000000" w:fill="FFFFFF"/>
          </w:tcPr>
          <w:p w14:paraId="04FCF58B"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543,77</w:t>
            </w:r>
          </w:p>
        </w:tc>
        <w:tc>
          <w:tcPr>
            <w:tcW w:w="1105" w:type="dxa"/>
            <w:tcBorders>
              <w:top w:val="single" w:sz="6" w:space="0" w:color="000000"/>
              <w:left w:val="single" w:sz="6" w:space="0" w:color="000000"/>
              <w:bottom w:val="single" w:sz="6" w:space="0" w:color="000000"/>
              <w:right w:val="single" w:sz="6" w:space="0" w:color="000000"/>
            </w:tcBorders>
          </w:tcPr>
          <w:p w14:paraId="77649A6D"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2,28</w:t>
            </w:r>
          </w:p>
        </w:tc>
        <w:tc>
          <w:tcPr>
            <w:tcW w:w="236" w:type="dxa"/>
          </w:tcPr>
          <w:p w14:paraId="69854BFE" w14:textId="77777777" w:rsidR="002449C2" w:rsidRDefault="002449C2"/>
        </w:tc>
      </w:tr>
      <w:tr w:rsidR="002449C2" w14:paraId="2A3100A9" w14:textId="77777777">
        <w:trPr>
          <w:trHeight w:val="262"/>
        </w:trPr>
        <w:tc>
          <w:tcPr>
            <w:tcW w:w="235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D94F94"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Волгоградэнерго</w:t>
            </w:r>
          </w:p>
        </w:tc>
        <w:tc>
          <w:tcPr>
            <w:tcW w:w="975" w:type="dxa"/>
            <w:tcBorders>
              <w:top w:val="single" w:sz="4" w:space="0" w:color="000000"/>
              <w:left w:val="single" w:sz="4" w:space="0" w:color="000000"/>
              <w:bottom w:val="single" w:sz="4" w:space="0" w:color="000000"/>
              <w:right w:val="single" w:sz="4" w:space="0" w:color="000000"/>
            </w:tcBorders>
            <w:vAlign w:val="center"/>
          </w:tcPr>
          <w:p w14:paraId="76CEBFD9"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8 000,9</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A2D4ED"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12 286,5</w:t>
            </w:r>
          </w:p>
        </w:tc>
        <w:tc>
          <w:tcPr>
            <w:tcW w:w="1107" w:type="dxa"/>
            <w:tcBorders>
              <w:left w:val="single" w:sz="4" w:space="0" w:color="000000"/>
              <w:bottom w:val="single" w:sz="4" w:space="0" w:color="000000"/>
              <w:right w:val="single" w:sz="4" w:space="0" w:color="000000"/>
            </w:tcBorders>
            <w:shd w:val="clear" w:color="auto" w:fill="auto"/>
            <w:vAlign w:val="center"/>
          </w:tcPr>
          <w:p w14:paraId="25CF73EC"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8 266,8</w:t>
            </w:r>
          </w:p>
        </w:tc>
        <w:tc>
          <w:tcPr>
            <w:tcW w:w="1114" w:type="dxa"/>
            <w:tcBorders>
              <w:bottom w:val="single" w:sz="4" w:space="0" w:color="000000"/>
              <w:right w:val="single" w:sz="4" w:space="0" w:color="000000"/>
            </w:tcBorders>
            <w:shd w:val="clear" w:color="auto" w:fill="auto"/>
            <w:vAlign w:val="center"/>
          </w:tcPr>
          <w:p w14:paraId="229EE6E6"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12 671,3</w:t>
            </w:r>
          </w:p>
        </w:tc>
        <w:tc>
          <w:tcPr>
            <w:tcW w:w="1105" w:type="dxa"/>
            <w:tcBorders>
              <w:left w:val="single" w:sz="4" w:space="0" w:color="000000"/>
              <w:bottom w:val="single" w:sz="4" w:space="0" w:color="000000"/>
              <w:right w:val="single" w:sz="4" w:space="0" w:color="000000"/>
            </w:tcBorders>
            <w:shd w:val="clear" w:color="auto" w:fill="auto"/>
            <w:vAlign w:val="center"/>
          </w:tcPr>
          <w:p w14:paraId="450CC7F1"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265,85</w:t>
            </w:r>
          </w:p>
        </w:tc>
        <w:tc>
          <w:tcPr>
            <w:tcW w:w="1253" w:type="dxa"/>
            <w:tcBorders>
              <w:bottom w:val="single" w:sz="8" w:space="0" w:color="000000"/>
              <w:right w:val="single" w:sz="8" w:space="0" w:color="000000"/>
            </w:tcBorders>
            <w:shd w:val="clear" w:color="000000" w:fill="FFFFFF"/>
          </w:tcPr>
          <w:p w14:paraId="165F3FD8"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384,77</w:t>
            </w:r>
          </w:p>
        </w:tc>
        <w:tc>
          <w:tcPr>
            <w:tcW w:w="1105" w:type="dxa"/>
            <w:tcBorders>
              <w:top w:val="single" w:sz="6" w:space="0" w:color="000000"/>
              <w:left w:val="single" w:sz="6" w:space="0" w:color="000000"/>
              <w:bottom w:val="single" w:sz="6" w:space="0" w:color="000000"/>
              <w:right w:val="single" w:sz="6" w:space="0" w:color="000000"/>
            </w:tcBorders>
          </w:tcPr>
          <w:p w14:paraId="5F210C65"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3,32</w:t>
            </w:r>
          </w:p>
        </w:tc>
        <w:tc>
          <w:tcPr>
            <w:tcW w:w="236" w:type="dxa"/>
          </w:tcPr>
          <w:p w14:paraId="11E5711C" w14:textId="77777777" w:rsidR="002449C2" w:rsidRDefault="002449C2"/>
        </w:tc>
      </w:tr>
      <w:tr w:rsidR="002449C2" w14:paraId="7B312739" w14:textId="77777777">
        <w:trPr>
          <w:trHeight w:val="284"/>
        </w:trPr>
        <w:tc>
          <w:tcPr>
            <w:tcW w:w="235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F323CB"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Калмэнерго</w:t>
            </w:r>
          </w:p>
        </w:tc>
        <w:tc>
          <w:tcPr>
            <w:tcW w:w="9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0F8C3"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663,3</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443EC3"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1 949,4</w:t>
            </w:r>
          </w:p>
        </w:tc>
        <w:tc>
          <w:tcPr>
            <w:tcW w:w="1107" w:type="dxa"/>
            <w:tcBorders>
              <w:left w:val="single" w:sz="4" w:space="0" w:color="000000"/>
              <w:bottom w:val="single" w:sz="4" w:space="0" w:color="000000"/>
              <w:right w:val="single" w:sz="4" w:space="0" w:color="000000"/>
            </w:tcBorders>
            <w:shd w:val="clear" w:color="auto" w:fill="auto"/>
            <w:vAlign w:val="center"/>
          </w:tcPr>
          <w:p w14:paraId="5328844C"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675,9</w:t>
            </w:r>
          </w:p>
        </w:tc>
        <w:tc>
          <w:tcPr>
            <w:tcW w:w="1114" w:type="dxa"/>
            <w:tcBorders>
              <w:bottom w:val="single" w:sz="4" w:space="0" w:color="000000"/>
              <w:right w:val="single" w:sz="4" w:space="0" w:color="000000"/>
            </w:tcBorders>
            <w:shd w:val="clear" w:color="auto" w:fill="auto"/>
            <w:vAlign w:val="center"/>
          </w:tcPr>
          <w:p w14:paraId="5468400F"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2 083,64</w:t>
            </w:r>
          </w:p>
        </w:tc>
        <w:tc>
          <w:tcPr>
            <w:tcW w:w="1105" w:type="dxa"/>
            <w:tcBorders>
              <w:left w:val="single" w:sz="4" w:space="0" w:color="000000"/>
              <w:bottom w:val="single" w:sz="4" w:space="0" w:color="000000"/>
              <w:right w:val="single" w:sz="4" w:space="0" w:color="000000"/>
            </w:tcBorders>
            <w:shd w:val="clear" w:color="auto" w:fill="auto"/>
            <w:vAlign w:val="center"/>
          </w:tcPr>
          <w:p w14:paraId="3E6E613B"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12,58</w:t>
            </w:r>
          </w:p>
        </w:tc>
        <w:tc>
          <w:tcPr>
            <w:tcW w:w="1253" w:type="dxa"/>
            <w:tcBorders>
              <w:bottom w:val="single" w:sz="8" w:space="0" w:color="000000"/>
              <w:right w:val="single" w:sz="8" w:space="0" w:color="000000"/>
            </w:tcBorders>
            <w:shd w:val="clear" w:color="000000" w:fill="FFFFFF"/>
          </w:tcPr>
          <w:p w14:paraId="2B94EFD9"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134,20</w:t>
            </w:r>
          </w:p>
        </w:tc>
        <w:tc>
          <w:tcPr>
            <w:tcW w:w="1105" w:type="dxa"/>
            <w:tcBorders>
              <w:top w:val="single" w:sz="6" w:space="0" w:color="000000"/>
              <w:left w:val="single" w:sz="6" w:space="0" w:color="000000"/>
              <w:bottom w:val="single" w:sz="6" w:space="0" w:color="000000"/>
              <w:right w:val="single" w:sz="6" w:space="0" w:color="000000"/>
            </w:tcBorders>
          </w:tcPr>
          <w:p w14:paraId="0BC22264"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1,90</w:t>
            </w:r>
          </w:p>
        </w:tc>
        <w:tc>
          <w:tcPr>
            <w:tcW w:w="236" w:type="dxa"/>
          </w:tcPr>
          <w:p w14:paraId="31ADFF8A" w14:textId="77777777" w:rsidR="002449C2" w:rsidRDefault="002449C2"/>
        </w:tc>
      </w:tr>
      <w:tr w:rsidR="002449C2" w14:paraId="6A68E3A8" w14:textId="77777777">
        <w:trPr>
          <w:trHeight w:val="284"/>
        </w:trPr>
        <w:tc>
          <w:tcPr>
            <w:tcW w:w="235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BAAA99"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Ростовэнерго</w:t>
            </w:r>
          </w:p>
        </w:tc>
        <w:tc>
          <w:tcPr>
            <w:tcW w:w="975" w:type="dxa"/>
            <w:tcBorders>
              <w:top w:val="single" w:sz="4" w:space="0" w:color="000000"/>
              <w:left w:val="single" w:sz="4" w:space="0" w:color="000000"/>
              <w:bottom w:val="single" w:sz="4" w:space="0" w:color="000000"/>
              <w:right w:val="single" w:sz="4" w:space="0" w:color="000000"/>
            </w:tcBorders>
            <w:vAlign w:val="center"/>
          </w:tcPr>
          <w:p w14:paraId="3F2F70D8"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12 995,1</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8F054"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25 041,4</w:t>
            </w:r>
          </w:p>
        </w:tc>
        <w:tc>
          <w:tcPr>
            <w:tcW w:w="1107" w:type="dxa"/>
            <w:tcBorders>
              <w:left w:val="single" w:sz="4" w:space="0" w:color="000000"/>
              <w:bottom w:val="single" w:sz="4" w:space="0" w:color="000000"/>
              <w:right w:val="single" w:sz="4" w:space="0" w:color="000000"/>
            </w:tcBorders>
            <w:shd w:val="clear" w:color="auto" w:fill="auto"/>
            <w:vAlign w:val="center"/>
          </w:tcPr>
          <w:p w14:paraId="63F88288"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13 548,9</w:t>
            </w:r>
          </w:p>
        </w:tc>
        <w:tc>
          <w:tcPr>
            <w:tcW w:w="1114" w:type="dxa"/>
            <w:tcBorders>
              <w:bottom w:val="single" w:sz="4" w:space="0" w:color="000000"/>
              <w:right w:val="single" w:sz="4" w:space="0" w:color="000000"/>
            </w:tcBorders>
            <w:shd w:val="clear" w:color="auto" w:fill="auto"/>
            <w:vAlign w:val="center"/>
          </w:tcPr>
          <w:p w14:paraId="4FB48834"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26 695,9</w:t>
            </w:r>
          </w:p>
        </w:tc>
        <w:tc>
          <w:tcPr>
            <w:tcW w:w="1105" w:type="dxa"/>
            <w:tcBorders>
              <w:left w:val="single" w:sz="4" w:space="0" w:color="000000"/>
              <w:bottom w:val="single" w:sz="4" w:space="0" w:color="000000"/>
              <w:right w:val="single" w:sz="4" w:space="0" w:color="000000"/>
            </w:tcBorders>
            <w:shd w:val="clear" w:color="auto" w:fill="auto"/>
            <w:vAlign w:val="center"/>
          </w:tcPr>
          <w:p w14:paraId="5BDA02D6"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553,75</w:t>
            </w:r>
          </w:p>
        </w:tc>
        <w:tc>
          <w:tcPr>
            <w:tcW w:w="1253" w:type="dxa"/>
            <w:tcBorders>
              <w:bottom w:val="single" w:sz="8" w:space="0" w:color="000000"/>
              <w:right w:val="single" w:sz="8" w:space="0" w:color="000000"/>
            </w:tcBorders>
            <w:shd w:val="clear" w:color="000000" w:fill="FFFFFF"/>
          </w:tcPr>
          <w:p w14:paraId="55ABC4AD"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1 654,44</w:t>
            </w:r>
          </w:p>
        </w:tc>
        <w:tc>
          <w:tcPr>
            <w:tcW w:w="1105" w:type="dxa"/>
            <w:tcBorders>
              <w:top w:val="single" w:sz="6" w:space="0" w:color="000000"/>
              <w:left w:val="single" w:sz="6" w:space="0" w:color="000000"/>
              <w:bottom w:val="single" w:sz="6" w:space="0" w:color="000000"/>
              <w:right w:val="single" w:sz="6" w:space="0" w:color="000000"/>
            </w:tcBorders>
          </w:tcPr>
          <w:p w14:paraId="39A50122"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4,26</w:t>
            </w:r>
          </w:p>
        </w:tc>
        <w:tc>
          <w:tcPr>
            <w:tcW w:w="236" w:type="dxa"/>
          </w:tcPr>
          <w:p w14:paraId="0A29387E" w14:textId="77777777" w:rsidR="002449C2" w:rsidRDefault="002449C2"/>
        </w:tc>
      </w:tr>
      <w:tr w:rsidR="002449C2" w14:paraId="1F33D974" w14:textId="77777777">
        <w:trPr>
          <w:trHeight w:val="284"/>
        </w:trPr>
        <w:tc>
          <w:tcPr>
            <w:tcW w:w="235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F29279"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ПАО «Россети Юг»</w:t>
            </w:r>
          </w:p>
        </w:tc>
        <w:tc>
          <w:tcPr>
            <w:tcW w:w="975" w:type="dxa"/>
            <w:tcBorders>
              <w:top w:val="single" w:sz="4" w:space="0" w:color="000000"/>
              <w:left w:val="single" w:sz="4" w:space="0" w:color="000000"/>
              <w:bottom w:val="single" w:sz="4" w:space="0" w:color="000000"/>
              <w:right w:val="single" w:sz="4" w:space="0" w:color="000000"/>
            </w:tcBorders>
            <w:vAlign w:val="center"/>
          </w:tcPr>
          <w:p w14:paraId="78EA221E"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24 420,4</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BC3E5"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45 962,9</w:t>
            </w:r>
          </w:p>
        </w:tc>
        <w:tc>
          <w:tcPr>
            <w:tcW w:w="1107" w:type="dxa"/>
            <w:tcBorders>
              <w:left w:val="single" w:sz="4" w:space="0" w:color="000000"/>
              <w:bottom w:val="single" w:sz="4" w:space="0" w:color="000000"/>
              <w:right w:val="single" w:sz="4" w:space="0" w:color="000000"/>
            </w:tcBorders>
            <w:shd w:val="clear" w:color="auto" w:fill="auto"/>
            <w:vAlign w:val="center"/>
          </w:tcPr>
          <w:p w14:paraId="2F0710B8"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25 315,5</w:t>
            </w:r>
          </w:p>
        </w:tc>
        <w:tc>
          <w:tcPr>
            <w:tcW w:w="1114" w:type="dxa"/>
            <w:tcBorders>
              <w:bottom w:val="single" w:sz="4" w:space="0" w:color="000000"/>
              <w:right w:val="single" w:sz="4" w:space="0" w:color="000000"/>
            </w:tcBorders>
            <w:shd w:val="clear" w:color="auto" w:fill="auto"/>
            <w:vAlign w:val="center"/>
          </w:tcPr>
          <w:p w14:paraId="3D19253B"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48 680,1</w:t>
            </w:r>
          </w:p>
        </w:tc>
        <w:tc>
          <w:tcPr>
            <w:tcW w:w="1105" w:type="dxa"/>
            <w:tcBorders>
              <w:left w:val="single" w:sz="4" w:space="0" w:color="000000"/>
              <w:bottom w:val="single" w:sz="4" w:space="0" w:color="000000"/>
              <w:right w:val="single" w:sz="4" w:space="0" w:color="000000"/>
            </w:tcBorders>
            <w:shd w:val="clear" w:color="auto" w:fill="auto"/>
            <w:vAlign w:val="center"/>
          </w:tcPr>
          <w:p w14:paraId="08B61FBB"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895,02</w:t>
            </w:r>
          </w:p>
        </w:tc>
        <w:tc>
          <w:tcPr>
            <w:tcW w:w="1253" w:type="dxa"/>
            <w:tcBorders>
              <w:bottom w:val="single" w:sz="8" w:space="0" w:color="000000"/>
              <w:right w:val="single" w:sz="8" w:space="0" w:color="000000"/>
            </w:tcBorders>
            <w:shd w:val="clear" w:color="000000" w:fill="FFFFFF"/>
          </w:tcPr>
          <w:p w14:paraId="4DEBED80"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2 717,19</w:t>
            </w:r>
          </w:p>
        </w:tc>
        <w:tc>
          <w:tcPr>
            <w:tcW w:w="1105" w:type="dxa"/>
            <w:tcBorders>
              <w:top w:val="single" w:sz="6" w:space="0" w:color="000000"/>
              <w:left w:val="single" w:sz="6" w:space="0" w:color="000000"/>
              <w:bottom w:val="single" w:sz="6" w:space="0" w:color="000000"/>
              <w:right w:val="single" w:sz="6" w:space="0" w:color="000000"/>
            </w:tcBorders>
            <w:shd w:val="clear" w:color="auto" w:fill="auto"/>
          </w:tcPr>
          <w:p w14:paraId="6F03138D"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3,67</w:t>
            </w:r>
          </w:p>
        </w:tc>
        <w:tc>
          <w:tcPr>
            <w:tcW w:w="236" w:type="dxa"/>
          </w:tcPr>
          <w:p w14:paraId="6411F012" w14:textId="77777777" w:rsidR="002449C2" w:rsidRDefault="002449C2"/>
        </w:tc>
      </w:tr>
    </w:tbl>
    <w:p w14:paraId="2329F4BC" w14:textId="77777777" w:rsidR="002449C2" w:rsidRDefault="00123961">
      <w:pPr>
        <w:shd w:val="clear" w:color="auto" w:fill="FFFFFF"/>
        <w:spacing w:after="0" w:line="240" w:lineRule="auto"/>
        <w:rPr>
          <w:rFonts w:ascii="Times New Roman" w:eastAsia="Times New Roman" w:hAnsi="Times New Roman"/>
          <w:lang w:eastAsia="ru-RU"/>
        </w:rPr>
      </w:pPr>
      <w:r>
        <w:rPr>
          <w:rFonts w:ascii="Times New Roman" w:eastAsia="Times New Roman" w:hAnsi="Times New Roman"/>
          <w:lang w:eastAsia="ru-RU"/>
        </w:rPr>
        <w:t>*Информация за 2023 и 2024 годы отражена с учетом внутреннего оборота</w:t>
      </w:r>
    </w:p>
    <w:p w14:paraId="1B9E8F9D" w14:textId="77777777" w:rsidR="002449C2" w:rsidRDefault="002449C2">
      <w:pPr>
        <w:shd w:val="clear" w:color="auto" w:fill="FFFFFF"/>
        <w:spacing w:after="0" w:line="240" w:lineRule="auto"/>
        <w:rPr>
          <w:rFonts w:ascii="Times New Roman" w:eastAsia="Times New Roman" w:hAnsi="Times New Roman"/>
          <w:lang w:eastAsia="ru-RU"/>
        </w:rPr>
      </w:pPr>
    </w:p>
    <w:p w14:paraId="2CF8402B" w14:textId="77777777" w:rsidR="002449C2" w:rsidRDefault="00123961">
      <w:pPr>
        <w:shd w:val="clear" w:color="auto" w:fill="FFFFFF"/>
        <w:tabs>
          <w:tab w:val="left" w:pos="1080"/>
          <w:tab w:val="left" w:pos="1320"/>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По итогам 2024 года объем оказанных услуг по передаче электроэнергии ПАО «Россети Юг» с учетом внутреннего оборота составил 25 315,5 млн кВтч, что выше аналогичного периода 2023 года (24 420,4 млн кВтч) на 895,02 млн кВтч или 3,67%. </w:t>
      </w:r>
    </w:p>
    <w:p w14:paraId="4AC28C0F" w14:textId="77777777" w:rsidR="002449C2" w:rsidRDefault="00123961">
      <w:pPr>
        <w:shd w:val="clear" w:color="auto" w:fill="FFFFFF"/>
        <w:tabs>
          <w:tab w:val="left" w:pos="1080"/>
          <w:tab w:val="left" w:pos="1320"/>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Относительно аналогичного периода 2023 года рост выручки за услуги по передаче электроэнергии ПАО «Россети Юг» с учетом внутреннего оборота составил 2 717,19 млн рублей или 5,91%. Рост выручки обусловлен ростом котлового полезного отпуска (рост выручки на 1 684,56 млн рублей), а также ростом среднего тарифа по передаче электрической энергии на 2,17% или 40,79 руб./тыс. кВтч (рост выручки на 1 032,63 млн рублей).</w:t>
      </w:r>
    </w:p>
    <w:p w14:paraId="2483FE82" w14:textId="77777777" w:rsidR="002449C2" w:rsidRDefault="002449C2">
      <w:pPr>
        <w:shd w:val="clear" w:color="auto" w:fill="FFFFFF"/>
        <w:tabs>
          <w:tab w:val="left" w:pos="1080"/>
          <w:tab w:val="left" w:pos="1320"/>
        </w:tabs>
        <w:spacing w:after="0" w:line="240" w:lineRule="auto"/>
        <w:ind w:firstLine="567"/>
        <w:jc w:val="both"/>
        <w:rPr>
          <w:rFonts w:ascii="Times New Roman" w:eastAsia="Times New Roman" w:hAnsi="Times New Roman"/>
          <w:sz w:val="26"/>
          <w:szCs w:val="26"/>
          <w:lang w:eastAsia="ru-RU"/>
        </w:rPr>
      </w:pPr>
    </w:p>
    <w:p w14:paraId="76C779A5" w14:textId="77777777" w:rsidR="002449C2" w:rsidRDefault="00123961">
      <w:pPr>
        <w:shd w:val="clear" w:color="auto" w:fill="FFFFFF"/>
        <w:tabs>
          <w:tab w:val="left" w:pos="142"/>
        </w:tabs>
        <w:spacing w:after="0" w:line="240" w:lineRule="auto"/>
        <w:jc w:val="center"/>
      </w:pPr>
      <w:r>
        <w:rPr>
          <w:noProof/>
          <w:lang w:eastAsia="ru-RU"/>
        </w:rPr>
        <w:drawing>
          <wp:inline distT="0" distB="0" distL="0" distR="0" wp14:anchorId="09654BA8" wp14:editId="0E141B8A">
            <wp:extent cx="5000625" cy="3295650"/>
            <wp:effectExtent l="0" t="0" r="0" b="0"/>
            <wp:docPr id="32" name="Диаграмма 1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bl>
      <w:tblPr>
        <w:tblW w:w="4037" w:type="dxa"/>
        <w:jc w:val="center"/>
        <w:tblLayout w:type="fixed"/>
        <w:tblLook w:val="04A0" w:firstRow="1" w:lastRow="0" w:firstColumn="1" w:lastColumn="0" w:noHBand="0" w:noVBand="1"/>
      </w:tblPr>
      <w:tblGrid>
        <w:gridCol w:w="2973"/>
        <w:gridCol w:w="1064"/>
      </w:tblGrid>
      <w:tr w:rsidR="002449C2" w14:paraId="7547D07F" w14:textId="77777777">
        <w:trP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auto"/>
          </w:tcPr>
          <w:p w14:paraId="5D92A687" w14:textId="77777777" w:rsidR="002449C2" w:rsidRDefault="002449C2">
            <w:pPr>
              <w:shd w:val="clear" w:color="auto" w:fill="FFFFFF"/>
              <w:spacing w:after="0" w:line="240" w:lineRule="auto"/>
              <w:jc w:val="center"/>
              <w:rPr>
                <w:rFonts w:ascii="Times New Roman" w:eastAsia="Times New Roman" w:hAnsi="Times New Roman"/>
                <w:lang w:eastAsia="ru-RU"/>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tcPr>
          <w:p w14:paraId="5E0B5EFC"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2024, %</w:t>
            </w:r>
          </w:p>
        </w:tc>
      </w:tr>
      <w:tr w:rsidR="002449C2" w14:paraId="210017E4" w14:textId="77777777">
        <w:trP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auto"/>
          </w:tcPr>
          <w:p w14:paraId="5F168801" w14:textId="77777777" w:rsidR="002449C2" w:rsidRDefault="00123961">
            <w:pPr>
              <w:shd w:val="clear" w:color="auto" w:fill="FFFFFF"/>
              <w:spacing w:after="0" w:line="240" w:lineRule="auto"/>
              <w:rPr>
                <w:rFonts w:ascii="Times New Roman" w:eastAsia="Times New Roman" w:hAnsi="Times New Roman"/>
                <w:lang w:eastAsia="ar-SA"/>
              </w:rPr>
            </w:pPr>
            <w:r>
              <w:rPr>
                <w:rFonts w:ascii="Times New Roman" w:eastAsia="Times New Roman" w:hAnsi="Times New Roman"/>
                <w:lang w:eastAsia="ar-SA"/>
              </w:rPr>
              <w:t>Гарантирующие поставщики</w:t>
            </w:r>
          </w:p>
        </w:tc>
        <w:tc>
          <w:tcPr>
            <w:tcW w:w="1064" w:type="dxa"/>
            <w:tcBorders>
              <w:top w:val="single" w:sz="4" w:space="0" w:color="000000"/>
              <w:left w:val="single" w:sz="4" w:space="0" w:color="000000"/>
              <w:bottom w:val="single" w:sz="4" w:space="0" w:color="000000"/>
              <w:right w:val="single" w:sz="4" w:space="0" w:color="000000"/>
            </w:tcBorders>
            <w:shd w:val="clear" w:color="auto" w:fill="auto"/>
          </w:tcPr>
          <w:p w14:paraId="7E6C6F8B"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54</w:t>
            </w:r>
          </w:p>
        </w:tc>
      </w:tr>
      <w:tr w:rsidR="002449C2" w14:paraId="7ED4BF4F" w14:textId="77777777">
        <w:trP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auto"/>
          </w:tcPr>
          <w:p w14:paraId="1BA14AFD" w14:textId="77777777" w:rsidR="002449C2" w:rsidRDefault="00123961">
            <w:pPr>
              <w:shd w:val="clear" w:color="auto" w:fill="FFFFFF"/>
              <w:spacing w:after="0" w:line="240" w:lineRule="auto"/>
              <w:rPr>
                <w:rFonts w:ascii="Times New Roman" w:eastAsia="Times New Roman" w:hAnsi="Times New Roman"/>
                <w:lang w:eastAsia="ar-SA"/>
              </w:rPr>
            </w:pPr>
            <w:r>
              <w:rPr>
                <w:rFonts w:ascii="Times New Roman" w:eastAsia="Times New Roman" w:hAnsi="Times New Roman"/>
                <w:lang w:eastAsia="ar-SA"/>
              </w:rPr>
              <w:t>Энергосбытовые компании</w:t>
            </w:r>
          </w:p>
        </w:tc>
        <w:tc>
          <w:tcPr>
            <w:tcW w:w="1064" w:type="dxa"/>
            <w:tcBorders>
              <w:top w:val="single" w:sz="4" w:space="0" w:color="000000"/>
              <w:left w:val="single" w:sz="4" w:space="0" w:color="000000"/>
              <w:bottom w:val="single" w:sz="4" w:space="0" w:color="000000"/>
              <w:right w:val="single" w:sz="4" w:space="0" w:color="000000"/>
            </w:tcBorders>
            <w:shd w:val="clear" w:color="auto" w:fill="auto"/>
          </w:tcPr>
          <w:p w14:paraId="15C6987D"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25</w:t>
            </w:r>
          </w:p>
        </w:tc>
      </w:tr>
      <w:tr w:rsidR="002449C2" w14:paraId="56FCF822" w14:textId="77777777">
        <w:trP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auto"/>
          </w:tcPr>
          <w:p w14:paraId="42BC39FA" w14:textId="77777777" w:rsidR="002449C2" w:rsidRDefault="00123961">
            <w:pPr>
              <w:spacing w:after="0" w:line="240" w:lineRule="auto"/>
              <w:rPr>
                <w:rFonts w:ascii="Times New Roman" w:eastAsia="Times New Roman" w:hAnsi="Times New Roman"/>
                <w:lang w:eastAsia="ar-SA"/>
              </w:rPr>
            </w:pPr>
            <w:r>
              <w:rPr>
                <w:rFonts w:ascii="Times New Roman" w:eastAsia="Times New Roman" w:hAnsi="Times New Roman"/>
                <w:lang w:eastAsia="ar-SA"/>
              </w:rPr>
              <w:t>ТСО</w:t>
            </w:r>
          </w:p>
        </w:tc>
        <w:tc>
          <w:tcPr>
            <w:tcW w:w="1064" w:type="dxa"/>
            <w:tcBorders>
              <w:top w:val="single" w:sz="4" w:space="0" w:color="000000"/>
              <w:left w:val="single" w:sz="4" w:space="0" w:color="000000"/>
              <w:bottom w:val="single" w:sz="4" w:space="0" w:color="000000"/>
              <w:right w:val="single" w:sz="4" w:space="0" w:color="000000"/>
            </w:tcBorders>
            <w:shd w:val="clear" w:color="auto" w:fill="auto"/>
          </w:tcPr>
          <w:p w14:paraId="4A090476" w14:textId="77777777" w:rsidR="002449C2" w:rsidRDefault="00123961">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15</w:t>
            </w:r>
          </w:p>
        </w:tc>
      </w:tr>
      <w:tr w:rsidR="002449C2" w14:paraId="2A8B76C5" w14:textId="77777777">
        <w:trP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auto"/>
          </w:tcPr>
          <w:p w14:paraId="41C82551" w14:textId="77777777" w:rsidR="002449C2" w:rsidRDefault="00123961">
            <w:pPr>
              <w:spacing w:after="0" w:line="240" w:lineRule="auto"/>
              <w:rPr>
                <w:rFonts w:ascii="Times New Roman" w:eastAsia="Times New Roman" w:hAnsi="Times New Roman"/>
                <w:lang w:eastAsia="ar-SA"/>
              </w:rPr>
            </w:pPr>
            <w:r>
              <w:rPr>
                <w:rFonts w:ascii="Times New Roman" w:eastAsia="Times New Roman" w:hAnsi="Times New Roman"/>
                <w:lang w:eastAsia="ar-SA"/>
              </w:rPr>
              <w:t>Прямые потребители</w:t>
            </w:r>
          </w:p>
        </w:tc>
        <w:tc>
          <w:tcPr>
            <w:tcW w:w="1064" w:type="dxa"/>
            <w:tcBorders>
              <w:top w:val="single" w:sz="4" w:space="0" w:color="000000"/>
              <w:left w:val="single" w:sz="4" w:space="0" w:color="000000"/>
              <w:bottom w:val="single" w:sz="4" w:space="0" w:color="000000"/>
              <w:right w:val="single" w:sz="4" w:space="0" w:color="000000"/>
            </w:tcBorders>
            <w:shd w:val="clear" w:color="auto" w:fill="auto"/>
          </w:tcPr>
          <w:p w14:paraId="364C5CA8" w14:textId="77777777" w:rsidR="002449C2" w:rsidRDefault="00123961">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w:t>
            </w:r>
          </w:p>
        </w:tc>
      </w:tr>
    </w:tbl>
    <w:p w14:paraId="03708EF3" w14:textId="77777777" w:rsidR="002449C2" w:rsidRDefault="002449C2">
      <w:pPr>
        <w:spacing w:after="0" w:line="240" w:lineRule="auto"/>
        <w:jc w:val="center"/>
        <w:rPr>
          <w:rFonts w:ascii="Times New Roman" w:eastAsia="Times New Roman" w:hAnsi="Times New Roman"/>
          <w:b/>
          <w:sz w:val="26"/>
          <w:szCs w:val="26"/>
          <w:lang w:eastAsia="ru-RU"/>
        </w:rPr>
      </w:pPr>
    </w:p>
    <w:p w14:paraId="1028A898" w14:textId="77777777" w:rsidR="002449C2" w:rsidRDefault="00123961">
      <w:pPr>
        <w:spacing w:after="0" w:line="240" w:lineRule="auto"/>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Крупнейшие потребители и ТСО</w:t>
      </w:r>
    </w:p>
    <w:p w14:paraId="02D8780F" w14:textId="77777777" w:rsidR="002449C2" w:rsidRDefault="00123961">
      <w:pPr>
        <w:spacing w:before="120" w:after="12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Динамика объема оказанных услуг по крупнейшим промышленным потребителям </w:t>
      </w:r>
    </w:p>
    <w:tbl>
      <w:tblPr>
        <w:tblW w:w="9781" w:type="dxa"/>
        <w:tblInd w:w="109" w:type="dxa"/>
        <w:tblLayout w:type="fixed"/>
        <w:tblLook w:val="04A0" w:firstRow="1" w:lastRow="0" w:firstColumn="1" w:lastColumn="0" w:noHBand="0" w:noVBand="1"/>
      </w:tblPr>
      <w:tblGrid>
        <w:gridCol w:w="3402"/>
        <w:gridCol w:w="1281"/>
        <w:gridCol w:w="1271"/>
        <w:gridCol w:w="1281"/>
        <w:gridCol w:w="1270"/>
        <w:gridCol w:w="1276"/>
      </w:tblGrid>
      <w:tr w:rsidR="002449C2" w14:paraId="11382F36" w14:textId="77777777">
        <w:trPr>
          <w:trHeight w:val="375"/>
        </w:trPr>
        <w:tc>
          <w:tcPr>
            <w:tcW w:w="3401" w:type="dxa"/>
            <w:tcBorders>
              <w:top w:val="single" w:sz="4" w:space="0" w:color="000000"/>
              <w:left w:val="single" w:sz="4" w:space="0" w:color="000000"/>
              <w:bottom w:val="single" w:sz="4" w:space="0" w:color="000000"/>
              <w:right w:val="single" w:sz="4" w:space="0" w:color="000000"/>
            </w:tcBorders>
            <w:vAlign w:val="center"/>
          </w:tcPr>
          <w:p w14:paraId="45828AB3" w14:textId="77777777" w:rsidR="002449C2" w:rsidRDefault="00123961">
            <w:pPr>
              <w:spacing w:after="0" w:line="240" w:lineRule="auto"/>
              <w:jc w:val="both"/>
              <w:rPr>
                <w:rFonts w:ascii="Times New Roman" w:eastAsia="Times New Roman" w:hAnsi="Times New Roman"/>
                <w:b/>
                <w:szCs w:val="20"/>
                <w:lang w:eastAsia="ar-SA"/>
              </w:rPr>
            </w:pPr>
            <w:r>
              <w:rPr>
                <w:rFonts w:ascii="Times New Roman" w:eastAsia="Times New Roman" w:hAnsi="Times New Roman"/>
                <w:b/>
                <w:szCs w:val="20"/>
                <w:lang w:eastAsia="ar-SA"/>
              </w:rPr>
              <w:t>Наименование</w:t>
            </w:r>
          </w:p>
        </w:tc>
        <w:tc>
          <w:tcPr>
            <w:tcW w:w="1281" w:type="dxa"/>
            <w:tcBorders>
              <w:top w:val="single" w:sz="4" w:space="0" w:color="000000"/>
              <w:left w:val="single" w:sz="4" w:space="0" w:color="000000"/>
              <w:bottom w:val="single" w:sz="4" w:space="0" w:color="000000"/>
              <w:right w:val="single" w:sz="4" w:space="0" w:color="000000"/>
            </w:tcBorders>
          </w:tcPr>
          <w:p w14:paraId="3C0FD829" w14:textId="77777777" w:rsidR="002449C2" w:rsidRDefault="00123961">
            <w:pPr>
              <w:spacing w:after="0" w:line="240" w:lineRule="auto"/>
              <w:jc w:val="both"/>
              <w:rPr>
                <w:rFonts w:ascii="Times New Roman" w:eastAsia="Times New Roman" w:hAnsi="Times New Roman"/>
                <w:b/>
                <w:szCs w:val="20"/>
                <w:lang w:eastAsia="ar-SA"/>
              </w:rPr>
            </w:pPr>
            <w:r>
              <w:rPr>
                <w:rFonts w:ascii="Times New Roman" w:eastAsia="Times New Roman" w:hAnsi="Times New Roman"/>
                <w:b/>
                <w:szCs w:val="20"/>
                <w:lang w:eastAsia="ar-SA"/>
              </w:rPr>
              <w:t xml:space="preserve">2020, </w:t>
            </w:r>
            <w:r>
              <w:rPr>
                <w:rFonts w:ascii="Times New Roman" w:hAnsi="Times New Roman"/>
                <w:b/>
                <w:szCs w:val="20"/>
                <w:lang w:eastAsia="ar-SA"/>
              </w:rPr>
              <w:t xml:space="preserve">млн </w:t>
            </w:r>
            <w:r>
              <w:rPr>
                <w:rFonts w:ascii="Times New Roman" w:hAnsi="Times New Roman"/>
                <w:b/>
                <w:szCs w:val="20"/>
                <w:lang w:eastAsia="en-US"/>
              </w:rPr>
              <w:t>кВт·ч</w:t>
            </w:r>
          </w:p>
        </w:tc>
        <w:tc>
          <w:tcPr>
            <w:tcW w:w="1271" w:type="dxa"/>
            <w:tcBorders>
              <w:top w:val="single" w:sz="4" w:space="0" w:color="000000"/>
              <w:left w:val="single" w:sz="4" w:space="0" w:color="000000"/>
              <w:bottom w:val="single" w:sz="4" w:space="0" w:color="000000"/>
              <w:right w:val="single" w:sz="4" w:space="0" w:color="000000"/>
            </w:tcBorders>
          </w:tcPr>
          <w:p w14:paraId="46E47349" w14:textId="77777777" w:rsidR="002449C2" w:rsidRDefault="00123961">
            <w:pPr>
              <w:spacing w:after="0" w:line="240" w:lineRule="auto"/>
              <w:jc w:val="both"/>
              <w:rPr>
                <w:rFonts w:ascii="Times New Roman" w:eastAsia="Times New Roman" w:hAnsi="Times New Roman"/>
                <w:b/>
                <w:szCs w:val="20"/>
                <w:lang w:eastAsia="ar-SA"/>
              </w:rPr>
            </w:pPr>
            <w:r>
              <w:rPr>
                <w:rFonts w:ascii="Times New Roman" w:eastAsia="Times New Roman" w:hAnsi="Times New Roman"/>
                <w:b/>
                <w:szCs w:val="20"/>
                <w:lang w:eastAsia="ar-SA"/>
              </w:rPr>
              <w:t>2021, млн кВт·ч</w:t>
            </w:r>
          </w:p>
        </w:tc>
        <w:tc>
          <w:tcPr>
            <w:tcW w:w="1281" w:type="dxa"/>
            <w:tcBorders>
              <w:top w:val="single" w:sz="4" w:space="0" w:color="000000"/>
              <w:left w:val="single" w:sz="4" w:space="0" w:color="000000"/>
              <w:bottom w:val="single" w:sz="4" w:space="0" w:color="000000"/>
              <w:right w:val="single" w:sz="4" w:space="0" w:color="000000"/>
            </w:tcBorders>
          </w:tcPr>
          <w:p w14:paraId="4527A1EB" w14:textId="77777777" w:rsidR="002449C2" w:rsidRDefault="00123961">
            <w:pPr>
              <w:spacing w:after="0" w:line="240" w:lineRule="auto"/>
              <w:jc w:val="both"/>
              <w:rPr>
                <w:rFonts w:ascii="Times New Roman" w:eastAsia="Times New Roman" w:hAnsi="Times New Roman"/>
                <w:b/>
                <w:szCs w:val="20"/>
                <w:lang w:eastAsia="ar-SA"/>
              </w:rPr>
            </w:pPr>
            <w:r>
              <w:rPr>
                <w:rFonts w:ascii="Times New Roman" w:eastAsia="Times New Roman" w:hAnsi="Times New Roman"/>
                <w:b/>
                <w:szCs w:val="20"/>
                <w:lang w:eastAsia="ar-SA"/>
              </w:rPr>
              <w:t>2022, млн кВт·ч</w:t>
            </w:r>
          </w:p>
        </w:tc>
        <w:tc>
          <w:tcPr>
            <w:tcW w:w="1270" w:type="dxa"/>
            <w:tcBorders>
              <w:top w:val="single" w:sz="4" w:space="0" w:color="000000"/>
              <w:left w:val="single" w:sz="4" w:space="0" w:color="000000"/>
              <w:bottom w:val="single" w:sz="4" w:space="0" w:color="000000"/>
              <w:right w:val="single" w:sz="4" w:space="0" w:color="000000"/>
            </w:tcBorders>
          </w:tcPr>
          <w:p w14:paraId="1C7B8B84" w14:textId="77777777" w:rsidR="002449C2" w:rsidRDefault="00123961">
            <w:pPr>
              <w:spacing w:after="0" w:line="240" w:lineRule="auto"/>
              <w:jc w:val="both"/>
              <w:rPr>
                <w:rFonts w:ascii="Times New Roman" w:eastAsia="Times New Roman" w:hAnsi="Times New Roman"/>
                <w:b/>
                <w:szCs w:val="20"/>
                <w:lang w:eastAsia="ar-SA"/>
              </w:rPr>
            </w:pPr>
            <w:r>
              <w:rPr>
                <w:rFonts w:ascii="Times New Roman" w:eastAsia="Times New Roman" w:hAnsi="Times New Roman"/>
                <w:b/>
                <w:szCs w:val="20"/>
                <w:lang w:eastAsia="ar-SA"/>
              </w:rPr>
              <w:t>2023, млн кВт·ч</w:t>
            </w:r>
          </w:p>
        </w:tc>
        <w:tc>
          <w:tcPr>
            <w:tcW w:w="1276" w:type="dxa"/>
            <w:tcBorders>
              <w:top w:val="single" w:sz="4" w:space="0" w:color="000000"/>
              <w:left w:val="single" w:sz="4" w:space="0" w:color="000000"/>
              <w:bottom w:val="single" w:sz="4" w:space="0" w:color="000000"/>
              <w:right w:val="single" w:sz="4" w:space="0" w:color="000000"/>
            </w:tcBorders>
          </w:tcPr>
          <w:p w14:paraId="4AA403F2" w14:textId="77777777" w:rsidR="002449C2" w:rsidRDefault="00123961">
            <w:pPr>
              <w:spacing w:after="0" w:line="240" w:lineRule="auto"/>
              <w:jc w:val="both"/>
              <w:rPr>
                <w:rFonts w:ascii="Times New Roman" w:eastAsia="Times New Roman" w:hAnsi="Times New Roman"/>
                <w:b/>
                <w:szCs w:val="20"/>
                <w:lang w:eastAsia="ar-SA"/>
              </w:rPr>
            </w:pPr>
            <w:r>
              <w:rPr>
                <w:rFonts w:ascii="Times New Roman" w:eastAsia="Times New Roman" w:hAnsi="Times New Roman"/>
                <w:b/>
                <w:szCs w:val="20"/>
                <w:lang w:eastAsia="ar-SA"/>
              </w:rPr>
              <w:t>2024, млн кВт·ч</w:t>
            </w:r>
          </w:p>
        </w:tc>
      </w:tr>
      <w:tr w:rsidR="002449C2" w14:paraId="32CC13EE" w14:textId="77777777">
        <w:trPr>
          <w:trHeight w:val="375"/>
        </w:trPr>
        <w:tc>
          <w:tcPr>
            <w:tcW w:w="3401" w:type="dxa"/>
            <w:tcBorders>
              <w:top w:val="single" w:sz="4" w:space="0" w:color="000000"/>
              <w:left w:val="single" w:sz="4" w:space="0" w:color="000000"/>
              <w:bottom w:val="single" w:sz="4" w:space="0" w:color="000000"/>
              <w:right w:val="single" w:sz="4" w:space="0" w:color="000000"/>
            </w:tcBorders>
          </w:tcPr>
          <w:p w14:paraId="3377EB5B" w14:textId="77777777" w:rsidR="002449C2" w:rsidRDefault="00123961">
            <w:pPr>
              <w:spacing w:after="0" w:line="240" w:lineRule="auto"/>
              <w:rPr>
                <w:rFonts w:ascii="Times New Roman" w:eastAsia="Times New Roman" w:hAnsi="Times New Roman"/>
                <w:szCs w:val="20"/>
                <w:lang w:eastAsia="ar-SA"/>
              </w:rPr>
            </w:pPr>
            <w:r>
              <w:rPr>
                <w:rFonts w:ascii="Times New Roman" w:eastAsia="Times New Roman" w:hAnsi="Times New Roman"/>
                <w:szCs w:val="20"/>
                <w:lang w:eastAsia="ar-SA"/>
              </w:rPr>
              <w:t>ООО «Газпром добыча Астрахань» (АО «Газпромэнергосбыт»)</w:t>
            </w:r>
          </w:p>
        </w:tc>
        <w:tc>
          <w:tcPr>
            <w:tcW w:w="1281" w:type="dxa"/>
            <w:tcBorders>
              <w:top w:val="single" w:sz="4" w:space="0" w:color="000000"/>
              <w:left w:val="single" w:sz="4" w:space="0" w:color="000000"/>
              <w:bottom w:val="single" w:sz="4" w:space="0" w:color="000000"/>
              <w:right w:val="single" w:sz="4" w:space="0" w:color="000000"/>
            </w:tcBorders>
            <w:vAlign w:val="center"/>
          </w:tcPr>
          <w:p w14:paraId="1A8CD981"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451,9</w:t>
            </w:r>
          </w:p>
        </w:tc>
        <w:tc>
          <w:tcPr>
            <w:tcW w:w="1271" w:type="dxa"/>
            <w:tcBorders>
              <w:top w:val="single" w:sz="4" w:space="0" w:color="000000"/>
              <w:left w:val="single" w:sz="4" w:space="0" w:color="000000"/>
              <w:bottom w:val="single" w:sz="4" w:space="0" w:color="000000"/>
              <w:right w:val="single" w:sz="4" w:space="0" w:color="000000"/>
            </w:tcBorders>
            <w:vAlign w:val="center"/>
          </w:tcPr>
          <w:p w14:paraId="2880DC5E"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450,7</w:t>
            </w:r>
          </w:p>
        </w:tc>
        <w:tc>
          <w:tcPr>
            <w:tcW w:w="1281" w:type="dxa"/>
            <w:tcBorders>
              <w:top w:val="single" w:sz="4" w:space="0" w:color="000000"/>
              <w:left w:val="single" w:sz="4" w:space="0" w:color="000000"/>
              <w:bottom w:val="single" w:sz="4" w:space="0" w:color="000000"/>
              <w:right w:val="single" w:sz="4" w:space="0" w:color="000000"/>
            </w:tcBorders>
            <w:vAlign w:val="center"/>
          </w:tcPr>
          <w:p w14:paraId="7292C5F5"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444,0</w:t>
            </w:r>
          </w:p>
        </w:tc>
        <w:tc>
          <w:tcPr>
            <w:tcW w:w="1270" w:type="dxa"/>
            <w:tcBorders>
              <w:top w:val="single" w:sz="4" w:space="0" w:color="000000"/>
              <w:left w:val="single" w:sz="4" w:space="0" w:color="000000"/>
              <w:bottom w:val="single" w:sz="4" w:space="0" w:color="000000"/>
              <w:right w:val="single" w:sz="4" w:space="0" w:color="000000"/>
            </w:tcBorders>
            <w:vAlign w:val="center"/>
          </w:tcPr>
          <w:p w14:paraId="03C1309C"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445,4</w:t>
            </w:r>
          </w:p>
        </w:tc>
        <w:tc>
          <w:tcPr>
            <w:tcW w:w="1276" w:type="dxa"/>
            <w:tcBorders>
              <w:top w:val="single" w:sz="4" w:space="0" w:color="000000"/>
              <w:left w:val="single" w:sz="4" w:space="0" w:color="000000"/>
              <w:bottom w:val="single" w:sz="4" w:space="0" w:color="000000"/>
              <w:right w:val="single" w:sz="4" w:space="0" w:color="000000"/>
            </w:tcBorders>
            <w:vAlign w:val="center"/>
          </w:tcPr>
          <w:p w14:paraId="257273AA"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388,4</w:t>
            </w:r>
          </w:p>
        </w:tc>
      </w:tr>
      <w:tr w:rsidR="002449C2" w14:paraId="35F074CD" w14:textId="77777777">
        <w:trPr>
          <w:trHeight w:val="375"/>
        </w:trPr>
        <w:tc>
          <w:tcPr>
            <w:tcW w:w="3401" w:type="dxa"/>
            <w:tcBorders>
              <w:top w:val="single" w:sz="4" w:space="0" w:color="000000"/>
              <w:left w:val="single" w:sz="4" w:space="0" w:color="000000"/>
              <w:bottom w:val="single" w:sz="4" w:space="0" w:color="000000"/>
              <w:right w:val="single" w:sz="4" w:space="0" w:color="000000"/>
            </w:tcBorders>
          </w:tcPr>
          <w:p w14:paraId="5A255CC3" w14:textId="77777777" w:rsidR="002449C2" w:rsidRDefault="00123961">
            <w:pPr>
              <w:spacing w:after="0" w:line="240" w:lineRule="auto"/>
              <w:rPr>
                <w:rFonts w:ascii="Times New Roman" w:eastAsia="Times New Roman" w:hAnsi="Times New Roman"/>
                <w:szCs w:val="20"/>
                <w:lang w:eastAsia="ar-SA"/>
              </w:rPr>
            </w:pPr>
            <w:r>
              <w:rPr>
                <w:rFonts w:ascii="Times New Roman" w:eastAsia="Times New Roman" w:hAnsi="Times New Roman"/>
                <w:szCs w:val="20"/>
                <w:lang w:eastAsia="ar-SA"/>
              </w:rPr>
              <w:t>АО «Волжский трубный завод»</w:t>
            </w:r>
          </w:p>
        </w:tc>
        <w:tc>
          <w:tcPr>
            <w:tcW w:w="1281" w:type="dxa"/>
            <w:tcBorders>
              <w:top w:val="single" w:sz="4" w:space="0" w:color="000000"/>
              <w:left w:val="single" w:sz="4" w:space="0" w:color="000000"/>
              <w:bottom w:val="single" w:sz="4" w:space="0" w:color="000000"/>
              <w:right w:val="single" w:sz="4" w:space="0" w:color="000000"/>
            </w:tcBorders>
            <w:vAlign w:val="center"/>
          </w:tcPr>
          <w:p w14:paraId="666493BB"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342,3</w:t>
            </w:r>
          </w:p>
        </w:tc>
        <w:tc>
          <w:tcPr>
            <w:tcW w:w="1271" w:type="dxa"/>
            <w:tcBorders>
              <w:top w:val="single" w:sz="4" w:space="0" w:color="000000"/>
              <w:left w:val="single" w:sz="4" w:space="0" w:color="000000"/>
              <w:bottom w:val="single" w:sz="4" w:space="0" w:color="000000"/>
              <w:right w:val="single" w:sz="4" w:space="0" w:color="000000"/>
            </w:tcBorders>
            <w:vAlign w:val="center"/>
          </w:tcPr>
          <w:p w14:paraId="3B84668B"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329,8</w:t>
            </w:r>
          </w:p>
        </w:tc>
        <w:tc>
          <w:tcPr>
            <w:tcW w:w="1281" w:type="dxa"/>
            <w:tcBorders>
              <w:bottom w:val="single" w:sz="8" w:space="0" w:color="000000"/>
              <w:right w:val="single" w:sz="8" w:space="0" w:color="000000"/>
            </w:tcBorders>
            <w:vAlign w:val="center"/>
          </w:tcPr>
          <w:p w14:paraId="615EB4C4"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348,8</w:t>
            </w:r>
          </w:p>
        </w:tc>
        <w:tc>
          <w:tcPr>
            <w:tcW w:w="1270" w:type="dxa"/>
            <w:tcBorders>
              <w:bottom w:val="single" w:sz="8" w:space="0" w:color="000000"/>
              <w:right w:val="single" w:sz="8" w:space="0" w:color="000000"/>
            </w:tcBorders>
            <w:vAlign w:val="center"/>
          </w:tcPr>
          <w:p w14:paraId="0949ADFB"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336,6</w:t>
            </w:r>
          </w:p>
        </w:tc>
        <w:tc>
          <w:tcPr>
            <w:tcW w:w="1276" w:type="dxa"/>
            <w:tcBorders>
              <w:bottom w:val="single" w:sz="8" w:space="0" w:color="000000"/>
              <w:right w:val="single" w:sz="8" w:space="0" w:color="000000"/>
            </w:tcBorders>
            <w:vAlign w:val="center"/>
          </w:tcPr>
          <w:p w14:paraId="6AA42370"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276,1</w:t>
            </w:r>
          </w:p>
        </w:tc>
      </w:tr>
      <w:tr w:rsidR="002449C2" w14:paraId="7D587860" w14:textId="77777777">
        <w:trPr>
          <w:trHeight w:val="375"/>
        </w:trPr>
        <w:tc>
          <w:tcPr>
            <w:tcW w:w="3401" w:type="dxa"/>
            <w:tcBorders>
              <w:top w:val="single" w:sz="4" w:space="0" w:color="000000"/>
              <w:left w:val="single" w:sz="4" w:space="0" w:color="000000"/>
              <w:bottom w:val="single" w:sz="4" w:space="0" w:color="000000"/>
              <w:right w:val="single" w:sz="4" w:space="0" w:color="000000"/>
            </w:tcBorders>
          </w:tcPr>
          <w:p w14:paraId="64BDB2A3" w14:textId="77777777" w:rsidR="002449C2" w:rsidRDefault="00123961">
            <w:pPr>
              <w:spacing w:after="0" w:line="240" w:lineRule="auto"/>
              <w:rPr>
                <w:rFonts w:ascii="Times New Roman" w:eastAsia="Times New Roman" w:hAnsi="Times New Roman"/>
                <w:szCs w:val="20"/>
                <w:lang w:eastAsia="ar-SA"/>
              </w:rPr>
            </w:pPr>
            <w:r>
              <w:rPr>
                <w:rFonts w:ascii="Times New Roman" w:eastAsia="Times New Roman" w:hAnsi="Times New Roman"/>
                <w:szCs w:val="20"/>
                <w:lang w:eastAsia="ar-SA"/>
              </w:rPr>
              <w:t>АО «Себряковцемент»</w:t>
            </w:r>
          </w:p>
        </w:tc>
        <w:tc>
          <w:tcPr>
            <w:tcW w:w="1281" w:type="dxa"/>
            <w:tcBorders>
              <w:top w:val="single" w:sz="4" w:space="0" w:color="000000"/>
              <w:left w:val="single" w:sz="4" w:space="0" w:color="000000"/>
              <w:bottom w:val="single" w:sz="4" w:space="0" w:color="000000"/>
              <w:right w:val="single" w:sz="4" w:space="0" w:color="000000"/>
            </w:tcBorders>
            <w:vAlign w:val="center"/>
          </w:tcPr>
          <w:p w14:paraId="5C7B1312"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285,7</w:t>
            </w:r>
          </w:p>
        </w:tc>
        <w:tc>
          <w:tcPr>
            <w:tcW w:w="1271" w:type="dxa"/>
            <w:tcBorders>
              <w:top w:val="single" w:sz="4" w:space="0" w:color="000000"/>
              <w:left w:val="single" w:sz="4" w:space="0" w:color="000000"/>
              <w:bottom w:val="single" w:sz="4" w:space="0" w:color="000000"/>
              <w:right w:val="single" w:sz="4" w:space="0" w:color="000000"/>
            </w:tcBorders>
            <w:vAlign w:val="center"/>
          </w:tcPr>
          <w:p w14:paraId="78977D0A"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297,4</w:t>
            </w:r>
          </w:p>
        </w:tc>
        <w:tc>
          <w:tcPr>
            <w:tcW w:w="1281" w:type="dxa"/>
            <w:tcBorders>
              <w:bottom w:val="single" w:sz="8" w:space="0" w:color="000000"/>
              <w:right w:val="single" w:sz="8" w:space="0" w:color="000000"/>
            </w:tcBorders>
            <w:vAlign w:val="center"/>
          </w:tcPr>
          <w:p w14:paraId="66A4F13A"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285,8</w:t>
            </w:r>
          </w:p>
        </w:tc>
        <w:tc>
          <w:tcPr>
            <w:tcW w:w="1270" w:type="dxa"/>
            <w:tcBorders>
              <w:bottom w:val="single" w:sz="8" w:space="0" w:color="000000"/>
              <w:right w:val="single" w:sz="8" w:space="0" w:color="000000"/>
            </w:tcBorders>
            <w:vAlign w:val="center"/>
          </w:tcPr>
          <w:p w14:paraId="60C71D01"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285,9</w:t>
            </w:r>
          </w:p>
        </w:tc>
        <w:tc>
          <w:tcPr>
            <w:tcW w:w="1276" w:type="dxa"/>
            <w:tcBorders>
              <w:bottom w:val="single" w:sz="8" w:space="0" w:color="000000"/>
              <w:right w:val="single" w:sz="8" w:space="0" w:color="000000"/>
            </w:tcBorders>
            <w:vAlign w:val="center"/>
          </w:tcPr>
          <w:p w14:paraId="51B08E85"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303,3</w:t>
            </w:r>
          </w:p>
        </w:tc>
      </w:tr>
      <w:tr w:rsidR="002449C2" w14:paraId="02ACA9DA" w14:textId="77777777">
        <w:trPr>
          <w:trHeight w:val="699"/>
        </w:trPr>
        <w:tc>
          <w:tcPr>
            <w:tcW w:w="3401" w:type="dxa"/>
            <w:tcBorders>
              <w:left w:val="single" w:sz="8" w:space="0" w:color="000000"/>
              <w:bottom w:val="single" w:sz="8" w:space="0" w:color="000000"/>
              <w:right w:val="single" w:sz="8" w:space="0" w:color="000000"/>
            </w:tcBorders>
          </w:tcPr>
          <w:p w14:paraId="460F08F0" w14:textId="77777777" w:rsidR="002449C2" w:rsidRDefault="00123961">
            <w:pPr>
              <w:spacing w:after="0" w:line="240" w:lineRule="auto"/>
              <w:rPr>
                <w:rFonts w:ascii="Times New Roman" w:eastAsia="Times New Roman" w:hAnsi="Times New Roman"/>
                <w:szCs w:val="20"/>
                <w:lang w:eastAsia="ar-SA"/>
              </w:rPr>
            </w:pPr>
            <w:r>
              <w:rPr>
                <w:rFonts w:ascii="Times New Roman" w:eastAsia="Times New Roman" w:hAnsi="Times New Roman"/>
                <w:szCs w:val="20"/>
                <w:lang w:eastAsia="ar-SA"/>
              </w:rPr>
              <w:t>АО «КТК-Р» (ООО «Транснефтьэнерго»</w:t>
            </w:r>
          </w:p>
        </w:tc>
        <w:tc>
          <w:tcPr>
            <w:tcW w:w="1281" w:type="dxa"/>
            <w:tcBorders>
              <w:bottom w:val="single" w:sz="8" w:space="0" w:color="000000"/>
              <w:right w:val="single" w:sz="8" w:space="0" w:color="000000"/>
            </w:tcBorders>
            <w:vAlign w:val="center"/>
          </w:tcPr>
          <w:p w14:paraId="49D6C803"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221,9</w:t>
            </w:r>
          </w:p>
        </w:tc>
        <w:tc>
          <w:tcPr>
            <w:tcW w:w="1271" w:type="dxa"/>
            <w:tcBorders>
              <w:bottom w:val="single" w:sz="8" w:space="0" w:color="000000"/>
              <w:right w:val="single" w:sz="8" w:space="0" w:color="000000"/>
            </w:tcBorders>
            <w:vAlign w:val="center"/>
          </w:tcPr>
          <w:p w14:paraId="4FC3F959"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273,0</w:t>
            </w:r>
          </w:p>
        </w:tc>
        <w:tc>
          <w:tcPr>
            <w:tcW w:w="1281" w:type="dxa"/>
            <w:tcBorders>
              <w:bottom w:val="single" w:sz="8" w:space="0" w:color="000000"/>
              <w:right w:val="single" w:sz="8" w:space="0" w:color="000000"/>
            </w:tcBorders>
            <w:vAlign w:val="center"/>
          </w:tcPr>
          <w:p w14:paraId="2C41B881"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268,1</w:t>
            </w:r>
          </w:p>
        </w:tc>
        <w:tc>
          <w:tcPr>
            <w:tcW w:w="1270" w:type="dxa"/>
            <w:tcBorders>
              <w:bottom w:val="single" w:sz="8" w:space="0" w:color="000000"/>
              <w:right w:val="single" w:sz="8" w:space="0" w:color="000000"/>
            </w:tcBorders>
            <w:vAlign w:val="center"/>
          </w:tcPr>
          <w:p w14:paraId="704FF94A"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306,6</w:t>
            </w:r>
          </w:p>
        </w:tc>
        <w:tc>
          <w:tcPr>
            <w:tcW w:w="1276" w:type="dxa"/>
            <w:tcBorders>
              <w:bottom w:val="single" w:sz="8" w:space="0" w:color="000000"/>
              <w:right w:val="single" w:sz="8" w:space="0" w:color="000000"/>
            </w:tcBorders>
            <w:vAlign w:val="center"/>
          </w:tcPr>
          <w:p w14:paraId="471B7036"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291,8</w:t>
            </w:r>
          </w:p>
        </w:tc>
      </w:tr>
      <w:tr w:rsidR="002449C2" w14:paraId="192A74AD" w14:textId="77777777">
        <w:trPr>
          <w:trHeight w:val="375"/>
        </w:trPr>
        <w:tc>
          <w:tcPr>
            <w:tcW w:w="3401" w:type="dxa"/>
            <w:tcBorders>
              <w:top w:val="single" w:sz="4" w:space="0" w:color="000000"/>
              <w:left w:val="single" w:sz="4" w:space="0" w:color="000000"/>
              <w:bottom w:val="single" w:sz="4" w:space="0" w:color="000000"/>
              <w:right w:val="single" w:sz="4" w:space="0" w:color="000000"/>
            </w:tcBorders>
          </w:tcPr>
          <w:p w14:paraId="34FCC8B1" w14:textId="77777777" w:rsidR="002449C2" w:rsidRDefault="00123961">
            <w:pPr>
              <w:spacing w:after="0" w:line="240" w:lineRule="auto"/>
              <w:rPr>
                <w:rFonts w:ascii="Times New Roman" w:eastAsia="Times New Roman" w:hAnsi="Times New Roman"/>
                <w:szCs w:val="20"/>
                <w:lang w:eastAsia="ar-SA"/>
              </w:rPr>
            </w:pPr>
            <w:r>
              <w:rPr>
                <w:rFonts w:ascii="Times New Roman" w:eastAsia="Times New Roman" w:hAnsi="Times New Roman"/>
                <w:szCs w:val="20"/>
                <w:lang w:eastAsia="ar-SA"/>
              </w:rPr>
              <w:t>АО «Волжский оргсинтез»</w:t>
            </w:r>
          </w:p>
        </w:tc>
        <w:tc>
          <w:tcPr>
            <w:tcW w:w="1281" w:type="dxa"/>
            <w:tcBorders>
              <w:top w:val="single" w:sz="8" w:space="0" w:color="000000"/>
              <w:right w:val="single" w:sz="8" w:space="0" w:color="000000"/>
            </w:tcBorders>
            <w:vAlign w:val="center"/>
          </w:tcPr>
          <w:p w14:paraId="60AC067E"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121,3</w:t>
            </w:r>
          </w:p>
        </w:tc>
        <w:tc>
          <w:tcPr>
            <w:tcW w:w="1271" w:type="dxa"/>
            <w:tcBorders>
              <w:top w:val="single" w:sz="4" w:space="0" w:color="000000"/>
              <w:left w:val="single" w:sz="4" w:space="0" w:color="000000"/>
              <w:bottom w:val="single" w:sz="4" w:space="0" w:color="000000"/>
              <w:right w:val="single" w:sz="4" w:space="0" w:color="000000"/>
            </w:tcBorders>
            <w:vAlign w:val="center"/>
          </w:tcPr>
          <w:p w14:paraId="4281F899"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110,1</w:t>
            </w:r>
          </w:p>
        </w:tc>
        <w:tc>
          <w:tcPr>
            <w:tcW w:w="1281" w:type="dxa"/>
            <w:tcBorders>
              <w:top w:val="single" w:sz="4" w:space="0" w:color="000000"/>
              <w:left w:val="single" w:sz="4" w:space="0" w:color="000000"/>
              <w:bottom w:val="single" w:sz="4" w:space="0" w:color="000000"/>
              <w:right w:val="single" w:sz="4" w:space="0" w:color="000000"/>
            </w:tcBorders>
            <w:vAlign w:val="center"/>
          </w:tcPr>
          <w:p w14:paraId="0F2AE3D8"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109,9</w:t>
            </w:r>
          </w:p>
        </w:tc>
        <w:tc>
          <w:tcPr>
            <w:tcW w:w="1270" w:type="dxa"/>
            <w:tcBorders>
              <w:top w:val="single" w:sz="4" w:space="0" w:color="000000"/>
              <w:left w:val="single" w:sz="4" w:space="0" w:color="000000"/>
              <w:bottom w:val="single" w:sz="4" w:space="0" w:color="000000"/>
              <w:right w:val="single" w:sz="4" w:space="0" w:color="000000"/>
            </w:tcBorders>
            <w:vAlign w:val="center"/>
          </w:tcPr>
          <w:p w14:paraId="7B739C46"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105,9</w:t>
            </w:r>
          </w:p>
        </w:tc>
        <w:tc>
          <w:tcPr>
            <w:tcW w:w="1276" w:type="dxa"/>
            <w:tcBorders>
              <w:top w:val="single" w:sz="4" w:space="0" w:color="000000"/>
              <w:left w:val="single" w:sz="4" w:space="0" w:color="000000"/>
              <w:bottom w:val="single" w:sz="4" w:space="0" w:color="000000"/>
              <w:right w:val="single" w:sz="4" w:space="0" w:color="000000"/>
            </w:tcBorders>
            <w:vAlign w:val="center"/>
          </w:tcPr>
          <w:p w14:paraId="1D3F1C39" w14:textId="77777777" w:rsidR="002449C2" w:rsidRDefault="00123961">
            <w:pPr>
              <w:spacing w:after="0" w:line="240" w:lineRule="auto"/>
              <w:jc w:val="center"/>
              <w:rPr>
                <w:rFonts w:ascii="Times New Roman" w:eastAsia="Times New Roman" w:hAnsi="Times New Roman"/>
                <w:szCs w:val="20"/>
                <w:lang w:eastAsia="ar-SA"/>
              </w:rPr>
            </w:pPr>
            <w:r>
              <w:rPr>
                <w:rFonts w:ascii="Times New Roman" w:eastAsia="Times New Roman" w:hAnsi="Times New Roman"/>
                <w:szCs w:val="20"/>
                <w:lang w:eastAsia="ar-SA"/>
              </w:rPr>
              <w:t>105,6</w:t>
            </w:r>
          </w:p>
        </w:tc>
      </w:tr>
      <w:tr w:rsidR="002449C2" w14:paraId="1A885F64" w14:textId="77777777">
        <w:trPr>
          <w:trHeight w:val="375"/>
        </w:trPr>
        <w:tc>
          <w:tcPr>
            <w:tcW w:w="3401" w:type="dxa"/>
            <w:tcBorders>
              <w:top w:val="single" w:sz="4" w:space="0" w:color="000000"/>
              <w:left w:val="single" w:sz="4" w:space="0" w:color="000000"/>
              <w:bottom w:val="single" w:sz="4" w:space="0" w:color="000000"/>
              <w:right w:val="single" w:sz="4" w:space="0" w:color="000000"/>
            </w:tcBorders>
            <w:vAlign w:val="bottom"/>
          </w:tcPr>
          <w:p w14:paraId="0CCACCA5" w14:textId="77777777" w:rsidR="002449C2" w:rsidRDefault="00123961">
            <w:pPr>
              <w:spacing w:after="0" w:line="240" w:lineRule="auto"/>
              <w:rPr>
                <w:rFonts w:ascii="Times New Roman" w:eastAsia="Times New Roman" w:hAnsi="Times New Roman"/>
                <w:szCs w:val="20"/>
                <w:lang w:eastAsia="ar-SA"/>
              </w:rPr>
            </w:pPr>
            <w:r>
              <w:rPr>
                <w:rFonts w:ascii="Times New Roman" w:eastAsia="Times New Roman" w:hAnsi="Times New Roman"/>
                <w:szCs w:val="20"/>
                <w:lang w:eastAsia="ar-SA"/>
              </w:rPr>
              <w:t>АО «РЖД» (ООО «Русэнергосбыт», филиал «Ростовэнерго»)</w:t>
            </w:r>
          </w:p>
        </w:tc>
        <w:tc>
          <w:tcPr>
            <w:tcW w:w="1281" w:type="dxa"/>
            <w:tcBorders>
              <w:top w:val="single" w:sz="4" w:space="0" w:color="000000"/>
              <w:bottom w:val="single" w:sz="4" w:space="0" w:color="000000"/>
              <w:right w:val="single" w:sz="4" w:space="0" w:color="000000"/>
            </w:tcBorders>
            <w:vAlign w:val="bottom"/>
          </w:tcPr>
          <w:p w14:paraId="5B198778" w14:textId="77777777" w:rsidR="002449C2" w:rsidRDefault="00123961">
            <w:pPr>
              <w:jc w:val="center"/>
              <w:rPr>
                <w:rFonts w:ascii="Times New Roman" w:eastAsia="Times New Roman" w:hAnsi="Times New Roman"/>
                <w:szCs w:val="20"/>
                <w:lang w:eastAsia="ar-SA"/>
              </w:rPr>
            </w:pPr>
            <w:r>
              <w:rPr>
                <w:rFonts w:ascii="Times New Roman" w:eastAsia="Times New Roman" w:hAnsi="Times New Roman"/>
                <w:szCs w:val="20"/>
                <w:lang w:eastAsia="ar-SA"/>
              </w:rPr>
              <w:t>566,8</w:t>
            </w:r>
          </w:p>
        </w:tc>
        <w:tc>
          <w:tcPr>
            <w:tcW w:w="1271" w:type="dxa"/>
            <w:tcBorders>
              <w:top w:val="single" w:sz="4" w:space="0" w:color="000000"/>
              <w:bottom w:val="single" w:sz="4" w:space="0" w:color="000000"/>
              <w:right w:val="single" w:sz="4" w:space="0" w:color="000000"/>
            </w:tcBorders>
            <w:vAlign w:val="bottom"/>
          </w:tcPr>
          <w:p w14:paraId="7D6EE2E7" w14:textId="77777777" w:rsidR="002449C2" w:rsidRDefault="00123961">
            <w:pPr>
              <w:jc w:val="center"/>
              <w:rPr>
                <w:rFonts w:ascii="Times New Roman" w:eastAsia="Times New Roman" w:hAnsi="Times New Roman"/>
                <w:szCs w:val="20"/>
                <w:lang w:eastAsia="ar-SA"/>
              </w:rPr>
            </w:pPr>
            <w:r>
              <w:rPr>
                <w:rFonts w:ascii="Times New Roman" w:eastAsia="Times New Roman" w:hAnsi="Times New Roman"/>
                <w:szCs w:val="20"/>
                <w:lang w:eastAsia="ar-SA"/>
              </w:rPr>
              <w:t>637,2</w:t>
            </w:r>
          </w:p>
        </w:tc>
        <w:tc>
          <w:tcPr>
            <w:tcW w:w="1281" w:type="dxa"/>
            <w:tcBorders>
              <w:top w:val="single" w:sz="4" w:space="0" w:color="000000"/>
              <w:bottom w:val="single" w:sz="4" w:space="0" w:color="000000"/>
              <w:right w:val="single" w:sz="4" w:space="0" w:color="000000"/>
            </w:tcBorders>
            <w:vAlign w:val="bottom"/>
          </w:tcPr>
          <w:p w14:paraId="2203AFBB" w14:textId="77777777" w:rsidR="002449C2" w:rsidRDefault="00123961">
            <w:pPr>
              <w:jc w:val="center"/>
              <w:rPr>
                <w:rFonts w:ascii="Times New Roman" w:eastAsia="Times New Roman" w:hAnsi="Times New Roman"/>
                <w:szCs w:val="20"/>
                <w:lang w:eastAsia="ar-SA"/>
              </w:rPr>
            </w:pPr>
            <w:r>
              <w:rPr>
                <w:rFonts w:ascii="Times New Roman" w:eastAsia="Times New Roman" w:hAnsi="Times New Roman"/>
                <w:szCs w:val="20"/>
                <w:lang w:eastAsia="ar-SA"/>
              </w:rPr>
              <w:t>620,8</w:t>
            </w:r>
          </w:p>
        </w:tc>
        <w:tc>
          <w:tcPr>
            <w:tcW w:w="1270" w:type="dxa"/>
            <w:tcBorders>
              <w:top w:val="single" w:sz="4" w:space="0" w:color="000000"/>
              <w:bottom w:val="single" w:sz="4" w:space="0" w:color="000000"/>
              <w:right w:val="single" w:sz="4" w:space="0" w:color="000000"/>
            </w:tcBorders>
            <w:vAlign w:val="bottom"/>
          </w:tcPr>
          <w:p w14:paraId="02795D7F" w14:textId="77777777" w:rsidR="002449C2" w:rsidRDefault="00123961">
            <w:pPr>
              <w:jc w:val="center"/>
              <w:rPr>
                <w:rFonts w:ascii="Times New Roman" w:eastAsia="Times New Roman" w:hAnsi="Times New Roman"/>
                <w:szCs w:val="20"/>
                <w:lang w:eastAsia="ar-SA"/>
              </w:rPr>
            </w:pPr>
            <w:r>
              <w:rPr>
                <w:rFonts w:ascii="Times New Roman" w:eastAsia="Times New Roman" w:hAnsi="Times New Roman"/>
                <w:szCs w:val="20"/>
                <w:lang w:eastAsia="ar-SA"/>
              </w:rPr>
              <w:t>603,9</w:t>
            </w:r>
          </w:p>
        </w:tc>
        <w:tc>
          <w:tcPr>
            <w:tcW w:w="1276" w:type="dxa"/>
            <w:tcBorders>
              <w:top w:val="single" w:sz="4" w:space="0" w:color="000000"/>
              <w:bottom w:val="single" w:sz="4" w:space="0" w:color="000000"/>
              <w:right w:val="single" w:sz="4" w:space="0" w:color="000000"/>
            </w:tcBorders>
            <w:vAlign w:val="bottom"/>
          </w:tcPr>
          <w:p w14:paraId="05048C56" w14:textId="77777777" w:rsidR="002449C2" w:rsidRDefault="00123961">
            <w:pPr>
              <w:jc w:val="center"/>
              <w:rPr>
                <w:rFonts w:ascii="Times New Roman" w:eastAsia="Times New Roman" w:hAnsi="Times New Roman"/>
                <w:szCs w:val="20"/>
                <w:lang w:eastAsia="ar-SA"/>
              </w:rPr>
            </w:pPr>
            <w:r>
              <w:rPr>
                <w:rFonts w:ascii="Times New Roman" w:eastAsia="Times New Roman" w:hAnsi="Times New Roman"/>
                <w:szCs w:val="20"/>
                <w:lang w:eastAsia="ar-SA"/>
              </w:rPr>
              <w:t>575,5</w:t>
            </w:r>
          </w:p>
        </w:tc>
      </w:tr>
    </w:tbl>
    <w:p w14:paraId="7CC046DF" w14:textId="77777777" w:rsidR="002449C2" w:rsidRDefault="00123961">
      <w:pPr>
        <w:spacing w:before="120" w:after="120" w:line="240" w:lineRule="auto"/>
        <w:jc w:val="center"/>
        <w:rPr>
          <w:rFonts w:ascii="Times New Roman" w:eastAsia="Times New Roman" w:hAnsi="Times New Roman"/>
          <w:b/>
          <w:color w:val="000000"/>
          <w:sz w:val="26"/>
          <w:szCs w:val="26"/>
          <w:lang w:eastAsia="ru-RU"/>
        </w:rPr>
      </w:pPr>
      <w:r>
        <w:rPr>
          <w:rFonts w:ascii="Times New Roman" w:eastAsia="Times New Roman" w:hAnsi="Times New Roman"/>
          <w:b/>
          <w:color w:val="000000"/>
          <w:sz w:val="26"/>
          <w:szCs w:val="26"/>
          <w:lang w:eastAsia="ru-RU"/>
        </w:rPr>
        <w:t>Динамика объема оказанных услуг по крупнейшим ТСО</w:t>
      </w:r>
    </w:p>
    <w:tbl>
      <w:tblPr>
        <w:tblW w:w="9745" w:type="dxa"/>
        <w:tblInd w:w="109" w:type="dxa"/>
        <w:tblLayout w:type="fixed"/>
        <w:tblLook w:val="04A0" w:firstRow="1" w:lastRow="0" w:firstColumn="1" w:lastColumn="0" w:noHBand="0" w:noVBand="1"/>
      </w:tblPr>
      <w:tblGrid>
        <w:gridCol w:w="3549"/>
        <w:gridCol w:w="1222"/>
        <w:gridCol w:w="1270"/>
        <w:gridCol w:w="1222"/>
        <w:gridCol w:w="1261"/>
        <w:gridCol w:w="1221"/>
      </w:tblGrid>
      <w:tr w:rsidR="002449C2" w14:paraId="2B522008" w14:textId="77777777">
        <w:trPr>
          <w:trHeight w:val="375"/>
        </w:trPr>
        <w:tc>
          <w:tcPr>
            <w:tcW w:w="3548" w:type="dxa"/>
            <w:tcBorders>
              <w:top w:val="single" w:sz="4" w:space="0" w:color="000000"/>
              <w:left w:val="single" w:sz="4" w:space="0" w:color="000000"/>
              <w:bottom w:val="single" w:sz="4" w:space="0" w:color="000000"/>
              <w:right w:val="single" w:sz="4" w:space="0" w:color="000000"/>
            </w:tcBorders>
            <w:vAlign w:val="center"/>
          </w:tcPr>
          <w:p w14:paraId="776BDBDF" w14:textId="77777777" w:rsidR="002449C2" w:rsidRDefault="00123961">
            <w:pPr>
              <w:spacing w:after="0" w:line="240" w:lineRule="auto"/>
              <w:rPr>
                <w:rFonts w:ascii="Times New Roman" w:eastAsia="Times New Roman" w:hAnsi="Times New Roman"/>
                <w:b/>
                <w:szCs w:val="20"/>
                <w:lang w:eastAsia="ar-SA"/>
              </w:rPr>
            </w:pPr>
            <w:r>
              <w:rPr>
                <w:rFonts w:ascii="Times New Roman" w:eastAsia="Times New Roman" w:hAnsi="Times New Roman"/>
                <w:b/>
                <w:szCs w:val="20"/>
                <w:lang w:eastAsia="ar-SA"/>
              </w:rPr>
              <w:t>Наименование</w:t>
            </w:r>
          </w:p>
        </w:tc>
        <w:tc>
          <w:tcPr>
            <w:tcW w:w="1222" w:type="dxa"/>
            <w:tcBorders>
              <w:top w:val="single" w:sz="4" w:space="0" w:color="000000"/>
              <w:bottom w:val="single" w:sz="4" w:space="0" w:color="000000"/>
              <w:right w:val="single" w:sz="4" w:space="0" w:color="000000"/>
            </w:tcBorders>
          </w:tcPr>
          <w:p w14:paraId="7FDEF02C" w14:textId="77777777" w:rsidR="002449C2" w:rsidRDefault="00123961">
            <w:pPr>
              <w:spacing w:after="0" w:line="240" w:lineRule="auto"/>
              <w:jc w:val="center"/>
              <w:rPr>
                <w:rFonts w:ascii="Times New Roman" w:eastAsia="Times New Roman" w:hAnsi="Times New Roman"/>
                <w:b/>
                <w:szCs w:val="20"/>
                <w:lang w:eastAsia="ar-SA"/>
              </w:rPr>
            </w:pPr>
            <w:r>
              <w:rPr>
                <w:rFonts w:ascii="Times New Roman" w:eastAsia="Times New Roman" w:hAnsi="Times New Roman"/>
                <w:b/>
                <w:szCs w:val="20"/>
                <w:lang w:eastAsia="ar-SA"/>
              </w:rPr>
              <w:t>2020, млн  кВт·ч</w:t>
            </w:r>
          </w:p>
        </w:tc>
        <w:tc>
          <w:tcPr>
            <w:tcW w:w="1270" w:type="dxa"/>
            <w:tcBorders>
              <w:top w:val="single" w:sz="4" w:space="0" w:color="000000"/>
              <w:bottom w:val="single" w:sz="4" w:space="0" w:color="000000"/>
              <w:right w:val="single" w:sz="4" w:space="0" w:color="000000"/>
            </w:tcBorders>
          </w:tcPr>
          <w:p w14:paraId="26B0B30F" w14:textId="77777777" w:rsidR="002449C2" w:rsidRDefault="00123961">
            <w:pPr>
              <w:spacing w:after="0" w:line="240" w:lineRule="auto"/>
              <w:jc w:val="center"/>
              <w:rPr>
                <w:rFonts w:ascii="Times New Roman" w:eastAsia="Times New Roman" w:hAnsi="Times New Roman"/>
                <w:b/>
                <w:szCs w:val="20"/>
                <w:lang w:eastAsia="ar-SA"/>
              </w:rPr>
            </w:pPr>
            <w:r>
              <w:rPr>
                <w:rFonts w:ascii="Times New Roman" w:eastAsia="Times New Roman" w:hAnsi="Times New Roman"/>
                <w:b/>
                <w:szCs w:val="20"/>
                <w:lang w:eastAsia="ar-SA"/>
              </w:rPr>
              <w:t>2021, млн  кВт·ч</w:t>
            </w:r>
          </w:p>
        </w:tc>
        <w:tc>
          <w:tcPr>
            <w:tcW w:w="1222" w:type="dxa"/>
            <w:tcBorders>
              <w:top w:val="single" w:sz="4" w:space="0" w:color="000000"/>
              <w:bottom w:val="single" w:sz="4" w:space="0" w:color="000000"/>
              <w:right w:val="single" w:sz="4" w:space="0" w:color="000000"/>
            </w:tcBorders>
          </w:tcPr>
          <w:p w14:paraId="63D20FA7" w14:textId="77777777" w:rsidR="002449C2" w:rsidRDefault="00123961">
            <w:pPr>
              <w:spacing w:after="0" w:line="240" w:lineRule="auto"/>
              <w:jc w:val="center"/>
              <w:rPr>
                <w:rFonts w:ascii="Times New Roman" w:eastAsia="Times New Roman" w:hAnsi="Times New Roman"/>
                <w:b/>
                <w:szCs w:val="20"/>
                <w:lang w:eastAsia="ar-SA"/>
              </w:rPr>
            </w:pPr>
            <w:r>
              <w:rPr>
                <w:rFonts w:ascii="Times New Roman" w:eastAsia="Times New Roman" w:hAnsi="Times New Roman"/>
                <w:b/>
                <w:szCs w:val="20"/>
                <w:lang w:eastAsia="ar-SA"/>
              </w:rPr>
              <w:t>2022, млн  кВт·ч</w:t>
            </w:r>
          </w:p>
        </w:tc>
        <w:tc>
          <w:tcPr>
            <w:tcW w:w="1261" w:type="dxa"/>
            <w:tcBorders>
              <w:top w:val="single" w:sz="4" w:space="0" w:color="000000"/>
              <w:bottom w:val="single" w:sz="4" w:space="0" w:color="000000"/>
              <w:right w:val="single" w:sz="4" w:space="0" w:color="000000"/>
            </w:tcBorders>
          </w:tcPr>
          <w:p w14:paraId="0CAF6545" w14:textId="77777777" w:rsidR="002449C2" w:rsidRDefault="00123961">
            <w:pPr>
              <w:spacing w:after="0" w:line="240" w:lineRule="auto"/>
              <w:jc w:val="center"/>
              <w:rPr>
                <w:rFonts w:ascii="Times New Roman" w:eastAsia="Times New Roman" w:hAnsi="Times New Roman"/>
                <w:b/>
                <w:szCs w:val="20"/>
                <w:lang w:eastAsia="ar-SA"/>
              </w:rPr>
            </w:pPr>
            <w:r>
              <w:rPr>
                <w:rFonts w:ascii="Times New Roman" w:eastAsia="Times New Roman" w:hAnsi="Times New Roman"/>
                <w:b/>
                <w:szCs w:val="20"/>
                <w:lang w:eastAsia="ar-SA"/>
              </w:rPr>
              <w:t>2023, млн  кВт·ч</w:t>
            </w:r>
          </w:p>
        </w:tc>
        <w:tc>
          <w:tcPr>
            <w:tcW w:w="1221" w:type="dxa"/>
            <w:tcBorders>
              <w:top w:val="single" w:sz="4" w:space="0" w:color="000000"/>
              <w:bottom w:val="single" w:sz="4" w:space="0" w:color="000000"/>
              <w:right w:val="single" w:sz="4" w:space="0" w:color="000000"/>
            </w:tcBorders>
          </w:tcPr>
          <w:p w14:paraId="3FCCB540" w14:textId="77777777" w:rsidR="002449C2" w:rsidRDefault="00123961">
            <w:pPr>
              <w:spacing w:after="0" w:line="240" w:lineRule="auto"/>
              <w:jc w:val="center"/>
              <w:rPr>
                <w:rFonts w:ascii="Times New Roman" w:eastAsia="Times New Roman" w:hAnsi="Times New Roman"/>
                <w:b/>
                <w:szCs w:val="20"/>
                <w:lang w:eastAsia="ar-SA"/>
              </w:rPr>
            </w:pPr>
            <w:r>
              <w:rPr>
                <w:rFonts w:ascii="Times New Roman" w:eastAsia="Times New Roman" w:hAnsi="Times New Roman"/>
                <w:b/>
                <w:szCs w:val="20"/>
                <w:lang w:eastAsia="ar-SA"/>
              </w:rPr>
              <w:t>2024, млн  кВт·ч</w:t>
            </w:r>
          </w:p>
        </w:tc>
      </w:tr>
      <w:tr w:rsidR="002449C2" w14:paraId="55E197D3" w14:textId="77777777">
        <w:trPr>
          <w:trHeight w:val="375"/>
        </w:trPr>
        <w:tc>
          <w:tcPr>
            <w:tcW w:w="3548" w:type="dxa"/>
            <w:tcBorders>
              <w:left w:val="single" w:sz="8" w:space="0" w:color="000000"/>
              <w:bottom w:val="single" w:sz="8" w:space="0" w:color="000000"/>
              <w:right w:val="single" w:sz="8" w:space="0" w:color="000000"/>
            </w:tcBorders>
            <w:vAlign w:val="center"/>
          </w:tcPr>
          <w:p w14:paraId="08A3AD33" w14:textId="77777777" w:rsidR="002449C2" w:rsidRDefault="00123961">
            <w:pPr>
              <w:rPr>
                <w:rFonts w:ascii="Times New Roman" w:hAnsi="Times New Roman"/>
                <w:color w:val="000000"/>
                <w:lang w:eastAsia="ru-RU"/>
              </w:rPr>
            </w:pPr>
            <w:r>
              <w:rPr>
                <w:rFonts w:ascii="Times New Roman" w:hAnsi="Times New Roman"/>
                <w:color w:val="000000"/>
                <w:lang w:eastAsia="ar-SA"/>
              </w:rPr>
              <w:t>АО «Донэнерго»</w:t>
            </w:r>
          </w:p>
        </w:tc>
        <w:tc>
          <w:tcPr>
            <w:tcW w:w="1222" w:type="dxa"/>
            <w:tcBorders>
              <w:bottom w:val="single" w:sz="8" w:space="0" w:color="000000"/>
              <w:right w:val="single" w:sz="8" w:space="0" w:color="000000"/>
            </w:tcBorders>
          </w:tcPr>
          <w:p w14:paraId="0A382C49" w14:textId="77777777" w:rsidR="002449C2" w:rsidRDefault="00123961">
            <w:pPr>
              <w:jc w:val="center"/>
              <w:rPr>
                <w:rFonts w:ascii="Times New Roman" w:hAnsi="Times New Roman"/>
                <w:color w:val="000000"/>
                <w:lang w:eastAsia="ar-SA"/>
              </w:rPr>
            </w:pPr>
            <w:r>
              <w:rPr>
                <w:rFonts w:ascii="Times New Roman" w:hAnsi="Times New Roman"/>
                <w:color w:val="000000"/>
                <w:lang w:eastAsia="ar-SA"/>
              </w:rPr>
              <w:t>5 187,7</w:t>
            </w:r>
          </w:p>
        </w:tc>
        <w:tc>
          <w:tcPr>
            <w:tcW w:w="1270" w:type="dxa"/>
            <w:tcBorders>
              <w:bottom w:val="single" w:sz="8" w:space="0" w:color="000000"/>
              <w:right w:val="single" w:sz="8" w:space="0" w:color="000000"/>
            </w:tcBorders>
          </w:tcPr>
          <w:p w14:paraId="2807AD2F" w14:textId="77777777" w:rsidR="002449C2" w:rsidRDefault="00123961">
            <w:pPr>
              <w:jc w:val="center"/>
              <w:rPr>
                <w:rFonts w:ascii="Times New Roman" w:hAnsi="Times New Roman"/>
                <w:color w:val="000000"/>
                <w:lang w:eastAsia="ar-SA"/>
              </w:rPr>
            </w:pPr>
            <w:r>
              <w:rPr>
                <w:rFonts w:ascii="Times New Roman" w:hAnsi="Times New Roman"/>
                <w:color w:val="000000"/>
                <w:lang w:eastAsia="ar-SA"/>
              </w:rPr>
              <w:t>5 531,9</w:t>
            </w:r>
          </w:p>
        </w:tc>
        <w:tc>
          <w:tcPr>
            <w:tcW w:w="1222" w:type="dxa"/>
            <w:tcBorders>
              <w:bottom w:val="single" w:sz="8" w:space="0" w:color="000000"/>
              <w:right w:val="single" w:sz="8" w:space="0" w:color="000000"/>
            </w:tcBorders>
            <w:vAlign w:val="center"/>
          </w:tcPr>
          <w:p w14:paraId="498BB48C" w14:textId="77777777" w:rsidR="002449C2" w:rsidRDefault="00123961">
            <w:pPr>
              <w:jc w:val="center"/>
              <w:rPr>
                <w:rFonts w:ascii="Times New Roman" w:hAnsi="Times New Roman"/>
                <w:color w:val="000000"/>
                <w:lang w:eastAsia="ar-SA"/>
              </w:rPr>
            </w:pPr>
            <w:r>
              <w:rPr>
                <w:rFonts w:ascii="Times New Roman" w:hAnsi="Times New Roman"/>
                <w:color w:val="000000"/>
                <w:lang w:eastAsia="ar-SA"/>
              </w:rPr>
              <w:t>5 577,7</w:t>
            </w:r>
          </w:p>
        </w:tc>
        <w:tc>
          <w:tcPr>
            <w:tcW w:w="1261" w:type="dxa"/>
            <w:tcBorders>
              <w:bottom w:val="single" w:sz="8" w:space="0" w:color="000000"/>
              <w:right w:val="single" w:sz="8" w:space="0" w:color="000000"/>
            </w:tcBorders>
            <w:vAlign w:val="center"/>
          </w:tcPr>
          <w:p w14:paraId="0F9A3BD9" w14:textId="77777777" w:rsidR="002449C2" w:rsidRDefault="00123961">
            <w:pPr>
              <w:jc w:val="center"/>
              <w:rPr>
                <w:rFonts w:ascii="Times New Roman" w:hAnsi="Times New Roman"/>
                <w:color w:val="000000"/>
                <w:lang w:eastAsia="ar-SA"/>
              </w:rPr>
            </w:pPr>
            <w:r>
              <w:rPr>
                <w:rFonts w:ascii="Times New Roman" w:hAnsi="Times New Roman"/>
                <w:color w:val="000000"/>
                <w:lang w:eastAsia="ar-SA"/>
              </w:rPr>
              <w:t>5 604,9</w:t>
            </w:r>
          </w:p>
        </w:tc>
        <w:tc>
          <w:tcPr>
            <w:tcW w:w="1221" w:type="dxa"/>
            <w:tcBorders>
              <w:bottom w:val="single" w:sz="8" w:space="0" w:color="000000"/>
              <w:right w:val="single" w:sz="8" w:space="0" w:color="000000"/>
            </w:tcBorders>
            <w:vAlign w:val="center"/>
          </w:tcPr>
          <w:p w14:paraId="2AF6B745" w14:textId="77777777" w:rsidR="002449C2" w:rsidRDefault="00123961">
            <w:pPr>
              <w:jc w:val="center"/>
              <w:rPr>
                <w:rFonts w:ascii="Times New Roman" w:hAnsi="Times New Roman"/>
                <w:color w:val="000000"/>
                <w:lang w:eastAsia="ar-SA"/>
              </w:rPr>
            </w:pPr>
            <w:r>
              <w:rPr>
                <w:rFonts w:ascii="Times New Roman" w:hAnsi="Times New Roman"/>
                <w:color w:val="000000"/>
                <w:lang w:eastAsia="ar-SA"/>
              </w:rPr>
              <w:t>5 925,4</w:t>
            </w:r>
          </w:p>
        </w:tc>
      </w:tr>
      <w:tr w:rsidR="002449C2" w14:paraId="7F5D41EF" w14:textId="77777777">
        <w:trPr>
          <w:trHeight w:val="375"/>
        </w:trPr>
        <w:tc>
          <w:tcPr>
            <w:tcW w:w="3548" w:type="dxa"/>
            <w:tcBorders>
              <w:left w:val="single" w:sz="8" w:space="0" w:color="000000"/>
              <w:bottom w:val="single" w:sz="8" w:space="0" w:color="000000"/>
              <w:right w:val="single" w:sz="8" w:space="0" w:color="000000"/>
            </w:tcBorders>
            <w:vAlign w:val="center"/>
          </w:tcPr>
          <w:p w14:paraId="4A8A579D" w14:textId="77777777" w:rsidR="002449C2" w:rsidRDefault="00123961">
            <w:pPr>
              <w:rPr>
                <w:rFonts w:ascii="Times New Roman" w:hAnsi="Times New Roman"/>
                <w:lang w:eastAsia="ru-RU"/>
              </w:rPr>
            </w:pPr>
            <w:r>
              <w:rPr>
                <w:rFonts w:ascii="Times New Roman" w:hAnsi="Times New Roman"/>
                <w:lang w:eastAsia="ar-SA"/>
              </w:rPr>
              <w:t>ПАО «Волгоградоблэлектро»</w:t>
            </w:r>
          </w:p>
        </w:tc>
        <w:tc>
          <w:tcPr>
            <w:tcW w:w="1222" w:type="dxa"/>
            <w:tcBorders>
              <w:bottom w:val="single" w:sz="8" w:space="0" w:color="000000"/>
              <w:right w:val="single" w:sz="8" w:space="0" w:color="000000"/>
            </w:tcBorders>
          </w:tcPr>
          <w:p w14:paraId="384FF355" w14:textId="77777777" w:rsidR="002449C2" w:rsidRDefault="00123961">
            <w:pPr>
              <w:jc w:val="center"/>
              <w:rPr>
                <w:rFonts w:ascii="Times New Roman" w:hAnsi="Times New Roman"/>
                <w:color w:val="000000"/>
                <w:lang w:eastAsia="ar-SA"/>
              </w:rPr>
            </w:pPr>
            <w:r>
              <w:rPr>
                <w:rFonts w:ascii="Times New Roman" w:hAnsi="Times New Roman"/>
                <w:color w:val="000000"/>
                <w:lang w:eastAsia="ar-SA"/>
              </w:rPr>
              <w:t>1 636,7</w:t>
            </w:r>
          </w:p>
        </w:tc>
        <w:tc>
          <w:tcPr>
            <w:tcW w:w="1270" w:type="dxa"/>
            <w:tcBorders>
              <w:bottom w:val="single" w:sz="8" w:space="0" w:color="000000"/>
              <w:right w:val="single" w:sz="8" w:space="0" w:color="000000"/>
            </w:tcBorders>
          </w:tcPr>
          <w:p w14:paraId="6E36E0CA" w14:textId="77777777" w:rsidR="002449C2" w:rsidRDefault="00123961">
            <w:pPr>
              <w:jc w:val="center"/>
              <w:rPr>
                <w:rFonts w:ascii="Times New Roman" w:hAnsi="Times New Roman"/>
                <w:color w:val="000000"/>
                <w:lang w:eastAsia="ar-SA"/>
              </w:rPr>
            </w:pPr>
            <w:r>
              <w:rPr>
                <w:rFonts w:ascii="Times New Roman" w:hAnsi="Times New Roman"/>
                <w:color w:val="000000"/>
                <w:lang w:eastAsia="ar-SA"/>
              </w:rPr>
              <w:t>1 648,5</w:t>
            </w:r>
          </w:p>
        </w:tc>
        <w:tc>
          <w:tcPr>
            <w:tcW w:w="1222" w:type="dxa"/>
            <w:tcBorders>
              <w:bottom w:val="single" w:sz="8" w:space="0" w:color="000000"/>
              <w:right w:val="single" w:sz="8" w:space="0" w:color="000000"/>
            </w:tcBorders>
          </w:tcPr>
          <w:p w14:paraId="4A5A8837" w14:textId="77777777" w:rsidR="002449C2" w:rsidRDefault="00123961">
            <w:pPr>
              <w:jc w:val="center"/>
              <w:rPr>
                <w:rFonts w:ascii="Times New Roman" w:hAnsi="Times New Roman"/>
                <w:color w:val="000000"/>
                <w:lang w:eastAsia="ar-SA"/>
              </w:rPr>
            </w:pPr>
            <w:r>
              <w:rPr>
                <w:rFonts w:ascii="Times New Roman" w:hAnsi="Times New Roman"/>
                <w:color w:val="000000"/>
                <w:lang w:eastAsia="ar-SA"/>
              </w:rPr>
              <w:t>1 604,1</w:t>
            </w:r>
          </w:p>
        </w:tc>
        <w:tc>
          <w:tcPr>
            <w:tcW w:w="1261" w:type="dxa"/>
            <w:tcBorders>
              <w:bottom w:val="single" w:sz="8" w:space="0" w:color="000000"/>
              <w:right w:val="single" w:sz="8" w:space="0" w:color="000000"/>
            </w:tcBorders>
          </w:tcPr>
          <w:p w14:paraId="0E286FF0" w14:textId="77777777" w:rsidR="002449C2" w:rsidRDefault="00123961">
            <w:pPr>
              <w:jc w:val="center"/>
              <w:rPr>
                <w:rFonts w:ascii="Times New Roman" w:hAnsi="Times New Roman"/>
                <w:color w:val="000000"/>
                <w:lang w:eastAsia="ar-SA"/>
              </w:rPr>
            </w:pPr>
            <w:r>
              <w:rPr>
                <w:rFonts w:ascii="Times New Roman" w:hAnsi="Times New Roman"/>
                <w:color w:val="000000"/>
                <w:lang w:eastAsia="ar-SA"/>
              </w:rPr>
              <w:t>1 664,6</w:t>
            </w:r>
          </w:p>
        </w:tc>
        <w:tc>
          <w:tcPr>
            <w:tcW w:w="1221" w:type="dxa"/>
            <w:tcBorders>
              <w:bottom w:val="single" w:sz="8" w:space="0" w:color="000000"/>
              <w:right w:val="single" w:sz="8" w:space="0" w:color="000000"/>
            </w:tcBorders>
          </w:tcPr>
          <w:p w14:paraId="405B0861" w14:textId="77777777" w:rsidR="002449C2" w:rsidRDefault="00123961">
            <w:pPr>
              <w:jc w:val="center"/>
              <w:rPr>
                <w:rFonts w:ascii="Times New Roman" w:hAnsi="Times New Roman"/>
                <w:color w:val="000000"/>
                <w:lang w:eastAsia="ar-SA"/>
              </w:rPr>
            </w:pPr>
            <w:r>
              <w:rPr>
                <w:rFonts w:ascii="Times New Roman" w:hAnsi="Times New Roman"/>
                <w:color w:val="000000"/>
                <w:lang w:eastAsia="ar-SA"/>
              </w:rPr>
              <w:t>1 982,3</w:t>
            </w:r>
          </w:p>
        </w:tc>
      </w:tr>
      <w:tr w:rsidR="002449C2" w14:paraId="7D908351" w14:textId="77777777">
        <w:trPr>
          <w:trHeight w:val="375"/>
        </w:trPr>
        <w:tc>
          <w:tcPr>
            <w:tcW w:w="3548" w:type="dxa"/>
            <w:tcBorders>
              <w:left w:val="single" w:sz="8" w:space="0" w:color="000000"/>
              <w:bottom w:val="single" w:sz="8" w:space="0" w:color="000000"/>
              <w:right w:val="single" w:sz="8" w:space="0" w:color="000000"/>
            </w:tcBorders>
            <w:vAlign w:val="center"/>
          </w:tcPr>
          <w:p w14:paraId="37B75FB7" w14:textId="77777777" w:rsidR="002449C2" w:rsidRDefault="00123961">
            <w:pPr>
              <w:rPr>
                <w:rFonts w:ascii="Times New Roman" w:hAnsi="Times New Roman"/>
                <w:lang w:eastAsia="ru-RU"/>
              </w:rPr>
            </w:pPr>
            <w:r>
              <w:rPr>
                <w:rFonts w:ascii="Times New Roman" w:hAnsi="Times New Roman"/>
                <w:lang w:eastAsia="ar-SA"/>
              </w:rPr>
              <w:t>АО «ВМЭС»</w:t>
            </w:r>
          </w:p>
        </w:tc>
        <w:tc>
          <w:tcPr>
            <w:tcW w:w="1222" w:type="dxa"/>
            <w:tcBorders>
              <w:bottom w:val="single" w:sz="8" w:space="0" w:color="000000"/>
              <w:right w:val="single" w:sz="8" w:space="0" w:color="000000"/>
            </w:tcBorders>
          </w:tcPr>
          <w:p w14:paraId="10DFCCEB" w14:textId="77777777" w:rsidR="002449C2" w:rsidRDefault="00123961">
            <w:pPr>
              <w:jc w:val="center"/>
              <w:rPr>
                <w:rFonts w:ascii="Times New Roman" w:hAnsi="Times New Roman"/>
                <w:color w:val="000000"/>
                <w:lang w:eastAsia="ar-SA"/>
              </w:rPr>
            </w:pPr>
            <w:r>
              <w:rPr>
                <w:rFonts w:ascii="Times New Roman" w:hAnsi="Times New Roman"/>
                <w:color w:val="000000"/>
                <w:lang w:eastAsia="ar-SA"/>
              </w:rPr>
              <w:t>1 557,1</w:t>
            </w:r>
          </w:p>
        </w:tc>
        <w:tc>
          <w:tcPr>
            <w:tcW w:w="1270" w:type="dxa"/>
            <w:tcBorders>
              <w:bottom w:val="single" w:sz="8" w:space="0" w:color="000000"/>
              <w:right w:val="single" w:sz="8" w:space="0" w:color="000000"/>
            </w:tcBorders>
          </w:tcPr>
          <w:p w14:paraId="74C51A40" w14:textId="77777777" w:rsidR="002449C2" w:rsidRDefault="00123961">
            <w:pPr>
              <w:jc w:val="center"/>
              <w:rPr>
                <w:rFonts w:ascii="Times New Roman" w:hAnsi="Times New Roman"/>
                <w:color w:val="000000"/>
                <w:lang w:eastAsia="ar-SA"/>
              </w:rPr>
            </w:pPr>
            <w:r>
              <w:rPr>
                <w:rFonts w:ascii="Times New Roman" w:hAnsi="Times New Roman"/>
                <w:color w:val="000000"/>
                <w:lang w:eastAsia="ar-SA"/>
              </w:rPr>
              <w:t>1 607,9</w:t>
            </w:r>
          </w:p>
        </w:tc>
        <w:tc>
          <w:tcPr>
            <w:tcW w:w="1222" w:type="dxa"/>
            <w:tcBorders>
              <w:bottom w:val="single" w:sz="8" w:space="0" w:color="000000"/>
              <w:right w:val="single" w:sz="8" w:space="0" w:color="000000"/>
            </w:tcBorders>
          </w:tcPr>
          <w:p w14:paraId="488D0302" w14:textId="77777777" w:rsidR="002449C2" w:rsidRDefault="00123961">
            <w:pPr>
              <w:jc w:val="center"/>
              <w:rPr>
                <w:rFonts w:ascii="Times New Roman" w:hAnsi="Times New Roman"/>
                <w:color w:val="000000"/>
                <w:lang w:eastAsia="ar-SA"/>
              </w:rPr>
            </w:pPr>
            <w:r>
              <w:rPr>
                <w:rFonts w:ascii="Times New Roman" w:hAnsi="Times New Roman"/>
                <w:color w:val="000000"/>
                <w:lang w:eastAsia="ar-SA"/>
              </w:rPr>
              <w:t>1 517,2</w:t>
            </w:r>
          </w:p>
        </w:tc>
        <w:tc>
          <w:tcPr>
            <w:tcW w:w="1261" w:type="dxa"/>
            <w:tcBorders>
              <w:bottom w:val="single" w:sz="8" w:space="0" w:color="000000"/>
              <w:right w:val="single" w:sz="8" w:space="0" w:color="000000"/>
            </w:tcBorders>
          </w:tcPr>
          <w:p w14:paraId="64B94402" w14:textId="77777777" w:rsidR="002449C2" w:rsidRDefault="00123961">
            <w:pPr>
              <w:jc w:val="center"/>
              <w:rPr>
                <w:rFonts w:ascii="Times New Roman" w:hAnsi="Times New Roman"/>
                <w:color w:val="000000"/>
                <w:lang w:eastAsia="ar-SA"/>
              </w:rPr>
            </w:pPr>
            <w:r>
              <w:rPr>
                <w:rFonts w:ascii="Times New Roman" w:hAnsi="Times New Roman"/>
                <w:color w:val="000000"/>
                <w:lang w:eastAsia="ar-SA"/>
              </w:rPr>
              <w:t>1 529,7</w:t>
            </w:r>
          </w:p>
        </w:tc>
        <w:tc>
          <w:tcPr>
            <w:tcW w:w="1221" w:type="dxa"/>
            <w:tcBorders>
              <w:bottom w:val="single" w:sz="8" w:space="0" w:color="000000"/>
              <w:right w:val="single" w:sz="8" w:space="0" w:color="000000"/>
            </w:tcBorders>
          </w:tcPr>
          <w:p w14:paraId="3272EA3A" w14:textId="77777777" w:rsidR="002449C2" w:rsidRDefault="00123961">
            <w:pPr>
              <w:jc w:val="center"/>
              <w:rPr>
                <w:rFonts w:ascii="Times New Roman" w:hAnsi="Times New Roman"/>
                <w:color w:val="000000"/>
                <w:lang w:eastAsia="ar-SA"/>
              </w:rPr>
            </w:pPr>
            <w:r>
              <w:rPr>
                <w:rFonts w:ascii="Times New Roman" w:hAnsi="Times New Roman"/>
                <w:color w:val="000000"/>
                <w:lang w:eastAsia="ar-SA"/>
              </w:rPr>
              <w:t>1 581,8</w:t>
            </w:r>
          </w:p>
        </w:tc>
      </w:tr>
    </w:tbl>
    <w:p w14:paraId="2C0AA8DF" w14:textId="77777777" w:rsidR="002449C2" w:rsidRDefault="00123961">
      <w:pPr>
        <w:spacing w:before="120" w:after="120" w:line="240" w:lineRule="auto"/>
        <w:jc w:val="center"/>
        <w:rPr>
          <w:rFonts w:ascii="Times New Roman" w:eastAsia="Times New Roman" w:hAnsi="Times New Roman"/>
          <w:b/>
          <w:color w:val="000000"/>
          <w:sz w:val="26"/>
          <w:szCs w:val="26"/>
          <w:lang w:eastAsia="ru-RU"/>
        </w:rPr>
      </w:pPr>
      <w:r>
        <w:rPr>
          <w:rFonts w:ascii="Times New Roman" w:eastAsia="Times New Roman" w:hAnsi="Times New Roman"/>
          <w:b/>
          <w:color w:val="000000"/>
          <w:sz w:val="26"/>
          <w:szCs w:val="26"/>
          <w:lang w:eastAsia="ru-RU"/>
        </w:rPr>
        <w:t>Потери электроэнергии</w:t>
      </w:r>
    </w:p>
    <w:tbl>
      <w:tblPr>
        <w:tblW w:w="8008" w:type="dxa"/>
        <w:jc w:val="center"/>
        <w:tblLayout w:type="fixed"/>
        <w:tblLook w:val="04A0" w:firstRow="1" w:lastRow="0" w:firstColumn="1" w:lastColumn="0" w:noHBand="0" w:noVBand="1"/>
      </w:tblPr>
      <w:tblGrid>
        <w:gridCol w:w="857"/>
        <w:gridCol w:w="719"/>
        <w:gridCol w:w="2211"/>
        <w:gridCol w:w="2324"/>
        <w:gridCol w:w="872"/>
        <w:gridCol w:w="1025"/>
      </w:tblGrid>
      <w:tr w:rsidR="002449C2" w14:paraId="10BDB32E" w14:textId="77777777">
        <w:trPr>
          <w:trHeight w:val="255"/>
          <w:jc w:val="center"/>
        </w:trPr>
        <w:tc>
          <w:tcPr>
            <w:tcW w:w="856" w:type="dxa"/>
            <w:vMerge w:val="restart"/>
            <w:tcBorders>
              <w:right w:val="single" w:sz="4" w:space="0" w:color="000000"/>
            </w:tcBorders>
          </w:tcPr>
          <w:p w14:paraId="2FFD42F6" w14:textId="77777777" w:rsidR="002449C2" w:rsidRDefault="00123961">
            <w:pPr>
              <w:spacing w:after="0" w:line="240" w:lineRule="auto"/>
              <w:jc w:val="center"/>
              <w:rPr>
                <w:rFonts w:ascii="Times New Roman" w:eastAsia="Times New Roman" w:hAnsi="Times New Roman"/>
                <w:color w:val="000000"/>
                <w:sz w:val="24"/>
                <w:szCs w:val="24"/>
                <w:lang w:eastAsia="ru-RU"/>
              </w:rPr>
            </w:pPr>
            <w:r>
              <w:rPr>
                <w:noProof/>
                <w:lang w:eastAsia="ru-RU"/>
              </w:rPr>
              <w:drawing>
                <wp:inline distT="0" distB="0" distL="0" distR="0" wp14:anchorId="347136C1" wp14:editId="764E57BC">
                  <wp:extent cx="405765" cy="405765"/>
                  <wp:effectExtent l="0" t="0" r="0" b="0"/>
                  <wp:docPr id="33" name="_x005F_x0000_i4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_x005F_x0000_i4415"/>
                          <pic:cNvPicPr>
                            <a:picLocks noChangeAspect="1" noChangeArrowheads="1"/>
                          </pic:cNvPicPr>
                        </pic:nvPicPr>
                        <pic:blipFill>
                          <a:blip r:embed="rId58"/>
                          <a:stretch>
                            <a:fillRect/>
                          </a:stretch>
                        </pic:blipFill>
                        <pic:spPr bwMode="auto">
                          <a:xfrm>
                            <a:off x="0" y="0"/>
                            <a:ext cx="405765" cy="405765"/>
                          </a:xfrm>
                          <a:prstGeom prst="rect">
                            <a:avLst/>
                          </a:prstGeom>
                          <a:noFill/>
                        </pic:spPr>
                      </pic:pic>
                    </a:graphicData>
                  </a:graphic>
                </wp:inline>
              </w:drawing>
            </w:r>
          </w:p>
        </w:tc>
        <w:tc>
          <w:tcPr>
            <w:tcW w:w="719" w:type="dxa"/>
            <w:vMerge w:val="restart"/>
            <w:tcBorders>
              <w:top w:val="single" w:sz="4" w:space="0" w:color="000000"/>
              <w:left w:val="single" w:sz="4" w:space="0" w:color="000000"/>
              <w:bottom w:val="single" w:sz="4" w:space="0" w:color="000000"/>
              <w:right w:val="single" w:sz="4" w:space="0" w:color="000000"/>
            </w:tcBorders>
            <w:vAlign w:val="center"/>
          </w:tcPr>
          <w:p w14:paraId="21FEA9F1" w14:textId="77777777" w:rsidR="002449C2" w:rsidRDefault="00123961">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п.п</w:t>
            </w:r>
          </w:p>
        </w:tc>
        <w:tc>
          <w:tcPr>
            <w:tcW w:w="2211" w:type="dxa"/>
            <w:vMerge w:val="restart"/>
            <w:tcBorders>
              <w:top w:val="single" w:sz="4" w:space="0" w:color="000000"/>
              <w:left w:val="single" w:sz="4" w:space="0" w:color="000000"/>
              <w:bottom w:val="single" w:sz="4" w:space="0" w:color="000000"/>
              <w:right w:val="single" w:sz="4" w:space="0" w:color="000000"/>
            </w:tcBorders>
            <w:vAlign w:val="center"/>
          </w:tcPr>
          <w:p w14:paraId="41CA3C78" w14:textId="77777777" w:rsidR="002449C2" w:rsidRDefault="00123961">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b/>
                <w:sz w:val="24"/>
                <w:szCs w:val="24"/>
                <w:lang w:eastAsia="ru-RU"/>
              </w:rPr>
              <w:t>Наименование показателя</w:t>
            </w:r>
          </w:p>
        </w:tc>
        <w:tc>
          <w:tcPr>
            <w:tcW w:w="2324" w:type="dxa"/>
            <w:vMerge w:val="restart"/>
            <w:tcBorders>
              <w:top w:val="single" w:sz="4" w:space="0" w:color="000000"/>
              <w:left w:val="single" w:sz="4" w:space="0" w:color="000000"/>
              <w:bottom w:val="single" w:sz="4" w:space="0" w:color="000000"/>
              <w:right w:val="single" w:sz="4" w:space="0" w:color="000000"/>
            </w:tcBorders>
            <w:vAlign w:val="center"/>
          </w:tcPr>
          <w:p w14:paraId="067EB119" w14:textId="77777777" w:rsidR="002449C2" w:rsidRDefault="0012396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b/>
                <w:sz w:val="24"/>
                <w:szCs w:val="24"/>
                <w:lang w:eastAsia="ru-RU"/>
              </w:rPr>
              <w:t>Единицы измерения</w:t>
            </w:r>
          </w:p>
        </w:tc>
        <w:tc>
          <w:tcPr>
            <w:tcW w:w="1897" w:type="dxa"/>
            <w:gridSpan w:val="2"/>
            <w:tcBorders>
              <w:top w:val="single" w:sz="4" w:space="0" w:color="000000"/>
              <w:left w:val="single" w:sz="4" w:space="0" w:color="000000"/>
              <w:bottom w:val="single" w:sz="4" w:space="0" w:color="000000"/>
              <w:right w:val="single" w:sz="4" w:space="0" w:color="000000"/>
            </w:tcBorders>
            <w:vAlign w:val="center"/>
          </w:tcPr>
          <w:p w14:paraId="455CB5F8" w14:textId="77777777" w:rsidR="002449C2" w:rsidRDefault="00123961">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b/>
                <w:sz w:val="24"/>
                <w:szCs w:val="24"/>
                <w:lang w:val="en-US" w:eastAsia="ru-RU"/>
              </w:rPr>
              <w:t>20</w:t>
            </w:r>
            <w:r>
              <w:rPr>
                <w:rFonts w:ascii="Times New Roman" w:eastAsia="Times New Roman" w:hAnsi="Times New Roman"/>
                <w:b/>
                <w:sz w:val="24"/>
                <w:szCs w:val="24"/>
                <w:lang w:eastAsia="ru-RU"/>
              </w:rPr>
              <w:t>24</w:t>
            </w:r>
          </w:p>
        </w:tc>
      </w:tr>
      <w:tr w:rsidR="002449C2" w14:paraId="0A46DF1C" w14:textId="77777777">
        <w:trPr>
          <w:trHeight w:val="269"/>
          <w:jc w:val="center"/>
        </w:trPr>
        <w:tc>
          <w:tcPr>
            <w:tcW w:w="856" w:type="dxa"/>
            <w:vMerge/>
            <w:tcBorders>
              <w:top w:val="single" w:sz="4" w:space="0" w:color="000000"/>
              <w:right w:val="single" w:sz="4" w:space="0" w:color="000000"/>
            </w:tcBorders>
          </w:tcPr>
          <w:p w14:paraId="588F9525" w14:textId="77777777" w:rsidR="002449C2" w:rsidRDefault="002449C2">
            <w:pPr>
              <w:spacing w:after="0" w:line="240" w:lineRule="auto"/>
              <w:jc w:val="center"/>
              <w:rPr>
                <w:rFonts w:ascii="Times New Roman" w:eastAsia="Times New Roman" w:hAnsi="Times New Roman"/>
                <w:color w:val="000000"/>
                <w:sz w:val="24"/>
                <w:szCs w:val="24"/>
                <w:lang w:eastAsia="ru-RU"/>
              </w:rPr>
            </w:pPr>
          </w:p>
        </w:tc>
        <w:tc>
          <w:tcPr>
            <w:tcW w:w="719" w:type="dxa"/>
            <w:vMerge/>
            <w:tcBorders>
              <w:top w:val="single" w:sz="4" w:space="0" w:color="000000"/>
              <w:left w:val="single" w:sz="4" w:space="0" w:color="000000"/>
              <w:bottom w:val="single" w:sz="4" w:space="0" w:color="000000"/>
              <w:right w:val="single" w:sz="4" w:space="0" w:color="000000"/>
            </w:tcBorders>
            <w:vAlign w:val="center"/>
          </w:tcPr>
          <w:p w14:paraId="17599771" w14:textId="77777777" w:rsidR="002449C2" w:rsidRDefault="002449C2">
            <w:pPr>
              <w:spacing w:after="0" w:line="240" w:lineRule="auto"/>
              <w:jc w:val="center"/>
              <w:rPr>
                <w:rFonts w:ascii="Times New Roman" w:eastAsia="Times New Roman" w:hAnsi="Times New Roman"/>
                <w:color w:val="000000"/>
                <w:sz w:val="24"/>
                <w:szCs w:val="24"/>
                <w:lang w:eastAsia="ru-RU"/>
              </w:rPr>
            </w:pPr>
          </w:p>
        </w:tc>
        <w:tc>
          <w:tcPr>
            <w:tcW w:w="2211" w:type="dxa"/>
            <w:vMerge/>
            <w:tcBorders>
              <w:top w:val="single" w:sz="4" w:space="0" w:color="000000"/>
              <w:left w:val="single" w:sz="4" w:space="0" w:color="000000"/>
              <w:bottom w:val="single" w:sz="4" w:space="0" w:color="000000"/>
              <w:right w:val="single" w:sz="4" w:space="0" w:color="000000"/>
            </w:tcBorders>
            <w:vAlign w:val="center"/>
          </w:tcPr>
          <w:p w14:paraId="63138C36" w14:textId="77777777" w:rsidR="002449C2" w:rsidRDefault="002449C2">
            <w:pPr>
              <w:spacing w:after="0" w:line="240" w:lineRule="auto"/>
              <w:rPr>
                <w:rFonts w:ascii="Times New Roman" w:eastAsia="Times New Roman" w:hAnsi="Times New Roman"/>
                <w:b/>
                <w:sz w:val="24"/>
                <w:szCs w:val="24"/>
                <w:lang w:eastAsia="ru-RU"/>
              </w:rPr>
            </w:pPr>
          </w:p>
        </w:tc>
        <w:tc>
          <w:tcPr>
            <w:tcW w:w="2324" w:type="dxa"/>
            <w:vMerge/>
            <w:tcBorders>
              <w:top w:val="single" w:sz="4" w:space="0" w:color="000000"/>
              <w:left w:val="single" w:sz="4" w:space="0" w:color="000000"/>
              <w:bottom w:val="single" w:sz="4" w:space="0" w:color="000000"/>
              <w:right w:val="single" w:sz="4" w:space="0" w:color="000000"/>
            </w:tcBorders>
            <w:vAlign w:val="center"/>
          </w:tcPr>
          <w:p w14:paraId="7FF6DC5D" w14:textId="77777777" w:rsidR="002449C2" w:rsidRDefault="002449C2">
            <w:pPr>
              <w:spacing w:after="0" w:line="240" w:lineRule="auto"/>
              <w:rPr>
                <w:rFonts w:ascii="Times New Roman" w:eastAsia="Times New Roman" w:hAnsi="Times New Roman"/>
                <w:b/>
                <w:sz w:val="24"/>
                <w:szCs w:val="24"/>
                <w:lang w:eastAsia="ru-RU"/>
              </w:rPr>
            </w:pPr>
          </w:p>
        </w:tc>
        <w:tc>
          <w:tcPr>
            <w:tcW w:w="872" w:type="dxa"/>
            <w:tcBorders>
              <w:top w:val="single" w:sz="4" w:space="0" w:color="000000"/>
              <w:left w:val="single" w:sz="4" w:space="0" w:color="000000"/>
              <w:bottom w:val="single" w:sz="4" w:space="0" w:color="000000"/>
              <w:right w:val="single" w:sz="4" w:space="0" w:color="000000"/>
            </w:tcBorders>
            <w:vAlign w:val="center"/>
          </w:tcPr>
          <w:p w14:paraId="3C70D971" w14:textId="77777777" w:rsidR="002449C2" w:rsidRDefault="0012396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b/>
                <w:sz w:val="24"/>
                <w:szCs w:val="24"/>
                <w:lang w:eastAsia="ru-RU"/>
              </w:rPr>
              <w:t>План</w:t>
            </w:r>
          </w:p>
        </w:tc>
        <w:tc>
          <w:tcPr>
            <w:tcW w:w="1025" w:type="dxa"/>
            <w:tcBorders>
              <w:top w:val="single" w:sz="4" w:space="0" w:color="000000"/>
              <w:left w:val="single" w:sz="4" w:space="0" w:color="000000"/>
              <w:bottom w:val="single" w:sz="4" w:space="0" w:color="000000"/>
              <w:right w:val="single" w:sz="4" w:space="0" w:color="000000"/>
            </w:tcBorders>
            <w:vAlign w:val="center"/>
          </w:tcPr>
          <w:p w14:paraId="50528F0E" w14:textId="77777777" w:rsidR="002449C2" w:rsidRDefault="0012396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b/>
                <w:sz w:val="24"/>
                <w:szCs w:val="24"/>
                <w:lang w:eastAsia="ru-RU"/>
              </w:rPr>
              <w:t>Факт</w:t>
            </w:r>
          </w:p>
        </w:tc>
      </w:tr>
      <w:tr w:rsidR="002449C2" w14:paraId="4FA2B4D8" w14:textId="77777777">
        <w:trPr>
          <w:trHeight w:val="276"/>
          <w:jc w:val="center"/>
        </w:trPr>
        <w:tc>
          <w:tcPr>
            <w:tcW w:w="856" w:type="dxa"/>
            <w:vMerge/>
            <w:tcBorders>
              <w:top w:val="single" w:sz="4" w:space="0" w:color="000000"/>
              <w:right w:val="single" w:sz="4" w:space="0" w:color="000000"/>
            </w:tcBorders>
          </w:tcPr>
          <w:p w14:paraId="5BE9F289" w14:textId="77777777" w:rsidR="002449C2" w:rsidRDefault="002449C2">
            <w:pPr>
              <w:spacing w:after="0" w:line="240" w:lineRule="auto"/>
              <w:jc w:val="center"/>
              <w:rPr>
                <w:rFonts w:ascii="Times New Roman" w:eastAsia="Times New Roman" w:hAnsi="Times New Roman"/>
                <w:color w:val="000000"/>
                <w:sz w:val="24"/>
                <w:szCs w:val="24"/>
                <w:lang w:eastAsia="ru-RU"/>
              </w:rPr>
            </w:pPr>
          </w:p>
        </w:tc>
        <w:tc>
          <w:tcPr>
            <w:tcW w:w="719" w:type="dxa"/>
            <w:vMerge w:val="restart"/>
            <w:tcBorders>
              <w:top w:val="single" w:sz="4" w:space="0" w:color="000000"/>
              <w:left w:val="single" w:sz="4" w:space="0" w:color="000000"/>
              <w:bottom w:val="single" w:sz="4" w:space="0" w:color="000000"/>
              <w:right w:val="single" w:sz="4" w:space="0" w:color="000000"/>
            </w:tcBorders>
            <w:vAlign w:val="center"/>
          </w:tcPr>
          <w:p w14:paraId="390A68E8" w14:textId="77777777" w:rsidR="002449C2" w:rsidRDefault="00123961">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w:t>
            </w:r>
          </w:p>
        </w:tc>
        <w:tc>
          <w:tcPr>
            <w:tcW w:w="2211" w:type="dxa"/>
            <w:vMerge w:val="restart"/>
            <w:tcBorders>
              <w:top w:val="single" w:sz="4" w:space="0" w:color="000000"/>
              <w:left w:val="single" w:sz="4" w:space="0" w:color="000000"/>
              <w:bottom w:val="single" w:sz="4" w:space="0" w:color="000000"/>
              <w:right w:val="single" w:sz="4" w:space="0" w:color="000000"/>
            </w:tcBorders>
            <w:vAlign w:val="center"/>
          </w:tcPr>
          <w:p w14:paraId="5F675EC7" w14:textId="77777777" w:rsidR="002449C2" w:rsidRDefault="0012396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Потери электрической энергии</w:t>
            </w:r>
          </w:p>
        </w:tc>
        <w:tc>
          <w:tcPr>
            <w:tcW w:w="2324" w:type="dxa"/>
            <w:tcBorders>
              <w:top w:val="single" w:sz="4" w:space="0" w:color="000000"/>
              <w:left w:val="single" w:sz="4" w:space="0" w:color="000000"/>
              <w:bottom w:val="single" w:sz="4" w:space="0" w:color="000000"/>
              <w:right w:val="single" w:sz="4" w:space="0" w:color="000000"/>
            </w:tcBorders>
            <w:vAlign w:val="center"/>
          </w:tcPr>
          <w:p w14:paraId="1BABD19C" w14:textId="77777777" w:rsidR="002449C2" w:rsidRDefault="0012396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млн кВтч</w:t>
            </w:r>
          </w:p>
        </w:tc>
        <w:tc>
          <w:tcPr>
            <w:tcW w:w="872" w:type="dxa"/>
            <w:tcBorders>
              <w:top w:val="single" w:sz="4" w:space="0" w:color="000000"/>
              <w:left w:val="single" w:sz="4" w:space="0" w:color="000000"/>
              <w:bottom w:val="single" w:sz="4" w:space="0" w:color="000000"/>
              <w:right w:val="single" w:sz="4" w:space="0" w:color="000000"/>
            </w:tcBorders>
          </w:tcPr>
          <w:p w14:paraId="299514EE" w14:textId="77777777" w:rsidR="002449C2" w:rsidRDefault="0012396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2 532</w:t>
            </w:r>
          </w:p>
        </w:tc>
        <w:tc>
          <w:tcPr>
            <w:tcW w:w="1025" w:type="dxa"/>
            <w:tcBorders>
              <w:top w:val="single" w:sz="4" w:space="0" w:color="000000"/>
              <w:left w:val="single" w:sz="4" w:space="0" w:color="000000"/>
              <w:bottom w:val="single" w:sz="4" w:space="0" w:color="000000"/>
              <w:right w:val="single" w:sz="4" w:space="0" w:color="000000"/>
            </w:tcBorders>
          </w:tcPr>
          <w:p w14:paraId="5750BE55" w14:textId="77777777" w:rsidR="002449C2" w:rsidRDefault="0012396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2 504</w:t>
            </w:r>
          </w:p>
        </w:tc>
      </w:tr>
      <w:tr w:rsidR="002449C2" w14:paraId="4E5B51BD" w14:textId="77777777">
        <w:trPr>
          <w:trHeight w:val="255"/>
          <w:jc w:val="center"/>
        </w:trPr>
        <w:tc>
          <w:tcPr>
            <w:tcW w:w="856" w:type="dxa"/>
            <w:vMerge/>
            <w:tcBorders>
              <w:top w:val="single" w:sz="4" w:space="0" w:color="000000"/>
              <w:right w:val="single" w:sz="4" w:space="0" w:color="000000"/>
            </w:tcBorders>
          </w:tcPr>
          <w:p w14:paraId="3000A6E0" w14:textId="77777777" w:rsidR="002449C2" w:rsidRDefault="002449C2">
            <w:pPr>
              <w:spacing w:after="0" w:line="240" w:lineRule="auto"/>
              <w:rPr>
                <w:rFonts w:ascii="Times New Roman" w:eastAsia="Times New Roman" w:hAnsi="Times New Roman"/>
                <w:color w:val="000000"/>
                <w:sz w:val="24"/>
                <w:szCs w:val="24"/>
                <w:highlight w:val="lightGray"/>
                <w:lang w:eastAsia="ru-RU"/>
              </w:rPr>
            </w:pPr>
          </w:p>
        </w:tc>
        <w:tc>
          <w:tcPr>
            <w:tcW w:w="719" w:type="dxa"/>
            <w:vMerge/>
            <w:tcBorders>
              <w:top w:val="single" w:sz="4" w:space="0" w:color="000000"/>
              <w:left w:val="single" w:sz="4" w:space="0" w:color="000000"/>
              <w:bottom w:val="single" w:sz="4" w:space="0" w:color="000000"/>
              <w:right w:val="single" w:sz="4" w:space="0" w:color="000000"/>
            </w:tcBorders>
            <w:vAlign w:val="center"/>
          </w:tcPr>
          <w:p w14:paraId="240EA223" w14:textId="77777777" w:rsidR="002449C2" w:rsidRDefault="002449C2">
            <w:pPr>
              <w:spacing w:after="0" w:line="240" w:lineRule="auto"/>
              <w:rPr>
                <w:rFonts w:ascii="Times New Roman" w:eastAsia="Times New Roman" w:hAnsi="Times New Roman"/>
                <w:color w:val="000000"/>
                <w:sz w:val="24"/>
                <w:szCs w:val="24"/>
                <w:highlight w:val="lightGray"/>
                <w:lang w:eastAsia="ru-RU"/>
              </w:rPr>
            </w:pPr>
          </w:p>
        </w:tc>
        <w:tc>
          <w:tcPr>
            <w:tcW w:w="2211" w:type="dxa"/>
            <w:vMerge/>
            <w:tcBorders>
              <w:top w:val="single" w:sz="4" w:space="0" w:color="000000"/>
              <w:left w:val="single" w:sz="4" w:space="0" w:color="000000"/>
              <w:bottom w:val="single" w:sz="4" w:space="0" w:color="000000"/>
              <w:right w:val="single" w:sz="4" w:space="0" w:color="000000"/>
            </w:tcBorders>
            <w:vAlign w:val="center"/>
          </w:tcPr>
          <w:p w14:paraId="606EEC7C" w14:textId="77777777" w:rsidR="002449C2" w:rsidRDefault="002449C2">
            <w:pPr>
              <w:spacing w:after="0" w:line="240" w:lineRule="auto"/>
              <w:rPr>
                <w:rFonts w:ascii="Times New Roman" w:eastAsia="Times New Roman" w:hAnsi="Times New Roman"/>
                <w:color w:val="000000"/>
                <w:sz w:val="24"/>
                <w:szCs w:val="24"/>
                <w:highlight w:val="lightGray"/>
                <w:lang w:eastAsia="ru-RU"/>
              </w:rPr>
            </w:pPr>
          </w:p>
        </w:tc>
        <w:tc>
          <w:tcPr>
            <w:tcW w:w="2324" w:type="dxa"/>
            <w:tcBorders>
              <w:top w:val="single" w:sz="4" w:space="0" w:color="000000"/>
              <w:left w:val="single" w:sz="4" w:space="0" w:color="000000"/>
              <w:bottom w:val="single" w:sz="4" w:space="0" w:color="000000"/>
              <w:right w:val="single" w:sz="4" w:space="0" w:color="000000"/>
            </w:tcBorders>
            <w:vAlign w:val="bottom"/>
          </w:tcPr>
          <w:p w14:paraId="1A732DBC" w14:textId="77777777" w:rsidR="002449C2" w:rsidRDefault="0012396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млн руб. без НДС*</w:t>
            </w:r>
          </w:p>
        </w:tc>
        <w:tc>
          <w:tcPr>
            <w:tcW w:w="872" w:type="dxa"/>
            <w:tcBorders>
              <w:top w:val="single" w:sz="4" w:space="0" w:color="000000"/>
              <w:left w:val="single" w:sz="4" w:space="0" w:color="000000"/>
              <w:bottom w:val="single" w:sz="4" w:space="0" w:color="000000"/>
              <w:right w:val="single" w:sz="4" w:space="0" w:color="000000"/>
            </w:tcBorders>
          </w:tcPr>
          <w:p w14:paraId="4FAE5339" w14:textId="77777777" w:rsidR="002449C2" w:rsidRDefault="0012396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10 700</w:t>
            </w:r>
          </w:p>
        </w:tc>
        <w:tc>
          <w:tcPr>
            <w:tcW w:w="1025" w:type="dxa"/>
            <w:tcBorders>
              <w:top w:val="single" w:sz="4" w:space="0" w:color="000000"/>
              <w:left w:val="single" w:sz="4" w:space="0" w:color="000000"/>
              <w:bottom w:val="single" w:sz="4" w:space="0" w:color="000000"/>
              <w:right w:val="single" w:sz="4" w:space="0" w:color="000000"/>
            </w:tcBorders>
          </w:tcPr>
          <w:p w14:paraId="6DBB87F2" w14:textId="77777777" w:rsidR="002449C2" w:rsidRDefault="0012396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10 287</w:t>
            </w:r>
          </w:p>
        </w:tc>
      </w:tr>
      <w:tr w:rsidR="002449C2" w14:paraId="0E7261B1" w14:textId="77777777">
        <w:trPr>
          <w:trHeight w:val="300"/>
          <w:jc w:val="center"/>
        </w:trPr>
        <w:tc>
          <w:tcPr>
            <w:tcW w:w="856" w:type="dxa"/>
            <w:vMerge/>
            <w:tcBorders>
              <w:top w:val="single" w:sz="4" w:space="0" w:color="000000"/>
              <w:right w:val="single" w:sz="4" w:space="0" w:color="000000"/>
            </w:tcBorders>
          </w:tcPr>
          <w:p w14:paraId="205B9F32" w14:textId="77777777" w:rsidR="002449C2" w:rsidRDefault="002449C2">
            <w:pPr>
              <w:spacing w:after="0" w:line="240" w:lineRule="auto"/>
              <w:rPr>
                <w:rFonts w:ascii="Times New Roman" w:eastAsia="Times New Roman" w:hAnsi="Times New Roman"/>
                <w:color w:val="000000"/>
                <w:sz w:val="24"/>
                <w:szCs w:val="24"/>
                <w:highlight w:val="lightGray"/>
                <w:lang w:eastAsia="ru-RU"/>
              </w:rPr>
            </w:pPr>
          </w:p>
        </w:tc>
        <w:tc>
          <w:tcPr>
            <w:tcW w:w="719" w:type="dxa"/>
            <w:vMerge/>
            <w:tcBorders>
              <w:top w:val="single" w:sz="4" w:space="0" w:color="000000"/>
              <w:left w:val="single" w:sz="4" w:space="0" w:color="000000"/>
              <w:bottom w:val="single" w:sz="4" w:space="0" w:color="000000"/>
              <w:right w:val="single" w:sz="4" w:space="0" w:color="000000"/>
            </w:tcBorders>
            <w:vAlign w:val="center"/>
          </w:tcPr>
          <w:p w14:paraId="75F70B57" w14:textId="77777777" w:rsidR="002449C2" w:rsidRDefault="002449C2">
            <w:pPr>
              <w:spacing w:after="0" w:line="240" w:lineRule="auto"/>
              <w:rPr>
                <w:rFonts w:ascii="Times New Roman" w:eastAsia="Times New Roman" w:hAnsi="Times New Roman"/>
                <w:color w:val="000000"/>
                <w:sz w:val="24"/>
                <w:szCs w:val="24"/>
                <w:highlight w:val="lightGray"/>
                <w:lang w:eastAsia="ru-RU"/>
              </w:rPr>
            </w:pPr>
          </w:p>
        </w:tc>
        <w:tc>
          <w:tcPr>
            <w:tcW w:w="2211" w:type="dxa"/>
            <w:vMerge/>
            <w:tcBorders>
              <w:top w:val="single" w:sz="4" w:space="0" w:color="000000"/>
              <w:left w:val="single" w:sz="4" w:space="0" w:color="000000"/>
              <w:bottom w:val="single" w:sz="4" w:space="0" w:color="000000"/>
              <w:right w:val="single" w:sz="4" w:space="0" w:color="000000"/>
            </w:tcBorders>
            <w:vAlign w:val="center"/>
          </w:tcPr>
          <w:p w14:paraId="217B0211" w14:textId="77777777" w:rsidR="002449C2" w:rsidRDefault="002449C2">
            <w:pPr>
              <w:spacing w:after="0" w:line="240" w:lineRule="auto"/>
              <w:rPr>
                <w:rFonts w:ascii="Times New Roman" w:eastAsia="Times New Roman" w:hAnsi="Times New Roman"/>
                <w:color w:val="000000"/>
                <w:sz w:val="24"/>
                <w:szCs w:val="24"/>
                <w:highlight w:val="lightGray"/>
                <w:lang w:eastAsia="ru-RU"/>
              </w:rPr>
            </w:pPr>
          </w:p>
        </w:tc>
        <w:tc>
          <w:tcPr>
            <w:tcW w:w="2324" w:type="dxa"/>
            <w:tcBorders>
              <w:top w:val="single" w:sz="4" w:space="0" w:color="000000"/>
              <w:left w:val="single" w:sz="4" w:space="0" w:color="000000"/>
              <w:bottom w:val="single" w:sz="4" w:space="0" w:color="000000"/>
              <w:right w:val="single" w:sz="4" w:space="0" w:color="000000"/>
            </w:tcBorders>
            <w:vAlign w:val="bottom"/>
          </w:tcPr>
          <w:p w14:paraId="070B0A97" w14:textId="77777777" w:rsidR="002449C2" w:rsidRDefault="00123961">
            <w:pPr>
              <w:spacing w:after="0" w:line="240" w:lineRule="auto"/>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 от отпуска в сеть</w:t>
            </w:r>
          </w:p>
        </w:tc>
        <w:tc>
          <w:tcPr>
            <w:tcW w:w="872" w:type="dxa"/>
            <w:tcBorders>
              <w:top w:val="single" w:sz="4" w:space="0" w:color="000000"/>
              <w:left w:val="single" w:sz="4" w:space="0" w:color="000000"/>
              <w:bottom w:val="single" w:sz="4" w:space="0" w:color="000000"/>
              <w:right w:val="single" w:sz="4" w:space="0" w:color="000000"/>
            </w:tcBorders>
          </w:tcPr>
          <w:p w14:paraId="4DA1F01D" w14:textId="77777777" w:rsidR="002449C2" w:rsidRDefault="00123961">
            <w:pPr>
              <w:spacing w:after="0" w:line="240" w:lineRule="auto"/>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9,29</w:t>
            </w:r>
          </w:p>
        </w:tc>
        <w:tc>
          <w:tcPr>
            <w:tcW w:w="1025" w:type="dxa"/>
            <w:tcBorders>
              <w:top w:val="single" w:sz="4" w:space="0" w:color="000000"/>
              <w:left w:val="single" w:sz="4" w:space="0" w:color="000000"/>
              <w:bottom w:val="single" w:sz="4" w:space="0" w:color="000000"/>
              <w:right w:val="single" w:sz="4" w:space="0" w:color="000000"/>
            </w:tcBorders>
          </w:tcPr>
          <w:p w14:paraId="58855749" w14:textId="77777777" w:rsidR="002449C2" w:rsidRDefault="00123961">
            <w:pPr>
              <w:spacing w:after="0" w:line="240" w:lineRule="auto"/>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8,95</w:t>
            </w:r>
          </w:p>
        </w:tc>
      </w:tr>
    </w:tbl>
    <w:p w14:paraId="551A726E" w14:textId="77777777" w:rsidR="002449C2" w:rsidRDefault="002449C2">
      <w:pPr>
        <w:tabs>
          <w:tab w:val="left" w:pos="1080"/>
          <w:tab w:val="left" w:pos="1320"/>
        </w:tabs>
        <w:spacing w:after="0" w:line="240" w:lineRule="auto"/>
        <w:ind w:firstLine="567"/>
        <w:jc w:val="both"/>
        <w:rPr>
          <w:rFonts w:ascii="Times New Roman" w:eastAsia="Times New Roman" w:hAnsi="Times New Roman"/>
          <w:sz w:val="26"/>
          <w:szCs w:val="26"/>
          <w:lang w:eastAsia="ru-RU"/>
        </w:rPr>
      </w:pPr>
    </w:p>
    <w:p w14:paraId="72A4C977" w14:textId="77777777" w:rsidR="002449C2" w:rsidRDefault="00123961">
      <w:pPr>
        <w:tabs>
          <w:tab w:val="left" w:pos="1080"/>
          <w:tab w:val="left" w:pos="1320"/>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 итогам 2024 года объем поступления электрической энергии в сеть Общества в сравнении с 2023 годом увеличился на 927 млн кВт*ч, объем отпуска электрической энергии из сети в границах РСК увеличился на 884 млн кВт*ч. Потери электрической энергии в 2024 году уменьшились в сравнении с 2023 годом на 28 млн кВт*ч или 0,34% в сопоставимых условиях по отпуску электроэнергии в сеть.</w:t>
      </w:r>
    </w:p>
    <w:p w14:paraId="36D1BC76" w14:textId="77777777" w:rsidR="002449C2" w:rsidRDefault="00123961">
      <w:pPr>
        <w:tabs>
          <w:tab w:val="left" w:pos="1080"/>
          <w:tab w:val="left" w:pos="1320"/>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 итогам 2024 года филиалом «Астраханьэнерго» плановый уровень потерь электроэнергии не выполнен. При показателе уровня потерь электроэнергии по бизнес-плану в размере 15,25% или 508,5 млн кВтч, потери электроэнергии составили 15,34% или 515,7 млн кВтч, что на 0,09% или 3,2 млн кВтч выше целевого показателя (в сопоставимых условиях по фактическому отпуску в сеть). Причина невыполнения планового уровня потерь электроэнергии обусловлена ростом нагрузочных потерь филиала, за счет увеличения в 2024 году, относительно прошлого 2023 года, сальдо-перетока электроэнергии из сетей ФСК на 143,3 млн кВтч (в связи с выводом в ремонт объектов традиционной генерации ОАО «Лукойл-Астраханьэнерго»), а также в связи с остановкой оборудования на объектах ООО «Газпром Добыча Астрахань» для ремонта в период с 01.05.2024 по 2 квартал 2025 года.</w:t>
      </w:r>
    </w:p>
    <w:p w14:paraId="2737D9CE" w14:textId="77777777" w:rsidR="002449C2" w:rsidRDefault="00123961">
      <w:pPr>
        <w:tabs>
          <w:tab w:val="left" w:pos="1080"/>
          <w:tab w:val="left" w:pos="1320"/>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 итогам 2024 года филиалом «Волгоградэнерго» плановый уровень потерь электроэнергии выполнен. При показателе уровня потерь электроэнергии по бизнес-плану в размере 7,47% или 650,9 млн кВтч, потери электроэнергии составили 6,69% или 597,8 млн кВтч, что на 0,79% или 70,3 млн кВтч ниже целевого показателя (в сопоставимых условиях по фактическому отпуску в сеть).</w:t>
      </w:r>
    </w:p>
    <w:p w14:paraId="24AB6CA2" w14:textId="77777777" w:rsidR="002449C2" w:rsidRDefault="00123961">
      <w:pPr>
        <w:tabs>
          <w:tab w:val="left" w:pos="567"/>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По итогам 2024 года филиалом «Калмэнерго» плановый уровень потерь электроэнергии выполнен. При показателе уровня потерь электроэнергии по бизнес-плану в размере 24,58% или 219,9 млн кВтч, потери электроэнергии составили 23,40% или 206,9 млн кВтч, что на 1,18% или 10,5 млн кВтч ниже целевого показателя (в сопоставимых условиях по фактическому отпуску в сеть). </w:t>
      </w:r>
    </w:p>
    <w:p w14:paraId="5F73508D" w14:textId="77777777" w:rsidR="002449C2" w:rsidRDefault="00123961">
      <w:pPr>
        <w:tabs>
          <w:tab w:val="left" w:pos="1080"/>
          <w:tab w:val="left" w:pos="1320"/>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 итогам 2024 года филиалом «Ростовэнерго» плановый уровень потерь электроэнергии выполнен. При показателе уровня потерь электроэнергии по бизнес-плану в размере 8,04% или 1 152,9 млн кВтч, потери электроэнергии составили 7,99% или 1 184,5 млн кВтч, что на 0,4% или 8,9 млн кВтч ниже целевого показателя (в сопоставимых условиях по фактическому отпуску в сеть).</w:t>
      </w:r>
    </w:p>
    <w:p w14:paraId="65E618EC" w14:textId="77777777" w:rsidR="002449C2" w:rsidRDefault="00123961">
      <w:pPr>
        <w:shd w:val="clear" w:color="auto" w:fill="FFFFFF"/>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 Информация указана с учетом внутреннего оборота</w:t>
      </w:r>
    </w:p>
    <w:p w14:paraId="18426860" w14:textId="77777777" w:rsidR="00CD5274" w:rsidRDefault="00CD5274">
      <w:pPr>
        <w:spacing w:after="0" w:line="240" w:lineRule="auto"/>
        <w:rPr>
          <w:rFonts w:ascii="Times New Roman" w:eastAsia="Times New Roman" w:hAnsi="Times New Roman"/>
          <w:b/>
          <w:sz w:val="24"/>
          <w:szCs w:val="24"/>
          <w:lang w:eastAsia="ru-RU"/>
        </w:rPr>
      </w:pPr>
      <w:r>
        <w:rPr>
          <w:rFonts w:ascii="Times New Roman" w:eastAsia="Times New Roman" w:hAnsi="Times New Roman"/>
          <w:b/>
          <w:sz w:val="24"/>
          <w:szCs w:val="24"/>
          <w:lang w:eastAsia="ru-RU"/>
        </w:rPr>
        <w:br w:type="page"/>
      </w:r>
    </w:p>
    <w:p w14:paraId="4756FE8F" w14:textId="63CBB096" w:rsidR="002449C2" w:rsidRDefault="00123961">
      <w:pPr>
        <w:spacing w:before="120" w:after="12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Динамика потерь электроэнергии в 2020 – 2024 гг.</w:t>
      </w:r>
    </w:p>
    <w:p w14:paraId="6F709235" w14:textId="77777777" w:rsidR="002449C2" w:rsidRDefault="00123961">
      <w:pPr>
        <w:spacing w:after="0" w:line="240" w:lineRule="auto"/>
        <w:ind w:firstLine="567"/>
        <w:jc w:val="center"/>
        <w:rPr>
          <w:lang w:eastAsia="ru-RU"/>
        </w:rPr>
      </w:pPr>
      <w:r>
        <w:rPr>
          <w:noProof/>
          <w:lang w:eastAsia="ru-RU"/>
        </w:rPr>
        <w:drawing>
          <wp:inline distT="0" distB="0" distL="0" distR="0" wp14:anchorId="3688CE65" wp14:editId="3962BF59">
            <wp:extent cx="5321300" cy="3202940"/>
            <wp:effectExtent l="0" t="0" r="0" b="0"/>
            <wp:docPr id="34" name="_x005F_x0000_s4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_x005F_x0000_s4383"/>
                    <pic:cNvPicPr>
                      <a:picLocks noChangeAspect="1" noChangeArrowheads="1"/>
                    </pic:cNvPicPr>
                  </pic:nvPicPr>
                  <pic:blipFill>
                    <a:blip r:embed="rId24"/>
                    <a:stretch>
                      <a:fillRect/>
                    </a:stretch>
                  </pic:blipFill>
                  <pic:spPr bwMode="auto">
                    <a:xfrm>
                      <a:off x="0" y="0"/>
                      <a:ext cx="5321300" cy="3202940"/>
                    </a:xfrm>
                    <a:prstGeom prst="rect">
                      <a:avLst/>
                    </a:prstGeom>
                    <a:noFill/>
                  </pic:spPr>
                </pic:pic>
              </a:graphicData>
            </a:graphic>
          </wp:inline>
        </w:drawing>
      </w:r>
    </w:p>
    <w:p w14:paraId="4CA5E86D" w14:textId="77777777" w:rsidR="002449C2" w:rsidRDefault="002449C2">
      <w:pPr>
        <w:spacing w:after="0" w:line="240" w:lineRule="auto"/>
        <w:ind w:firstLine="567"/>
        <w:jc w:val="both"/>
        <w:rPr>
          <w:rFonts w:ascii="Times New Roman" w:eastAsia="Times New Roman" w:hAnsi="Times New Roman"/>
          <w:b/>
          <w:sz w:val="24"/>
          <w:szCs w:val="24"/>
          <w:highlight w:val="lightGray"/>
          <w:lang w:eastAsia="ru-RU"/>
        </w:rPr>
      </w:pPr>
    </w:p>
    <w:tbl>
      <w:tblPr>
        <w:tblW w:w="6583" w:type="dxa"/>
        <w:jc w:val="center"/>
        <w:tblLayout w:type="fixed"/>
        <w:tblLook w:val="04A0" w:firstRow="1" w:lastRow="0" w:firstColumn="1" w:lastColumn="0" w:noHBand="0" w:noVBand="1"/>
      </w:tblPr>
      <w:tblGrid>
        <w:gridCol w:w="1167"/>
        <w:gridCol w:w="2551"/>
        <w:gridCol w:w="2865"/>
      </w:tblGrid>
      <w:tr w:rsidR="002449C2" w14:paraId="0CD94CB3" w14:textId="77777777">
        <w:trPr>
          <w:trHeight w:val="300"/>
          <w:jc w:val="center"/>
        </w:trPr>
        <w:tc>
          <w:tcPr>
            <w:tcW w:w="1167" w:type="dxa"/>
            <w:tcBorders>
              <w:top w:val="single" w:sz="4" w:space="0" w:color="000000"/>
              <w:left w:val="single" w:sz="4" w:space="0" w:color="000000"/>
              <w:bottom w:val="single" w:sz="4" w:space="0" w:color="000000"/>
              <w:right w:val="single" w:sz="4" w:space="0" w:color="000000"/>
            </w:tcBorders>
            <w:vAlign w:val="center"/>
          </w:tcPr>
          <w:p w14:paraId="13D26A1A" w14:textId="77777777" w:rsidR="002449C2" w:rsidRDefault="00123961">
            <w:pPr>
              <w:spacing w:after="0" w:line="240" w:lineRule="auto"/>
              <w:ind w:firstLine="27"/>
              <w:jc w:val="center"/>
              <w:rPr>
                <w:rFonts w:ascii="Times New Roman" w:eastAsia="Times New Roman" w:hAnsi="Times New Roman"/>
                <w:lang w:eastAsia="ru-RU"/>
              </w:rPr>
            </w:pPr>
            <w:r>
              <w:rPr>
                <w:rFonts w:ascii="Times New Roman" w:eastAsia="Times New Roman" w:hAnsi="Times New Roman"/>
                <w:lang w:eastAsia="ru-RU"/>
              </w:rPr>
              <w:t>Период</w:t>
            </w:r>
          </w:p>
        </w:tc>
        <w:tc>
          <w:tcPr>
            <w:tcW w:w="2551" w:type="dxa"/>
            <w:tcBorders>
              <w:top w:val="single" w:sz="4" w:space="0" w:color="000000"/>
              <w:left w:val="single" w:sz="4" w:space="0" w:color="000000"/>
              <w:bottom w:val="single" w:sz="4" w:space="0" w:color="000000"/>
              <w:right w:val="single" w:sz="4" w:space="0" w:color="000000"/>
            </w:tcBorders>
            <w:vAlign w:val="center"/>
          </w:tcPr>
          <w:p w14:paraId="0A3D2C62" w14:textId="77777777" w:rsidR="002449C2" w:rsidRDefault="00123961">
            <w:pPr>
              <w:spacing w:after="0" w:line="240" w:lineRule="auto"/>
              <w:ind w:firstLine="27"/>
              <w:jc w:val="center"/>
              <w:rPr>
                <w:rFonts w:ascii="Times New Roman" w:eastAsia="Times New Roman" w:hAnsi="Times New Roman"/>
                <w:lang w:eastAsia="ru-RU"/>
              </w:rPr>
            </w:pPr>
            <w:r>
              <w:rPr>
                <w:rFonts w:ascii="Times New Roman" w:eastAsia="Times New Roman" w:hAnsi="Times New Roman"/>
                <w:lang w:eastAsia="ru-RU"/>
              </w:rPr>
              <w:t>Потери электроэнергии, млн кВт·ч</w:t>
            </w:r>
          </w:p>
        </w:tc>
        <w:tc>
          <w:tcPr>
            <w:tcW w:w="2865" w:type="dxa"/>
            <w:tcBorders>
              <w:top w:val="single" w:sz="4" w:space="0" w:color="000000"/>
              <w:left w:val="single" w:sz="4" w:space="0" w:color="000000"/>
              <w:bottom w:val="single" w:sz="4" w:space="0" w:color="000000"/>
              <w:right w:val="single" w:sz="4" w:space="0" w:color="000000"/>
            </w:tcBorders>
            <w:vAlign w:val="center"/>
          </w:tcPr>
          <w:p w14:paraId="67DC6345" w14:textId="77777777" w:rsidR="002449C2" w:rsidRDefault="00123961">
            <w:pPr>
              <w:spacing w:after="0" w:line="240" w:lineRule="auto"/>
              <w:ind w:firstLine="27"/>
              <w:jc w:val="center"/>
              <w:rPr>
                <w:rFonts w:ascii="Times New Roman" w:eastAsia="Times New Roman" w:hAnsi="Times New Roman"/>
                <w:lang w:eastAsia="ru-RU"/>
              </w:rPr>
            </w:pPr>
            <w:r>
              <w:rPr>
                <w:rFonts w:ascii="Times New Roman" w:eastAsia="Times New Roman" w:hAnsi="Times New Roman"/>
                <w:lang w:eastAsia="ru-RU"/>
              </w:rPr>
              <w:t>Потери электроэнергии, %</w:t>
            </w:r>
          </w:p>
        </w:tc>
      </w:tr>
      <w:tr w:rsidR="002449C2" w14:paraId="64294D47" w14:textId="77777777">
        <w:trPr>
          <w:trHeight w:val="300"/>
          <w:jc w:val="center"/>
        </w:trPr>
        <w:tc>
          <w:tcPr>
            <w:tcW w:w="1167" w:type="dxa"/>
            <w:tcBorders>
              <w:top w:val="single" w:sz="4" w:space="0" w:color="000000"/>
              <w:left w:val="single" w:sz="4" w:space="0" w:color="000000"/>
              <w:bottom w:val="single" w:sz="4" w:space="0" w:color="000000"/>
              <w:right w:val="single" w:sz="4" w:space="0" w:color="000000"/>
            </w:tcBorders>
            <w:vAlign w:val="bottom"/>
          </w:tcPr>
          <w:p w14:paraId="07602175" w14:textId="77777777" w:rsidR="002449C2" w:rsidRDefault="00123961">
            <w:pPr>
              <w:spacing w:after="0" w:line="240" w:lineRule="auto"/>
              <w:ind w:firstLine="27"/>
              <w:jc w:val="center"/>
              <w:rPr>
                <w:rFonts w:ascii="Times New Roman" w:eastAsia="Times New Roman" w:hAnsi="Times New Roman"/>
                <w:lang w:eastAsia="ru-RU"/>
              </w:rPr>
            </w:pPr>
            <w:r>
              <w:rPr>
                <w:rFonts w:ascii="Times New Roman" w:eastAsia="Times New Roman" w:hAnsi="Times New Roman"/>
                <w:lang w:eastAsia="ru-RU"/>
              </w:rPr>
              <w:t>2020</w:t>
            </w:r>
          </w:p>
        </w:tc>
        <w:tc>
          <w:tcPr>
            <w:tcW w:w="2551" w:type="dxa"/>
            <w:tcBorders>
              <w:top w:val="single" w:sz="4" w:space="0" w:color="000000"/>
              <w:left w:val="single" w:sz="4" w:space="0" w:color="000000"/>
              <w:bottom w:val="single" w:sz="4" w:space="0" w:color="000000"/>
              <w:right w:val="single" w:sz="4" w:space="0" w:color="000000"/>
            </w:tcBorders>
            <w:vAlign w:val="bottom"/>
          </w:tcPr>
          <w:p w14:paraId="0DF04259" w14:textId="77777777" w:rsidR="002449C2" w:rsidRDefault="00123961">
            <w:pPr>
              <w:spacing w:after="0" w:line="240" w:lineRule="auto"/>
              <w:ind w:firstLine="27"/>
              <w:jc w:val="center"/>
              <w:rPr>
                <w:rFonts w:ascii="Times New Roman" w:eastAsia="Times New Roman" w:hAnsi="Times New Roman"/>
                <w:lang w:eastAsia="ru-RU"/>
              </w:rPr>
            </w:pPr>
            <w:r>
              <w:rPr>
                <w:rFonts w:ascii="Times New Roman" w:eastAsia="Times New Roman" w:hAnsi="Times New Roman"/>
                <w:lang w:eastAsia="ru-RU"/>
              </w:rPr>
              <w:t>2 140</w:t>
            </w:r>
          </w:p>
        </w:tc>
        <w:tc>
          <w:tcPr>
            <w:tcW w:w="2865" w:type="dxa"/>
            <w:tcBorders>
              <w:top w:val="single" w:sz="4" w:space="0" w:color="000000"/>
              <w:left w:val="single" w:sz="4" w:space="0" w:color="000000"/>
              <w:bottom w:val="single" w:sz="4" w:space="0" w:color="000000"/>
              <w:right w:val="single" w:sz="4" w:space="0" w:color="000000"/>
            </w:tcBorders>
            <w:vAlign w:val="bottom"/>
          </w:tcPr>
          <w:p w14:paraId="552E16B0" w14:textId="77777777" w:rsidR="002449C2" w:rsidRDefault="00123961">
            <w:pPr>
              <w:spacing w:after="0" w:line="240" w:lineRule="auto"/>
              <w:ind w:firstLine="27"/>
              <w:jc w:val="center"/>
              <w:rPr>
                <w:rFonts w:ascii="Times New Roman" w:eastAsia="Times New Roman" w:hAnsi="Times New Roman"/>
                <w:lang w:eastAsia="ru-RU"/>
              </w:rPr>
            </w:pPr>
            <w:r>
              <w:rPr>
                <w:rFonts w:ascii="Times New Roman" w:eastAsia="Times New Roman" w:hAnsi="Times New Roman"/>
                <w:lang w:eastAsia="ru-RU"/>
              </w:rPr>
              <w:t>8,47</w:t>
            </w:r>
          </w:p>
        </w:tc>
      </w:tr>
      <w:tr w:rsidR="002449C2" w14:paraId="6E1D5C10" w14:textId="77777777">
        <w:trPr>
          <w:trHeight w:val="300"/>
          <w:jc w:val="center"/>
        </w:trPr>
        <w:tc>
          <w:tcPr>
            <w:tcW w:w="1167" w:type="dxa"/>
            <w:tcBorders>
              <w:top w:val="single" w:sz="4" w:space="0" w:color="000000"/>
              <w:left w:val="single" w:sz="4" w:space="0" w:color="000000"/>
              <w:bottom w:val="single" w:sz="4" w:space="0" w:color="000000"/>
              <w:right w:val="single" w:sz="4" w:space="0" w:color="000000"/>
            </w:tcBorders>
            <w:vAlign w:val="bottom"/>
          </w:tcPr>
          <w:p w14:paraId="1F8699DA" w14:textId="77777777" w:rsidR="002449C2" w:rsidRDefault="00123961">
            <w:pPr>
              <w:spacing w:after="0" w:line="240" w:lineRule="auto"/>
              <w:ind w:firstLine="27"/>
              <w:jc w:val="center"/>
              <w:rPr>
                <w:rFonts w:ascii="Times New Roman" w:eastAsia="Times New Roman" w:hAnsi="Times New Roman"/>
                <w:lang w:eastAsia="ru-RU"/>
              </w:rPr>
            </w:pPr>
            <w:r>
              <w:rPr>
                <w:rFonts w:ascii="Times New Roman" w:eastAsia="Times New Roman" w:hAnsi="Times New Roman"/>
                <w:lang w:eastAsia="ru-RU"/>
              </w:rPr>
              <w:t>2021</w:t>
            </w:r>
          </w:p>
        </w:tc>
        <w:tc>
          <w:tcPr>
            <w:tcW w:w="2551" w:type="dxa"/>
            <w:tcBorders>
              <w:top w:val="single" w:sz="4" w:space="0" w:color="000000"/>
              <w:left w:val="single" w:sz="4" w:space="0" w:color="000000"/>
              <w:bottom w:val="single" w:sz="4" w:space="0" w:color="000000"/>
              <w:right w:val="single" w:sz="4" w:space="0" w:color="000000"/>
            </w:tcBorders>
            <w:vAlign w:val="bottom"/>
          </w:tcPr>
          <w:p w14:paraId="09C8F9BE" w14:textId="77777777" w:rsidR="002449C2" w:rsidRDefault="00123961">
            <w:pPr>
              <w:spacing w:after="0" w:line="240" w:lineRule="auto"/>
              <w:ind w:firstLine="27"/>
              <w:jc w:val="center"/>
              <w:rPr>
                <w:rFonts w:ascii="Times New Roman" w:eastAsia="Times New Roman" w:hAnsi="Times New Roman"/>
                <w:lang w:eastAsia="ru-RU"/>
              </w:rPr>
            </w:pPr>
            <w:r>
              <w:rPr>
                <w:rFonts w:ascii="Times New Roman" w:eastAsia="Times New Roman" w:hAnsi="Times New Roman"/>
                <w:lang w:eastAsia="ru-RU"/>
              </w:rPr>
              <w:t>2 484</w:t>
            </w:r>
          </w:p>
        </w:tc>
        <w:tc>
          <w:tcPr>
            <w:tcW w:w="2865" w:type="dxa"/>
            <w:tcBorders>
              <w:top w:val="single" w:sz="4" w:space="0" w:color="000000"/>
              <w:left w:val="single" w:sz="4" w:space="0" w:color="000000"/>
              <w:bottom w:val="single" w:sz="4" w:space="0" w:color="000000"/>
              <w:right w:val="single" w:sz="4" w:space="0" w:color="000000"/>
            </w:tcBorders>
            <w:vAlign w:val="bottom"/>
          </w:tcPr>
          <w:p w14:paraId="7E21B4AD" w14:textId="77777777" w:rsidR="002449C2" w:rsidRDefault="00123961">
            <w:pPr>
              <w:spacing w:after="0" w:line="240" w:lineRule="auto"/>
              <w:ind w:firstLine="27"/>
              <w:jc w:val="center"/>
              <w:rPr>
                <w:rFonts w:ascii="Times New Roman" w:eastAsia="Times New Roman" w:hAnsi="Times New Roman"/>
                <w:lang w:eastAsia="ru-RU"/>
              </w:rPr>
            </w:pPr>
            <w:r>
              <w:rPr>
                <w:rFonts w:ascii="Times New Roman" w:eastAsia="Times New Roman" w:hAnsi="Times New Roman"/>
                <w:lang w:eastAsia="ru-RU"/>
              </w:rPr>
              <w:t>9,31</w:t>
            </w:r>
          </w:p>
        </w:tc>
      </w:tr>
      <w:tr w:rsidR="002449C2" w14:paraId="753D4ACB" w14:textId="77777777">
        <w:trPr>
          <w:trHeight w:val="300"/>
          <w:jc w:val="center"/>
        </w:trPr>
        <w:tc>
          <w:tcPr>
            <w:tcW w:w="1167" w:type="dxa"/>
            <w:tcBorders>
              <w:top w:val="single" w:sz="4" w:space="0" w:color="000000"/>
              <w:left w:val="single" w:sz="4" w:space="0" w:color="000000"/>
              <w:bottom w:val="single" w:sz="4" w:space="0" w:color="000000"/>
              <w:right w:val="single" w:sz="4" w:space="0" w:color="000000"/>
            </w:tcBorders>
            <w:vAlign w:val="bottom"/>
          </w:tcPr>
          <w:p w14:paraId="7761BE88" w14:textId="77777777" w:rsidR="002449C2" w:rsidRDefault="00123961">
            <w:pPr>
              <w:spacing w:after="0" w:line="240" w:lineRule="auto"/>
              <w:ind w:firstLine="27"/>
              <w:jc w:val="center"/>
              <w:rPr>
                <w:rFonts w:ascii="Times New Roman" w:eastAsia="Times New Roman" w:hAnsi="Times New Roman"/>
                <w:lang w:eastAsia="ru-RU"/>
              </w:rPr>
            </w:pPr>
            <w:r>
              <w:rPr>
                <w:rFonts w:ascii="Times New Roman" w:eastAsia="Times New Roman" w:hAnsi="Times New Roman"/>
                <w:lang w:eastAsia="ru-RU"/>
              </w:rPr>
              <w:t>2022</w:t>
            </w:r>
          </w:p>
        </w:tc>
        <w:tc>
          <w:tcPr>
            <w:tcW w:w="2551" w:type="dxa"/>
            <w:tcBorders>
              <w:top w:val="single" w:sz="4" w:space="0" w:color="000000"/>
              <w:left w:val="single" w:sz="4" w:space="0" w:color="000000"/>
              <w:bottom w:val="single" w:sz="4" w:space="0" w:color="000000"/>
              <w:right w:val="single" w:sz="4" w:space="0" w:color="000000"/>
            </w:tcBorders>
            <w:vAlign w:val="bottom"/>
          </w:tcPr>
          <w:p w14:paraId="7BD756D2" w14:textId="77777777" w:rsidR="002449C2" w:rsidRDefault="00123961">
            <w:pPr>
              <w:spacing w:after="0" w:line="240" w:lineRule="auto"/>
              <w:ind w:firstLine="27"/>
              <w:jc w:val="center"/>
              <w:rPr>
                <w:rFonts w:ascii="Times New Roman" w:eastAsia="Times New Roman" w:hAnsi="Times New Roman"/>
                <w:lang w:eastAsia="ru-RU"/>
              </w:rPr>
            </w:pPr>
            <w:r>
              <w:rPr>
                <w:rFonts w:ascii="Times New Roman" w:eastAsia="Times New Roman" w:hAnsi="Times New Roman"/>
                <w:lang w:eastAsia="ru-RU"/>
              </w:rPr>
              <w:t>2 466</w:t>
            </w:r>
          </w:p>
        </w:tc>
        <w:tc>
          <w:tcPr>
            <w:tcW w:w="2865" w:type="dxa"/>
            <w:tcBorders>
              <w:top w:val="single" w:sz="4" w:space="0" w:color="000000"/>
              <w:left w:val="single" w:sz="4" w:space="0" w:color="000000"/>
              <w:bottom w:val="single" w:sz="4" w:space="0" w:color="000000"/>
              <w:right w:val="single" w:sz="4" w:space="0" w:color="000000"/>
            </w:tcBorders>
            <w:vAlign w:val="bottom"/>
          </w:tcPr>
          <w:p w14:paraId="0F2ABA64" w14:textId="77777777" w:rsidR="002449C2" w:rsidRDefault="00123961">
            <w:pPr>
              <w:spacing w:after="0" w:line="240" w:lineRule="auto"/>
              <w:ind w:firstLine="27"/>
              <w:jc w:val="center"/>
              <w:rPr>
                <w:rFonts w:ascii="Times New Roman" w:eastAsia="Times New Roman" w:hAnsi="Times New Roman"/>
                <w:lang w:eastAsia="ru-RU"/>
              </w:rPr>
            </w:pPr>
            <w:r>
              <w:rPr>
                <w:rFonts w:ascii="Times New Roman" w:eastAsia="Times New Roman" w:hAnsi="Times New Roman"/>
                <w:lang w:eastAsia="ru-RU"/>
              </w:rPr>
              <w:t>9,28</w:t>
            </w:r>
          </w:p>
        </w:tc>
      </w:tr>
      <w:tr w:rsidR="002449C2" w14:paraId="6582B216" w14:textId="77777777">
        <w:trPr>
          <w:trHeight w:val="300"/>
          <w:jc w:val="center"/>
        </w:trPr>
        <w:tc>
          <w:tcPr>
            <w:tcW w:w="1167" w:type="dxa"/>
            <w:tcBorders>
              <w:top w:val="single" w:sz="4" w:space="0" w:color="000000"/>
              <w:left w:val="single" w:sz="4" w:space="0" w:color="000000"/>
              <w:bottom w:val="single" w:sz="4" w:space="0" w:color="000000"/>
              <w:right w:val="single" w:sz="4" w:space="0" w:color="000000"/>
            </w:tcBorders>
            <w:vAlign w:val="bottom"/>
          </w:tcPr>
          <w:p w14:paraId="4B6B3DFD" w14:textId="77777777" w:rsidR="002449C2" w:rsidRDefault="00123961">
            <w:pPr>
              <w:spacing w:after="0" w:line="240" w:lineRule="auto"/>
              <w:ind w:firstLine="27"/>
              <w:jc w:val="center"/>
              <w:rPr>
                <w:rFonts w:ascii="Times New Roman" w:eastAsia="Times New Roman" w:hAnsi="Times New Roman"/>
                <w:lang w:eastAsia="ru-RU"/>
              </w:rPr>
            </w:pPr>
            <w:r>
              <w:rPr>
                <w:rFonts w:ascii="Times New Roman" w:eastAsia="Times New Roman" w:hAnsi="Times New Roman"/>
                <w:lang w:eastAsia="ru-RU"/>
              </w:rPr>
              <w:t>2023</w:t>
            </w:r>
          </w:p>
        </w:tc>
        <w:tc>
          <w:tcPr>
            <w:tcW w:w="2551" w:type="dxa"/>
            <w:tcBorders>
              <w:top w:val="single" w:sz="4" w:space="0" w:color="000000"/>
              <w:left w:val="single" w:sz="4" w:space="0" w:color="000000"/>
              <w:bottom w:val="single" w:sz="4" w:space="0" w:color="000000"/>
              <w:right w:val="single" w:sz="4" w:space="0" w:color="000000"/>
            </w:tcBorders>
            <w:vAlign w:val="bottom"/>
          </w:tcPr>
          <w:p w14:paraId="6C35F0A5" w14:textId="77777777" w:rsidR="002449C2" w:rsidRDefault="00123961">
            <w:pPr>
              <w:spacing w:after="0" w:line="240" w:lineRule="auto"/>
              <w:ind w:firstLine="27"/>
              <w:jc w:val="center"/>
              <w:rPr>
                <w:rFonts w:ascii="Times New Roman" w:eastAsia="Times New Roman" w:hAnsi="Times New Roman"/>
                <w:lang w:eastAsia="ru-RU"/>
              </w:rPr>
            </w:pPr>
            <w:r>
              <w:rPr>
                <w:rFonts w:ascii="Times New Roman" w:eastAsia="Times New Roman" w:hAnsi="Times New Roman"/>
                <w:lang w:eastAsia="ru-RU"/>
              </w:rPr>
              <w:t>2 461</w:t>
            </w:r>
          </w:p>
        </w:tc>
        <w:tc>
          <w:tcPr>
            <w:tcW w:w="2865" w:type="dxa"/>
            <w:tcBorders>
              <w:top w:val="single" w:sz="4" w:space="0" w:color="000000"/>
              <w:left w:val="single" w:sz="4" w:space="0" w:color="000000"/>
              <w:bottom w:val="single" w:sz="4" w:space="0" w:color="000000"/>
              <w:right w:val="single" w:sz="4" w:space="0" w:color="000000"/>
            </w:tcBorders>
            <w:vAlign w:val="bottom"/>
          </w:tcPr>
          <w:p w14:paraId="6C5DCCB2" w14:textId="77777777" w:rsidR="002449C2" w:rsidRDefault="00123961">
            <w:pPr>
              <w:spacing w:after="0" w:line="240" w:lineRule="auto"/>
              <w:ind w:firstLine="27"/>
              <w:jc w:val="center"/>
              <w:rPr>
                <w:rFonts w:ascii="Times New Roman" w:eastAsia="Times New Roman" w:hAnsi="Times New Roman"/>
                <w:lang w:eastAsia="ru-RU"/>
              </w:rPr>
            </w:pPr>
            <w:r>
              <w:rPr>
                <w:rFonts w:ascii="Times New Roman" w:eastAsia="Times New Roman" w:hAnsi="Times New Roman"/>
                <w:lang w:eastAsia="ru-RU"/>
              </w:rPr>
              <w:t>9,09</w:t>
            </w:r>
          </w:p>
        </w:tc>
      </w:tr>
      <w:tr w:rsidR="002449C2" w14:paraId="1DF82DF8" w14:textId="77777777">
        <w:trPr>
          <w:trHeight w:val="300"/>
          <w:jc w:val="center"/>
        </w:trPr>
        <w:tc>
          <w:tcPr>
            <w:tcW w:w="1167" w:type="dxa"/>
            <w:tcBorders>
              <w:top w:val="single" w:sz="4" w:space="0" w:color="000000"/>
              <w:left w:val="single" w:sz="4" w:space="0" w:color="000000"/>
              <w:bottom w:val="single" w:sz="4" w:space="0" w:color="000000"/>
              <w:right w:val="single" w:sz="4" w:space="0" w:color="000000"/>
            </w:tcBorders>
            <w:vAlign w:val="bottom"/>
          </w:tcPr>
          <w:p w14:paraId="61F6E5B5" w14:textId="77777777" w:rsidR="002449C2" w:rsidRDefault="00123961">
            <w:pPr>
              <w:spacing w:after="0" w:line="240" w:lineRule="auto"/>
              <w:ind w:firstLine="27"/>
              <w:jc w:val="center"/>
              <w:rPr>
                <w:rFonts w:ascii="Times New Roman" w:eastAsia="Times New Roman" w:hAnsi="Times New Roman"/>
                <w:lang w:eastAsia="ru-RU"/>
              </w:rPr>
            </w:pPr>
            <w:r>
              <w:rPr>
                <w:rFonts w:ascii="Times New Roman" w:eastAsia="Times New Roman" w:hAnsi="Times New Roman"/>
                <w:lang w:eastAsia="ru-RU"/>
              </w:rPr>
              <w:t>2024</w:t>
            </w:r>
          </w:p>
        </w:tc>
        <w:tc>
          <w:tcPr>
            <w:tcW w:w="2551" w:type="dxa"/>
            <w:tcBorders>
              <w:top w:val="single" w:sz="4" w:space="0" w:color="000000"/>
              <w:left w:val="single" w:sz="4" w:space="0" w:color="000000"/>
              <w:bottom w:val="single" w:sz="4" w:space="0" w:color="000000"/>
              <w:right w:val="single" w:sz="4" w:space="0" w:color="000000"/>
            </w:tcBorders>
            <w:vAlign w:val="bottom"/>
          </w:tcPr>
          <w:p w14:paraId="57D74A49" w14:textId="77777777" w:rsidR="002449C2" w:rsidRDefault="00123961">
            <w:pPr>
              <w:spacing w:after="0" w:line="240" w:lineRule="auto"/>
              <w:ind w:firstLine="27"/>
              <w:jc w:val="center"/>
              <w:rPr>
                <w:rFonts w:ascii="Times New Roman" w:eastAsia="Times New Roman" w:hAnsi="Times New Roman"/>
                <w:lang w:eastAsia="ru-RU"/>
              </w:rPr>
            </w:pPr>
            <w:r>
              <w:rPr>
                <w:rFonts w:ascii="Times New Roman" w:eastAsia="Times New Roman" w:hAnsi="Times New Roman"/>
                <w:lang w:eastAsia="ru-RU"/>
              </w:rPr>
              <w:t>2504</w:t>
            </w:r>
          </w:p>
        </w:tc>
        <w:tc>
          <w:tcPr>
            <w:tcW w:w="2865" w:type="dxa"/>
            <w:tcBorders>
              <w:top w:val="single" w:sz="4" w:space="0" w:color="000000"/>
              <w:left w:val="single" w:sz="4" w:space="0" w:color="000000"/>
              <w:bottom w:val="single" w:sz="4" w:space="0" w:color="000000"/>
              <w:right w:val="single" w:sz="4" w:space="0" w:color="000000"/>
            </w:tcBorders>
            <w:vAlign w:val="bottom"/>
          </w:tcPr>
          <w:p w14:paraId="7949C42F" w14:textId="77777777" w:rsidR="002449C2" w:rsidRDefault="00123961">
            <w:pPr>
              <w:spacing w:after="0" w:line="240" w:lineRule="auto"/>
              <w:ind w:firstLine="27"/>
              <w:jc w:val="center"/>
              <w:rPr>
                <w:rFonts w:ascii="Times New Roman" w:eastAsia="Times New Roman" w:hAnsi="Times New Roman"/>
                <w:lang w:eastAsia="ru-RU"/>
              </w:rPr>
            </w:pPr>
            <w:r>
              <w:rPr>
                <w:rFonts w:ascii="Times New Roman" w:eastAsia="Times New Roman" w:hAnsi="Times New Roman"/>
                <w:lang w:eastAsia="ru-RU"/>
              </w:rPr>
              <w:t>8,95</w:t>
            </w:r>
          </w:p>
        </w:tc>
      </w:tr>
    </w:tbl>
    <w:p w14:paraId="55085657" w14:textId="77777777" w:rsidR="002449C2" w:rsidRDefault="002449C2">
      <w:pPr>
        <w:spacing w:before="120" w:after="120" w:line="240" w:lineRule="auto"/>
        <w:rPr>
          <w:rFonts w:ascii="Times New Roman" w:eastAsia="Times New Roman" w:hAnsi="Times New Roman"/>
          <w:b/>
          <w:color w:val="0070C0"/>
          <w:sz w:val="24"/>
          <w:szCs w:val="24"/>
          <w:highlight w:val="lightGray"/>
          <w:lang w:eastAsia="ru-RU"/>
        </w:rPr>
      </w:pPr>
    </w:p>
    <w:tbl>
      <w:tblPr>
        <w:tblW w:w="4850" w:type="pct"/>
        <w:tblInd w:w="109" w:type="dxa"/>
        <w:tblLayout w:type="fixed"/>
        <w:tblLook w:val="04A0" w:firstRow="1" w:lastRow="0" w:firstColumn="1" w:lastColumn="0" w:noHBand="0" w:noVBand="1"/>
      </w:tblPr>
      <w:tblGrid>
        <w:gridCol w:w="2024"/>
        <w:gridCol w:w="1224"/>
        <w:gridCol w:w="946"/>
        <w:gridCol w:w="1488"/>
        <w:gridCol w:w="951"/>
        <w:gridCol w:w="1488"/>
        <w:gridCol w:w="1082"/>
      </w:tblGrid>
      <w:tr w:rsidR="002449C2" w14:paraId="32B3326D" w14:textId="77777777">
        <w:trPr>
          <w:trHeight w:val="298"/>
        </w:trPr>
        <w:tc>
          <w:tcPr>
            <w:tcW w:w="202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3BE519E1" w14:textId="77777777" w:rsidR="002449C2" w:rsidRDefault="00123961">
            <w:pPr>
              <w:spacing w:after="0" w:line="240" w:lineRule="auto"/>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Наименование филиала</w:t>
            </w:r>
          </w:p>
        </w:tc>
        <w:tc>
          <w:tcPr>
            <w:tcW w:w="7185" w:type="dxa"/>
            <w:gridSpan w:val="6"/>
            <w:tcBorders>
              <w:top w:val="single" w:sz="4" w:space="0" w:color="000000"/>
              <w:left w:val="single" w:sz="4" w:space="0" w:color="000000"/>
              <w:bottom w:val="single" w:sz="4" w:space="0" w:color="000000"/>
              <w:right w:val="single" w:sz="4" w:space="0" w:color="000000"/>
            </w:tcBorders>
            <w:shd w:val="clear" w:color="auto" w:fill="FFFFFF"/>
            <w:vAlign w:val="center"/>
          </w:tcPr>
          <w:p w14:paraId="5F1E9125" w14:textId="77777777" w:rsidR="002449C2" w:rsidRDefault="00123961">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Потери электрической энергии</w:t>
            </w:r>
          </w:p>
        </w:tc>
      </w:tr>
      <w:tr w:rsidR="002449C2" w14:paraId="56DEE086" w14:textId="77777777">
        <w:trPr>
          <w:trHeight w:val="338"/>
        </w:trPr>
        <w:tc>
          <w:tcPr>
            <w:tcW w:w="202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1FA24E59" w14:textId="77777777" w:rsidR="002449C2" w:rsidRDefault="002449C2">
            <w:pPr>
              <w:spacing w:after="0" w:line="240" w:lineRule="auto"/>
              <w:rPr>
                <w:rFonts w:ascii="Times New Roman" w:eastAsia="Times New Roman" w:hAnsi="Times New Roman"/>
                <w:b/>
                <w:bCs/>
                <w:sz w:val="20"/>
                <w:szCs w:val="20"/>
                <w:lang w:eastAsia="ru-RU"/>
              </w:rPr>
            </w:pPr>
          </w:p>
        </w:tc>
        <w:tc>
          <w:tcPr>
            <w:tcW w:w="2172"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30A48280"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Факт</w:t>
            </w:r>
            <w:r>
              <w:rPr>
                <w:rFonts w:ascii="Times New Roman" w:eastAsia="Times New Roman" w:hAnsi="Times New Roman"/>
                <w:b/>
                <w:sz w:val="20"/>
                <w:szCs w:val="20"/>
                <w:lang w:eastAsia="ru-RU"/>
              </w:rPr>
              <w:br w:type="textWrapping" w:clear="all"/>
              <w:t>2023 год</w:t>
            </w:r>
          </w:p>
        </w:tc>
        <w:tc>
          <w:tcPr>
            <w:tcW w:w="2441"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322F3DFF"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Факт</w:t>
            </w:r>
            <w:r>
              <w:rPr>
                <w:rFonts w:ascii="Times New Roman" w:eastAsia="Times New Roman" w:hAnsi="Times New Roman"/>
                <w:b/>
                <w:sz w:val="20"/>
                <w:szCs w:val="20"/>
                <w:lang w:eastAsia="ru-RU"/>
              </w:rPr>
              <w:br w:type="textWrapping" w:clear="all"/>
              <w:t>2024 год</w:t>
            </w:r>
          </w:p>
        </w:tc>
        <w:tc>
          <w:tcPr>
            <w:tcW w:w="2572"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96A1CC7"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Изменение**</w:t>
            </w:r>
          </w:p>
        </w:tc>
      </w:tr>
      <w:tr w:rsidR="002449C2" w14:paraId="0103EB2B" w14:textId="77777777">
        <w:trPr>
          <w:trHeight w:val="192"/>
        </w:trPr>
        <w:tc>
          <w:tcPr>
            <w:tcW w:w="202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F58538A" w14:textId="77777777" w:rsidR="002449C2" w:rsidRDefault="002449C2">
            <w:pPr>
              <w:spacing w:after="0" w:line="240" w:lineRule="auto"/>
              <w:rPr>
                <w:rFonts w:ascii="Times New Roman" w:eastAsia="Times New Roman" w:hAnsi="Times New Roman"/>
                <w:b/>
                <w:bCs/>
                <w:sz w:val="20"/>
                <w:szCs w:val="20"/>
                <w:lang w:eastAsia="ru-RU"/>
              </w:rPr>
            </w:pPr>
          </w:p>
        </w:tc>
        <w:tc>
          <w:tcPr>
            <w:tcW w:w="12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89AD53"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млн кВт*ч</w:t>
            </w:r>
          </w:p>
        </w:tc>
        <w:tc>
          <w:tcPr>
            <w:tcW w:w="94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CB1AF9"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w:t>
            </w:r>
          </w:p>
        </w:tc>
        <w:tc>
          <w:tcPr>
            <w:tcW w:w="14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D6A9C8"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млн кВт*ч</w:t>
            </w:r>
          </w:p>
        </w:tc>
        <w:tc>
          <w:tcPr>
            <w:tcW w:w="95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63C4A01"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w:t>
            </w:r>
          </w:p>
        </w:tc>
        <w:tc>
          <w:tcPr>
            <w:tcW w:w="14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EFD4DD"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млн кВт*ч</w:t>
            </w:r>
          </w:p>
        </w:tc>
        <w:tc>
          <w:tcPr>
            <w:tcW w:w="10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C60D96"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проц. пункты</w:t>
            </w:r>
          </w:p>
        </w:tc>
      </w:tr>
      <w:tr w:rsidR="002449C2" w14:paraId="6AEB3D99" w14:textId="77777777">
        <w:trPr>
          <w:trHeight w:val="323"/>
        </w:trPr>
        <w:tc>
          <w:tcPr>
            <w:tcW w:w="2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618287"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w:t>
            </w:r>
          </w:p>
        </w:tc>
        <w:tc>
          <w:tcPr>
            <w:tcW w:w="12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D92778"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94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CC154D"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w:t>
            </w:r>
          </w:p>
        </w:tc>
        <w:tc>
          <w:tcPr>
            <w:tcW w:w="14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59FFF2"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w:t>
            </w:r>
          </w:p>
        </w:tc>
        <w:tc>
          <w:tcPr>
            <w:tcW w:w="95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5BC99A5"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w:t>
            </w:r>
          </w:p>
        </w:tc>
        <w:tc>
          <w:tcPr>
            <w:tcW w:w="14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5F014A" w14:textId="77777777" w:rsidR="002449C2" w:rsidRDefault="00123961">
            <w:pPr>
              <w:spacing w:after="0" w:line="240" w:lineRule="auto"/>
              <w:ind w:right="-107"/>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6=ОС в СУ*7 /100%</w:t>
            </w:r>
          </w:p>
        </w:tc>
        <w:tc>
          <w:tcPr>
            <w:tcW w:w="10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C1767B"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7=5-3</w:t>
            </w:r>
          </w:p>
        </w:tc>
      </w:tr>
      <w:tr w:rsidR="002449C2" w14:paraId="562FA43E" w14:textId="77777777">
        <w:trPr>
          <w:trHeight w:val="192"/>
        </w:trPr>
        <w:tc>
          <w:tcPr>
            <w:tcW w:w="2027" w:type="dxa"/>
            <w:tcBorders>
              <w:top w:val="single" w:sz="4" w:space="0" w:color="000000"/>
              <w:left w:val="single" w:sz="4" w:space="0" w:color="000000"/>
              <w:bottom w:val="single" w:sz="4" w:space="0" w:color="000000"/>
              <w:right w:val="single" w:sz="4" w:space="0" w:color="000000"/>
            </w:tcBorders>
            <w:shd w:val="clear" w:color="auto" w:fill="FFFFFF"/>
          </w:tcPr>
          <w:p w14:paraId="5DA70C98" w14:textId="77777777" w:rsidR="002449C2" w:rsidRDefault="00123961">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Астраханьэнерго</w:t>
            </w:r>
          </w:p>
        </w:tc>
        <w:tc>
          <w:tcPr>
            <w:tcW w:w="12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9B005A"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512,6</w:t>
            </w:r>
          </w:p>
        </w:tc>
        <w:tc>
          <w:tcPr>
            <w:tcW w:w="94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69746F"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15,55</w:t>
            </w:r>
          </w:p>
        </w:tc>
        <w:tc>
          <w:tcPr>
            <w:tcW w:w="14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5A483FE"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515,7</w:t>
            </w:r>
          </w:p>
        </w:tc>
        <w:tc>
          <w:tcPr>
            <w:tcW w:w="95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686D8E"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15,34</w:t>
            </w:r>
          </w:p>
        </w:tc>
        <w:tc>
          <w:tcPr>
            <w:tcW w:w="14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83FC8F6"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-7,2</w:t>
            </w:r>
          </w:p>
        </w:tc>
        <w:tc>
          <w:tcPr>
            <w:tcW w:w="10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20D602F"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-0,21</w:t>
            </w:r>
          </w:p>
        </w:tc>
      </w:tr>
      <w:tr w:rsidR="002449C2" w14:paraId="7D1970C6" w14:textId="77777777">
        <w:trPr>
          <w:trHeight w:val="192"/>
        </w:trPr>
        <w:tc>
          <w:tcPr>
            <w:tcW w:w="2027" w:type="dxa"/>
            <w:tcBorders>
              <w:top w:val="single" w:sz="4" w:space="0" w:color="000000"/>
              <w:left w:val="single" w:sz="4" w:space="0" w:color="000000"/>
              <w:bottom w:val="single" w:sz="4" w:space="0" w:color="000000"/>
              <w:right w:val="single" w:sz="4" w:space="0" w:color="000000"/>
            </w:tcBorders>
            <w:shd w:val="clear" w:color="auto" w:fill="FFFFFF"/>
          </w:tcPr>
          <w:p w14:paraId="7CBCCF11" w14:textId="77777777" w:rsidR="002449C2" w:rsidRDefault="00123961">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Волгоградэнерго</w:t>
            </w:r>
          </w:p>
        </w:tc>
        <w:tc>
          <w:tcPr>
            <w:tcW w:w="12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260A946"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599,8</w:t>
            </w:r>
          </w:p>
        </w:tc>
        <w:tc>
          <w:tcPr>
            <w:tcW w:w="94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4AC411"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6,91</w:t>
            </w:r>
          </w:p>
        </w:tc>
        <w:tc>
          <w:tcPr>
            <w:tcW w:w="14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C50675D"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596,8</w:t>
            </w:r>
          </w:p>
        </w:tc>
        <w:tc>
          <w:tcPr>
            <w:tcW w:w="95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39A348D"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6,69</w:t>
            </w:r>
          </w:p>
        </w:tc>
        <w:tc>
          <w:tcPr>
            <w:tcW w:w="14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DEDB6D"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-19,7</w:t>
            </w:r>
          </w:p>
        </w:tc>
        <w:tc>
          <w:tcPr>
            <w:tcW w:w="10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994D0C2"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-0,22</w:t>
            </w:r>
          </w:p>
        </w:tc>
      </w:tr>
      <w:tr w:rsidR="002449C2" w14:paraId="7E895EB3" w14:textId="77777777">
        <w:trPr>
          <w:trHeight w:val="77"/>
        </w:trPr>
        <w:tc>
          <w:tcPr>
            <w:tcW w:w="2027" w:type="dxa"/>
            <w:tcBorders>
              <w:top w:val="single" w:sz="4" w:space="0" w:color="000000"/>
              <w:left w:val="single" w:sz="4" w:space="0" w:color="000000"/>
              <w:bottom w:val="single" w:sz="4" w:space="0" w:color="000000"/>
              <w:right w:val="single" w:sz="4" w:space="0" w:color="000000"/>
            </w:tcBorders>
            <w:shd w:val="clear" w:color="auto" w:fill="FFFFFF"/>
          </w:tcPr>
          <w:p w14:paraId="54085503" w14:textId="77777777" w:rsidR="002449C2" w:rsidRDefault="00123961">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Калмэнерго</w:t>
            </w:r>
          </w:p>
        </w:tc>
        <w:tc>
          <w:tcPr>
            <w:tcW w:w="12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B2424F"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209,7</w:t>
            </w:r>
          </w:p>
        </w:tc>
        <w:tc>
          <w:tcPr>
            <w:tcW w:w="94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A6B1F4"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23,97</w:t>
            </w:r>
          </w:p>
        </w:tc>
        <w:tc>
          <w:tcPr>
            <w:tcW w:w="14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105D500"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206,9</w:t>
            </w:r>
          </w:p>
        </w:tc>
        <w:tc>
          <w:tcPr>
            <w:tcW w:w="95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C94879"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23,40</w:t>
            </w:r>
          </w:p>
        </w:tc>
        <w:tc>
          <w:tcPr>
            <w:tcW w:w="14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EE443E"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-5,0</w:t>
            </w:r>
          </w:p>
        </w:tc>
        <w:tc>
          <w:tcPr>
            <w:tcW w:w="10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BCC2C8"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-0,57</w:t>
            </w:r>
          </w:p>
        </w:tc>
      </w:tr>
      <w:tr w:rsidR="002449C2" w14:paraId="37BF2C3B" w14:textId="77777777">
        <w:trPr>
          <w:trHeight w:val="77"/>
        </w:trPr>
        <w:tc>
          <w:tcPr>
            <w:tcW w:w="2027" w:type="dxa"/>
            <w:tcBorders>
              <w:top w:val="single" w:sz="4" w:space="0" w:color="000000"/>
              <w:left w:val="single" w:sz="4" w:space="0" w:color="000000"/>
              <w:bottom w:val="single" w:sz="4" w:space="0" w:color="000000"/>
              <w:right w:val="single" w:sz="4" w:space="0" w:color="000000"/>
            </w:tcBorders>
            <w:shd w:val="clear" w:color="auto" w:fill="FFFFFF"/>
          </w:tcPr>
          <w:p w14:paraId="7702F661" w14:textId="77777777" w:rsidR="002449C2" w:rsidRDefault="00123961">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Ростовэнерго</w:t>
            </w:r>
          </w:p>
        </w:tc>
        <w:tc>
          <w:tcPr>
            <w:tcW w:w="12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B2E318"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1 137,1</w:t>
            </w:r>
          </w:p>
        </w:tc>
        <w:tc>
          <w:tcPr>
            <w:tcW w:w="94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BEF34D"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8,02</w:t>
            </w:r>
          </w:p>
        </w:tc>
        <w:tc>
          <w:tcPr>
            <w:tcW w:w="14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8893D0"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1 184,5</w:t>
            </w:r>
          </w:p>
        </w:tc>
        <w:tc>
          <w:tcPr>
            <w:tcW w:w="95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E9B46F0"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7,99</w:t>
            </w:r>
          </w:p>
        </w:tc>
        <w:tc>
          <w:tcPr>
            <w:tcW w:w="14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FD3DC0"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-3,5</w:t>
            </w:r>
          </w:p>
        </w:tc>
        <w:tc>
          <w:tcPr>
            <w:tcW w:w="10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36E36A"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w:t>
            </w:r>
          </w:p>
        </w:tc>
      </w:tr>
      <w:tr w:rsidR="002449C2" w14:paraId="6714E09A" w14:textId="77777777">
        <w:trPr>
          <w:trHeight w:val="192"/>
        </w:trPr>
        <w:tc>
          <w:tcPr>
            <w:tcW w:w="2027" w:type="dxa"/>
            <w:tcBorders>
              <w:top w:val="single" w:sz="4" w:space="0" w:color="000000"/>
              <w:left w:val="single" w:sz="4" w:space="0" w:color="000000"/>
              <w:bottom w:val="single" w:sz="4" w:space="0" w:color="000000"/>
              <w:right w:val="single" w:sz="4" w:space="0" w:color="000000"/>
            </w:tcBorders>
            <w:shd w:val="clear" w:color="auto" w:fill="FFFFFF"/>
          </w:tcPr>
          <w:p w14:paraId="3C109B4A" w14:textId="77777777" w:rsidR="002449C2" w:rsidRDefault="00123961">
            <w:pPr>
              <w:spacing w:after="0" w:line="240" w:lineRule="auto"/>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ПАО «Россети Юг»</w:t>
            </w:r>
          </w:p>
        </w:tc>
        <w:tc>
          <w:tcPr>
            <w:tcW w:w="12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224723"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2 461,2</w:t>
            </w:r>
          </w:p>
        </w:tc>
        <w:tc>
          <w:tcPr>
            <w:tcW w:w="94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100114"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9,09</w:t>
            </w:r>
          </w:p>
        </w:tc>
        <w:tc>
          <w:tcPr>
            <w:tcW w:w="14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061D4F"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2 503,9</w:t>
            </w:r>
          </w:p>
        </w:tc>
        <w:tc>
          <w:tcPr>
            <w:tcW w:w="95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9F064B"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8,95</w:t>
            </w:r>
          </w:p>
        </w:tc>
        <w:tc>
          <w:tcPr>
            <w:tcW w:w="14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C10D43"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-41,6</w:t>
            </w:r>
          </w:p>
        </w:tc>
        <w:tc>
          <w:tcPr>
            <w:tcW w:w="10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26AF04"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-0,14</w:t>
            </w:r>
          </w:p>
        </w:tc>
      </w:tr>
    </w:tbl>
    <w:p w14:paraId="26F95DF9" w14:textId="77777777" w:rsidR="002449C2" w:rsidRDefault="00123961">
      <w:pPr>
        <w:spacing w:after="0" w:line="240" w:lineRule="auto"/>
        <w:ind w:firstLine="284"/>
        <w:jc w:val="both"/>
        <w:rPr>
          <w:rFonts w:ascii="Times New Roman" w:eastAsia="Times New Roman" w:hAnsi="Times New Roman"/>
          <w:i/>
          <w:sz w:val="20"/>
          <w:szCs w:val="20"/>
          <w:lang w:eastAsia="ru-RU"/>
        </w:rPr>
      </w:pPr>
      <w:r>
        <w:rPr>
          <w:rFonts w:ascii="Times New Roman" w:eastAsia="Times New Roman" w:hAnsi="Times New Roman"/>
          <w:sz w:val="20"/>
          <w:szCs w:val="20"/>
          <w:lang w:eastAsia="ru-RU"/>
        </w:rPr>
        <w:t>*</w:t>
      </w:r>
      <w:r>
        <w:rPr>
          <w:rFonts w:ascii="Times New Roman" w:eastAsia="Times New Roman" w:hAnsi="Times New Roman"/>
          <w:i/>
          <w:sz w:val="20"/>
          <w:szCs w:val="20"/>
          <w:lang w:eastAsia="ru-RU"/>
        </w:rPr>
        <w:t>Уровень потерь электрической энергии, определенный для условий, сопоставимых с условиями функционирования филиала ПАО «Россети Юг» в 2024 году по составу потребителей, составу и режиму работы обслуживаемых электрических сетей;</w:t>
      </w:r>
    </w:p>
    <w:p w14:paraId="4796DC25" w14:textId="77777777" w:rsidR="002449C2" w:rsidRDefault="00123961">
      <w:pPr>
        <w:spacing w:after="0" w:line="240" w:lineRule="auto"/>
        <w:ind w:firstLine="284"/>
        <w:jc w:val="both"/>
        <w:rPr>
          <w:rFonts w:ascii="Times New Roman" w:eastAsia="Times New Roman" w:hAnsi="Times New Roman"/>
          <w:i/>
          <w:sz w:val="20"/>
          <w:szCs w:val="20"/>
          <w:lang w:eastAsia="ru-RU"/>
        </w:rPr>
      </w:pPr>
      <w:r>
        <w:rPr>
          <w:rFonts w:ascii="Times New Roman" w:eastAsia="Times New Roman" w:hAnsi="Times New Roman"/>
          <w:i/>
          <w:sz w:val="20"/>
          <w:szCs w:val="20"/>
          <w:lang w:eastAsia="ru-RU"/>
        </w:rPr>
        <w:t>** Изменение относительной величины потерь электрической энергии в процентных пунктах определяется как разница между значениями уровня потерь в 2024 и 2023 годах с учетом произошедших изменений в составе потребителей, в составе и режиме работы обслуживаемых электрических сетей; изменение абсолютной величины потерь электрической энергии определяется как произведение изменения относительной величины потерь электрической энергии на объем отпуска электрической энергии в сеть в 2024 году.</w:t>
      </w:r>
    </w:p>
    <w:p w14:paraId="0188443F" w14:textId="77777777" w:rsidR="002449C2" w:rsidRDefault="00123961">
      <w:pPr>
        <w:spacing w:after="0" w:line="240" w:lineRule="auto"/>
        <w:ind w:firstLine="567"/>
        <w:jc w:val="both"/>
        <w:rPr>
          <w:rFonts w:ascii="Cambria" w:eastAsia="Times New Roman" w:hAnsi="Cambria"/>
          <w:b/>
          <w:sz w:val="24"/>
          <w:szCs w:val="24"/>
          <w:lang w:eastAsia="ru-RU"/>
        </w:rPr>
      </w:pPr>
      <w:r>
        <w:br w:type="page"/>
      </w:r>
    </w:p>
    <w:p w14:paraId="63AEDF54" w14:textId="77777777" w:rsidR="002449C2" w:rsidRDefault="00123961">
      <w:pPr>
        <w:keepNext/>
        <w:keepLines/>
        <w:spacing w:after="120" w:line="240" w:lineRule="auto"/>
        <w:ind w:left="567"/>
        <w:jc w:val="both"/>
        <w:outlineLvl w:val="2"/>
        <w:rPr>
          <w:rFonts w:ascii="Cambria" w:eastAsia="Times New Roman" w:hAnsi="Cambria"/>
          <w:b/>
          <w:color w:val="660033"/>
          <w:sz w:val="28"/>
          <w:szCs w:val="28"/>
          <w:lang w:eastAsia="en-US" w:bidi="en-US"/>
        </w:rPr>
      </w:pPr>
      <w:bookmarkStart w:id="52" w:name="_Toc195174925"/>
      <w:bookmarkStart w:id="53" w:name="_Toc196143017"/>
      <w:r>
        <w:rPr>
          <w:rFonts w:ascii="Times New Roman" w:eastAsia="Times New Roman" w:hAnsi="Times New Roman"/>
          <w:color w:val="385623"/>
          <w:sz w:val="28"/>
          <w:szCs w:val="28"/>
          <w:lang w:eastAsia="en-US" w:bidi="en-US"/>
        </w:rPr>
        <w:t>Технологическое присоединение</w:t>
      </w:r>
      <w:bookmarkEnd w:id="52"/>
      <w:r w:rsidR="00AC4F19">
        <w:rPr>
          <w:rStyle w:val="af"/>
          <w:rFonts w:ascii="Times New Roman" w:eastAsia="Times New Roman" w:hAnsi="Times New Roman"/>
          <w:color w:val="385623"/>
          <w:sz w:val="28"/>
          <w:szCs w:val="28"/>
          <w:lang w:eastAsia="en-US" w:bidi="en-US"/>
        </w:rPr>
        <w:footnoteReference w:id="6"/>
      </w:r>
      <w:bookmarkEnd w:id="53"/>
    </w:p>
    <w:tbl>
      <w:tblPr>
        <w:tblW w:w="4130" w:type="dxa"/>
        <w:tblLayout w:type="fixed"/>
        <w:tblLook w:val="04A0" w:firstRow="1" w:lastRow="0" w:firstColumn="1" w:lastColumn="0" w:noHBand="0" w:noVBand="1"/>
      </w:tblPr>
      <w:tblGrid>
        <w:gridCol w:w="1526"/>
        <w:gridCol w:w="2604"/>
      </w:tblGrid>
      <w:tr w:rsidR="002449C2" w14:paraId="053A12EF" w14:textId="77777777">
        <w:tc>
          <w:tcPr>
            <w:tcW w:w="1526" w:type="dxa"/>
          </w:tcPr>
          <w:p w14:paraId="46BA8D6E" w14:textId="77777777" w:rsidR="002449C2" w:rsidRDefault="00123961">
            <w:pPr>
              <w:spacing w:after="0" w:line="240" w:lineRule="auto"/>
              <w:rPr>
                <w:rFonts w:ascii="Times New Roman" w:eastAsia="Times New Roman" w:hAnsi="Times New Roman"/>
                <w:b/>
                <w:i/>
                <w:sz w:val="26"/>
                <w:szCs w:val="26"/>
                <w:lang w:eastAsia="ru-RU"/>
              </w:rPr>
            </w:pPr>
            <w:r>
              <w:rPr>
                <w:noProof/>
                <w:lang w:eastAsia="ru-RU"/>
              </w:rPr>
              <w:drawing>
                <wp:inline distT="0" distB="0" distL="0" distR="0" wp14:anchorId="1C539E30" wp14:editId="4EE85DA5">
                  <wp:extent cx="695325" cy="619125"/>
                  <wp:effectExtent l="0" t="0" r="0" b="0"/>
                  <wp:docPr id="35"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152"/>
                          <pic:cNvPicPr>
                            <a:picLocks noChangeAspect="1" noChangeArrowheads="1"/>
                          </pic:cNvPicPr>
                        </pic:nvPicPr>
                        <pic:blipFill>
                          <a:blip r:embed="rId59"/>
                          <a:stretch>
                            <a:fillRect/>
                          </a:stretch>
                        </pic:blipFill>
                        <pic:spPr bwMode="auto">
                          <a:xfrm>
                            <a:off x="0" y="0"/>
                            <a:ext cx="695325" cy="619125"/>
                          </a:xfrm>
                          <a:prstGeom prst="rect">
                            <a:avLst/>
                          </a:prstGeom>
                          <a:noFill/>
                        </pic:spPr>
                      </pic:pic>
                    </a:graphicData>
                  </a:graphic>
                </wp:inline>
              </w:drawing>
            </w:r>
            <w:r>
              <w:rPr>
                <w:noProof/>
                <w:lang w:eastAsia="ru-RU"/>
              </w:rPr>
              <w:drawing>
                <wp:inline distT="0" distB="0" distL="0" distR="0" wp14:anchorId="435D6459" wp14:editId="70DF8943">
                  <wp:extent cx="696595" cy="621665"/>
                  <wp:effectExtent l="0" t="0" r="0" b="0"/>
                  <wp:docPr id="36" name="_x005F_x0000_i4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_x005F_x0000_i4417"/>
                          <pic:cNvPicPr>
                            <a:picLocks noChangeAspect="1" noChangeArrowheads="1"/>
                          </pic:cNvPicPr>
                        </pic:nvPicPr>
                        <pic:blipFill>
                          <a:blip r:embed="rId60">
                            <a:extLst>
                              <a:ext uri="{96DAC541-7B7A-43D3-8B79-37D633B846F1}">
                                <asvg:svgBlip xmlns:asvg="http://schemas.microsoft.com/office/drawing/2016/SVG/main" xmlns:w10="urn:schemas-microsoft-com:office:word" xmlns:w="http://schemas.openxmlformats.org/wordprocessingml/2006/main" xmlns:v="urn:schemas-microsoft-com:vml" xmlns:o="urn:schemas-microsoft-com:office:office" xmlns="" r:embed="rId63"/>
                              </a:ext>
                            </a:extLst>
                          </a:blip>
                          <a:stretch>
                            <a:fillRect/>
                          </a:stretch>
                        </pic:blipFill>
                        <pic:spPr bwMode="auto">
                          <a:xfrm>
                            <a:off x="0" y="0"/>
                            <a:ext cx="696595" cy="621665"/>
                          </a:xfrm>
                          <a:prstGeom prst="rect">
                            <a:avLst/>
                          </a:prstGeom>
                          <a:noFill/>
                        </pic:spPr>
                      </pic:pic>
                    </a:graphicData>
                  </a:graphic>
                </wp:inline>
              </w:drawing>
            </w:r>
          </w:p>
        </w:tc>
        <w:tc>
          <w:tcPr>
            <w:tcW w:w="2603" w:type="dxa"/>
          </w:tcPr>
          <w:tbl>
            <w:tblPr>
              <w:tblW w:w="2388" w:type="dxa"/>
              <w:tblLayout w:type="fixed"/>
              <w:tblLook w:val="04A0" w:firstRow="1" w:lastRow="0" w:firstColumn="1" w:lastColumn="0" w:noHBand="0" w:noVBand="1"/>
            </w:tblPr>
            <w:tblGrid>
              <w:gridCol w:w="236"/>
              <w:gridCol w:w="2152"/>
            </w:tblGrid>
            <w:tr w:rsidR="002449C2" w14:paraId="1DC3E45D" w14:textId="77777777">
              <w:tc>
                <w:tcPr>
                  <w:tcW w:w="234" w:type="dxa"/>
                  <w:shd w:val="clear" w:color="auto" w:fill="auto"/>
                </w:tcPr>
                <w:p w14:paraId="7DD09A30" w14:textId="77777777" w:rsidR="002449C2" w:rsidRDefault="002449C2">
                  <w:pPr>
                    <w:spacing w:after="0" w:line="240" w:lineRule="auto"/>
                    <w:rPr>
                      <w:rFonts w:ascii="Times New Roman" w:eastAsia="Times New Roman" w:hAnsi="Times New Roman"/>
                      <w:b/>
                      <w:i/>
                      <w:sz w:val="26"/>
                      <w:szCs w:val="26"/>
                      <w:lang w:eastAsia="ru-RU"/>
                    </w:rPr>
                  </w:pPr>
                </w:p>
              </w:tc>
              <w:tc>
                <w:tcPr>
                  <w:tcW w:w="2153" w:type="dxa"/>
                  <w:shd w:val="clear" w:color="auto" w:fill="auto"/>
                </w:tcPr>
                <w:p w14:paraId="46B80C7D" w14:textId="77777777" w:rsidR="002449C2" w:rsidRDefault="00123961">
                  <w:pPr>
                    <w:spacing w:after="0" w:line="240" w:lineRule="auto"/>
                    <w:jc w:val="both"/>
                    <w:rPr>
                      <w:rFonts w:ascii="Times New Roman" w:eastAsia="Times New Roman" w:hAnsi="Times New Roman"/>
                      <w:b/>
                      <w:i/>
                      <w:sz w:val="26"/>
                      <w:szCs w:val="26"/>
                      <w:lang w:eastAsia="ru-RU"/>
                    </w:rPr>
                  </w:pPr>
                  <w:r>
                    <w:rPr>
                      <w:noProof/>
                      <w:lang w:eastAsia="ru-RU"/>
                    </w:rPr>
                    <w:drawing>
                      <wp:inline distT="0" distB="0" distL="0" distR="0" wp14:anchorId="4AA1D4DD" wp14:editId="3D6FF023">
                        <wp:extent cx="1228725" cy="419100"/>
                        <wp:effectExtent l="0" t="0" r="0" b="0"/>
                        <wp:docPr id="37"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135"/>
                                <pic:cNvPicPr>
                                  <a:picLocks noChangeAspect="1" noChangeArrowheads="1"/>
                                </pic:cNvPicPr>
                              </pic:nvPicPr>
                              <pic:blipFill>
                                <a:blip r:embed="rId64"/>
                                <a:stretch>
                                  <a:fillRect/>
                                </a:stretch>
                              </pic:blipFill>
                              <pic:spPr bwMode="auto">
                                <a:xfrm>
                                  <a:off x="0" y="0"/>
                                  <a:ext cx="1228725" cy="419100"/>
                                </a:xfrm>
                                <a:prstGeom prst="rect">
                                  <a:avLst/>
                                </a:prstGeom>
                                <a:noFill/>
                              </pic:spPr>
                            </pic:pic>
                          </a:graphicData>
                        </a:graphic>
                      </wp:inline>
                    </w:drawing>
                  </w:r>
                </w:p>
              </w:tc>
            </w:tr>
          </w:tbl>
          <w:p w14:paraId="7F1C8C2A" w14:textId="77777777" w:rsidR="002449C2" w:rsidRDefault="002449C2">
            <w:pPr>
              <w:spacing w:after="0" w:line="240" w:lineRule="auto"/>
              <w:jc w:val="both"/>
              <w:rPr>
                <w:rFonts w:ascii="Times New Roman" w:eastAsia="Times New Roman" w:hAnsi="Times New Roman"/>
                <w:b/>
                <w:i/>
                <w:sz w:val="26"/>
                <w:szCs w:val="26"/>
                <w:lang w:eastAsia="ru-RU"/>
              </w:rPr>
            </w:pPr>
          </w:p>
        </w:tc>
      </w:tr>
    </w:tbl>
    <w:p w14:paraId="174F305B" w14:textId="77777777" w:rsidR="002449C2" w:rsidRDefault="00123961">
      <w:pPr>
        <w:shd w:val="clear" w:color="auto" w:fill="FFFFFF"/>
        <w:spacing w:after="0" w:line="240" w:lineRule="auto"/>
        <w:ind w:firstLine="567"/>
        <w:rPr>
          <w:rFonts w:ascii="Times New Roman" w:eastAsia="Times New Roman" w:hAnsi="Times New Roman"/>
          <w:b/>
          <w:i/>
          <w:sz w:val="26"/>
          <w:szCs w:val="26"/>
          <w:lang w:eastAsia="ru-RU"/>
        </w:rPr>
      </w:pPr>
      <w:r>
        <w:rPr>
          <w:rFonts w:ascii="Times New Roman" w:eastAsia="Times New Roman" w:hAnsi="Times New Roman"/>
          <w:b/>
          <w:i/>
          <w:sz w:val="26"/>
          <w:szCs w:val="26"/>
          <w:lang w:eastAsia="ru-RU"/>
        </w:rPr>
        <w:t xml:space="preserve">В Компании за 2024 год: </w:t>
      </w:r>
    </w:p>
    <w:p w14:paraId="53FEC33D" w14:textId="77777777" w:rsidR="002449C2" w:rsidRDefault="00123961">
      <w:pPr>
        <w:shd w:val="clear" w:color="auto" w:fill="FFFFFF"/>
        <w:spacing w:after="0" w:line="240" w:lineRule="auto"/>
        <w:ind w:firstLine="567"/>
        <w:rPr>
          <w:rFonts w:ascii="Times New Roman" w:eastAsia="Times New Roman" w:hAnsi="Times New Roman"/>
          <w:b/>
          <w:i/>
          <w:sz w:val="26"/>
          <w:szCs w:val="26"/>
          <w:lang w:eastAsia="ru-RU"/>
        </w:rPr>
      </w:pPr>
      <w:r>
        <w:rPr>
          <w:rFonts w:ascii="Times New Roman" w:eastAsia="Times New Roman" w:hAnsi="Times New Roman"/>
          <w:b/>
          <w:i/>
          <w:sz w:val="26"/>
          <w:szCs w:val="26"/>
          <w:lang w:eastAsia="ru-RU"/>
        </w:rPr>
        <w:t xml:space="preserve">16 340 шт. исполненных договоров </w:t>
      </w:r>
    </w:p>
    <w:p w14:paraId="6F94CD21" w14:textId="77777777" w:rsidR="002449C2" w:rsidRDefault="00123961">
      <w:pPr>
        <w:shd w:val="clear" w:color="auto" w:fill="FFFFFF"/>
        <w:spacing w:after="0" w:line="240" w:lineRule="auto"/>
        <w:ind w:firstLine="567"/>
        <w:rPr>
          <w:rFonts w:ascii="Times New Roman" w:eastAsia="Times New Roman" w:hAnsi="Times New Roman"/>
          <w:sz w:val="26"/>
          <w:szCs w:val="26"/>
          <w:lang w:eastAsia="ru-RU"/>
        </w:rPr>
      </w:pPr>
      <w:r>
        <w:rPr>
          <w:rFonts w:ascii="Times New Roman" w:eastAsia="Times New Roman" w:hAnsi="Times New Roman"/>
          <w:b/>
          <w:i/>
          <w:sz w:val="26"/>
          <w:szCs w:val="26"/>
          <w:lang w:eastAsia="ru-RU"/>
        </w:rPr>
        <w:t>481 МВт присоединенная мощность</w:t>
      </w:r>
      <w:r>
        <w:rPr>
          <w:rFonts w:ascii="Times New Roman" w:eastAsia="Times New Roman" w:hAnsi="Times New Roman"/>
          <w:sz w:val="26"/>
          <w:szCs w:val="26"/>
          <w:lang w:eastAsia="ru-RU"/>
        </w:rPr>
        <w:t xml:space="preserve"> </w:t>
      </w:r>
    </w:p>
    <w:p w14:paraId="3A8E6040" w14:textId="77777777" w:rsidR="002449C2" w:rsidRDefault="002449C2">
      <w:pPr>
        <w:shd w:val="clear" w:color="auto" w:fill="FFFFFF"/>
        <w:spacing w:after="0" w:line="240" w:lineRule="auto"/>
        <w:ind w:firstLine="567"/>
        <w:jc w:val="center"/>
        <w:rPr>
          <w:rFonts w:ascii="Times New Roman" w:eastAsia="Times New Roman" w:hAnsi="Times New Roman"/>
          <w:b/>
          <w:i/>
          <w:sz w:val="26"/>
          <w:szCs w:val="26"/>
          <w:lang w:eastAsia="ru-RU"/>
        </w:rPr>
      </w:pPr>
    </w:p>
    <w:p w14:paraId="030F5B6F" w14:textId="77777777" w:rsidR="002449C2" w:rsidRDefault="00123961">
      <w:pPr>
        <w:shd w:val="clear" w:color="auto" w:fill="FFFFFF"/>
        <w:spacing w:after="0" w:line="240" w:lineRule="auto"/>
        <w:ind w:firstLine="708"/>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В соответствии с распоряжением Правительства Российской Федерации от 31.01.2017 №147-р в каждом регионе присутствия Общества совместно с органами исполнительной власти регионов Обществом осуществлялась реализация целевой модели «Технологическое присоединение к электрическим сетям» в целях упрощения процедур ведения бизнеса и повышения инвестиционной привлекательности субъектов Российской Федерации.</w:t>
      </w:r>
    </w:p>
    <w:p w14:paraId="7F335F2D" w14:textId="77777777" w:rsidR="002449C2" w:rsidRDefault="00123961">
      <w:pPr>
        <w:shd w:val="clear" w:color="auto" w:fill="FFFFFF"/>
        <w:spacing w:after="0" w:line="240" w:lineRule="auto"/>
        <w:ind w:firstLine="708"/>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Обществом организовано:</w:t>
      </w:r>
    </w:p>
    <w:p w14:paraId="70D747D8" w14:textId="77777777" w:rsidR="002449C2" w:rsidRDefault="00123961">
      <w:pPr>
        <w:shd w:val="clear" w:color="auto" w:fill="FFFFFF"/>
        <w:spacing w:after="0" w:line="240" w:lineRule="auto"/>
        <w:ind w:firstLine="708"/>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 выполнение мероприятий «дорожных карт» по реализации целевой модели, по которым ответственным лицом являлась сетевая организация, а также предоставление в органы исполнительной власти регионов ежеквартальных отчётов со стороны филиалов;</w:t>
      </w:r>
    </w:p>
    <w:p w14:paraId="0DEC1C0A" w14:textId="77777777" w:rsidR="002449C2" w:rsidRDefault="00123961">
      <w:pPr>
        <w:shd w:val="clear" w:color="auto" w:fill="FFFFFF"/>
        <w:spacing w:after="0" w:line="240" w:lineRule="auto"/>
        <w:ind w:firstLine="708"/>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 взаимодействие с региональными органами исполнительной власти в целях принятия необходимых мер для реализации показателей «дорожных карт», по которым ответственными исполнителями по достижению целевых значений являются профильные министерства и муниципальные образования регионов.</w:t>
      </w:r>
    </w:p>
    <w:p w14:paraId="35FC54C5" w14:textId="77777777" w:rsidR="002449C2" w:rsidRDefault="002449C2">
      <w:pPr>
        <w:shd w:val="clear" w:color="auto" w:fill="FFFFFF"/>
        <w:spacing w:after="0" w:line="240" w:lineRule="auto"/>
        <w:jc w:val="both"/>
        <w:rPr>
          <w:rFonts w:ascii="Times New Roman" w:hAnsi="Times New Roman"/>
        </w:rPr>
      </w:pPr>
    </w:p>
    <w:tbl>
      <w:tblPr>
        <w:tblW w:w="9606" w:type="dxa"/>
        <w:tblLayout w:type="fixed"/>
        <w:tblLook w:val="04A0" w:firstRow="1" w:lastRow="0" w:firstColumn="1" w:lastColumn="0" w:noHBand="0" w:noVBand="1"/>
      </w:tblPr>
      <w:tblGrid>
        <w:gridCol w:w="3395"/>
        <w:gridCol w:w="850"/>
        <w:gridCol w:w="1284"/>
        <w:gridCol w:w="1418"/>
        <w:gridCol w:w="1270"/>
        <w:gridCol w:w="1389"/>
      </w:tblGrid>
      <w:tr w:rsidR="002449C2" w14:paraId="3C6E1FA3" w14:textId="77777777">
        <w:trPr>
          <w:cantSplit/>
          <w:trHeight w:val="397"/>
        </w:trPr>
        <w:tc>
          <w:tcPr>
            <w:tcW w:w="3394" w:type="dxa"/>
            <w:vMerge w:val="restart"/>
            <w:tcBorders>
              <w:top w:val="single" w:sz="4" w:space="0" w:color="000000"/>
              <w:left w:val="single" w:sz="4" w:space="0" w:color="000000"/>
              <w:bottom w:val="single" w:sz="4" w:space="0" w:color="000000"/>
              <w:right w:val="single" w:sz="4" w:space="0" w:color="000000"/>
            </w:tcBorders>
          </w:tcPr>
          <w:p w14:paraId="2C4CD8B1"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Показатели</w:t>
            </w:r>
          </w:p>
        </w:tc>
        <w:tc>
          <w:tcPr>
            <w:tcW w:w="850" w:type="dxa"/>
            <w:vMerge w:val="restart"/>
            <w:tcBorders>
              <w:top w:val="single" w:sz="4" w:space="0" w:color="000000"/>
              <w:left w:val="single" w:sz="4" w:space="0" w:color="000000"/>
              <w:bottom w:val="single" w:sz="4" w:space="0" w:color="000000"/>
              <w:right w:val="single" w:sz="4" w:space="0" w:color="000000"/>
            </w:tcBorders>
          </w:tcPr>
          <w:p w14:paraId="1B21D0F3"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Ед. изм.</w:t>
            </w:r>
          </w:p>
        </w:tc>
        <w:tc>
          <w:tcPr>
            <w:tcW w:w="5361" w:type="dxa"/>
            <w:gridSpan w:val="4"/>
            <w:tcBorders>
              <w:top w:val="single" w:sz="4" w:space="0" w:color="000000"/>
              <w:left w:val="single" w:sz="4" w:space="0" w:color="000000"/>
              <w:bottom w:val="single" w:sz="4" w:space="0" w:color="000000"/>
              <w:right w:val="single" w:sz="4" w:space="0" w:color="000000"/>
            </w:tcBorders>
          </w:tcPr>
          <w:p w14:paraId="7B59BB2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Период</w:t>
            </w:r>
          </w:p>
        </w:tc>
      </w:tr>
      <w:tr w:rsidR="002449C2" w14:paraId="46DD69F0" w14:textId="77777777">
        <w:trPr>
          <w:cantSplit/>
        </w:trPr>
        <w:tc>
          <w:tcPr>
            <w:tcW w:w="3394" w:type="dxa"/>
            <w:vMerge/>
            <w:tcBorders>
              <w:top w:val="single" w:sz="4" w:space="0" w:color="000000"/>
              <w:left w:val="single" w:sz="4" w:space="0" w:color="000000"/>
              <w:bottom w:val="single" w:sz="4" w:space="0" w:color="000000"/>
              <w:right w:val="single" w:sz="4" w:space="0" w:color="000000"/>
            </w:tcBorders>
          </w:tcPr>
          <w:p w14:paraId="67C080E9" w14:textId="77777777" w:rsidR="002449C2" w:rsidRDefault="002449C2">
            <w:pPr>
              <w:widowControl w:val="0"/>
              <w:shd w:val="clear" w:color="auto" w:fill="FFFFFF"/>
              <w:spacing w:after="5" w:line="252" w:lineRule="auto"/>
              <w:ind w:left="426" w:right="-143" w:hanging="426"/>
              <w:jc w:val="center"/>
              <w:rPr>
                <w:rFonts w:ascii="Times New Roman" w:eastAsia="Times New Roman" w:hAnsi="Times New Roman"/>
                <w:b/>
                <w:color w:val="000000"/>
                <w:sz w:val="20"/>
                <w:szCs w:val="20"/>
                <w:lang w:eastAsia="ru-RU"/>
              </w:rPr>
            </w:pPr>
          </w:p>
        </w:tc>
        <w:tc>
          <w:tcPr>
            <w:tcW w:w="850" w:type="dxa"/>
            <w:vMerge/>
            <w:tcBorders>
              <w:top w:val="single" w:sz="4" w:space="0" w:color="000000"/>
              <w:left w:val="single" w:sz="4" w:space="0" w:color="000000"/>
              <w:bottom w:val="single" w:sz="4" w:space="0" w:color="000000"/>
              <w:right w:val="single" w:sz="4" w:space="0" w:color="000000"/>
            </w:tcBorders>
          </w:tcPr>
          <w:p w14:paraId="5F1E5C89" w14:textId="77777777" w:rsidR="002449C2" w:rsidRDefault="002449C2">
            <w:pPr>
              <w:widowControl w:val="0"/>
              <w:shd w:val="clear" w:color="auto" w:fill="FFFFFF"/>
              <w:spacing w:after="5" w:line="252" w:lineRule="auto"/>
              <w:ind w:left="426" w:right="-143" w:hanging="426"/>
              <w:jc w:val="center"/>
              <w:rPr>
                <w:rFonts w:ascii="Times New Roman" w:eastAsia="Times New Roman" w:hAnsi="Times New Roman"/>
                <w:b/>
                <w:color w:val="000000"/>
                <w:sz w:val="20"/>
                <w:szCs w:val="20"/>
                <w:lang w:eastAsia="ru-RU"/>
              </w:rPr>
            </w:pPr>
          </w:p>
        </w:tc>
        <w:tc>
          <w:tcPr>
            <w:tcW w:w="1284" w:type="dxa"/>
            <w:tcBorders>
              <w:top w:val="single" w:sz="4" w:space="0" w:color="000000"/>
              <w:left w:val="single" w:sz="4" w:space="0" w:color="000000"/>
              <w:bottom w:val="single" w:sz="4" w:space="0" w:color="000000"/>
              <w:right w:val="single" w:sz="4" w:space="0" w:color="000000"/>
            </w:tcBorders>
          </w:tcPr>
          <w:p w14:paraId="2AD0D135" w14:textId="77777777" w:rsidR="002449C2" w:rsidRDefault="00123961">
            <w:pPr>
              <w:widowControl w:val="0"/>
              <w:shd w:val="clear" w:color="auto" w:fill="FFFFFF"/>
              <w:tabs>
                <w:tab w:val="left" w:pos="24"/>
              </w:tabs>
              <w:spacing w:after="5" w:line="252" w:lineRule="auto"/>
              <w:ind w:left="426" w:right="-143" w:hanging="426"/>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2022 год</w:t>
            </w:r>
          </w:p>
        </w:tc>
        <w:tc>
          <w:tcPr>
            <w:tcW w:w="1418" w:type="dxa"/>
            <w:tcBorders>
              <w:top w:val="single" w:sz="4" w:space="0" w:color="000000"/>
              <w:left w:val="single" w:sz="4" w:space="0" w:color="000000"/>
              <w:bottom w:val="single" w:sz="4" w:space="0" w:color="000000"/>
              <w:right w:val="single" w:sz="4" w:space="0" w:color="000000"/>
            </w:tcBorders>
          </w:tcPr>
          <w:p w14:paraId="27F6A523"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2023 год</w:t>
            </w:r>
          </w:p>
        </w:tc>
        <w:tc>
          <w:tcPr>
            <w:tcW w:w="1270" w:type="dxa"/>
            <w:tcBorders>
              <w:top w:val="single" w:sz="4" w:space="0" w:color="000000"/>
              <w:left w:val="single" w:sz="4" w:space="0" w:color="000000"/>
              <w:bottom w:val="single" w:sz="4" w:space="0" w:color="000000"/>
              <w:right w:val="single" w:sz="4" w:space="0" w:color="000000"/>
            </w:tcBorders>
          </w:tcPr>
          <w:p w14:paraId="3C2A031C"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2024 год</w:t>
            </w:r>
          </w:p>
        </w:tc>
        <w:tc>
          <w:tcPr>
            <w:tcW w:w="1389" w:type="dxa"/>
            <w:tcBorders>
              <w:top w:val="single" w:sz="4" w:space="0" w:color="000000"/>
              <w:left w:val="single" w:sz="4" w:space="0" w:color="000000"/>
              <w:bottom w:val="single" w:sz="4" w:space="0" w:color="000000"/>
              <w:right w:val="single" w:sz="4" w:space="0" w:color="000000"/>
            </w:tcBorders>
          </w:tcPr>
          <w:p w14:paraId="32C62962" w14:textId="77777777" w:rsidR="002449C2" w:rsidRDefault="00123961">
            <w:pPr>
              <w:widowControl w:val="0"/>
              <w:shd w:val="clear" w:color="auto" w:fill="FFFFFF"/>
              <w:tabs>
                <w:tab w:val="left" w:pos="751"/>
              </w:tabs>
              <w:spacing w:after="5" w:line="252" w:lineRule="auto"/>
              <w:ind w:left="426" w:right="-143" w:hanging="426"/>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изменение</w:t>
            </w:r>
          </w:p>
          <w:p w14:paraId="772E50C4"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2024/2023, %</w:t>
            </w:r>
          </w:p>
        </w:tc>
      </w:tr>
      <w:tr w:rsidR="002449C2" w14:paraId="6A2C99DB"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3735E40B"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w:t>
            </w:r>
          </w:p>
        </w:tc>
        <w:tc>
          <w:tcPr>
            <w:tcW w:w="850" w:type="dxa"/>
            <w:tcBorders>
              <w:top w:val="single" w:sz="4" w:space="0" w:color="000000"/>
              <w:left w:val="single" w:sz="4" w:space="0" w:color="000000"/>
              <w:bottom w:val="single" w:sz="4" w:space="0" w:color="000000"/>
              <w:right w:val="single" w:sz="4" w:space="0" w:color="000000"/>
            </w:tcBorders>
          </w:tcPr>
          <w:p w14:paraId="297A5B41"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w:t>
            </w:r>
          </w:p>
        </w:tc>
        <w:tc>
          <w:tcPr>
            <w:tcW w:w="1284" w:type="dxa"/>
            <w:tcBorders>
              <w:top w:val="single" w:sz="4" w:space="0" w:color="000000"/>
              <w:left w:val="single" w:sz="4" w:space="0" w:color="000000"/>
              <w:bottom w:val="single" w:sz="4" w:space="0" w:color="000000"/>
              <w:right w:val="single" w:sz="4" w:space="0" w:color="000000"/>
            </w:tcBorders>
          </w:tcPr>
          <w:p w14:paraId="560B9D9C"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w:t>
            </w:r>
          </w:p>
        </w:tc>
        <w:tc>
          <w:tcPr>
            <w:tcW w:w="1418" w:type="dxa"/>
            <w:tcBorders>
              <w:top w:val="single" w:sz="4" w:space="0" w:color="000000"/>
              <w:left w:val="single" w:sz="4" w:space="0" w:color="000000"/>
              <w:bottom w:val="single" w:sz="4" w:space="0" w:color="000000"/>
              <w:right w:val="single" w:sz="4" w:space="0" w:color="000000"/>
            </w:tcBorders>
          </w:tcPr>
          <w:p w14:paraId="16AA5113"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w:t>
            </w:r>
          </w:p>
        </w:tc>
        <w:tc>
          <w:tcPr>
            <w:tcW w:w="1270" w:type="dxa"/>
            <w:tcBorders>
              <w:top w:val="single" w:sz="4" w:space="0" w:color="000000"/>
              <w:left w:val="single" w:sz="4" w:space="0" w:color="000000"/>
              <w:bottom w:val="single" w:sz="4" w:space="0" w:color="000000"/>
              <w:right w:val="single" w:sz="4" w:space="0" w:color="000000"/>
            </w:tcBorders>
          </w:tcPr>
          <w:p w14:paraId="1EF512DB"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w:t>
            </w:r>
          </w:p>
        </w:tc>
        <w:tc>
          <w:tcPr>
            <w:tcW w:w="1389" w:type="dxa"/>
            <w:tcBorders>
              <w:top w:val="single" w:sz="4" w:space="0" w:color="000000"/>
              <w:left w:val="single" w:sz="4" w:space="0" w:color="000000"/>
              <w:bottom w:val="single" w:sz="4" w:space="0" w:color="000000"/>
              <w:right w:val="single" w:sz="4" w:space="0" w:color="000000"/>
            </w:tcBorders>
          </w:tcPr>
          <w:p w14:paraId="3AE123F1"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w:t>
            </w:r>
          </w:p>
        </w:tc>
      </w:tr>
      <w:tr w:rsidR="002449C2" w14:paraId="38E7F759" w14:textId="77777777">
        <w:trPr>
          <w:cantSplit/>
          <w:trHeight w:val="371"/>
        </w:trPr>
        <w:tc>
          <w:tcPr>
            <w:tcW w:w="9605" w:type="dxa"/>
            <w:gridSpan w:val="6"/>
            <w:tcBorders>
              <w:top w:val="single" w:sz="4" w:space="0" w:color="000000"/>
              <w:left w:val="single" w:sz="4" w:space="0" w:color="000000"/>
              <w:bottom w:val="single" w:sz="4" w:space="0" w:color="000000"/>
              <w:right w:val="single" w:sz="4" w:space="0" w:color="000000"/>
            </w:tcBorders>
          </w:tcPr>
          <w:p w14:paraId="4C17676F"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b/>
                <w:color w:val="000000"/>
                <w:sz w:val="20"/>
                <w:szCs w:val="20"/>
                <w:lang w:eastAsia="ru-RU"/>
              </w:rPr>
              <w:t>Технологическое присоединение</w:t>
            </w:r>
          </w:p>
        </w:tc>
      </w:tr>
      <w:tr w:rsidR="002449C2" w14:paraId="3986013E"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3608EBFF"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Принято в работу заявок на ТП</w:t>
            </w:r>
          </w:p>
        </w:tc>
        <w:tc>
          <w:tcPr>
            <w:tcW w:w="850" w:type="dxa"/>
            <w:tcBorders>
              <w:top w:val="single" w:sz="4" w:space="0" w:color="000000"/>
              <w:left w:val="single" w:sz="4" w:space="0" w:color="000000"/>
              <w:bottom w:val="single" w:sz="4" w:space="0" w:color="000000"/>
              <w:right w:val="single" w:sz="4" w:space="0" w:color="000000"/>
            </w:tcBorders>
          </w:tcPr>
          <w:p w14:paraId="0F52673D"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шт.</w:t>
            </w:r>
          </w:p>
        </w:tc>
        <w:tc>
          <w:tcPr>
            <w:tcW w:w="1284" w:type="dxa"/>
            <w:tcBorders>
              <w:top w:val="single" w:sz="4" w:space="0" w:color="000000"/>
              <w:left w:val="single" w:sz="4" w:space="0" w:color="000000"/>
              <w:bottom w:val="single" w:sz="4" w:space="0" w:color="000000"/>
              <w:right w:val="single" w:sz="4" w:space="0" w:color="000000"/>
            </w:tcBorders>
          </w:tcPr>
          <w:p w14:paraId="674F3B37"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22 624</w:t>
            </w:r>
          </w:p>
        </w:tc>
        <w:tc>
          <w:tcPr>
            <w:tcW w:w="1418" w:type="dxa"/>
            <w:tcBorders>
              <w:top w:val="single" w:sz="4" w:space="0" w:color="000000"/>
              <w:left w:val="single" w:sz="4" w:space="0" w:color="000000"/>
              <w:bottom w:val="single" w:sz="4" w:space="0" w:color="000000"/>
              <w:right w:val="single" w:sz="4" w:space="0" w:color="000000"/>
            </w:tcBorders>
          </w:tcPr>
          <w:p w14:paraId="659FA5B0"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22 035</w:t>
            </w:r>
          </w:p>
        </w:tc>
        <w:tc>
          <w:tcPr>
            <w:tcW w:w="1270" w:type="dxa"/>
            <w:tcBorders>
              <w:top w:val="single" w:sz="4" w:space="0" w:color="000000"/>
              <w:left w:val="single" w:sz="4" w:space="0" w:color="000000"/>
              <w:bottom w:val="single" w:sz="4" w:space="0" w:color="000000"/>
              <w:right w:val="single" w:sz="4" w:space="0" w:color="000000"/>
            </w:tcBorders>
          </w:tcPr>
          <w:p w14:paraId="38A442AE"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24 732</w:t>
            </w:r>
          </w:p>
        </w:tc>
        <w:tc>
          <w:tcPr>
            <w:tcW w:w="1389" w:type="dxa"/>
            <w:tcBorders>
              <w:top w:val="single" w:sz="4" w:space="0" w:color="000000"/>
              <w:left w:val="single" w:sz="4" w:space="0" w:color="000000"/>
              <w:bottom w:val="single" w:sz="4" w:space="0" w:color="000000"/>
              <w:right w:val="single" w:sz="4" w:space="0" w:color="000000"/>
            </w:tcBorders>
          </w:tcPr>
          <w:p w14:paraId="109EDCB7"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12 %</w:t>
            </w:r>
          </w:p>
        </w:tc>
      </w:tr>
      <w:tr w:rsidR="002449C2" w14:paraId="395E2BA6"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64EA7A2B"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Принято в работу заявок на ТП</w:t>
            </w:r>
          </w:p>
        </w:tc>
        <w:tc>
          <w:tcPr>
            <w:tcW w:w="850" w:type="dxa"/>
            <w:tcBorders>
              <w:top w:val="single" w:sz="4" w:space="0" w:color="000000"/>
              <w:left w:val="single" w:sz="4" w:space="0" w:color="000000"/>
              <w:bottom w:val="single" w:sz="4" w:space="0" w:color="000000"/>
              <w:right w:val="single" w:sz="4" w:space="0" w:color="000000"/>
            </w:tcBorders>
          </w:tcPr>
          <w:p w14:paraId="125DAAE0"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кВт</w:t>
            </w:r>
          </w:p>
        </w:tc>
        <w:tc>
          <w:tcPr>
            <w:tcW w:w="1284" w:type="dxa"/>
            <w:tcBorders>
              <w:top w:val="single" w:sz="4" w:space="0" w:color="000000"/>
              <w:left w:val="single" w:sz="4" w:space="0" w:color="000000"/>
              <w:bottom w:val="single" w:sz="4" w:space="0" w:color="000000"/>
              <w:right w:val="single" w:sz="4" w:space="0" w:color="000000"/>
            </w:tcBorders>
          </w:tcPr>
          <w:p w14:paraId="2E711264"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1 789 549</w:t>
            </w:r>
          </w:p>
        </w:tc>
        <w:tc>
          <w:tcPr>
            <w:tcW w:w="1418" w:type="dxa"/>
            <w:tcBorders>
              <w:top w:val="single" w:sz="4" w:space="0" w:color="000000"/>
              <w:left w:val="single" w:sz="4" w:space="0" w:color="000000"/>
              <w:bottom w:val="single" w:sz="4" w:space="0" w:color="000000"/>
              <w:right w:val="single" w:sz="4" w:space="0" w:color="000000"/>
            </w:tcBorders>
          </w:tcPr>
          <w:p w14:paraId="42DB56F3"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1 770 906</w:t>
            </w:r>
          </w:p>
        </w:tc>
        <w:tc>
          <w:tcPr>
            <w:tcW w:w="1270" w:type="dxa"/>
            <w:tcBorders>
              <w:top w:val="single" w:sz="4" w:space="0" w:color="000000"/>
              <w:left w:val="single" w:sz="4" w:space="0" w:color="000000"/>
              <w:bottom w:val="single" w:sz="4" w:space="0" w:color="000000"/>
              <w:right w:val="single" w:sz="4" w:space="0" w:color="000000"/>
            </w:tcBorders>
          </w:tcPr>
          <w:p w14:paraId="73A39332"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2 325 282</w:t>
            </w:r>
          </w:p>
        </w:tc>
        <w:tc>
          <w:tcPr>
            <w:tcW w:w="1389" w:type="dxa"/>
            <w:tcBorders>
              <w:top w:val="single" w:sz="4" w:space="0" w:color="000000"/>
              <w:left w:val="single" w:sz="4" w:space="0" w:color="000000"/>
              <w:bottom w:val="single" w:sz="4" w:space="0" w:color="000000"/>
              <w:right w:val="single" w:sz="4" w:space="0" w:color="000000"/>
            </w:tcBorders>
          </w:tcPr>
          <w:p w14:paraId="6552ED15"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31 %</w:t>
            </w:r>
          </w:p>
        </w:tc>
      </w:tr>
      <w:tr w:rsidR="002449C2" w14:paraId="2285DACF"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6CBD6428"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Заключено договоров ТП</w:t>
            </w:r>
          </w:p>
        </w:tc>
        <w:tc>
          <w:tcPr>
            <w:tcW w:w="850" w:type="dxa"/>
            <w:tcBorders>
              <w:top w:val="single" w:sz="4" w:space="0" w:color="000000"/>
              <w:left w:val="single" w:sz="4" w:space="0" w:color="000000"/>
              <w:bottom w:val="single" w:sz="4" w:space="0" w:color="000000"/>
              <w:right w:val="single" w:sz="4" w:space="0" w:color="000000"/>
            </w:tcBorders>
          </w:tcPr>
          <w:p w14:paraId="38B83F1A"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шт.</w:t>
            </w:r>
          </w:p>
        </w:tc>
        <w:tc>
          <w:tcPr>
            <w:tcW w:w="1284" w:type="dxa"/>
            <w:tcBorders>
              <w:top w:val="single" w:sz="4" w:space="0" w:color="000000"/>
              <w:left w:val="single" w:sz="4" w:space="0" w:color="000000"/>
              <w:bottom w:val="single" w:sz="4" w:space="0" w:color="000000"/>
              <w:right w:val="single" w:sz="4" w:space="0" w:color="000000"/>
            </w:tcBorders>
          </w:tcPr>
          <w:p w14:paraId="0F59A9EE"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14 606</w:t>
            </w:r>
          </w:p>
        </w:tc>
        <w:tc>
          <w:tcPr>
            <w:tcW w:w="1418" w:type="dxa"/>
            <w:tcBorders>
              <w:top w:val="single" w:sz="4" w:space="0" w:color="000000"/>
              <w:left w:val="single" w:sz="4" w:space="0" w:color="000000"/>
              <w:bottom w:val="single" w:sz="4" w:space="0" w:color="000000"/>
              <w:right w:val="single" w:sz="4" w:space="0" w:color="000000"/>
            </w:tcBorders>
          </w:tcPr>
          <w:p w14:paraId="7DD8CEFF"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13 698</w:t>
            </w:r>
          </w:p>
        </w:tc>
        <w:tc>
          <w:tcPr>
            <w:tcW w:w="1270" w:type="dxa"/>
            <w:tcBorders>
              <w:top w:val="single" w:sz="4" w:space="0" w:color="000000"/>
              <w:left w:val="single" w:sz="4" w:space="0" w:color="000000"/>
              <w:bottom w:val="single" w:sz="4" w:space="0" w:color="000000"/>
              <w:right w:val="single" w:sz="4" w:space="0" w:color="000000"/>
            </w:tcBorders>
          </w:tcPr>
          <w:p w14:paraId="018A0E0B"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15 187</w:t>
            </w:r>
          </w:p>
        </w:tc>
        <w:tc>
          <w:tcPr>
            <w:tcW w:w="1389" w:type="dxa"/>
            <w:tcBorders>
              <w:top w:val="single" w:sz="4" w:space="0" w:color="000000"/>
              <w:left w:val="single" w:sz="4" w:space="0" w:color="000000"/>
              <w:bottom w:val="single" w:sz="4" w:space="0" w:color="000000"/>
              <w:right w:val="single" w:sz="4" w:space="0" w:color="000000"/>
            </w:tcBorders>
          </w:tcPr>
          <w:p w14:paraId="284963C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11 %</w:t>
            </w:r>
          </w:p>
        </w:tc>
      </w:tr>
      <w:tr w:rsidR="002449C2" w14:paraId="16AE26C6"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0427EC71"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Заключено договоров ТП</w:t>
            </w:r>
          </w:p>
        </w:tc>
        <w:tc>
          <w:tcPr>
            <w:tcW w:w="850" w:type="dxa"/>
            <w:tcBorders>
              <w:top w:val="single" w:sz="4" w:space="0" w:color="000000"/>
              <w:left w:val="single" w:sz="4" w:space="0" w:color="000000"/>
              <w:bottom w:val="single" w:sz="4" w:space="0" w:color="000000"/>
              <w:right w:val="single" w:sz="4" w:space="0" w:color="000000"/>
            </w:tcBorders>
          </w:tcPr>
          <w:p w14:paraId="0AA64D7C"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кВт</w:t>
            </w:r>
          </w:p>
        </w:tc>
        <w:tc>
          <w:tcPr>
            <w:tcW w:w="1284" w:type="dxa"/>
            <w:tcBorders>
              <w:top w:val="single" w:sz="4" w:space="0" w:color="000000"/>
              <w:left w:val="single" w:sz="4" w:space="0" w:color="000000"/>
              <w:bottom w:val="single" w:sz="4" w:space="0" w:color="000000"/>
              <w:right w:val="single" w:sz="4" w:space="0" w:color="000000"/>
            </w:tcBorders>
          </w:tcPr>
          <w:p w14:paraId="28F74023"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557 283</w:t>
            </w:r>
          </w:p>
        </w:tc>
        <w:tc>
          <w:tcPr>
            <w:tcW w:w="1418" w:type="dxa"/>
            <w:tcBorders>
              <w:top w:val="single" w:sz="4" w:space="0" w:color="000000"/>
              <w:left w:val="single" w:sz="4" w:space="0" w:color="000000"/>
              <w:bottom w:val="single" w:sz="4" w:space="0" w:color="000000"/>
              <w:right w:val="single" w:sz="4" w:space="0" w:color="000000"/>
            </w:tcBorders>
          </w:tcPr>
          <w:p w14:paraId="306455BF"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605 354</w:t>
            </w:r>
          </w:p>
        </w:tc>
        <w:tc>
          <w:tcPr>
            <w:tcW w:w="1270" w:type="dxa"/>
            <w:tcBorders>
              <w:top w:val="single" w:sz="4" w:space="0" w:color="000000"/>
              <w:left w:val="single" w:sz="4" w:space="0" w:color="000000"/>
              <w:bottom w:val="single" w:sz="4" w:space="0" w:color="000000"/>
              <w:right w:val="single" w:sz="4" w:space="0" w:color="000000"/>
            </w:tcBorders>
          </w:tcPr>
          <w:p w14:paraId="143A461C"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635 957</w:t>
            </w:r>
          </w:p>
        </w:tc>
        <w:tc>
          <w:tcPr>
            <w:tcW w:w="1389" w:type="dxa"/>
            <w:tcBorders>
              <w:top w:val="single" w:sz="4" w:space="0" w:color="000000"/>
              <w:left w:val="single" w:sz="4" w:space="0" w:color="000000"/>
              <w:bottom w:val="single" w:sz="4" w:space="0" w:color="000000"/>
              <w:right w:val="single" w:sz="4" w:space="0" w:color="000000"/>
            </w:tcBorders>
          </w:tcPr>
          <w:p w14:paraId="1AA06778"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5 %</w:t>
            </w:r>
          </w:p>
        </w:tc>
      </w:tr>
      <w:tr w:rsidR="002449C2" w14:paraId="0FCB0587"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3212304B"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Исполнено договоров ТП</w:t>
            </w:r>
          </w:p>
        </w:tc>
        <w:tc>
          <w:tcPr>
            <w:tcW w:w="850" w:type="dxa"/>
            <w:tcBorders>
              <w:top w:val="single" w:sz="4" w:space="0" w:color="000000"/>
              <w:left w:val="single" w:sz="4" w:space="0" w:color="000000"/>
              <w:bottom w:val="single" w:sz="4" w:space="0" w:color="000000"/>
              <w:right w:val="single" w:sz="4" w:space="0" w:color="000000"/>
            </w:tcBorders>
          </w:tcPr>
          <w:p w14:paraId="7ED36B78"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шт.</w:t>
            </w:r>
          </w:p>
        </w:tc>
        <w:tc>
          <w:tcPr>
            <w:tcW w:w="1284" w:type="dxa"/>
            <w:tcBorders>
              <w:top w:val="single" w:sz="4" w:space="0" w:color="000000"/>
              <w:left w:val="single" w:sz="4" w:space="0" w:color="000000"/>
              <w:bottom w:val="single" w:sz="4" w:space="0" w:color="000000"/>
              <w:right w:val="single" w:sz="4" w:space="0" w:color="000000"/>
            </w:tcBorders>
          </w:tcPr>
          <w:p w14:paraId="0FCEE853"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19 878</w:t>
            </w:r>
          </w:p>
        </w:tc>
        <w:tc>
          <w:tcPr>
            <w:tcW w:w="1418" w:type="dxa"/>
            <w:tcBorders>
              <w:top w:val="single" w:sz="4" w:space="0" w:color="000000"/>
              <w:left w:val="single" w:sz="4" w:space="0" w:color="000000"/>
              <w:bottom w:val="single" w:sz="4" w:space="0" w:color="000000"/>
              <w:right w:val="single" w:sz="4" w:space="0" w:color="000000"/>
            </w:tcBorders>
          </w:tcPr>
          <w:p w14:paraId="0FB36E7B"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14 904</w:t>
            </w:r>
          </w:p>
        </w:tc>
        <w:tc>
          <w:tcPr>
            <w:tcW w:w="1270" w:type="dxa"/>
            <w:tcBorders>
              <w:top w:val="single" w:sz="4" w:space="0" w:color="000000"/>
              <w:left w:val="single" w:sz="4" w:space="0" w:color="000000"/>
              <w:bottom w:val="single" w:sz="4" w:space="0" w:color="000000"/>
              <w:right w:val="single" w:sz="4" w:space="0" w:color="000000"/>
            </w:tcBorders>
          </w:tcPr>
          <w:p w14:paraId="71A20C3E"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16 340</w:t>
            </w:r>
          </w:p>
        </w:tc>
        <w:tc>
          <w:tcPr>
            <w:tcW w:w="1389" w:type="dxa"/>
            <w:tcBorders>
              <w:top w:val="single" w:sz="4" w:space="0" w:color="000000"/>
              <w:left w:val="single" w:sz="4" w:space="0" w:color="000000"/>
              <w:bottom w:val="single" w:sz="4" w:space="0" w:color="000000"/>
              <w:right w:val="single" w:sz="4" w:space="0" w:color="000000"/>
            </w:tcBorders>
          </w:tcPr>
          <w:p w14:paraId="70BCA320"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10 %</w:t>
            </w:r>
          </w:p>
        </w:tc>
      </w:tr>
      <w:tr w:rsidR="002449C2" w14:paraId="400194EC"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7A9FCC1A"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Исполнено договоров ТП</w:t>
            </w:r>
          </w:p>
        </w:tc>
        <w:tc>
          <w:tcPr>
            <w:tcW w:w="850" w:type="dxa"/>
            <w:tcBorders>
              <w:top w:val="single" w:sz="4" w:space="0" w:color="000000"/>
              <w:left w:val="single" w:sz="4" w:space="0" w:color="000000"/>
              <w:bottom w:val="single" w:sz="4" w:space="0" w:color="000000"/>
              <w:right w:val="single" w:sz="4" w:space="0" w:color="000000"/>
            </w:tcBorders>
          </w:tcPr>
          <w:p w14:paraId="5F660D43"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кВт</w:t>
            </w:r>
          </w:p>
        </w:tc>
        <w:tc>
          <w:tcPr>
            <w:tcW w:w="1284" w:type="dxa"/>
            <w:tcBorders>
              <w:top w:val="single" w:sz="4" w:space="0" w:color="000000"/>
              <w:left w:val="single" w:sz="4" w:space="0" w:color="000000"/>
              <w:bottom w:val="single" w:sz="4" w:space="0" w:color="000000"/>
              <w:right w:val="single" w:sz="4" w:space="0" w:color="000000"/>
            </w:tcBorders>
          </w:tcPr>
          <w:p w14:paraId="69179B14"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445 588</w:t>
            </w:r>
          </w:p>
        </w:tc>
        <w:tc>
          <w:tcPr>
            <w:tcW w:w="1418" w:type="dxa"/>
            <w:tcBorders>
              <w:top w:val="single" w:sz="4" w:space="0" w:color="000000"/>
              <w:left w:val="single" w:sz="4" w:space="0" w:color="000000"/>
              <w:bottom w:val="single" w:sz="4" w:space="0" w:color="000000"/>
              <w:right w:val="single" w:sz="4" w:space="0" w:color="000000"/>
            </w:tcBorders>
          </w:tcPr>
          <w:p w14:paraId="49A54301"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457 865</w:t>
            </w:r>
          </w:p>
        </w:tc>
        <w:tc>
          <w:tcPr>
            <w:tcW w:w="1270" w:type="dxa"/>
            <w:tcBorders>
              <w:top w:val="single" w:sz="4" w:space="0" w:color="000000"/>
              <w:left w:val="single" w:sz="4" w:space="0" w:color="000000"/>
              <w:bottom w:val="single" w:sz="4" w:space="0" w:color="000000"/>
              <w:right w:val="single" w:sz="4" w:space="0" w:color="000000"/>
            </w:tcBorders>
          </w:tcPr>
          <w:p w14:paraId="6408570D"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480 553</w:t>
            </w:r>
          </w:p>
        </w:tc>
        <w:tc>
          <w:tcPr>
            <w:tcW w:w="1389" w:type="dxa"/>
            <w:tcBorders>
              <w:top w:val="single" w:sz="4" w:space="0" w:color="000000"/>
              <w:left w:val="single" w:sz="4" w:space="0" w:color="000000"/>
              <w:bottom w:val="single" w:sz="4" w:space="0" w:color="000000"/>
              <w:right w:val="single" w:sz="4" w:space="0" w:color="000000"/>
            </w:tcBorders>
          </w:tcPr>
          <w:p w14:paraId="2F0077D3"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5 %</w:t>
            </w:r>
          </w:p>
        </w:tc>
      </w:tr>
      <w:tr w:rsidR="002449C2" w14:paraId="6E36DC46"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17BAEF37"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Действующие договоры ТП</w:t>
            </w:r>
          </w:p>
        </w:tc>
        <w:tc>
          <w:tcPr>
            <w:tcW w:w="850" w:type="dxa"/>
            <w:tcBorders>
              <w:top w:val="single" w:sz="4" w:space="0" w:color="000000"/>
              <w:left w:val="single" w:sz="4" w:space="0" w:color="000000"/>
              <w:bottom w:val="single" w:sz="4" w:space="0" w:color="000000"/>
              <w:right w:val="single" w:sz="4" w:space="0" w:color="000000"/>
            </w:tcBorders>
          </w:tcPr>
          <w:p w14:paraId="7977BD69"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шт.</w:t>
            </w:r>
          </w:p>
        </w:tc>
        <w:tc>
          <w:tcPr>
            <w:tcW w:w="1284" w:type="dxa"/>
            <w:tcBorders>
              <w:top w:val="single" w:sz="4" w:space="0" w:color="000000"/>
              <w:left w:val="single" w:sz="4" w:space="0" w:color="000000"/>
              <w:bottom w:val="single" w:sz="4" w:space="0" w:color="000000"/>
              <w:right w:val="single" w:sz="4" w:space="0" w:color="000000"/>
            </w:tcBorders>
          </w:tcPr>
          <w:p w14:paraId="01AA5A56"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11 509</w:t>
            </w:r>
          </w:p>
        </w:tc>
        <w:tc>
          <w:tcPr>
            <w:tcW w:w="1418" w:type="dxa"/>
            <w:tcBorders>
              <w:top w:val="single" w:sz="4" w:space="0" w:color="000000"/>
              <w:left w:val="single" w:sz="4" w:space="0" w:color="000000"/>
              <w:bottom w:val="single" w:sz="4" w:space="0" w:color="000000"/>
              <w:right w:val="single" w:sz="4" w:space="0" w:color="000000"/>
            </w:tcBorders>
          </w:tcPr>
          <w:p w14:paraId="7F584C03"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9 340</w:t>
            </w:r>
          </w:p>
        </w:tc>
        <w:tc>
          <w:tcPr>
            <w:tcW w:w="1270" w:type="dxa"/>
            <w:tcBorders>
              <w:top w:val="single" w:sz="4" w:space="0" w:color="000000"/>
              <w:left w:val="single" w:sz="4" w:space="0" w:color="000000"/>
              <w:bottom w:val="single" w:sz="4" w:space="0" w:color="000000"/>
              <w:right w:val="single" w:sz="4" w:space="0" w:color="000000"/>
            </w:tcBorders>
          </w:tcPr>
          <w:p w14:paraId="796906D3"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7 642</w:t>
            </w:r>
          </w:p>
        </w:tc>
        <w:tc>
          <w:tcPr>
            <w:tcW w:w="1389" w:type="dxa"/>
            <w:tcBorders>
              <w:top w:val="single" w:sz="4" w:space="0" w:color="000000"/>
              <w:left w:val="single" w:sz="4" w:space="0" w:color="000000"/>
              <w:bottom w:val="single" w:sz="4" w:space="0" w:color="000000"/>
              <w:right w:val="single" w:sz="4" w:space="0" w:color="000000"/>
            </w:tcBorders>
          </w:tcPr>
          <w:p w14:paraId="4D37BC12"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- 18 %</w:t>
            </w:r>
          </w:p>
        </w:tc>
      </w:tr>
      <w:tr w:rsidR="002449C2" w14:paraId="5AB1822D"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49AD4C2F"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Действующие договоры ТП</w:t>
            </w:r>
          </w:p>
        </w:tc>
        <w:tc>
          <w:tcPr>
            <w:tcW w:w="850" w:type="dxa"/>
            <w:tcBorders>
              <w:top w:val="single" w:sz="4" w:space="0" w:color="000000"/>
              <w:left w:val="single" w:sz="4" w:space="0" w:color="000000"/>
              <w:bottom w:val="single" w:sz="4" w:space="0" w:color="000000"/>
              <w:right w:val="single" w:sz="4" w:space="0" w:color="000000"/>
            </w:tcBorders>
          </w:tcPr>
          <w:p w14:paraId="18509080"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кВт</w:t>
            </w:r>
          </w:p>
        </w:tc>
        <w:tc>
          <w:tcPr>
            <w:tcW w:w="1284" w:type="dxa"/>
            <w:tcBorders>
              <w:top w:val="single" w:sz="4" w:space="0" w:color="000000"/>
              <w:left w:val="single" w:sz="4" w:space="0" w:color="000000"/>
              <w:bottom w:val="single" w:sz="4" w:space="0" w:color="000000"/>
              <w:right w:val="single" w:sz="4" w:space="0" w:color="000000"/>
            </w:tcBorders>
          </w:tcPr>
          <w:p w14:paraId="65C447C7"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1 195 747</w:t>
            </w:r>
          </w:p>
        </w:tc>
        <w:tc>
          <w:tcPr>
            <w:tcW w:w="1418" w:type="dxa"/>
            <w:tcBorders>
              <w:top w:val="single" w:sz="4" w:space="0" w:color="000000"/>
              <w:left w:val="single" w:sz="4" w:space="0" w:color="000000"/>
              <w:bottom w:val="single" w:sz="4" w:space="0" w:color="000000"/>
              <w:right w:val="single" w:sz="4" w:space="0" w:color="000000"/>
            </w:tcBorders>
          </w:tcPr>
          <w:p w14:paraId="36028FDC"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1 266 866</w:t>
            </w:r>
          </w:p>
        </w:tc>
        <w:tc>
          <w:tcPr>
            <w:tcW w:w="1270" w:type="dxa"/>
            <w:tcBorders>
              <w:top w:val="single" w:sz="4" w:space="0" w:color="000000"/>
              <w:left w:val="single" w:sz="4" w:space="0" w:color="000000"/>
              <w:bottom w:val="single" w:sz="4" w:space="0" w:color="000000"/>
              <w:right w:val="single" w:sz="4" w:space="0" w:color="000000"/>
            </w:tcBorders>
          </w:tcPr>
          <w:p w14:paraId="1B55BA5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1 271 978</w:t>
            </w:r>
          </w:p>
        </w:tc>
        <w:tc>
          <w:tcPr>
            <w:tcW w:w="1389" w:type="dxa"/>
            <w:tcBorders>
              <w:top w:val="single" w:sz="4" w:space="0" w:color="000000"/>
              <w:left w:val="single" w:sz="4" w:space="0" w:color="000000"/>
              <w:bottom w:val="single" w:sz="4" w:space="0" w:color="000000"/>
              <w:right w:val="single" w:sz="4" w:space="0" w:color="000000"/>
            </w:tcBorders>
          </w:tcPr>
          <w:p w14:paraId="42DAB07D"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0,4 %</w:t>
            </w:r>
          </w:p>
        </w:tc>
      </w:tr>
      <w:tr w:rsidR="002449C2" w14:paraId="1C0F769C" w14:textId="77777777">
        <w:trPr>
          <w:cantSplit/>
        </w:trPr>
        <w:tc>
          <w:tcPr>
            <w:tcW w:w="9605" w:type="dxa"/>
            <w:gridSpan w:val="6"/>
            <w:tcBorders>
              <w:top w:val="single" w:sz="4" w:space="0" w:color="000000"/>
              <w:left w:val="single" w:sz="4" w:space="0" w:color="000000"/>
              <w:bottom w:val="single" w:sz="4" w:space="0" w:color="000000"/>
              <w:right w:val="single" w:sz="4" w:space="0" w:color="000000"/>
            </w:tcBorders>
          </w:tcPr>
          <w:p w14:paraId="66DBDF39" w14:textId="77777777" w:rsidR="002449C2" w:rsidRDefault="00123961">
            <w:pPr>
              <w:widowControl w:val="0"/>
              <w:shd w:val="clear" w:color="auto" w:fill="FFFFFF"/>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bCs/>
                <w:i/>
                <w:color w:val="000000"/>
                <w:sz w:val="20"/>
                <w:szCs w:val="20"/>
                <w:lang w:eastAsia="ru-RU"/>
              </w:rPr>
              <w:t>Структура исполненных договоров по категориям заявителей:</w:t>
            </w:r>
          </w:p>
        </w:tc>
      </w:tr>
      <w:tr w:rsidR="002449C2" w14:paraId="0976A596"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1845FD8A"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До 15 кВт включительно</w:t>
            </w:r>
          </w:p>
        </w:tc>
        <w:tc>
          <w:tcPr>
            <w:tcW w:w="850" w:type="dxa"/>
            <w:tcBorders>
              <w:top w:val="single" w:sz="4" w:space="0" w:color="000000"/>
              <w:left w:val="single" w:sz="4" w:space="0" w:color="000000"/>
              <w:bottom w:val="single" w:sz="4" w:space="0" w:color="000000"/>
              <w:right w:val="single" w:sz="4" w:space="0" w:color="000000"/>
            </w:tcBorders>
          </w:tcPr>
          <w:p w14:paraId="501C59D1"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шт.</w:t>
            </w:r>
          </w:p>
        </w:tc>
        <w:tc>
          <w:tcPr>
            <w:tcW w:w="1284" w:type="dxa"/>
            <w:tcBorders>
              <w:top w:val="single" w:sz="4" w:space="0" w:color="000000"/>
              <w:left w:val="single" w:sz="4" w:space="0" w:color="000000"/>
              <w:bottom w:val="single" w:sz="4" w:space="0" w:color="000000"/>
              <w:right w:val="single" w:sz="4" w:space="0" w:color="000000"/>
            </w:tcBorders>
          </w:tcPr>
          <w:p w14:paraId="6AAE9A17"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18 693</w:t>
            </w:r>
          </w:p>
        </w:tc>
        <w:tc>
          <w:tcPr>
            <w:tcW w:w="1418" w:type="dxa"/>
            <w:tcBorders>
              <w:top w:val="single" w:sz="4" w:space="0" w:color="000000"/>
              <w:left w:val="single" w:sz="4" w:space="0" w:color="000000"/>
              <w:bottom w:val="single" w:sz="4" w:space="0" w:color="000000"/>
              <w:right w:val="single" w:sz="4" w:space="0" w:color="000000"/>
            </w:tcBorders>
          </w:tcPr>
          <w:p w14:paraId="475A452A"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13 459</w:t>
            </w:r>
          </w:p>
        </w:tc>
        <w:tc>
          <w:tcPr>
            <w:tcW w:w="1270" w:type="dxa"/>
            <w:tcBorders>
              <w:top w:val="single" w:sz="4" w:space="0" w:color="000000"/>
              <w:left w:val="single" w:sz="4" w:space="0" w:color="000000"/>
              <w:bottom w:val="single" w:sz="4" w:space="0" w:color="000000"/>
              <w:right w:val="single" w:sz="4" w:space="0" w:color="000000"/>
            </w:tcBorders>
          </w:tcPr>
          <w:p w14:paraId="6D1C29CE"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14 944</w:t>
            </w:r>
          </w:p>
        </w:tc>
        <w:tc>
          <w:tcPr>
            <w:tcW w:w="1389" w:type="dxa"/>
            <w:tcBorders>
              <w:top w:val="single" w:sz="4" w:space="0" w:color="000000"/>
              <w:left w:val="single" w:sz="4" w:space="0" w:color="000000"/>
              <w:bottom w:val="single" w:sz="4" w:space="0" w:color="000000"/>
              <w:right w:val="single" w:sz="4" w:space="0" w:color="000000"/>
            </w:tcBorders>
          </w:tcPr>
          <w:p w14:paraId="6C7CC3F6"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11 %</w:t>
            </w:r>
          </w:p>
        </w:tc>
      </w:tr>
      <w:tr w:rsidR="002449C2" w14:paraId="443E92C9"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27BB30A7"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Свыше 15 и до 150 кВт включительно</w:t>
            </w:r>
          </w:p>
        </w:tc>
        <w:tc>
          <w:tcPr>
            <w:tcW w:w="850" w:type="dxa"/>
            <w:tcBorders>
              <w:top w:val="single" w:sz="4" w:space="0" w:color="000000"/>
              <w:left w:val="single" w:sz="4" w:space="0" w:color="000000"/>
              <w:bottom w:val="single" w:sz="4" w:space="0" w:color="000000"/>
              <w:right w:val="single" w:sz="4" w:space="0" w:color="000000"/>
            </w:tcBorders>
          </w:tcPr>
          <w:p w14:paraId="5346433E"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шт.</w:t>
            </w:r>
          </w:p>
        </w:tc>
        <w:tc>
          <w:tcPr>
            <w:tcW w:w="1284" w:type="dxa"/>
            <w:tcBorders>
              <w:top w:val="single" w:sz="4" w:space="0" w:color="000000"/>
              <w:left w:val="single" w:sz="4" w:space="0" w:color="000000"/>
              <w:bottom w:val="single" w:sz="4" w:space="0" w:color="000000"/>
              <w:right w:val="single" w:sz="4" w:space="0" w:color="000000"/>
            </w:tcBorders>
          </w:tcPr>
          <w:p w14:paraId="498E93CA"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1 014</w:t>
            </w:r>
          </w:p>
        </w:tc>
        <w:tc>
          <w:tcPr>
            <w:tcW w:w="1418" w:type="dxa"/>
            <w:tcBorders>
              <w:top w:val="single" w:sz="4" w:space="0" w:color="000000"/>
              <w:left w:val="single" w:sz="4" w:space="0" w:color="000000"/>
              <w:bottom w:val="single" w:sz="4" w:space="0" w:color="000000"/>
              <w:right w:val="single" w:sz="4" w:space="0" w:color="000000"/>
            </w:tcBorders>
          </w:tcPr>
          <w:p w14:paraId="7DC8864B"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1 225</w:t>
            </w:r>
          </w:p>
        </w:tc>
        <w:tc>
          <w:tcPr>
            <w:tcW w:w="1270" w:type="dxa"/>
            <w:tcBorders>
              <w:top w:val="single" w:sz="4" w:space="0" w:color="000000"/>
              <w:left w:val="single" w:sz="4" w:space="0" w:color="000000"/>
              <w:bottom w:val="single" w:sz="4" w:space="0" w:color="000000"/>
              <w:right w:val="single" w:sz="4" w:space="0" w:color="000000"/>
            </w:tcBorders>
          </w:tcPr>
          <w:p w14:paraId="10D4EA41"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1 171</w:t>
            </w:r>
          </w:p>
        </w:tc>
        <w:tc>
          <w:tcPr>
            <w:tcW w:w="1389" w:type="dxa"/>
            <w:tcBorders>
              <w:top w:val="single" w:sz="4" w:space="0" w:color="000000"/>
              <w:left w:val="single" w:sz="4" w:space="0" w:color="000000"/>
              <w:bottom w:val="single" w:sz="4" w:space="0" w:color="000000"/>
              <w:right w:val="single" w:sz="4" w:space="0" w:color="000000"/>
            </w:tcBorders>
          </w:tcPr>
          <w:p w14:paraId="532B6E98"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- 4 %</w:t>
            </w:r>
          </w:p>
        </w:tc>
      </w:tr>
      <w:tr w:rsidR="002449C2" w14:paraId="7BB2B204"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2F92137E"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Свыше 150 кВт и менее 670 кВт</w:t>
            </w:r>
          </w:p>
        </w:tc>
        <w:tc>
          <w:tcPr>
            <w:tcW w:w="850" w:type="dxa"/>
            <w:tcBorders>
              <w:top w:val="single" w:sz="4" w:space="0" w:color="000000"/>
              <w:left w:val="single" w:sz="4" w:space="0" w:color="000000"/>
              <w:bottom w:val="single" w:sz="4" w:space="0" w:color="000000"/>
              <w:right w:val="single" w:sz="4" w:space="0" w:color="000000"/>
            </w:tcBorders>
          </w:tcPr>
          <w:p w14:paraId="1202A6E3"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шт.</w:t>
            </w:r>
          </w:p>
        </w:tc>
        <w:tc>
          <w:tcPr>
            <w:tcW w:w="1284" w:type="dxa"/>
            <w:tcBorders>
              <w:top w:val="single" w:sz="4" w:space="0" w:color="000000"/>
              <w:left w:val="single" w:sz="4" w:space="0" w:color="000000"/>
              <w:bottom w:val="single" w:sz="4" w:space="0" w:color="000000"/>
              <w:right w:val="single" w:sz="4" w:space="0" w:color="000000"/>
            </w:tcBorders>
          </w:tcPr>
          <w:p w14:paraId="0AC90B57"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90</w:t>
            </w:r>
          </w:p>
        </w:tc>
        <w:tc>
          <w:tcPr>
            <w:tcW w:w="1418" w:type="dxa"/>
            <w:tcBorders>
              <w:top w:val="single" w:sz="4" w:space="0" w:color="000000"/>
              <w:left w:val="single" w:sz="4" w:space="0" w:color="000000"/>
              <w:bottom w:val="single" w:sz="4" w:space="0" w:color="000000"/>
              <w:right w:val="single" w:sz="4" w:space="0" w:color="000000"/>
            </w:tcBorders>
          </w:tcPr>
          <w:p w14:paraId="5DC4B6E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110</w:t>
            </w:r>
          </w:p>
        </w:tc>
        <w:tc>
          <w:tcPr>
            <w:tcW w:w="1270" w:type="dxa"/>
            <w:tcBorders>
              <w:top w:val="single" w:sz="4" w:space="0" w:color="000000"/>
              <w:left w:val="single" w:sz="4" w:space="0" w:color="000000"/>
              <w:bottom w:val="single" w:sz="4" w:space="0" w:color="000000"/>
              <w:right w:val="single" w:sz="4" w:space="0" w:color="000000"/>
            </w:tcBorders>
          </w:tcPr>
          <w:p w14:paraId="5EA9EC3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105</w:t>
            </w:r>
          </w:p>
        </w:tc>
        <w:tc>
          <w:tcPr>
            <w:tcW w:w="1389" w:type="dxa"/>
            <w:tcBorders>
              <w:top w:val="single" w:sz="4" w:space="0" w:color="000000"/>
              <w:left w:val="single" w:sz="4" w:space="0" w:color="000000"/>
              <w:bottom w:val="single" w:sz="4" w:space="0" w:color="000000"/>
              <w:right w:val="single" w:sz="4" w:space="0" w:color="000000"/>
            </w:tcBorders>
          </w:tcPr>
          <w:p w14:paraId="37D82FE8"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- 5 %</w:t>
            </w:r>
          </w:p>
        </w:tc>
      </w:tr>
      <w:tr w:rsidR="002449C2" w14:paraId="2E9050BB"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11644263"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Не менее 670 кВт</w:t>
            </w:r>
          </w:p>
        </w:tc>
        <w:tc>
          <w:tcPr>
            <w:tcW w:w="850" w:type="dxa"/>
            <w:tcBorders>
              <w:top w:val="single" w:sz="4" w:space="0" w:color="000000"/>
              <w:left w:val="single" w:sz="4" w:space="0" w:color="000000"/>
              <w:bottom w:val="single" w:sz="4" w:space="0" w:color="000000"/>
              <w:right w:val="single" w:sz="4" w:space="0" w:color="000000"/>
            </w:tcBorders>
          </w:tcPr>
          <w:p w14:paraId="4E53780D"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шт.</w:t>
            </w:r>
          </w:p>
        </w:tc>
        <w:tc>
          <w:tcPr>
            <w:tcW w:w="1284" w:type="dxa"/>
            <w:tcBorders>
              <w:top w:val="single" w:sz="4" w:space="0" w:color="000000"/>
              <w:left w:val="single" w:sz="4" w:space="0" w:color="000000"/>
              <w:bottom w:val="single" w:sz="4" w:space="0" w:color="000000"/>
              <w:right w:val="single" w:sz="4" w:space="0" w:color="000000"/>
            </w:tcBorders>
          </w:tcPr>
          <w:p w14:paraId="73316B61"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79</w:t>
            </w:r>
          </w:p>
        </w:tc>
        <w:tc>
          <w:tcPr>
            <w:tcW w:w="1418" w:type="dxa"/>
            <w:tcBorders>
              <w:top w:val="single" w:sz="4" w:space="0" w:color="000000"/>
              <w:left w:val="single" w:sz="4" w:space="0" w:color="000000"/>
              <w:bottom w:val="single" w:sz="4" w:space="0" w:color="000000"/>
              <w:right w:val="single" w:sz="4" w:space="0" w:color="000000"/>
            </w:tcBorders>
          </w:tcPr>
          <w:p w14:paraId="49F14E37"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106</w:t>
            </w:r>
          </w:p>
        </w:tc>
        <w:tc>
          <w:tcPr>
            <w:tcW w:w="1270" w:type="dxa"/>
            <w:tcBorders>
              <w:top w:val="single" w:sz="4" w:space="0" w:color="000000"/>
              <w:left w:val="single" w:sz="4" w:space="0" w:color="000000"/>
              <w:bottom w:val="single" w:sz="4" w:space="0" w:color="000000"/>
              <w:right w:val="single" w:sz="4" w:space="0" w:color="000000"/>
            </w:tcBorders>
          </w:tcPr>
          <w:p w14:paraId="49527610"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111</w:t>
            </w:r>
          </w:p>
        </w:tc>
        <w:tc>
          <w:tcPr>
            <w:tcW w:w="1389" w:type="dxa"/>
            <w:tcBorders>
              <w:top w:val="single" w:sz="4" w:space="0" w:color="000000"/>
              <w:left w:val="single" w:sz="4" w:space="0" w:color="000000"/>
              <w:bottom w:val="single" w:sz="4" w:space="0" w:color="000000"/>
              <w:right w:val="single" w:sz="4" w:space="0" w:color="000000"/>
            </w:tcBorders>
          </w:tcPr>
          <w:p w14:paraId="7B8814BB"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5 %</w:t>
            </w:r>
          </w:p>
        </w:tc>
      </w:tr>
      <w:tr w:rsidR="002449C2" w14:paraId="34E0EF67"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7175E714"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Генерация</w:t>
            </w:r>
          </w:p>
        </w:tc>
        <w:tc>
          <w:tcPr>
            <w:tcW w:w="850" w:type="dxa"/>
            <w:tcBorders>
              <w:top w:val="single" w:sz="4" w:space="0" w:color="000000"/>
              <w:left w:val="single" w:sz="4" w:space="0" w:color="000000"/>
              <w:bottom w:val="single" w:sz="4" w:space="0" w:color="000000"/>
              <w:right w:val="single" w:sz="4" w:space="0" w:color="000000"/>
            </w:tcBorders>
          </w:tcPr>
          <w:p w14:paraId="532EDF9A"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шт.</w:t>
            </w:r>
          </w:p>
        </w:tc>
        <w:tc>
          <w:tcPr>
            <w:tcW w:w="1284" w:type="dxa"/>
            <w:tcBorders>
              <w:top w:val="single" w:sz="4" w:space="0" w:color="000000"/>
              <w:left w:val="single" w:sz="4" w:space="0" w:color="000000"/>
              <w:bottom w:val="single" w:sz="4" w:space="0" w:color="000000"/>
              <w:right w:val="single" w:sz="4" w:space="0" w:color="000000"/>
            </w:tcBorders>
          </w:tcPr>
          <w:p w14:paraId="4845022B"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w:t>
            </w:r>
          </w:p>
        </w:tc>
        <w:tc>
          <w:tcPr>
            <w:tcW w:w="1418" w:type="dxa"/>
            <w:tcBorders>
              <w:top w:val="single" w:sz="4" w:space="0" w:color="000000"/>
              <w:left w:val="single" w:sz="4" w:space="0" w:color="000000"/>
              <w:bottom w:val="single" w:sz="4" w:space="0" w:color="000000"/>
              <w:right w:val="single" w:sz="4" w:space="0" w:color="000000"/>
            </w:tcBorders>
          </w:tcPr>
          <w:p w14:paraId="1A7102B1"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w:t>
            </w:r>
          </w:p>
        </w:tc>
        <w:tc>
          <w:tcPr>
            <w:tcW w:w="1270" w:type="dxa"/>
            <w:tcBorders>
              <w:top w:val="single" w:sz="4" w:space="0" w:color="000000"/>
              <w:left w:val="single" w:sz="4" w:space="0" w:color="000000"/>
              <w:bottom w:val="single" w:sz="4" w:space="0" w:color="000000"/>
              <w:right w:val="single" w:sz="4" w:space="0" w:color="000000"/>
            </w:tcBorders>
          </w:tcPr>
          <w:p w14:paraId="7C80F652"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w:t>
            </w:r>
          </w:p>
        </w:tc>
        <w:tc>
          <w:tcPr>
            <w:tcW w:w="1389" w:type="dxa"/>
            <w:tcBorders>
              <w:top w:val="single" w:sz="4" w:space="0" w:color="000000"/>
              <w:left w:val="single" w:sz="4" w:space="0" w:color="000000"/>
              <w:bottom w:val="single" w:sz="4" w:space="0" w:color="000000"/>
              <w:right w:val="single" w:sz="4" w:space="0" w:color="000000"/>
            </w:tcBorders>
          </w:tcPr>
          <w:p w14:paraId="7A76A691"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125 %</w:t>
            </w:r>
          </w:p>
        </w:tc>
      </w:tr>
      <w:tr w:rsidR="002449C2" w14:paraId="65E66D29"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344D1D75"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До 15 кВт включительно</w:t>
            </w:r>
          </w:p>
        </w:tc>
        <w:tc>
          <w:tcPr>
            <w:tcW w:w="850" w:type="dxa"/>
            <w:tcBorders>
              <w:top w:val="single" w:sz="4" w:space="0" w:color="000000"/>
              <w:left w:val="single" w:sz="4" w:space="0" w:color="000000"/>
              <w:bottom w:val="single" w:sz="4" w:space="0" w:color="000000"/>
              <w:right w:val="single" w:sz="4" w:space="0" w:color="000000"/>
            </w:tcBorders>
          </w:tcPr>
          <w:p w14:paraId="0D6FDF95"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кВт</w:t>
            </w:r>
          </w:p>
        </w:tc>
        <w:tc>
          <w:tcPr>
            <w:tcW w:w="1284" w:type="dxa"/>
            <w:tcBorders>
              <w:top w:val="single" w:sz="4" w:space="0" w:color="000000"/>
              <w:left w:val="single" w:sz="4" w:space="0" w:color="000000"/>
              <w:bottom w:val="single" w:sz="4" w:space="0" w:color="000000"/>
              <w:right w:val="single" w:sz="4" w:space="0" w:color="000000"/>
            </w:tcBorders>
          </w:tcPr>
          <w:p w14:paraId="17E114F3"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203 804</w:t>
            </w:r>
          </w:p>
        </w:tc>
        <w:tc>
          <w:tcPr>
            <w:tcW w:w="1418" w:type="dxa"/>
            <w:tcBorders>
              <w:top w:val="single" w:sz="4" w:space="0" w:color="000000"/>
              <w:left w:val="single" w:sz="4" w:space="0" w:color="000000"/>
              <w:bottom w:val="single" w:sz="4" w:space="0" w:color="000000"/>
              <w:right w:val="single" w:sz="4" w:space="0" w:color="000000"/>
            </w:tcBorders>
          </w:tcPr>
          <w:p w14:paraId="30ED5C22"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131 100</w:t>
            </w:r>
          </w:p>
        </w:tc>
        <w:tc>
          <w:tcPr>
            <w:tcW w:w="1270" w:type="dxa"/>
            <w:tcBorders>
              <w:top w:val="single" w:sz="4" w:space="0" w:color="000000"/>
              <w:left w:val="single" w:sz="4" w:space="0" w:color="000000"/>
              <w:bottom w:val="single" w:sz="4" w:space="0" w:color="000000"/>
              <w:right w:val="single" w:sz="4" w:space="0" w:color="000000"/>
            </w:tcBorders>
          </w:tcPr>
          <w:p w14:paraId="1CF4647D"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143 332</w:t>
            </w:r>
          </w:p>
        </w:tc>
        <w:tc>
          <w:tcPr>
            <w:tcW w:w="1389" w:type="dxa"/>
            <w:tcBorders>
              <w:top w:val="single" w:sz="4" w:space="0" w:color="000000"/>
              <w:left w:val="single" w:sz="4" w:space="0" w:color="000000"/>
              <w:bottom w:val="single" w:sz="4" w:space="0" w:color="000000"/>
              <w:right w:val="single" w:sz="4" w:space="0" w:color="000000"/>
            </w:tcBorders>
          </w:tcPr>
          <w:p w14:paraId="66BFC49B"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9 %</w:t>
            </w:r>
          </w:p>
        </w:tc>
      </w:tr>
      <w:tr w:rsidR="002449C2" w14:paraId="47578289"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53F6AB97"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Свыше 15 и до 150 кВт включительно</w:t>
            </w:r>
          </w:p>
        </w:tc>
        <w:tc>
          <w:tcPr>
            <w:tcW w:w="850" w:type="dxa"/>
            <w:tcBorders>
              <w:top w:val="single" w:sz="4" w:space="0" w:color="000000"/>
              <w:left w:val="single" w:sz="4" w:space="0" w:color="000000"/>
              <w:bottom w:val="single" w:sz="4" w:space="0" w:color="000000"/>
              <w:right w:val="single" w:sz="4" w:space="0" w:color="000000"/>
            </w:tcBorders>
          </w:tcPr>
          <w:p w14:paraId="392196B3"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кВт</w:t>
            </w:r>
          </w:p>
        </w:tc>
        <w:tc>
          <w:tcPr>
            <w:tcW w:w="1284" w:type="dxa"/>
            <w:tcBorders>
              <w:top w:val="single" w:sz="4" w:space="0" w:color="000000"/>
              <w:left w:val="single" w:sz="4" w:space="0" w:color="000000"/>
              <w:bottom w:val="single" w:sz="4" w:space="0" w:color="000000"/>
              <w:right w:val="single" w:sz="4" w:space="0" w:color="000000"/>
            </w:tcBorders>
          </w:tcPr>
          <w:p w14:paraId="589F1882"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71 786</w:t>
            </w:r>
          </w:p>
        </w:tc>
        <w:tc>
          <w:tcPr>
            <w:tcW w:w="1418" w:type="dxa"/>
            <w:tcBorders>
              <w:top w:val="single" w:sz="4" w:space="0" w:color="000000"/>
              <w:left w:val="single" w:sz="4" w:space="0" w:color="000000"/>
              <w:bottom w:val="single" w:sz="4" w:space="0" w:color="000000"/>
              <w:right w:val="single" w:sz="4" w:space="0" w:color="000000"/>
            </w:tcBorders>
          </w:tcPr>
          <w:p w14:paraId="6A7C1801"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96 905</w:t>
            </w:r>
          </w:p>
        </w:tc>
        <w:tc>
          <w:tcPr>
            <w:tcW w:w="1270" w:type="dxa"/>
            <w:tcBorders>
              <w:top w:val="single" w:sz="4" w:space="0" w:color="000000"/>
              <w:left w:val="single" w:sz="4" w:space="0" w:color="000000"/>
              <w:bottom w:val="single" w:sz="4" w:space="0" w:color="000000"/>
              <w:right w:val="single" w:sz="4" w:space="0" w:color="000000"/>
            </w:tcBorders>
          </w:tcPr>
          <w:p w14:paraId="35B1C3F8"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89 091</w:t>
            </w:r>
          </w:p>
        </w:tc>
        <w:tc>
          <w:tcPr>
            <w:tcW w:w="1389" w:type="dxa"/>
            <w:tcBorders>
              <w:top w:val="single" w:sz="4" w:space="0" w:color="000000"/>
              <w:left w:val="single" w:sz="4" w:space="0" w:color="000000"/>
              <w:bottom w:val="single" w:sz="4" w:space="0" w:color="000000"/>
              <w:right w:val="single" w:sz="4" w:space="0" w:color="000000"/>
            </w:tcBorders>
          </w:tcPr>
          <w:p w14:paraId="7FB7C041"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- 8 %</w:t>
            </w:r>
          </w:p>
        </w:tc>
      </w:tr>
      <w:tr w:rsidR="002449C2" w14:paraId="7F3C0944"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0337A49B"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Свыше 150 кВт и менее 670 кВт</w:t>
            </w:r>
          </w:p>
        </w:tc>
        <w:tc>
          <w:tcPr>
            <w:tcW w:w="850" w:type="dxa"/>
            <w:tcBorders>
              <w:top w:val="single" w:sz="4" w:space="0" w:color="000000"/>
              <w:left w:val="single" w:sz="4" w:space="0" w:color="000000"/>
              <w:bottom w:val="single" w:sz="4" w:space="0" w:color="000000"/>
              <w:right w:val="single" w:sz="4" w:space="0" w:color="000000"/>
            </w:tcBorders>
          </w:tcPr>
          <w:p w14:paraId="08B271D4"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кВт</w:t>
            </w:r>
          </w:p>
        </w:tc>
        <w:tc>
          <w:tcPr>
            <w:tcW w:w="1284" w:type="dxa"/>
            <w:tcBorders>
              <w:top w:val="single" w:sz="4" w:space="0" w:color="000000"/>
              <w:left w:val="single" w:sz="4" w:space="0" w:color="000000"/>
              <w:bottom w:val="single" w:sz="4" w:space="0" w:color="000000"/>
              <w:right w:val="single" w:sz="4" w:space="0" w:color="000000"/>
            </w:tcBorders>
          </w:tcPr>
          <w:p w14:paraId="40C5893E"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25 617</w:t>
            </w:r>
          </w:p>
        </w:tc>
        <w:tc>
          <w:tcPr>
            <w:tcW w:w="1418" w:type="dxa"/>
            <w:tcBorders>
              <w:top w:val="single" w:sz="4" w:space="0" w:color="000000"/>
              <w:left w:val="single" w:sz="4" w:space="0" w:color="000000"/>
              <w:bottom w:val="single" w:sz="4" w:space="0" w:color="000000"/>
              <w:right w:val="single" w:sz="4" w:space="0" w:color="000000"/>
            </w:tcBorders>
          </w:tcPr>
          <w:p w14:paraId="752ED4F8"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34 966</w:t>
            </w:r>
          </w:p>
        </w:tc>
        <w:tc>
          <w:tcPr>
            <w:tcW w:w="1270" w:type="dxa"/>
            <w:tcBorders>
              <w:top w:val="single" w:sz="4" w:space="0" w:color="000000"/>
              <w:left w:val="single" w:sz="4" w:space="0" w:color="000000"/>
              <w:bottom w:val="single" w:sz="4" w:space="0" w:color="000000"/>
              <w:right w:val="single" w:sz="4" w:space="0" w:color="000000"/>
            </w:tcBorders>
          </w:tcPr>
          <w:p w14:paraId="20AD2DA0"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30 239</w:t>
            </w:r>
          </w:p>
        </w:tc>
        <w:tc>
          <w:tcPr>
            <w:tcW w:w="1389" w:type="dxa"/>
            <w:tcBorders>
              <w:top w:val="single" w:sz="4" w:space="0" w:color="000000"/>
              <w:left w:val="single" w:sz="4" w:space="0" w:color="000000"/>
              <w:bottom w:val="single" w:sz="4" w:space="0" w:color="000000"/>
              <w:right w:val="single" w:sz="4" w:space="0" w:color="000000"/>
            </w:tcBorders>
          </w:tcPr>
          <w:p w14:paraId="2EBC0C9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- 14 %</w:t>
            </w:r>
          </w:p>
        </w:tc>
      </w:tr>
      <w:tr w:rsidR="002449C2" w14:paraId="4ED4EE02"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3D3C850B"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Не менее 670 кВт</w:t>
            </w:r>
          </w:p>
        </w:tc>
        <w:tc>
          <w:tcPr>
            <w:tcW w:w="850" w:type="dxa"/>
            <w:tcBorders>
              <w:top w:val="single" w:sz="4" w:space="0" w:color="000000"/>
              <w:left w:val="single" w:sz="4" w:space="0" w:color="000000"/>
              <w:bottom w:val="single" w:sz="4" w:space="0" w:color="000000"/>
              <w:right w:val="single" w:sz="4" w:space="0" w:color="000000"/>
            </w:tcBorders>
          </w:tcPr>
          <w:p w14:paraId="55C8BCE7"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кВт</w:t>
            </w:r>
          </w:p>
        </w:tc>
        <w:tc>
          <w:tcPr>
            <w:tcW w:w="1284" w:type="dxa"/>
            <w:tcBorders>
              <w:top w:val="single" w:sz="4" w:space="0" w:color="000000"/>
              <w:left w:val="single" w:sz="4" w:space="0" w:color="000000"/>
              <w:bottom w:val="single" w:sz="4" w:space="0" w:color="000000"/>
              <w:right w:val="single" w:sz="4" w:space="0" w:color="000000"/>
            </w:tcBorders>
          </w:tcPr>
          <w:p w14:paraId="1103D5D1"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111 763</w:t>
            </w:r>
          </w:p>
        </w:tc>
        <w:tc>
          <w:tcPr>
            <w:tcW w:w="1418" w:type="dxa"/>
            <w:tcBorders>
              <w:top w:val="single" w:sz="4" w:space="0" w:color="000000"/>
              <w:left w:val="single" w:sz="4" w:space="0" w:color="000000"/>
              <w:bottom w:val="single" w:sz="4" w:space="0" w:color="000000"/>
              <w:right w:val="single" w:sz="4" w:space="0" w:color="000000"/>
            </w:tcBorders>
          </w:tcPr>
          <w:p w14:paraId="5B2E7BFB"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181 501</w:t>
            </w:r>
          </w:p>
        </w:tc>
        <w:tc>
          <w:tcPr>
            <w:tcW w:w="1270" w:type="dxa"/>
            <w:tcBorders>
              <w:top w:val="single" w:sz="4" w:space="0" w:color="000000"/>
              <w:left w:val="single" w:sz="4" w:space="0" w:color="000000"/>
              <w:bottom w:val="single" w:sz="4" w:space="0" w:color="000000"/>
              <w:right w:val="single" w:sz="4" w:space="0" w:color="000000"/>
            </w:tcBorders>
          </w:tcPr>
          <w:p w14:paraId="215729D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140 953</w:t>
            </w:r>
          </w:p>
        </w:tc>
        <w:tc>
          <w:tcPr>
            <w:tcW w:w="1389" w:type="dxa"/>
            <w:tcBorders>
              <w:top w:val="single" w:sz="4" w:space="0" w:color="000000"/>
              <w:left w:val="single" w:sz="4" w:space="0" w:color="000000"/>
              <w:bottom w:val="single" w:sz="4" w:space="0" w:color="000000"/>
              <w:right w:val="single" w:sz="4" w:space="0" w:color="000000"/>
            </w:tcBorders>
          </w:tcPr>
          <w:p w14:paraId="27ED1F42"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- 22 %</w:t>
            </w:r>
          </w:p>
        </w:tc>
      </w:tr>
      <w:tr w:rsidR="002449C2" w14:paraId="55CB31DA"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59BBA40F"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Генерация</w:t>
            </w:r>
          </w:p>
        </w:tc>
        <w:tc>
          <w:tcPr>
            <w:tcW w:w="850" w:type="dxa"/>
            <w:tcBorders>
              <w:top w:val="single" w:sz="4" w:space="0" w:color="000000"/>
              <w:left w:val="single" w:sz="4" w:space="0" w:color="000000"/>
              <w:bottom w:val="single" w:sz="4" w:space="0" w:color="000000"/>
              <w:right w:val="single" w:sz="4" w:space="0" w:color="000000"/>
            </w:tcBorders>
          </w:tcPr>
          <w:p w14:paraId="0E91AB6B"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кВт</w:t>
            </w:r>
          </w:p>
        </w:tc>
        <w:tc>
          <w:tcPr>
            <w:tcW w:w="1284" w:type="dxa"/>
            <w:tcBorders>
              <w:top w:val="single" w:sz="4" w:space="0" w:color="000000"/>
              <w:left w:val="single" w:sz="4" w:space="0" w:color="000000"/>
              <w:bottom w:val="single" w:sz="4" w:space="0" w:color="000000"/>
              <w:right w:val="single" w:sz="4" w:space="0" w:color="000000"/>
            </w:tcBorders>
          </w:tcPr>
          <w:p w14:paraId="0569E4CB"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32 619</w:t>
            </w:r>
          </w:p>
        </w:tc>
        <w:tc>
          <w:tcPr>
            <w:tcW w:w="1418" w:type="dxa"/>
            <w:tcBorders>
              <w:top w:val="single" w:sz="4" w:space="0" w:color="000000"/>
              <w:left w:val="single" w:sz="4" w:space="0" w:color="000000"/>
              <w:bottom w:val="single" w:sz="4" w:space="0" w:color="000000"/>
              <w:right w:val="single" w:sz="4" w:space="0" w:color="000000"/>
            </w:tcBorders>
          </w:tcPr>
          <w:p w14:paraId="4A7AE6B5"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13 393</w:t>
            </w:r>
          </w:p>
        </w:tc>
        <w:tc>
          <w:tcPr>
            <w:tcW w:w="1270" w:type="dxa"/>
            <w:tcBorders>
              <w:top w:val="single" w:sz="4" w:space="0" w:color="000000"/>
              <w:left w:val="single" w:sz="4" w:space="0" w:color="000000"/>
              <w:bottom w:val="single" w:sz="4" w:space="0" w:color="000000"/>
              <w:right w:val="single" w:sz="4" w:space="0" w:color="000000"/>
            </w:tcBorders>
          </w:tcPr>
          <w:p w14:paraId="67F198F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76 938</w:t>
            </w:r>
          </w:p>
        </w:tc>
        <w:tc>
          <w:tcPr>
            <w:tcW w:w="1389" w:type="dxa"/>
            <w:tcBorders>
              <w:top w:val="single" w:sz="4" w:space="0" w:color="000000"/>
              <w:left w:val="single" w:sz="4" w:space="0" w:color="000000"/>
              <w:bottom w:val="single" w:sz="4" w:space="0" w:color="000000"/>
              <w:right w:val="single" w:sz="4" w:space="0" w:color="000000"/>
            </w:tcBorders>
          </w:tcPr>
          <w:p w14:paraId="3A8685E3"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474 %</w:t>
            </w:r>
          </w:p>
        </w:tc>
      </w:tr>
      <w:tr w:rsidR="002449C2" w14:paraId="2AD55766" w14:textId="77777777">
        <w:trPr>
          <w:cantSplit/>
        </w:trPr>
        <w:tc>
          <w:tcPr>
            <w:tcW w:w="9605" w:type="dxa"/>
            <w:gridSpan w:val="6"/>
            <w:tcBorders>
              <w:top w:val="single" w:sz="4" w:space="0" w:color="000000"/>
              <w:left w:val="single" w:sz="4" w:space="0" w:color="000000"/>
              <w:bottom w:val="single" w:sz="4" w:space="0" w:color="000000"/>
              <w:right w:val="single" w:sz="4" w:space="0" w:color="000000"/>
            </w:tcBorders>
          </w:tcPr>
          <w:p w14:paraId="6F44509C" w14:textId="77777777" w:rsidR="002449C2" w:rsidRDefault="00123961">
            <w:pPr>
              <w:widowControl w:val="0"/>
              <w:shd w:val="clear" w:color="auto" w:fill="FFFFFF"/>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bCs/>
                <w:i/>
                <w:color w:val="000000"/>
                <w:sz w:val="20"/>
                <w:szCs w:val="20"/>
                <w:lang w:eastAsia="ru-RU"/>
              </w:rPr>
              <w:t>Выручка от деятельности по ТП по категориям заявителей (без НДС):</w:t>
            </w:r>
          </w:p>
        </w:tc>
      </w:tr>
      <w:tr w:rsidR="002449C2" w14:paraId="58FD1E60"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5586BF17"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До 15 кВт включительно</w:t>
            </w:r>
          </w:p>
        </w:tc>
        <w:tc>
          <w:tcPr>
            <w:tcW w:w="850" w:type="dxa"/>
            <w:tcBorders>
              <w:top w:val="single" w:sz="4" w:space="0" w:color="000000"/>
              <w:left w:val="single" w:sz="4" w:space="0" w:color="000000"/>
              <w:bottom w:val="single" w:sz="4" w:space="0" w:color="000000"/>
              <w:right w:val="single" w:sz="4" w:space="0" w:color="000000"/>
            </w:tcBorders>
          </w:tcPr>
          <w:p w14:paraId="2D5DC9CC"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млн руб.</w:t>
            </w:r>
          </w:p>
        </w:tc>
        <w:tc>
          <w:tcPr>
            <w:tcW w:w="1284" w:type="dxa"/>
            <w:tcBorders>
              <w:top w:val="single" w:sz="4" w:space="0" w:color="000000"/>
              <w:left w:val="single" w:sz="4" w:space="0" w:color="000000"/>
              <w:bottom w:val="single" w:sz="4" w:space="0" w:color="000000"/>
              <w:right w:val="single" w:sz="4" w:space="0" w:color="000000"/>
            </w:tcBorders>
          </w:tcPr>
          <w:p w14:paraId="021354EE"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97</w:t>
            </w:r>
          </w:p>
        </w:tc>
        <w:tc>
          <w:tcPr>
            <w:tcW w:w="1418" w:type="dxa"/>
            <w:tcBorders>
              <w:top w:val="single" w:sz="4" w:space="0" w:color="000000"/>
              <w:left w:val="single" w:sz="4" w:space="0" w:color="000000"/>
              <w:bottom w:val="single" w:sz="4" w:space="0" w:color="000000"/>
              <w:right w:val="single" w:sz="4" w:space="0" w:color="000000"/>
            </w:tcBorders>
          </w:tcPr>
          <w:p w14:paraId="3AADDC51"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291</w:t>
            </w:r>
          </w:p>
        </w:tc>
        <w:tc>
          <w:tcPr>
            <w:tcW w:w="1270" w:type="dxa"/>
            <w:tcBorders>
              <w:top w:val="single" w:sz="4" w:space="0" w:color="000000"/>
              <w:left w:val="single" w:sz="4" w:space="0" w:color="000000"/>
              <w:bottom w:val="single" w:sz="4" w:space="0" w:color="000000"/>
              <w:right w:val="single" w:sz="4" w:space="0" w:color="000000"/>
            </w:tcBorders>
          </w:tcPr>
          <w:p w14:paraId="3AE9EF90"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502</w:t>
            </w:r>
          </w:p>
        </w:tc>
        <w:tc>
          <w:tcPr>
            <w:tcW w:w="1389" w:type="dxa"/>
            <w:tcBorders>
              <w:top w:val="single" w:sz="4" w:space="0" w:color="000000"/>
              <w:left w:val="single" w:sz="4" w:space="0" w:color="000000"/>
              <w:bottom w:val="single" w:sz="4" w:space="0" w:color="000000"/>
              <w:right w:val="single" w:sz="4" w:space="0" w:color="000000"/>
            </w:tcBorders>
          </w:tcPr>
          <w:p w14:paraId="3B983384"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73 %</w:t>
            </w:r>
          </w:p>
        </w:tc>
      </w:tr>
      <w:tr w:rsidR="002449C2" w14:paraId="278A5DE0"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01833766"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Свыше 15 и до 150 кВт включительно</w:t>
            </w:r>
          </w:p>
        </w:tc>
        <w:tc>
          <w:tcPr>
            <w:tcW w:w="850" w:type="dxa"/>
            <w:tcBorders>
              <w:top w:val="single" w:sz="4" w:space="0" w:color="000000"/>
              <w:left w:val="single" w:sz="4" w:space="0" w:color="000000"/>
              <w:bottom w:val="single" w:sz="4" w:space="0" w:color="000000"/>
              <w:right w:val="single" w:sz="4" w:space="0" w:color="000000"/>
            </w:tcBorders>
          </w:tcPr>
          <w:p w14:paraId="21F0F476"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млн руб.</w:t>
            </w:r>
          </w:p>
        </w:tc>
        <w:tc>
          <w:tcPr>
            <w:tcW w:w="1284" w:type="dxa"/>
            <w:tcBorders>
              <w:top w:val="single" w:sz="4" w:space="0" w:color="000000"/>
              <w:left w:val="single" w:sz="4" w:space="0" w:color="000000"/>
              <w:bottom w:val="single" w:sz="4" w:space="0" w:color="000000"/>
              <w:right w:val="single" w:sz="4" w:space="0" w:color="000000"/>
            </w:tcBorders>
          </w:tcPr>
          <w:p w14:paraId="33DF1362"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82</w:t>
            </w:r>
          </w:p>
        </w:tc>
        <w:tc>
          <w:tcPr>
            <w:tcW w:w="1418" w:type="dxa"/>
            <w:tcBorders>
              <w:top w:val="single" w:sz="4" w:space="0" w:color="000000"/>
              <w:left w:val="single" w:sz="4" w:space="0" w:color="000000"/>
              <w:bottom w:val="single" w:sz="4" w:space="0" w:color="000000"/>
              <w:right w:val="single" w:sz="4" w:space="0" w:color="000000"/>
            </w:tcBorders>
          </w:tcPr>
          <w:p w14:paraId="0FF764A5"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141</w:t>
            </w:r>
          </w:p>
        </w:tc>
        <w:tc>
          <w:tcPr>
            <w:tcW w:w="1270" w:type="dxa"/>
            <w:tcBorders>
              <w:top w:val="single" w:sz="4" w:space="0" w:color="000000"/>
              <w:left w:val="single" w:sz="4" w:space="0" w:color="000000"/>
              <w:bottom w:val="single" w:sz="4" w:space="0" w:color="000000"/>
              <w:right w:val="single" w:sz="4" w:space="0" w:color="000000"/>
            </w:tcBorders>
          </w:tcPr>
          <w:p w14:paraId="20DCB518"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171</w:t>
            </w:r>
          </w:p>
        </w:tc>
        <w:tc>
          <w:tcPr>
            <w:tcW w:w="1389" w:type="dxa"/>
            <w:tcBorders>
              <w:top w:val="single" w:sz="4" w:space="0" w:color="000000"/>
              <w:left w:val="single" w:sz="4" w:space="0" w:color="000000"/>
              <w:bottom w:val="single" w:sz="4" w:space="0" w:color="000000"/>
              <w:right w:val="single" w:sz="4" w:space="0" w:color="000000"/>
            </w:tcBorders>
          </w:tcPr>
          <w:p w14:paraId="4E1C1CD1"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21 %</w:t>
            </w:r>
          </w:p>
        </w:tc>
      </w:tr>
      <w:tr w:rsidR="002449C2" w14:paraId="6A37483E"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02401160"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Свыше 150 кВт и менее 670 кВт</w:t>
            </w:r>
          </w:p>
        </w:tc>
        <w:tc>
          <w:tcPr>
            <w:tcW w:w="850" w:type="dxa"/>
            <w:tcBorders>
              <w:top w:val="single" w:sz="4" w:space="0" w:color="000000"/>
              <w:left w:val="single" w:sz="4" w:space="0" w:color="000000"/>
              <w:bottom w:val="single" w:sz="4" w:space="0" w:color="000000"/>
              <w:right w:val="single" w:sz="4" w:space="0" w:color="000000"/>
            </w:tcBorders>
          </w:tcPr>
          <w:p w14:paraId="6EE74FC9"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млн руб.</w:t>
            </w:r>
          </w:p>
        </w:tc>
        <w:tc>
          <w:tcPr>
            <w:tcW w:w="1284" w:type="dxa"/>
            <w:tcBorders>
              <w:top w:val="single" w:sz="4" w:space="0" w:color="000000"/>
              <w:left w:val="single" w:sz="4" w:space="0" w:color="000000"/>
              <w:bottom w:val="single" w:sz="4" w:space="0" w:color="000000"/>
              <w:right w:val="single" w:sz="4" w:space="0" w:color="000000"/>
            </w:tcBorders>
          </w:tcPr>
          <w:p w14:paraId="3AECCFE7"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139</w:t>
            </w:r>
          </w:p>
        </w:tc>
        <w:tc>
          <w:tcPr>
            <w:tcW w:w="1418" w:type="dxa"/>
            <w:tcBorders>
              <w:top w:val="single" w:sz="4" w:space="0" w:color="000000"/>
              <w:left w:val="single" w:sz="4" w:space="0" w:color="000000"/>
              <w:bottom w:val="single" w:sz="4" w:space="0" w:color="000000"/>
              <w:right w:val="single" w:sz="4" w:space="0" w:color="000000"/>
            </w:tcBorders>
          </w:tcPr>
          <w:p w14:paraId="29F0A178"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93</w:t>
            </w:r>
          </w:p>
        </w:tc>
        <w:tc>
          <w:tcPr>
            <w:tcW w:w="1270" w:type="dxa"/>
            <w:tcBorders>
              <w:top w:val="single" w:sz="4" w:space="0" w:color="000000"/>
              <w:left w:val="single" w:sz="4" w:space="0" w:color="000000"/>
              <w:bottom w:val="single" w:sz="4" w:space="0" w:color="000000"/>
              <w:right w:val="single" w:sz="4" w:space="0" w:color="000000"/>
            </w:tcBorders>
          </w:tcPr>
          <w:p w14:paraId="0F6F3630"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136</w:t>
            </w:r>
          </w:p>
        </w:tc>
        <w:tc>
          <w:tcPr>
            <w:tcW w:w="1389" w:type="dxa"/>
            <w:tcBorders>
              <w:top w:val="single" w:sz="4" w:space="0" w:color="000000"/>
              <w:left w:val="single" w:sz="4" w:space="0" w:color="000000"/>
              <w:bottom w:val="single" w:sz="4" w:space="0" w:color="000000"/>
              <w:right w:val="single" w:sz="4" w:space="0" w:color="000000"/>
            </w:tcBorders>
          </w:tcPr>
          <w:p w14:paraId="387E8EC1"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46 %</w:t>
            </w:r>
          </w:p>
        </w:tc>
      </w:tr>
      <w:tr w:rsidR="002449C2" w14:paraId="16C05DCC"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65DB7353"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Не менее 670 кВт</w:t>
            </w:r>
          </w:p>
        </w:tc>
        <w:tc>
          <w:tcPr>
            <w:tcW w:w="850" w:type="dxa"/>
            <w:tcBorders>
              <w:top w:val="single" w:sz="4" w:space="0" w:color="000000"/>
              <w:left w:val="single" w:sz="4" w:space="0" w:color="000000"/>
              <w:bottom w:val="single" w:sz="4" w:space="0" w:color="000000"/>
              <w:right w:val="single" w:sz="4" w:space="0" w:color="000000"/>
            </w:tcBorders>
          </w:tcPr>
          <w:p w14:paraId="2EE41A35"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млн руб.</w:t>
            </w:r>
          </w:p>
        </w:tc>
        <w:tc>
          <w:tcPr>
            <w:tcW w:w="1284" w:type="dxa"/>
            <w:tcBorders>
              <w:top w:val="single" w:sz="4" w:space="0" w:color="000000"/>
              <w:left w:val="single" w:sz="4" w:space="0" w:color="000000"/>
              <w:bottom w:val="single" w:sz="4" w:space="0" w:color="000000"/>
              <w:right w:val="single" w:sz="4" w:space="0" w:color="000000"/>
            </w:tcBorders>
          </w:tcPr>
          <w:p w14:paraId="7FCE420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109</w:t>
            </w:r>
          </w:p>
        </w:tc>
        <w:tc>
          <w:tcPr>
            <w:tcW w:w="1418" w:type="dxa"/>
            <w:tcBorders>
              <w:top w:val="single" w:sz="4" w:space="0" w:color="000000"/>
              <w:left w:val="single" w:sz="4" w:space="0" w:color="000000"/>
              <w:bottom w:val="single" w:sz="4" w:space="0" w:color="000000"/>
              <w:right w:val="single" w:sz="4" w:space="0" w:color="000000"/>
            </w:tcBorders>
          </w:tcPr>
          <w:p w14:paraId="26C84ADB"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83</w:t>
            </w:r>
          </w:p>
        </w:tc>
        <w:tc>
          <w:tcPr>
            <w:tcW w:w="1270" w:type="dxa"/>
            <w:tcBorders>
              <w:top w:val="single" w:sz="4" w:space="0" w:color="000000"/>
              <w:left w:val="single" w:sz="4" w:space="0" w:color="000000"/>
              <w:bottom w:val="single" w:sz="4" w:space="0" w:color="000000"/>
              <w:right w:val="single" w:sz="4" w:space="0" w:color="000000"/>
            </w:tcBorders>
          </w:tcPr>
          <w:p w14:paraId="6CEC8980"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189</w:t>
            </w:r>
          </w:p>
        </w:tc>
        <w:tc>
          <w:tcPr>
            <w:tcW w:w="1389" w:type="dxa"/>
            <w:tcBorders>
              <w:top w:val="single" w:sz="4" w:space="0" w:color="000000"/>
              <w:left w:val="single" w:sz="4" w:space="0" w:color="000000"/>
              <w:bottom w:val="single" w:sz="4" w:space="0" w:color="000000"/>
              <w:right w:val="single" w:sz="4" w:space="0" w:color="000000"/>
            </w:tcBorders>
          </w:tcPr>
          <w:p w14:paraId="4963DA74"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128 %</w:t>
            </w:r>
          </w:p>
        </w:tc>
      </w:tr>
      <w:tr w:rsidR="002449C2" w14:paraId="7B9097F9"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6CDB23CA"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Генерация</w:t>
            </w:r>
          </w:p>
        </w:tc>
        <w:tc>
          <w:tcPr>
            <w:tcW w:w="850" w:type="dxa"/>
            <w:tcBorders>
              <w:top w:val="single" w:sz="4" w:space="0" w:color="000000"/>
              <w:left w:val="single" w:sz="4" w:space="0" w:color="000000"/>
              <w:bottom w:val="single" w:sz="4" w:space="0" w:color="000000"/>
              <w:right w:val="single" w:sz="4" w:space="0" w:color="000000"/>
            </w:tcBorders>
          </w:tcPr>
          <w:p w14:paraId="2DF8DD91"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млн руб.</w:t>
            </w:r>
          </w:p>
        </w:tc>
        <w:tc>
          <w:tcPr>
            <w:tcW w:w="1284" w:type="dxa"/>
            <w:tcBorders>
              <w:top w:val="single" w:sz="4" w:space="0" w:color="000000"/>
              <w:left w:val="single" w:sz="4" w:space="0" w:color="000000"/>
              <w:bottom w:val="single" w:sz="4" w:space="0" w:color="000000"/>
              <w:right w:val="single" w:sz="4" w:space="0" w:color="000000"/>
            </w:tcBorders>
          </w:tcPr>
          <w:p w14:paraId="3F58CDC8"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176</w:t>
            </w:r>
          </w:p>
        </w:tc>
        <w:tc>
          <w:tcPr>
            <w:tcW w:w="1418" w:type="dxa"/>
            <w:tcBorders>
              <w:top w:val="single" w:sz="4" w:space="0" w:color="000000"/>
              <w:left w:val="single" w:sz="4" w:space="0" w:color="000000"/>
              <w:bottom w:val="single" w:sz="4" w:space="0" w:color="000000"/>
              <w:right w:val="single" w:sz="4" w:space="0" w:color="000000"/>
            </w:tcBorders>
          </w:tcPr>
          <w:p w14:paraId="4CDB3DC8"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1270" w:type="dxa"/>
            <w:tcBorders>
              <w:top w:val="single" w:sz="4" w:space="0" w:color="000000"/>
              <w:left w:val="single" w:sz="4" w:space="0" w:color="000000"/>
              <w:bottom w:val="single" w:sz="4" w:space="0" w:color="000000"/>
              <w:right w:val="single" w:sz="4" w:space="0" w:color="000000"/>
            </w:tcBorders>
          </w:tcPr>
          <w:p w14:paraId="11DE107A"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w:t>
            </w:r>
          </w:p>
        </w:tc>
        <w:tc>
          <w:tcPr>
            <w:tcW w:w="1389" w:type="dxa"/>
            <w:tcBorders>
              <w:top w:val="single" w:sz="4" w:space="0" w:color="000000"/>
              <w:left w:val="single" w:sz="4" w:space="0" w:color="000000"/>
              <w:bottom w:val="single" w:sz="4" w:space="0" w:color="000000"/>
              <w:right w:val="single" w:sz="4" w:space="0" w:color="000000"/>
            </w:tcBorders>
          </w:tcPr>
          <w:p w14:paraId="0F2AE49A"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w:t>
            </w:r>
          </w:p>
        </w:tc>
      </w:tr>
      <w:tr w:rsidR="002449C2" w14:paraId="5E0A49B3" w14:textId="77777777">
        <w:trPr>
          <w:cantSplit/>
        </w:trPr>
        <w:tc>
          <w:tcPr>
            <w:tcW w:w="9605" w:type="dxa"/>
            <w:gridSpan w:val="6"/>
            <w:tcBorders>
              <w:top w:val="single" w:sz="4" w:space="0" w:color="000000"/>
              <w:left w:val="single" w:sz="4" w:space="0" w:color="000000"/>
              <w:bottom w:val="single" w:sz="4" w:space="0" w:color="000000"/>
              <w:right w:val="single" w:sz="4" w:space="0" w:color="000000"/>
            </w:tcBorders>
          </w:tcPr>
          <w:p w14:paraId="752315DA" w14:textId="77777777" w:rsidR="002449C2" w:rsidRDefault="00123961">
            <w:pPr>
              <w:widowControl w:val="0"/>
              <w:shd w:val="clear" w:color="auto" w:fill="FFFFFF"/>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bCs/>
                <w:i/>
                <w:color w:val="000000"/>
                <w:sz w:val="20"/>
                <w:szCs w:val="20"/>
                <w:lang w:eastAsia="ru-RU"/>
              </w:rPr>
              <w:t>Поступления от деятельности по ТП по категориям заявителей (с НДС):</w:t>
            </w:r>
          </w:p>
        </w:tc>
      </w:tr>
      <w:tr w:rsidR="002449C2" w14:paraId="343F3A91"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4BBA3B75"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До 15 кВт включительно</w:t>
            </w:r>
          </w:p>
        </w:tc>
        <w:tc>
          <w:tcPr>
            <w:tcW w:w="850" w:type="dxa"/>
            <w:tcBorders>
              <w:top w:val="single" w:sz="4" w:space="0" w:color="000000"/>
              <w:left w:val="single" w:sz="4" w:space="0" w:color="000000"/>
              <w:bottom w:val="single" w:sz="4" w:space="0" w:color="000000"/>
              <w:right w:val="single" w:sz="4" w:space="0" w:color="000000"/>
            </w:tcBorders>
          </w:tcPr>
          <w:p w14:paraId="4287D2C4"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млн руб.</w:t>
            </w:r>
          </w:p>
        </w:tc>
        <w:tc>
          <w:tcPr>
            <w:tcW w:w="1284" w:type="dxa"/>
            <w:tcBorders>
              <w:top w:val="single" w:sz="4" w:space="0" w:color="000000"/>
              <w:left w:val="single" w:sz="4" w:space="0" w:color="000000"/>
              <w:bottom w:val="single" w:sz="4" w:space="0" w:color="000000"/>
              <w:right w:val="single" w:sz="4" w:space="0" w:color="000000"/>
            </w:tcBorders>
          </w:tcPr>
          <w:p w14:paraId="6FAD8C2E"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184</w:t>
            </w:r>
          </w:p>
        </w:tc>
        <w:tc>
          <w:tcPr>
            <w:tcW w:w="1418" w:type="dxa"/>
            <w:tcBorders>
              <w:top w:val="single" w:sz="4" w:space="0" w:color="000000"/>
              <w:left w:val="single" w:sz="4" w:space="0" w:color="000000"/>
              <w:bottom w:val="single" w:sz="4" w:space="0" w:color="000000"/>
              <w:right w:val="single" w:sz="4" w:space="0" w:color="000000"/>
            </w:tcBorders>
          </w:tcPr>
          <w:p w14:paraId="6FE7BEE3"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493</w:t>
            </w:r>
          </w:p>
        </w:tc>
        <w:tc>
          <w:tcPr>
            <w:tcW w:w="1270" w:type="dxa"/>
            <w:tcBorders>
              <w:top w:val="single" w:sz="4" w:space="0" w:color="000000"/>
              <w:left w:val="single" w:sz="4" w:space="0" w:color="000000"/>
              <w:bottom w:val="single" w:sz="4" w:space="0" w:color="000000"/>
              <w:right w:val="single" w:sz="4" w:space="0" w:color="000000"/>
            </w:tcBorders>
          </w:tcPr>
          <w:p w14:paraId="2893062C"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618</w:t>
            </w:r>
          </w:p>
        </w:tc>
        <w:tc>
          <w:tcPr>
            <w:tcW w:w="1389" w:type="dxa"/>
            <w:tcBorders>
              <w:top w:val="single" w:sz="4" w:space="0" w:color="000000"/>
              <w:left w:val="single" w:sz="4" w:space="0" w:color="000000"/>
              <w:bottom w:val="single" w:sz="4" w:space="0" w:color="000000"/>
              <w:right w:val="single" w:sz="4" w:space="0" w:color="000000"/>
            </w:tcBorders>
          </w:tcPr>
          <w:p w14:paraId="2B609BA1"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25 %</w:t>
            </w:r>
          </w:p>
        </w:tc>
      </w:tr>
      <w:tr w:rsidR="002449C2" w14:paraId="05B20B73"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78B6A6A9"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Свыше 15 и до 150 кВт включительно</w:t>
            </w:r>
          </w:p>
        </w:tc>
        <w:tc>
          <w:tcPr>
            <w:tcW w:w="850" w:type="dxa"/>
            <w:tcBorders>
              <w:top w:val="single" w:sz="4" w:space="0" w:color="000000"/>
              <w:left w:val="single" w:sz="4" w:space="0" w:color="000000"/>
              <w:bottom w:val="single" w:sz="4" w:space="0" w:color="000000"/>
              <w:right w:val="single" w:sz="4" w:space="0" w:color="000000"/>
            </w:tcBorders>
          </w:tcPr>
          <w:p w14:paraId="1224A75F"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млн руб.</w:t>
            </w:r>
          </w:p>
        </w:tc>
        <w:tc>
          <w:tcPr>
            <w:tcW w:w="1284" w:type="dxa"/>
            <w:tcBorders>
              <w:top w:val="single" w:sz="4" w:space="0" w:color="000000"/>
              <w:left w:val="single" w:sz="4" w:space="0" w:color="000000"/>
              <w:bottom w:val="single" w:sz="4" w:space="0" w:color="000000"/>
              <w:right w:val="single" w:sz="4" w:space="0" w:color="000000"/>
            </w:tcBorders>
          </w:tcPr>
          <w:p w14:paraId="2335924C"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163</w:t>
            </w:r>
          </w:p>
        </w:tc>
        <w:tc>
          <w:tcPr>
            <w:tcW w:w="1418" w:type="dxa"/>
            <w:tcBorders>
              <w:top w:val="single" w:sz="4" w:space="0" w:color="000000"/>
              <w:left w:val="single" w:sz="4" w:space="0" w:color="000000"/>
              <w:bottom w:val="single" w:sz="4" w:space="0" w:color="000000"/>
              <w:right w:val="single" w:sz="4" w:space="0" w:color="000000"/>
            </w:tcBorders>
          </w:tcPr>
          <w:p w14:paraId="593A3C95"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213</w:t>
            </w:r>
          </w:p>
        </w:tc>
        <w:tc>
          <w:tcPr>
            <w:tcW w:w="1270" w:type="dxa"/>
            <w:tcBorders>
              <w:top w:val="single" w:sz="4" w:space="0" w:color="000000"/>
              <w:left w:val="single" w:sz="4" w:space="0" w:color="000000"/>
              <w:bottom w:val="single" w:sz="4" w:space="0" w:color="000000"/>
              <w:right w:val="single" w:sz="4" w:space="0" w:color="000000"/>
            </w:tcBorders>
          </w:tcPr>
          <w:p w14:paraId="2A330B34"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216</w:t>
            </w:r>
          </w:p>
        </w:tc>
        <w:tc>
          <w:tcPr>
            <w:tcW w:w="1389" w:type="dxa"/>
            <w:tcBorders>
              <w:top w:val="single" w:sz="4" w:space="0" w:color="000000"/>
              <w:left w:val="single" w:sz="4" w:space="0" w:color="000000"/>
              <w:bottom w:val="single" w:sz="4" w:space="0" w:color="000000"/>
              <w:right w:val="single" w:sz="4" w:space="0" w:color="000000"/>
            </w:tcBorders>
          </w:tcPr>
          <w:p w14:paraId="03419306"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1 %</w:t>
            </w:r>
          </w:p>
        </w:tc>
      </w:tr>
      <w:tr w:rsidR="002449C2" w14:paraId="7621DBA2"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1A6DEC16"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Свыше 150 кВт и менее 670 кВт</w:t>
            </w:r>
          </w:p>
        </w:tc>
        <w:tc>
          <w:tcPr>
            <w:tcW w:w="850" w:type="dxa"/>
            <w:tcBorders>
              <w:top w:val="single" w:sz="4" w:space="0" w:color="000000"/>
              <w:left w:val="single" w:sz="4" w:space="0" w:color="000000"/>
              <w:bottom w:val="single" w:sz="4" w:space="0" w:color="000000"/>
              <w:right w:val="single" w:sz="4" w:space="0" w:color="000000"/>
            </w:tcBorders>
          </w:tcPr>
          <w:p w14:paraId="0606C008"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млн руб.</w:t>
            </w:r>
          </w:p>
        </w:tc>
        <w:tc>
          <w:tcPr>
            <w:tcW w:w="1284" w:type="dxa"/>
            <w:tcBorders>
              <w:top w:val="single" w:sz="4" w:space="0" w:color="000000"/>
              <w:left w:val="single" w:sz="4" w:space="0" w:color="000000"/>
              <w:bottom w:val="single" w:sz="4" w:space="0" w:color="000000"/>
              <w:right w:val="single" w:sz="4" w:space="0" w:color="000000"/>
            </w:tcBorders>
          </w:tcPr>
          <w:p w14:paraId="4C01B867"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161</w:t>
            </w:r>
          </w:p>
        </w:tc>
        <w:tc>
          <w:tcPr>
            <w:tcW w:w="1418" w:type="dxa"/>
            <w:tcBorders>
              <w:top w:val="single" w:sz="4" w:space="0" w:color="000000"/>
              <w:left w:val="single" w:sz="4" w:space="0" w:color="000000"/>
              <w:bottom w:val="single" w:sz="4" w:space="0" w:color="000000"/>
              <w:right w:val="single" w:sz="4" w:space="0" w:color="000000"/>
            </w:tcBorders>
          </w:tcPr>
          <w:p w14:paraId="790C202B"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246</w:t>
            </w:r>
          </w:p>
        </w:tc>
        <w:tc>
          <w:tcPr>
            <w:tcW w:w="1270" w:type="dxa"/>
            <w:tcBorders>
              <w:top w:val="single" w:sz="4" w:space="0" w:color="000000"/>
              <w:left w:val="single" w:sz="4" w:space="0" w:color="000000"/>
              <w:bottom w:val="single" w:sz="4" w:space="0" w:color="000000"/>
              <w:right w:val="single" w:sz="4" w:space="0" w:color="000000"/>
            </w:tcBorders>
          </w:tcPr>
          <w:p w14:paraId="613B048F"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256</w:t>
            </w:r>
          </w:p>
        </w:tc>
        <w:tc>
          <w:tcPr>
            <w:tcW w:w="1389" w:type="dxa"/>
            <w:tcBorders>
              <w:top w:val="single" w:sz="4" w:space="0" w:color="000000"/>
              <w:left w:val="single" w:sz="4" w:space="0" w:color="000000"/>
              <w:bottom w:val="single" w:sz="4" w:space="0" w:color="000000"/>
              <w:right w:val="single" w:sz="4" w:space="0" w:color="000000"/>
            </w:tcBorders>
          </w:tcPr>
          <w:p w14:paraId="302AD45E"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4 %</w:t>
            </w:r>
          </w:p>
        </w:tc>
      </w:tr>
      <w:tr w:rsidR="002449C2" w14:paraId="744D48D1"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0BF3CC9E"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Не менее 670 кВт</w:t>
            </w:r>
          </w:p>
        </w:tc>
        <w:tc>
          <w:tcPr>
            <w:tcW w:w="850" w:type="dxa"/>
            <w:tcBorders>
              <w:top w:val="single" w:sz="4" w:space="0" w:color="000000"/>
              <w:left w:val="single" w:sz="4" w:space="0" w:color="000000"/>
              <w:bottom w:val="single" w:sz="4" w:space="0" w:color="000000"/>
              <w:right w:val="single" w:sz="4" w:space="0" w:color="000000"/>
            </w:tcBorders>
          </w:tcPr>
          <w:p w14:paraId="22FD7921"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млн руб.</w:t>
            </w:r>
          </w:p>
        </w:tc>
        <w:tc>
          <w:tcPr>
            <w:tcW w:w="1284" w:type="dxa"/>
            <w:tcBorders>
              <w:top w:val="single" w:sz="4" w:space="0" w:color="000000"/>
              <w:left w:val="single" w:sz="4" w:space="0" w:color="000000"/>
              <w:bottom w:val="single" w:sz="4" w:space="0" w:color="000000"/>
              <w:right w:val="single" w:sz="4" w:space="0" w:color="000000"/>
            </w:tcBorders>
          </w:tcPr>
          <w:p w14:paraId="711CB583"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306</w:t>
            </w:r>
          </w:p>
        </w:tc>
        <w:tc>
          <w:tcPr>
            <w:tcW w:w="1418" w:type="dxa"/>
            <w:tcBorders>
              <w:top w:val="single" w:sz="4" w:space="0" w:color="000000"/>
              <w:left w:val="single" w:sz="4" w:space="0" w:color="000000"/>
              <w:bottom w:val="single" w:sz="4" w:space="0" w:color="000000"/>
              <w:right w:val="single" w:sz="4" w:space="0" w:color="000000"/>
            </w:tcBorders>
          </w:tcPr>
          <w:p w14:paraId="756C4A36"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558</w:t>
            </w:r>
          </w:p>
        </w:tc>
        <w:tc>
          <w:tcPr>
            <w:tcW w:w="1270" w:type="dxa"/>
            <w:tcBorders>
              <w:top w:val="single" w:sz="4" w:space="0" w:color="000000"/>
              <w:left w:val="single" w:sz="4" w:space="0" w:color="000000"/>
              <w:bottom w:val="single" w:sz="4" w:space="0" w:color="000000"/>
              <w:right w:val="single" w:sz="4" w:space="0" w:color="000000"/>
            </w:tcBorders>
          </w:tcPr>
          <w:p w14:paraId="566801E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1 034</w:t>
            </w:r>
          </w:p>
        </w:tc>
        <w:tc>
          <w:tcPr>
            <w:tcW w:w="1389" w:type="dxa"/>
            <w:tcBorders>
              <w:top w:val="single" w:sz="4" w:space="0" w:color="000000"/>
              <w:left w:val="single" w:sz="4" w:space="0" w:color="000000"/>
              <w:bottom w:val="single" w:sz="4" w:space="0" w:color="000000"/>
              <w:right w:val="single" w:sz="4" w:space="0" w:color="000000"/>
            </w:tcBorders>
          </w:tcPr>
          <w:p w14:paraId="6F1E3111"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85 %</w:t>
            </w:r>
          </w:p>
        </w:tc>
      </w:tr>
      <w:tr w:rsidR="002449C2" w14:paraId="6E64EC92"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53EF6CA4"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Генерация</w:t>
            </w:r>
          </w:p>
        </w:tc>
        <w:tc>
          <w:tcPr>
            <w:tcW w:w="850" w:type="dxa"/>
            <w:tcBorders>
              <w:top w:val="single" w:sz="4" w:space="0" w:color="000000"/>
              <w:left w:val="single" w:sz="4" w:space="0" w:color="000000"/>
              <w:bottom w:val="single" w:sz="4" w:space="0" w:color="000000"/>
              <w:right w:val="single" w:sz="4" w:space="0" w:color="000000"/>
            </w:tcBorders>
          </w:tcPr>
          <w:p w14:paraId="2327AD04"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млн руб.</w:t>
            </w:r>
          </w:p>
        </w:tc>
        <w:tc>
          <w:tcPr>
            <w:tcW w:w="1284" w:type="dxa"/>
            <w:tcBorders>
              <w:top w:val="single" w:sz="4" w:space="0" w:color="000000"/>
              <w:left w:val="single" w:sz="4" w:space="0" w:color="000000"/>
              <w:bottom w:val="single" w:sz="4" w:space="0" w:color="000000"/>
              <w:right w:val="single" w:sz="4" w:space="0" w:color="000000"/>
            </w:tcBorders>
          </w:tcPr>
          <w:p w14:paraId="44253956"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1418" w:type="dxa"/>
            <w:tcBorders>
              <w:top w:val="single" w:sz="4" w:space="0" w:color="000000"/>
              <w:left w:val="single" w:sz="4" w:space="0" w:color="000000"/>
              <w:bottom w:val="single" w:sz="4" w:space="0" w:color="000000"/>
              <w:right w:val="single" w:sz="4" w:space="0" w:color="000000"/>
            </w:tcBorders>
          </w:tcPr>
          <w:p w14:paraId="63156BA3"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w:t>
            </w:r>
          </w:p>
        </w:tc>
        <w:tc>
          <w:tcPr>
            <w:tcW w:w="1270" w:type="dxa"/>
            <w:tcBorders>
              <w:top w:val="single" w:sz="4" w:space="0" w:color="000000"/>
              <w:left w:val="single" w:sz="4" w:space="0" w:color="000000"/>
              <w:bottom w:val="single" w:sz="4" w:space="0" w:color="000000"/>
              <w:right w:val="single" w:sz="4" w:space="0" w:color="000000"/>
            </w:tcBorders>
          </w:tcPr>
          <w:p w14:paraId="47CF2C6C"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w:t>
            </w:r>
          </w:p>
        </w:tc>
        <w:tc>
          <w:tcPr>
            <w:tcW w:w="1389" w:type="dxa"/>
            <w:tcBorders>
              <w:top w:val="single" w:sz="4" w:space="0" w:color="000000"/>
              <w:left w:val="single" w:sz="4" w:space="0" w:color="000000"/>
              <w:bottom w:val="single" w:sz="4" w:space="0" w:color="000000"/>
              <w:right w:val="single" w:sz="4" w:space="0" w:color="000000"/>
            </w:tcBorders>
          </w:tcPr>
          <w:p w14:paraId="71E80DC3"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13 %</w:t>
            </w:r>
          </w:p>
        </w:tc>
      </w:tr>
      <w:tr w:rsidR="002449C2" w14:paraId="64EF444E" w14:textId="77777777">
        <w:trPr>
          <w:cantSplit/>
        </w:trPr>
        <w:tc>
          <w:tcPr>
            <w:tcW w:w="9605" w:type="dxa"/>
            <w:gridSpan w:val="6"/>
            <w:tcBorders>
              <w:top w:val="single" w:sz="4" w:space="0" w:color="000000"/>
              <w:left w:val="single" w:sz="4" w:space="0" w:color="000000"/>
              <w:bottom w:val="single" w:sz="4" w:space="0" w:color="000000"/>
              <w:right w:val="single" w:sz="4" w:space="0" w:color="000000"/>
            </w:tcBorders>
          </w:tcPr>
          <w:p w14:paraId="30D48B43" w14:textId="77777777" w:rsidR="002449C2" w:rsidRDefault="00123961">
            <w:pPr>
              <w:widowControl w:val="0"/>
              <w:shd w:val="clear" w:color="auto" w:fill="FFFFFF"/>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bCs/>
                <w:i/>
                <w:color w:val="000000"/>
                <w:sz w:val="20"/>
                <w:szCs w:val="20"/>
                <w:lang w:eastAsia="ru-RU"/>
              </w:rPr>
              <w:t>Структура исполненных договоров по отраслям:</w:t>
            </w:r>
          </w:p>
        </w:tc>
      </w:tr>
      <w:tr w:rsidR="002449C2" w14:paraId="173D7FA0"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4A1C62AA" w14:textId="77777777" w:rsidR="002449C2" w:rsidRDefault="00123961">
            <w:pPr>
              <w:widowControl w:val="0"/>
              <w:shd w:val="clear" w:color="auto" w:fill="FFFFFF"/>
              <w:spacing w:after="5" w:line="252" w:lineRule="auto"/>
              <w:ind w:left="22" w:right="-143" w:hanging="22"/>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Физические лица</w:t>
            </w:r>
          </w:p>
        </w:tc>
        <w:tc>
          <w:tcPr>
            <w:tcW w:w="850" w:type="dxa"/>
            <w:tcBorders>
              <w:top w:val="single" w:sz="4" w:space="0" w:color="000000"/>
              <w:left w:val="single" w:sz="4" w:space="0" w:color="000000"/>
              <w:bottom w:val="single" w:sz="4" w:space="0" w:color="000000"/>
              <w:right w:val="single" w:sz="4" w:space="0" w:color="000000"/>
            </w:tcBorders>
          </w:tcPr>
          <w:p w14:paraId="3E01F70A"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шт.</w:t>
            </w:r>
          </w:p>
        </w:tc>
        <w:tc>
          <w:tcPr>
            <w:tcW w:w="1284" w:type="dxa"/>
            <w:tcBorders>
              <w:top w:val="single" w:sz="4" w:space="0" w:color="000000"/>
              <w:left w:val="single" w:sz="4" w:space="0" w:color="000000"/>
              <w:bottom w:val="single" w:sz="4" w:space="0" w:color="000000"/>
              <w:right w:val="single" w:sz="4" w:space="0" w:color="000000"/>
            </w:tcBorders>
          </w:tcPr>
          <w:p w14:paraId="6C6F07F5"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15 154</w:t>
            </w:r>
          </w:p>
        </w:tc>
        <w:tc>
          <w:tcPr>
            <w:tcW w:w="1418" w:type="dxa"/>
            <w:tcBorders>
              <w:top w:val="single" w:sz="4" w:space="0" w:color="000000"/>
              <w:left w:val="single" w:sz="4" w:space="0" w:color="000000"/>
              <w:bottom w:val="single" w:sz="4" w:space="0" w:color="000000"/>
              <w:right w:val="single" w:sz="4" w:space="0" w:color="000000"/>
            </w:tcBorders>
          </w:tcPr>
          <w:p w14:paraId="7A912D3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11 061</w:t>
            </w:r>
          </w:p>
        </w:tc>
        <w:tc>
          <w:tcPr>
            <w:tcW w:w="1270" w:type="dxa"/>
            <w:tcBorders>
              <w:top w:val="single" w:sz="4" w:space="0" w:color="000000"/>
              <w:left w:val="single" w:sz="4" w:space="0" w:color="000000"/>
              <w:bottom w:val="single" w:sz="4" w:space="0" w:color="000000"/>
              <w:right w:val="single" w:sz="4" w:space="0" w:color="000000"/>
            </w:tcBorders>
          </w:tcPr>
          <w:p w14:paraId="2E80E137"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12 653</w:t>
            </w:r>
          </w:p>
        </w:tc>
        <w:tc>
          <w:tcPr>
            <w:tcW w:w="1389" w:type="dxa"/>
            <w:tcBorders>
              <w:top w:val="single" w:sz="4" w:space="0" w:color="000000"/>
              <w:left w:val="single" w:sz="4" w:space="0" w:color="000000"/>
              <w:bottom w:val="single" w:sz="4" w:space="0" w:color="000000"/>
              <w:right w:val="single" w:sz="4" w:space="0" w:color="000000"/>
            </w:tcBorders>
          </w:tcPr>
          <w:p w14:paraId="214CB80D"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14 %</w:t>
            </w:r>
          </w:p>
        </w:tc>
      </w:tr>
      <w:tr w:rsidR="002449C2" w14:paraId="6F26CDC7"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2D55D9BE" w14:textId="77777777" w:rsidR="002449C2" w:rsidRDefault="00123961">
            <w:pPr>
              <w:widowControl w:val="0"/>
              <w:shd w:val="clear" w:color="auto" w:fill="FFFFFF"/>
              <w:spacing w:after="5" w:line="252" w:lineRule="auto"/>
              <w:ind w:left="22" w:right="-143" w:hanging="22"/>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Сельское и лесное хозяйство, рыболовство</w:t>
            </w:r>
          </w:p>
        </w:tc>
        <w:tc>
          <w:tcPr>
            <w:tcW w:w="850" w:type="dxa"/>
            <w:tcBorders>
              <w:top w:val="single" w:sz="4" w:space="0" w:color="000000"/>
              <w:left w:val="single" w:sz="4" w:space="0" w:color="000000"/>
              <w:bottom w:val="single" w:sz="4" w:space="0" w:color="000000"/>
              <w:right w:val="single" w:sz="4" w:space="0" w:color="000000"/>
            </w:tcBorders>
          </w:tcPr>
          <w:p w14:paraId="518F25D7"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шт.</w:t>
            </w:r>
          </w:p>
        </w:tc>
        <w:tc>
          <w:tcPr>
            <w:tcW w:w="1284" w:type="dxa"/>
            <w:tcBorders>
              <w:top w:val="single" w:sz="4" w:space="0" w:color="000000"/>
              <w:left w:val="single" w:sz="4" w:space="0" w:color="000000"/>
              <w:bottom w:val="single" w:sz="4" w:space="0" w:color="000000"/>
              <w:right w:val="single" w:sz="4" w:space="0" w:color="000000"/>
            </w:tcBorders>
          </w:tcPr>
          <w:p w14:paraId="7BAB7E72"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389</w:t>
            </w:r>
          </w:p>
        </w:tc>
        <w:tc>
          <w:tcPr>
            <w:tcW w:w="1418" w:type="dxa"/>
            <w:tcBorders>
              <w:top w:val="single" w:sz="4" w:space="0" w:color="000000"/>
              <w:left w:val="single" w:sz="4" w:space="0" w:color="000000"/>
              <w:bottom w:val="single" w:sz="4" w:space="0" w:color="000000"/>
              <w:right w:val="single" w:sz="4" w:space="0" w:color="000000"/>
            </w:tcBorders>
          </w:tcPr>
          <w:p w14:paraId="7D1ED758"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292</w:t>
            </w:r>
          </w:p>
        </w:tc>
        <w:tc>
          <w:tcPr>
            <w:tcW w:w="1270" w:type="dxa"/>
            <w:tcBorders>
              <w:top w:val="single" w:sz="4" w:space="0" w:color="000000"/>
              <w:left w:val="single" w:sz="4" w:space="0" w:color="000000"/>
              <w:bottom w:val="single" w:sz="4" w:space="0" w:color="000000"/>
              <w:right w:val="single" w:sz="4" w:space="0" w:color="000000"/>
            </w:tcBorders>
          </w:tcPr>
          <w:p w14:paraId="23383598"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209</w:t>
            </w:r>
          </w:p>
        </w:tc>
        <w:tc>
          <w:tcPr>
            <w:tcW w:w="1389" w:type="dxa"/>
            <w:tcBorders>
              <w:top w:val="single" w:sz="4" w:space="0" w:color="000000"/>
              <w:left w:val="single" w:sz="4" w:space="0" w:color="000000"/>
              <w:bottom w:val="single" w:sz="4" w:space="0" w:color="000000"/>
              <w:right w:val="single" w:sz="4" w:space="0" w:color="000000"/>
            </w:tcBorders>
          </w:tcPr>
          <w:p w14:paraId="3E6CCDFA"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- 28 %</w:t>
            </w:r>
          </w:p>
        </w:tc>
      </w:tr>
      <w:tr w:rsidR="002449C2" w14:paraId="3E9E48F2"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3EB142F4" w14:textId="77777777" w:rsidR="002449C2" w:rsidRDefault="00123961">
            <w:pPr>
              <w:widowControl w:val="0"/>
              <w:shd w:val="clear" w:color="auto" w:fill="FFFFFF"/>
              <w:spacing w:after="5" w:line="252" w:lineRule="auto"/>
              <w:ind w:left="22" w:right="-143" w:hanging="22"/>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Промышленность</w:t>
            </w:r>
          </w:p>
        </w:tc>
        <w:tc>
          <w:tcPr>
            <w:tcW w:w="850" w:type="dxa"/>
            <w:tcBorders>
              <w:top w:val="single" w:sz="4" w:space="0" w:color="000000"/>
              <w:left w:val="single" w:sz="4" w:space="0" w:color="000000"/>
              <w:bottom w:val="single" w:sz="4" w:space="0" w:color="000000"/>
              <w:right w:val="single" w:sz="4" w:space="0" w:color="000000"/>
            </w:tcBorders>
          </w:tcPr>
          <w:p w14:paraId="316267A1"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шт.</w:t>
            </w:r>
          </w:p>
        </w:tc>
        <w:tc>
          <w:tcPr>
            <w:tcW w:w="1284" w:type="dxa"/>
            <w:tcBorders>
              <w:top w:val="single" w:sz="4" w:space="0" w:color="000000"/>
              <w:left w:val="single" w:sz="4" w:space="0" w:color="000000"/>
              <w:bottom w:val="single" w:sz="4" w:space="0" w:color="000000"/>
              <w:right w:val="single" w:sz="4" w:space="0" w:color="000000"/>
            </w:tcBorders>
          </w:tcPr>
          <w:p w14:paraId="272E4EED"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445</w:t>
            </w:r>
          </w:p>
        </w:tc>
        <w:tc>
          <w:tcPr>
            <w:tcW w:w="1418" w:type="dxa"/>
            <w:tcBorders>
              <w:top w:val="single" w:sz="4" w:space="0" w:color="000000"/>
              <w:left w:val="single" w:sz="4" w:space="0" w:color="000000"/>
              <w:bottom w:val="single" w:sz="4" w:space="0" w:color="000000"/>
              <w:right w:val="single" w:sz="4" w:space="0" w:color="000000"/>
            </w:tcBorders>
          </w:tcPr>
          <w:p w14:paraId="36969FDB"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265</w:t>
            </w:r>
          </w:p>
        </w:tc>
        <w:tc>
          <w:tcPr>
            <w:tcW w:w="1270" w:type="dxa"/>
            <w:tcBorders>
              <w:top w:val="single" w:sz="4" w:space="0" w:color="000000"/>
              <w:left w:val="single" w:sz="4" w:space="0" w:color="000000"/>
              <w:bottom w:val="single" w:sz="4" w:space="0" w:color="000000"/>
              <w:right w:val="single" w:sz="4" w:space="0" w:color="000000"/>
            </w:tcBorders>
          </w:tcPr>
          <w:p w14:paraId="4B7F7285"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106</w:t>
            </w:r>
          </w:p>
        </w:tc>
        <w:tc>
          <w:tcPr>
            <w:tcW w:w="1389" w:type="dxa"/>
            <w:tcBorders>
              <w:top w:val="single" w:sz="4" w:space="0" w:color="000000"/>
              <w:left w:val="single" w:sz="4" w:space="0" w:color="000000"/>
              <w:bottom w:val="single" w:sz="4" w:space="0" w:color="000000"/>
              <w:right w:val="single" w:sz="4" w:space="0" w:color="000000"/>
            </w:tcBorders>
          </w:tcPr>
          <w:p w14:paraId="7359299C"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- 60 %</w:t>
            </w:r>
          </w:p>
        </w:tc>
      </w:tr>
      <w:tr w:rsidR="002449C2" w14:paraId="29FEBAA1"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59614EBE" w14:textId="77777777" w:rsidR="002449C2" w:rsidRDefault="00123961">
            <w:pPr>
              <w:widowControl w:val="0"/>
              <w:shd w:val="clear" w:color="auto" w:fill="FFFFFF"/>
              <w:spacing w:after="5" w:line="252" w:lineRule="auto"/>
              <w:ind w:left="22" w:right="-143" w:hanging="22"/>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Производство и распределение электроэнергии, газа и воды</w:t>
            </w:r>
          </w:p>
        </w:tc>
        <w:tc>
          <w:tcPr>
            <w:tcW w:w="850" w:type="dxa"/>
            <w:tcBorders>
              <w:top w:val="single" w:sz="4" w:space="0" w:color="000000"/>
              <w:left w:val="single" w:sz="4" w:space="0" w:color="000000"/>
              <w:bottom w:val="single" w:sz="4" w:space="0" w:color="000000"/>
              <w:right w:val="single" w:sz="4" w:space="0" w:color="000000"/>
            </w:tcBorders>
          </w:tcPr>
          <w:p w14:paraId="0516BF45"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шт.</w:t>
            </w:r>
          </w:p>
        </w:tc>
        <w:tc>
          <w:tcPr>
            <w:tcW w:w="1284" w:type="dxa"/>
            <w:tcBorders>
              <w:top w:val="single" w:sz="4" w:space="0" w:color="000000"/>
              <w:left w:val="single" w:sz="4" w:space="0" w:color="000000"/>
              <w:bottom w:val="single" w:sz="4" w:space="0" w:color="000000"/>
              <w:right w:val="single" w:sz="4" w:space="0" w:color="000000"/>
            </w:tcBorders>
          </w:tcPr>
          <w:p w14:paraId="54B4714A"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101</w:t>
            </w:r>
          </w:p>
        </w:tc>
        <w:tc>
          <w:tcPr>
            <w:tcW w:w="1418" w:type="dxa"/>
            <w:tcBorders>
              <w:top w:val="single" w:sz="4" w:space="0" w:color="000000"/>
              <w:left w:val="single" w:sz="4" w:space="0" w:color="000000"/>
              <w:bottom w:val="single" w:sz="4" w:space="0" w:color="000000"/>
              <w:right w:val="single" w:sz="4" w:space="0" w:color="000000"/>
            </w:tcBorders>
          </w:tcPr>
          <w:p w14:paraId="296AF8B4"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90</w:t>
            </w:r>
          </w:p>
        </w:tc>
        <w:tc>
          <w:tcPr>
            <w:tcW w:w="1270" w:type="dxa"/>
            <w:tcBorders>
              <w:top w:val="single" w:sz="4" w:space="0" w:color="000000"/>
              <w:left w:val="single" w:sz="4" w:space="0" w:color="000000"/>
              <w:bottom w:val="single" w:sz="4" w:space="0" w:color="000000"/>
              <w:right w:val="single" w:sz="4" w:space="0" w:color="000000"/>
            </w:tcBorders>
          </w:tcPr>
          <w:p w14:paraId="07D3DC8C"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29</w:t>
            </w:r>
          </w:p>
        </w:tc>
        <w:tc>
          <w:tcPr>
            <w:tcW w:w="1389" w:type="dxa"/>
            <w:tcBorders>
              <w:top w:val="single" w:sz="4" w:space="0" w:color="000000"/>
              <w:left w:val="single" w:sz="4" w:space="0" w:color="000000"/>
              <w:bottom w:val="single" w:sz="4" w:space="0" w:color="000000"/>
              <w:right w:val="single" w:sz="4" w:space="0" w:color="000000"/>
            </w:tcBorders>
          </w:tcPr>
          <w:p w14:paraId="65C0A174"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- 68 %</w:t>
            </w:r>
          </w:p>
        </w:tc>
      </w:tr>
      <w:tr w:rsidR="002449C2" w14:paraId="0AC3AB62"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2C4A8403" w14:textId="77777777" w:rsidR="002449C2" w:rsidRDefault="00123961">
            <w:pPr>
              <w:widowControl w:val="0"/>
              <w:shd w:val="clear" w:color="auto" w:fill="FFFFFF"/>
              <w:spacing w:after="5" w:line="252" w:lineRule="auto"/>
              <w:ind w:left="22" w:right="-143" w:hanging="22"/>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Строительство</w:t>
            </w:r>
          </w:p>
        </w:tc>
        <w:tc>
          <w:tcPr>
            <w:tcW w:w="850" w:type="dxa"/>
            <w:tcBorders>
              <w:top w:val="single" w:sz="4" w:space="0" w:color="000000"/>
              <w:left w:val="single" w:sz="4" w:space="0" w:color="000000"/>
              <w:bottom w:val="single" w:sz="4" w:space="0" w:color="000000"/>
              <w:right w:val="single" w:sz="4" w:space="0" w:color="000000"/>
            </w:tcBorders>
          </w:tcPr>
          <w:p w14:paraId="41B7328B"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шт.</w:t>
            </w:r>
          </w:p>
        </w:tc>
        <w:tc>
          <w:tcPr>
            <w:tcW w:w="1284" w:type="dxa"/>
            <w:tcBorders>
              <w:top w:val="single" w:sz="4" w:space="0" w:color="000000"/>
              <w:left w:val="single" w:sz="4" w:space="0" w:color="000000"/>
              <w:bottom w:val="single" w:sz="4" w:space="0" w:color="000000"/>
              <w:right w:val="single" w:sz="4" w:space="0" w:color="000000"/>
            </w:tcBorders>
          </w:tcPr>
          <w:p w14:paraId="2C1AD4F7"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145</w:t>
            </w:r>
          </w:p>
        </w:tc>
        <w:tc>
          <w:tcPr>
            <w:tcW w:w="1418" w:type="dxa"/>
            <w:tcBorders>
              <w:top w:val="single" w:sz="4" w:space="0" w:color="000000"/>
              <w:left w:val="single" w:sz="4" w:space="0" w:color="000000"/>
              <w:bottom w:val="single" w:sz="4" w:space="0" w:color="000000"/>
              <w:right w:val="single" w:sz="4" w:space="0" w:color="000000"/>
            </w:tcBorders>
          </w:tcPr>
          <w:p w14:paraId="1C68D2BC"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136</w:t>
            </w:r>
          </w:p>
        </w:tc>
        <w:tc>
          <w:tcPr>
            <w:tcW w:w="1270" w:type="dxa"/>
            <w:tcBorders>
              <w:top w:val="single" w:sz="4" w:space="0" w:color="000000"/>
              <w:left w:val="single" w:sz="4" w:space="0" w:color="000000"/>
              <w:bottom w:val="single" w:sz="4" w:space="0" w:color="000000"/>
              <w:right w:val="single" w:sz="4" w:space="0" w:color="000000"/>
            </w:tcBorders>
          </w:tcPr>
          <w:p w14:paraId="7C694950"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181</w:t>
            </w:r>
          </w:p>
        </w:tc>
        <w:tc>
          <w:tcPr>
            <w:tcW w:w="1389" w:type="dxa"/>
            <w:tcBorders>
              <w:top w:val="single" w:sz="4" w:space="0" w:color="000000"/>
              <w:left w:val="single" w:sz="4" w:space="0" w:color="000000"/>
              <w:bottom w:val="single" w:sz="4" w:space="0" w:color="000000"/>
              <w:right w:val="single" w:sz="4" w:space="0" w:color="000000"/>
            </w:tcBorders>
          </w:tcPr>
          <w:p w14:paraId="6E2E8C27"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33 %</w:t>
            </w:r>
          </w:p>
        </w:tc>
      </w:tr>
      <w:tr w:rsidR="002449C2" w14:paraId="7F9A61E7"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0F9281C8" w14:textId="77777777" w:rsidR="002449C2" w:rsidRDefault="00123961">
            <w:pPr>
              <w:widowControl w:val="0"/>
              <w:shd w:val="clear" w:color="auto" w:fill="FFFFFF"/>
              <w:spacing w:after="5" w:line="252" w:lineRule="auto"/>
              <w:ind w:left="22" w:right="-143" w:hanging="22"/>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Торговля</w:t>
            </w:r>
          </w:p>
        </w:tc>
        <w:tc>
          <w:tcPr>
            <w:tcW w:w="850" w:type="dxa"/>
            <w:tcBorders>
              <w:top w:val="single" w:sz="4" w:space="0" w:color="000000"/>
              <w:left w:val="single" w:sz="4" w:space="0" w:color="000000"/>
              <w:bottom w:val="single" w:sz="4" w:space="0" w:color="000000"/>
              <w:right w:val="single" w:sz="4" w:space="0" w:color="000000"/>
            </w:tcBorders>
          </w:tcPr>
          <w:p w14:paraId="02898B75"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шт.</w:t>
            </w:r>
          </w:p>
        </w:tc>
        <w:tc>
          <w:tcPr>
            <w:tcW w:w="1284" w:type="dxa"/>
            <w:tcBorders>
              <w:top w:val="single" w:sz="4" w:space="0" w:color="000000"/>
              <w:left w:val="single" w:sz="4" w:space="0" w:color="000000"/>
              <w:bottom w:val="single" w:sz="4" w:space="0" w:color="000000"/>
              <w:right w:val="single" w:sz="4" w:space="0" w:color="000000"/>
            </w:tcBorders>
          </w:tcPr>
          <w:p w14:paraId="71B7CB03"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276</w:t>
            </w:r>
          </w:p>
        </w:tc>
        <w:tc>
          <w:tcPr>
            <w:tcW w:w="1418" w:type="dxa"/>
            <w:tcBorders>
              <w:top w:val="single" w:sz="4" w:space="0" w:color="000000"/>
              <w:left w:val="single" w:sz="4" w:space="0" w:color="000000"/>
              <w:bottom w:val="single" w:sz="4" w:space="0" w:color="000000"/>
              <w:right w:val="single" w:sz="4" w:space="0" w:color="000000"/>
            </w:tcBorders>
          </w:tcPr>
          <w:p w14:paraId="32F4252F"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268</w:t>
            </w:r>
          </w:p>
        </w:tc>
        <w:tc>
          <w:tcPr>
            <w:tcW w:w="1270" w:type="dxa"/>
            <w:tcBorders>
              <w:top w:val="single" w:sz="4" w:space="0" w:color="000000"/>
              <w:left w:val="single" w:sz="4" w:space="0" w:color="000000"/>
              <w:bottom w:val="single" w:sz="4" w:space="0" w:color="000000"/>
              <w:right w:val="single" w:sz="4" w:space="0" w:color="000000"/>
            </w:tcBorders>
          </w:tcPr>
          <w:p w14:paraId="5B4346A0"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253</w:t>
            </w:r>
          </w:p>
        </w:tc>
        <w:tc>
          <w:tcPr>
            <w:tcW w:w="1389" w:type="dxa"/>
            <w:tcBorders>
              <w:top w:val="single" w:sz="4" w:space="0" w:color="000000"/>
              <w:left w:val="single" w:sz="4" w:space="0" w:color="000000"/>
              <w:bottom w:val="single" w:sz="4" w:space="0" w:color="000000"/>
              <w:right w:val="single" w:sz="4" w:space="0" w:color="000000"/>
            </w:tcBorders>
          </w:tcPr>
          <w:p w14:paraId="3EF95E10"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- 6 %</w:t>
            </w:r>
          </w:p>
        </w:tc>
      </w:tr>
      <w:tr w:rsidR="002449C2" w14:paraId="4EAFB0D7"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60AACFCE" w14:textId="77777777" w:rsidR="002449C2" w:rsidRDefault="00123961">
            <w:pPr>
              <w:widowControl w:val="0"/>
              <w:shd w:val="clear" w:color="auto" w:fill="FFFFFF"/>
              <w:spacing w:after="5" w:line="252" w:lineRule="auto"/>
              <w:ind w:left="22" w:right="-143" w:hanging="22"/>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Транспорт и связь</w:t>
            </w:r>
          </w:p>
        </w:tc>
        <w:tc>
          <w:tcPr>
            <w:tcW w:w="850" w:type="dxa"/>
            <w:tcBorders>
              <w:top w:val="single" w:sz="4" w:space="0" w:color="000000"/>
              <w:left w:val="single" w:sz="4" w:space="0" w:color="000000"/>
              <w:bottom w:val="single" w:sz="4" w:space="0" w:color="000000"/>
              <w:right w:val="single" w:sz="4" w:space="0" w:color="000000"/>
            </w:tcBorders>
          </w:tcPr>
          <w:p w14:paraId="13F2F977"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шт.</w:t>
            </w:r>
          </w:p>
        </w:tc>
        <w:tc>
          <w:tcPr>
            <w:tcW w:w="1284" w:type="dxa"/>
            <w:tcBorders>
              <w:top w:val="single" w:sz="4" w:space="0" w:color="000000"/>
              <w:left w:val="single" w:sz="4" w:space="0" w:color="000000"/>
              <w:bottom w:val="single" w:sz="4" w:space="0" w:color="000000"/>
              <w:right w:val="single" w:sz="4" w:space="0" w:color="000000"/>
            </w:tcBorders>
          </w:tcPr>
          <w:p w14:paraId="6B5905B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556</w:t>
            </w:r>
          </w:p>
        </w:tc>
        <w:tc>
          <w:tcPr>
            <w:tcW w:w="1418" w:type="dxa"/>
            <w:tcBorders>
              <w:top w:val="single" w:sz="4" w:space="0" w:color="000000"/>
              <w:left w:val="single" w:sz="4" w:space="0" w:color="000000"/>
              <w:bottom w:val="single" w:sz="4" w:space="0" w:color="000000"/>
              <w:right w:val="single" w:sz="4" w:space="0" w:color="000000"/>
            </w:tcBorders>
          </w:tcPr>
          <w:p w14:paraId="513D6C96"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421</w:t>
            </w:r>
          </w:p>
        </w:tc>
        <w:tc>
          <w:tcPr>
            <w:tcW w:w="1270" w:type="dxa"/>
            <w:tcBorders>
              <w:top w:val="single" w:sz="4" w:space="0" w:color="000000"/>
              <w:left w:val="single" w:sz="4" w:space="0" w:color="000000"/>
              <w:bottom w:val="single" w:sz="4" w:space="0" w:color="000000"/>
              <w:right w:val="single" w:sz="4" w:space="0" w:color="000000"/>
            </w:tcBorders>
          </w:tcPr>
          <w:p w14:paraId="3C7BA35D"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327</w:t>
            </w:r>
          </w:p>
        </w:tc>
        <w:tc>
          <w:tcPr>
            <w:tcW w:w="1389" w:type="dxa"/>
            <w:tcBorders>
              <w:top w:val="single" w:sz="4" w:space="0" w:color="000000"/>
              <w:left w:val="single" w:sz="4" w:space="0" w:color="000000"/>
              <w:bottom w:val="single" w:sz="4" w:space="0" w:color="000000"/>
              <w:right w:val="single" w:sz="4" w:space="0" w:color="000000"/>
            </w:tcBorders>
          </w:tcPr>
          <w:p w14:paraId="6E36FDB3"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- 22 %</w:t>
            </w:r>
          </w:p>
        </w:tc>
      </w:tr>
      <w:tr w:rsidR="002449C2" w14:paraId="0703374C"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452008D7" w14:textId="77777777" w:rsidR="002449C2" w:rsidRDefault="00123961">
            <w:pPr>
              <w:widowControl w:val="0"/>
              <w:shd w:val="clear" w:color="auto" w:fill="FFFFFF"/>
              <w:spacing w:after="5" w:line="252" w:lineRule="auto"/>
              <w:ind w:left="22" w:right="-143" w:hanging="22"/>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Здравоохранение, образование, социальные услуги</w:t>
            </w:r>
          </w:p>
        </w:tc>
        <w:tc>
          <w:tcPr>
            <w:tcW w:w="850" w:type="dxa"/>
            <w:tcBorders>
              <w:top w:val="single" w:sz="4" w:space="0" w:color="000000"/>
              <w:left w:val="single" w:sz="4" w:space="0" w:color="000000"/>
              <w:bottom w:val="single" w:sz="4" w:space="0" w:color="000000"/>
              <w:right w:val="single" w:sz="4" w:space="0" w:color="000000"/>
            </w:tcBorders>
          </w:tcPr>
          <w:p w14:paraId="78FFE6AF"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шт.</w:t>
            </w:r>
          </w:p>
        </w:tc>
        <w:tc>
          <w:tcPr>
            <w:tcW w:w="1284" w:type="dxa"/>
            <w:tcBorders>
              <w:top w:val="single" w:sz="4" w:space="0" w:color="000000"/>
              <w:left w:val="single" w:sz="4" w:space="0" w:color="000000"/>
              <w:bottom w:val="single" w:sz="4" w:space="0" w:color="000000"/>
              <w:right w:val="single" w:sz="4" w:space="0" w:color="000000"/>
            </w:tcBorders>
          </w:tcPr>
          <w:p w14:paraId="0C41CBD3"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90</w:t>
            </w:r>
          </w:p>
        </w:tc>
        <w:tc>
          <w:tcPr>
            <w:tcW w:w="1418" w:type="dxa"/>
            <w:tcBorders>
              <w:top w:val="single" w:sz="4" w:space="0" w:color="000000"/>
              <w:left w:val="single" w:sz="4" w:space="0" w:color="000000"/>
              <w:bottom w:val="single" w:sz="4" w:space="0" w:color="000000"/>
              <w:right w:val="single" w:sz="4" w:space="0" w:color="000000"/>
            </w:tcBorders>
          </w:tcPr>
          <w:p w14:paraId="5335280E"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77</w:t>
            </w:r>
          </w:p>
        </w:tc>
        <w:tc>
          <w:tcPr>
            <w:tcW w:w="1270" w:type="dxa"/>
            <w:tcBorders>
              <w:top w:val="single" w:sz="4" w:space="0" w:color="000000"/>
              <w:left w:val="single" w:sz="4" w:space="0" w:color="000000"/>
              <w:bottom w:val="single" w:sz="4" w:space="0" w:color="000000"/>
              <w:right w:val="single" w:sz="4" w:space="0" w:color="000000"/>
            </w:tcBorders>
          </w:tcPr>
          <w:p w14:paraId="394E8916"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58</w:t>
            </w:r>
          </w:p>
        </w:tc>
        <w:tc>
          <w:tcPr>
            <w:tcW w:w="1389" w:type="dxa"/>
            <w:tcBorders>
              <w:top w:val="single" w:sz="4" w:space="0" w:color="000000"/>
              <w:left w:val="single" w:sz="4" w:space="0" w:color="000000"/>
              <w:bottom w:val="single" w:sz="4" w:space="0" w:color="000000"/>
              <w:right w:val="single" w:sz="4" w:space="0" w:color="000000"/>
            </w:tcBorders>
          </w:tcPr>
          <w:p w14:paraId="14EDEF54"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- 25 %</w:t>
            </w:r>
          </w:p>
        </w:tc>
      </w:tr>
      <w:tr w:rsidR="002449C2" w14:paraId="7DEE5873"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216D008E" w14:textId="77777777" w:rsidR="002449C2" w:rsidRDefault="00123961">
            <w:pPr>
              <w:widowControl w:val="0"/>
              <w:shd w:val="clear" w:color="auto" w:fill="FFFFFF"/>
              <w:spacing w:after="5" w:line="252" w:lineRule="auto"/>
              <w:ind w:left="22" w:right="-143" w:hanging="22"/>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Прочее</w:t>
            </w:r>
          </w:p>
        </w:tc>
        <w:tc>
          <w:tcPr>
            <w:tcW w:w="850" w:type="dxa"/>
            <w:tcBorders>
              <w:top w:val="single" w:sz="4" w:space="0" w:color="000000"/>
              <w:left w:val="single" w:sz="4" w:space="0" w:color="000000"/>
              <w:bottom w:val="single" w:sz="4" w:space="0" w:color="000000"/>
              <w:right w:val="single" w:sz="4" w:space="0" w:color="000000"/>
            </w:tcBorders>
          </w:tcPr>
          <w:p w14:paraId="6DBB05EC"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шт.</w:t>
            </w:r>
          </w:p>
        </w:tc>
        <w:tc>
          <w:tcPr>
            <w:tcW w:w="1284" w:type="dxa"/>
            <w:tcBorders>
              <w:top w:val="single" w:sz="4" w:space="0" w:color="000000"/>
              <w:left w:val="single" w:sz="4" w:space="0" w:color="000000"/>
              <w:bottom w:val="single" w:sz="4" w:space="0" w:color="000000"/>
              <w:right w:val="single" w:sz="4" w:space="0" w:color="000000"/>
            </w:tcBorders>
          </w:tcPr>
          <w:p w14:paraId="3ADF33BC"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2 722</w:t>
            </w:r>
          </w:p>
        </w:tc>
        <w:tc>
          <w:tcPr>
            <w:tcW w:w="1418" w:type="dxa"/>
            <w:tcBorders>
              <w:top w:val="single" w:sz="4" w:space="0" w:color="000000"/>
              <w:left w:val="single" w:sz="4" w:space="0" w:color="000000"/>
              <w:bottom w:val="single" w:sz="4" w:space="0" w:color="000000"/>
              <w:right w:val="single" w:sz="4" w:space="0" w:color="000000"/>
            </w:tcBorders>
          </w:tcPr>
          <w:p w14:paraId="1FD076A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2 294</w:t>
            </w:r>
          </w:p>
        </w:tc>
        <w:tc>
          <w:tcPr>
            <w:tcW w:w="1270" w:type="dxa"/>
            <w:tcBorders>
              <w:top w:val="single" w:sz="4" w:space="0" w:color="000000"/>
              <w:left w:val="single" w:sz="4" w:space="0" w:color="000000"/>
              <w:bottom w:val="single" w:sz="4" w:space="0" w:color="000000"/>
              <w:right w:val="single" w:sz="4" w:space="0" w:color="000000"/>
            </w:tcBorders>
          </w:tcPr>
          <w:p w14:paraId="1B64F030"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2 524</w:t>
            </w:r>
          </w:p>
        </w:tc>
        <w:tc>
          <w:tcPr>
            <w:tcW w:w="1389" w:type="dxa"/>
            <w:tcBorders>
              <w:top w:val="single" w:sz="4" w:space="0" w:color="000000"/>
              <w:left w:val="single" w:sz="4" w:space="0" w:color="000000"/>
              <w:bottom w:val="single" w:sz="4" w:space="0" w:color="000000"/>
              <w:right w:val="single" w:sz="4" w:space="0" w:color="000000"/>
            </w:tcBorders>
          </w:tcPr>
          <w:p w14:paraId="0A5F1D2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10 %</w:t>
            </w:r>
          </w:p>
        </w:tc>
      </w:tr>
      <w:tr w:rsidR="002449C2" w14:paraId="0FC5BC68"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3BC43A93" w14:textId="77777777" w:rsidR="002449C2" w:rsidRDefault="00123961">
            <w:pPr>
              <w:widowControl w:val="0"/>
              <w:shd w:val="clear" w:color="auto" w:fill="FFFFFF"/>
              <w:spacing w:after="5" w:line="252" w:lineRule="auto"/>
              <w:ind w:left="22" w:right="-143" w:hanging="22"/>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Физические лица</w:t>
            </w:r>
          </w:p>
        </w:tc>
        <w:tc>
          <w:tcPr>
            <w:tcW w:w="850" w:type="dxa"/>
            <w:tcBorders>
              <w:top w:val="single" w:sz="4" w:space="0" w:color="000000"/>
              <w:left w:val="single" w:sz="4" w:space="0" w:color="000000"/>
              <w:bottom w:val="single" w:sz="4" w:space="0" w:color="000000"/>
              <w:right w:val="single" w:sz="4" w:space="0" w:color="000000"/>
            </w:tcBorders>
          </w:tcPr>
          <w:p w14:paraId="7207EA8C"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кВт</w:t>
            </w:r>
          </w:p>
        </w:tc>
        <w:tc>
          <w:tcPr>
            <w:tcW w:w="1284" w:type="dxa"/>
            <w:tcBorders>
              <w:top w:val="single" w:sz="4" w:space="0" w:color="000000"/>
              <w:left w:val="single" w:sz="4" w:space="0" w:color="000000"/>
              <w:bottom w:val="single" w:sz="4" w:space="0" w:color="000000"/>
              <w:right w:val="single" w:sz="4" w:space="0" w:color="000000"/>
            </w:tcBorders>
          </w:tcPr>
          <w:p w14:paraId="34BDF233"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171 350</w:t>
            </w:r>
          </w:p>
        </w:tc>
        <w:tc>
          <w:tcPr>
            <w:tcW w:w="1418" w:type="dxa"/>
            <w:tcBorders>
              <w:top w:val="single" w:sz="4" w:space="0" w:color="000000"/>
              <w:left w:val="single" w:sz="4" w:space="0" w:color="000000"/>
              <w:bottom w:val="single" w:sz="4" w:space="0" w:color="000000"/>
              <w:right w:val="single" w:sz="4" w:space="0" w:color="000000"/>
            </w:tcBorders>
          </w:tcPr>
          <w:p w14:paraId="76015362"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109 263</w:t>
            </w:r>
          </w:p>
        </w:tc>
        <w:tc>
          <w:tcPr>
            <w:tcW w:w="1270" w:type="dxa"/>
            <w:tcBorders>
              <w:top w:val="single" w:sz="4" w:space="0" w:color="000000"/>
              <w:left w:val="single" w:sz="4" w:space="0" w:color="000000"/>
              <w:bottom w:val="single" w:sz="4" w:space="0" w:color="000000"/>
              <w:right w:val="single" w:sz="4" w:space="0" w:color="000000"/>
            </w:tcBorders>
          </w:tcPr>
          <w:p w14:paraId="2BE8D408"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121 955</w:t>
            </w:r>
          </w:p>
        </w:tc>
        <w:tc>
          <w:tcPr>
            <w:tcW w:w="1389" w:type="dxa"/>
            <w:tcBorders>
              <w:top w:val="single" w:sz="4" w:space="0" w:color="000000"/>
              <w:left w:val="single" w:sz="4" w:space="0" w:color="000000"/>
              <w:bottom w:val="single" w:sz="4" w:space="0" w:color="000000"/>
              <w:right w:val="single" w:sz="4" w:space="0" w:color="000000"/>
            </w:tcBorders>
          </w:tcPr>
          <w:p w14:paraId="1E1B1372"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12 %</w:t>
            </w:r>
          </w:p>
        </w:tc>
      </w:tr>
      <w:tr w:rsidR="002449C2" w14:paraId="13A8C545"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2FD999E7" w14:textId="77777777" w:rsidR="002449C2" w:rsidRDefault="00123961">
            <w:pPr>
              <w:widowControl w:val="0"/>
              <w:shd w:val="clear" w:color="auto" w:fill="FFFFFF"/>
              <w:spacing w:after="5" w:line="252" w:lineRule="auto"/>
              <w:ind w:left="22" w:right="-143" w:hanging="22"/>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Сельское и лесное хозяйство, рыболовство</w:t>
            </w:r>
          </w:p>
        </w:tc>
        <w:tc>
          <w:tcPr>
            <w:tcW w:w="850" w:type="dxa"/>
            <w:tcBorders>
              <w:top w:val="single" w:sz="4" w:space="0" w:color="000000"/>
              <w:left w:val="single" w:sz="4" w:space="0" w:color="000000"/>
              <w:bottom w:val="single" w:sz="4" w:space="0" w:color="000000"/>
              <w:right w:val="single" w:sz="4" w:space="0" w:color="000000"/>
            </w:tcBorders>
          </w:tcPr>
          <w:p w14:paraId="49F20EA1"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кВт</w:t>
            </w:r>
          </w:p>
        </w:tc>
        <w:tc>
          <w:tcPr>
            <w:tcW w:w="1284" w:type="dxa"/>
            <w:tcBorders>
              <w:top w:val="single" w:sz="4" w:space="0" w:color="000000"/>
              <w:left w:val="single" w:sz="4" w:space="0" w:color="000000"/>
              <w:bottom w:val="single" w:sz="4" w:space="0" w:color="000000"/>
              <w:right w:val="single" w:sz="4" w:space="0" w:color="000000"/>
            </w:tcBorders>
          </w:tcPr>
          <w:p w14:paraId="66281CEA"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29 424</w:t>
            </w:r>
          </w:p>
        </w:tc>
        <w:tc>
          <w:tcPr>
            <w:tcW w:w="1418" w:type="dxa"/>
            <w:tcBorders>
              <w:top w:val="single" w:sz="4" w:space="0" w:color="000000"/>
              <w:left w:val="single" w:sz="4" w:space="0" w:color="000000"/>
              <w:bottom w:val="single" w:sz="4" w:space="0" w:color="000000"/>
              <w:right w:val="single" w:sz="4" w:space="0" w:color="000000"/>
            </w:tcBorders>
          </w:tcPr>
          <w:p w14:paraId="2BEA2276"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31 409</w:t>
            </w:r>
          </w:p>
        </w:tc>
        <w:tc>
          <w:tcPr>
            <w:tcW w:w="1270" w:type="dxa"/>
            <w:tcBorders>
              <w:top w:val="single" w:sz="4" w:space="0" w:color="000000"/>
              <w:left w:val="single" w:sz="4" w:space="0" w:color="000000"/>
              <w:bottom w:val="single" w:sz="4" w:space="0" w:color="000000"/>
              <w:right w:val="single" w:sz="4" w:space="0" w:color="000000"/>
            </w:tcBorders>
          </w:tcPr>
          <w:p w14:paraId="5038E075"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24 911</w:t>
            </w:r>
          </w:p>
        </w:tc>
        <w:tc>
          <w:tcPr>
            <w:tcW w:w="1389" w:type="dxa"/>
            <w:tcBorders>
              <w:top w:val="single" w:sz="4" w:space="0" w:color="000000"/>
              <w:left w:val="single" w:sz="4" w:space="0" w:color="000000"/>
              <w:bottom w:val="single" w:sz="4" w:space="0" w:color="000000"/>
              <w:right w:val="single" w:sz="4" w:space="0" w:color="000000"/>
            </w:tcBorders>
          </w:tcPr>
          <w:p w14:paraId="3107CF4F"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- 21 %</w:t>
            </w:r>
          </w:p>
        </w:tc>
      </w:tr>
      <w:tr w:rsidR="002449C2" w14:paraId="6D8BF2AE"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4CA4AB0D" w14:textId="77777777" w:rsidR="002449C2" w:rsidRDefault="00123961">
            <w:pPr>
              <w:widowControl w:val="0"/>
              <w:shd w:val="clear" w:color="auto" w:fill="FFFFFF"/>
              <w:spacing w:after="5" w:line="252" w:lineRule="auto"/>
              <w:ind w:left="22" w:right="-143" w:hanging="22"/>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Промышленность</w:t>
            </w:r>
          </w:p>
        </w:tc>
        <w:tc>
          <w:tcPr>
            <w:tcW w:w="850" w:type="dxa"/>
            <w:tcBorders>
              <w:top w:val="single" w:sz="4" w:space="0" w:color="000000"/>
              <w:left w:val="single" w:sz="4" w:space="0" w:color="000000"/>
              <w:bottom w:val="single" w:sz="4" w:space="0" w:color="000000"/>
              <w:right w:val="single" w:sz="4" w:space="0" w:color="000000"/>
            </w:tcBorders>
          </w:tcPr>
          <w:p w14:paraId="6442FA65"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кВт</w:t>
            </w:r>
          </w:p>
        </w:tc>
        <w:tc>
          <w:tcPr>
            <w:tcW w:w="1284" w:type="dxa"/>
            <w:tcBorders>
              <w:top w:val="single" w:sz="4" w:space="0" w:color="000000"/>
              <w:left w:val="single" w:sz="4" w:space="0" w:color="000000"/>
              <w:bottom w:val="single" w:sz="4" w:space="0" w:color="000000"/>
              <w:right w:val="single" w:sz="4" w:space="0" w:color="000000"/>
            </w:tcBorders>
          </w:tcPr>
          <w:p w14:paraId="788CEB60"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12 244</w:t>
            </w:r>
          </w:p>
        </w:tc>
        <w:tc>
          <w:tcPr>
            <w:tcW w:w="1418" w:type="dxa"/>
            <w:tcBorders>
              <w:top w:val="single" w:sz="4" w:space="0" w:color="000000"/>
              <w:left w:val="single" w:sz="4" w:space="0" w:color="000000"/>
              <w:bottom w:val="single" w:sz="4" w:space="0" w:color="000000"/>
              <w:right w:val="single" w:sz="4" w:space="0" w:color="000000"/>
            </w:tcBorders>
          </w:tcPr>
          <w:p w14:paraId="512EB74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36 659</w:t>
            </w:r>
          </w:p>
        </w:tc>
        <w:tc>
          <w:tcPr>
            <w:tcW w:w="1270" w:type="dxa"/>
            <w:tcBorders>
              <w:top w:val="single" w:sz="4" w:space="0" w:color="000000"/>
              <w:left w:val="single" w:sz="4" w:space="0" w:color="000000"/>
              <w:bottom w:val="single" w:sz="4" w:space="0" w:color="000000"/>
              <w:right w:val="single" w:sz="4" w:space="0" w:color="000000"/>
            </w:tcBorders>
          </w:tcPr>
          <w:p w14:paraId="083A5DA4"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32 690</w:t>
            </w:r>
          </w:p>
        </w:tc>
        <w:tc>
          <w:tcPr>
            <w:tcW w:w="1389" w:type="dxa"/>
            <w:tcBorders>
              <w:top w:val="single" w:sz="4" w:space="0" w:color="000000"/>
              <w:left w:val="single" w:sz="4" w:space="0" w:color="000000"/>
              <w:bottom w:val="single" w:sz="4" w:space="0" w:color="000000"/>
              <w:right w:val="single" w:sz="4" w:space="0" w:color="000000"/>
            </w:tcBorders>
          </w:tcPr>
          <w:p w14:paraId="42270231"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- 11 %</w:t>
            </w:r>
          </w:p>
        </w:tc>
      </w:tr>
      <w:tr w:rsidR="002449C2" w14:paraId="29E39CB5"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2CE9F818" w14:textId="77777777" w:rsidR="002449C2" w:rsidRDefault="00123961">
            <w:pPr>
              <w:widowControl w:val="0"/>
              <w:shd w:val="clear" w:color="auto" w:fill="FFFFFF"/>
              <w:spacing w:after="5" w:line="252" w:lineRule="auto"/>
              <w:ind w:left="22" w:right="-143" w:hanging="22"/>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Производство и распределение электроэнергии, газа и воды</w:t>
            </w:r>
          </w:p>
        </w:tc>
        <w:tc>
          <w:tcPr>
            <w:tcW w:w="850" w:type="dxa"/>
            <w:tcBorders>
              <w:top w:val="single" w:sz="4" w:space="0" w:color="000000"/>
              <w:left w:val="single" w:sz="4" w:space="0" w:color="000000"/>
              <w:bottom w:val="single" w:sz="4" w:space="0" w:color="000000"/>
              <w:right w:val="single" w:sz="4" w:space="0" w:color="000000"/>
            </w:tcBorders>
          </w:tcPr>
          <w:p w14:paraId="26DF865D"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кВт</w:t>
            </w:r>
          </w:p>
        </w:tc>
        <w:tc>
          <w:tcPr>
            <w:tcW w:w="1284" w:type="dxa"/>
            <w:tcBorders>
              <w:top w:val="single" w:sz="4" w:space="0" w:color="000000"/>
              <w:left w:val="single" w:sz="4" w:space="0" w:color="000000"/>
              <w:bottom w:val="single" w:sz="4" w:space="0" w:color="000000"/>
              <w:right w:val="single" w:sz="4" w:space="0" w:color="000000"/>
            </w:tcBorders>
          </w:tcPr>
          <w:p w14:paraId="683268DC"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43 415</w:t>
            </w:r>
          </w:p>
        </w:tc>
        <w:tc>
          <w:tcPr>
            <w:tcW w:w="1418" w:type="dxa"/>
            <w:tcBorders>
              <w:top w:val="single" w:sz="4" w:space="0" w:color="000000"/>
              <w:left w:val="single" w:sz="4" w:space="0" w:color="000000"/>
              <w:bottom w:val="single" w:sz="4" w:space="0" w:color="000000"/>
              <w:right w:val="single" w:sz="4" w:space="0" w:color="000000"/>
            </w:tcBorders>
          </w:tcPr>
          <w:p w14:paraId="70EDC045"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54 152</w:t>
            </w:r>
          </w:p>
        </w:tc>
        <w:tc>
          <w:tcPr>
            <w:tcW w:w="1270" w:type="dxa"/>
            <w:tcBorders>
              <w:top w:val="single" w:sz="4" w:space="0" w:color="000000"/>
              <w:left w:val="single" w:sz="4" w:space="0" w:color="000000"/>
              <w:bottom w:val="single" w:sz="4" w:space="0" w:color="000000"/>
              <w:right w:val="single" w:sz="4" w:space="0" w:color="000000"/>
            </w:tcBorders>
          </w:tcPr>
          <w:p w14:paraId="6BF61D0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96 544</w:t>
            </w:r>
          </w:p>
        </w:tc>
        <w:tc>
          <w:tcPr>
            <w:tcW w:w="1389" w:type="dxa"/>
            <w:tcBorders>
              <w:top w:val="single" w:sz="4" w:space="0" w:color="000000"/>
              <w:left w:val="single" w:sz="4" w:space="0" w:color="000000"/>
              <w:bottom w:val="single" w:sz="4" w:space="0" w:color="000000"/>
              <w:right w:val="single" w:sz="4" w:space="0" w:color="000000"/>
            </w:tcBorders>
          </w:tcPr>
          <w:p w14:paraId="5BC4D9C7"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78 %</w:t>
            </w:r>
          </w:p>
        </w:tc>
      </w:tr>
      <w:tr w:rsidR="002449C2" w14:paraId="67FBD6E5"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1BFF976F" w14:textId="77777777" w:rsidR="002449C2" w:rsidRDefault="00123961">
            <w:pPr>
              <w:widowControl w:val="0"/>
              <w:shd w:val="clear" w:color="auto" w:fill="FFFFFF"/>
              <w:spacing w:after="5" w:line="252" w:lineRule="auto"/>
              <w:ind w:left="22" w:right="-143" w:hanging="22"/>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Строительство</w:t>
            </w:r>
          </w:p>
        </w:tc>
        <w:tc>
          <w:tcPr>
            <w:tcW w:w="850" w:type="dxa"/>
            <w:tcBorders>
              <w:top w:val="single" w:sz="4" w:space="0" w:color="000000"/>
              <w:left w:val="single" w:sz="4" w:space="0" w:color="000000"/>
              <w:bottom w:val="single" w:sz="4" w:space="0" w:color="000000"/>
              <w:right w:val="single" w:sz="4" w:space="0" w:color="000000"/>
            </w:tcBorders>
          </w:tcPr>
          <w:p w14:paraId="37614256"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кВт</w:t>
            </w:r>
          </w:p>
        </w:tc>
        <w:tc>
          <w:tcPr>
            <w:tcW w:w="1284" w:type="dxa"/>
            <w:tcBorders>
              <w:top w:val="single" w:sz="4" w:space="0" w:color="000000"/>
              <w:left w:val="single" w:sz="4" w:space="0" w:color="000000"/>
              <w:bottom w:val="single" w:sz="4" w:space="0" w:color="000000"/>
              <w:right w:val="single" w:sz="4" w:space="0" w:color="000000"/>
            </w:tcBorders>
          </w:tcPr>
          <w:p w14:paraId="293A9BE2"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13 406</w:t>
            </w:r>
          </w:p>
        </w:tc>
        <w:tc>
          <w:tcPr>
            <w:tcW w:w="1418" w:type="dxa"/>
            <w:tcBorders>
              <w:top w:val="single" w:sz="4" w:space="0" w:color="000000"/>
              <w:left w:val="single" w:sz="4" w:space="0" w:color="000000"/>
              <w:bottom w:val="single" w:sz="4" w:space="0" w:color="000000"/>
              <w:right w:val="single" w:sz="4" w:space="0" w:color="000000"/>
            </w:tcBorders>
          </w:tcPr>
          <w:p w14:paraId="487B013F"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19 796</w:t>
            </w:r>
          </w:p>
        </w:tc>
        <w:tc>
          <w:tcPr>
            <w:tcW w:w="1270" w:type="dxa"/>
            <w:tcBorders>
              <w:top w:val="single" w:sz="4" w:space="0" w:color="000000"/>
              <w:left w:val="single" w:sz="4" w:space="0" w:color="000000"/>
              <w:bottom w:val="single" w:sz="4" w:space="0" w:color="000000"/>
              <w:right w:val="single" w:sz="4" w:space="0" w:color="000000"/>
            </w:tcBorders>
          </w:tcPr>
          <w:p w14:paraId="31EBA70D"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20 398</w:t>
            </w:r>
          </w:p>
        </w:tc>
        <w:tc>
          <w:tcPr>
            <w:tcW w:w="1389" w:type="dxa"/>
            <w:tcBorders>
              <w:top w:val="single" w:sz="4" w:space="0" w:color="000000"/>
              <w:left w:val="single" w:sz="4" w:space="0" w:color="000000"/>
              <w:bottom w:val="single" w:sz="4" w:space="0" w:color="000000"/>
              <w:right w:val="single" w:sz="4" w:space="0" w:color="000000"/>
            </w:tcBorders>
          </w:tcPr>
          <w:p w14:paraId="38747D68"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3 %</w:t>
            </w:r>
          </w:p>
        </w:tc>
      </w:tr>
      <w:tr w:rsidR="002449C2" w14:paraId="21897A38"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43700068" w14:textId="77777777" w:rsidR="002449C2" w:rsidRDefault="00123961">
            <w:pPr>
              <w:widowControl w:val="0"/>
              <w:shd w:val="clear" w:color="auto" w:fill="FFFFFF"/>
              <w:spacing w:after="5" w:line="252" w:lineRule="auto"/>
              <w:ind w:left="22" w:right="-143" w:hanging="22"/>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Торговля</w:t>
            </w:r>
          </w:p>
        </w:tc>
        <w:tc>
          <w:tcPr>
            <w:tcW w:w="850" w:type="dxa"/>
            <w:tcBorders>
              <w:top w:val="single" w:sz="4" w:space="0" w:color="000000"/>
              <w:left w:val="single" w:sz="4" w:space="0" w:color="000000"/>
              <w:bottom w:val="single" w:sz="4" w:space="0" w:color="000000"/>
              <w:right w:val="single" w:sz="4" w:space="0" w:color="000000"/>
            </w:tcBorders>
          </w:tcPr>
          <w:p w14:paraId="3ACC813B"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кВт</w:t>
            </w:r>
          </w:p>
        </w:tc>
        <w:tc>
          <w:tcPr>
            <w:tcW w:w="1284" w:type="dxa"/>
            <w:tcBorders>
              <w:top w:val="single" w:sz="4" w:space="0" w:color="000000"/>
              <w:left w:val="single" w:sz="4" w:space="0" w:color="000000"/>
              <w:bottom w:val="single" w:sz="4" w:space="0" w:color="000000"/>
              <w:right w:val="single" w:sz="4" w:space="0" w:color="000000"/>
            </w:tcBorders>
          </w:tcPr>
          <w:p w14:paraId="52867A0B"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35 356</w:t>
            </w:r>
          </w:p>
        </w:tc>
        <w:tc>
          <w:tcPr>
            <w:tcW w:w="1418" w:type="dxa"/>
            <w:tcBorders>
              <w:top w:val="single" w:sz="4" w:space="0" w:color="000000"/>
              <w:left w:val="single" w:sz="4" w:space="0" w:color="000000"/>
              <w:bottom w:val="single" w:sz="4" w:space="0" w:color="000000"/>
              <w:right w:val="single" w:sz="4" w:space="0" w:color="000000"/>
            </w:tcBorders>
          </w:tcPr>
          <w:p w14:paraId="0C04C806"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25 666</w:t>
            </w:r>
          </w:p>
        </w:tc>
        <w:tc>
          <w:tcPr>
            <w:tcW w:w="1270" w:type="dxa"/>
            <w:tcBorders>
              <w:top w:val="single" w:sz="4" w:space="0" w:color="000000"/>
              <w:left w:val="single" w:sz="4" w:space="0" w:color="000000"/>
              <w:bottom w:val="single" w:sz="4" w:space="0" w:color="000000"/>
              <w:right w:val="single" w:sz="4" w:space="0" w:color="000000"/>
            </w:tcBorders>
          </w:tcPr>
          <w:p w14:paraId="2E7A415B"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14 976</w:t>
            </w:r>
          </w:p>
        </w:tc>
        <w:tc>
          <w:tcPr>
            <w:tcW w:w="1389" w:type="dxa"/>
            <w:tcBorders>
              <w:top w:val="single" w:sz="4" w:space="0" w:color="000000"/>
              <w:left w:val="single" w:sz="4" w:space="0" w:color="000000"/>
              <w:bottom w:val="single" w:sz="4" w:space="0" w:color="000000"/>
              <w:right w:val="single" w:sz="4" w:space="0" w:color="000000"/>
            </w:tcBorders>
          </w:tcPr>
          <w:p w14:paraId="232A1C3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- 42 %</w:t>
            </w:r>
          </w:p>
        </w:tc>
      </w:tr>
      <w:tr w:rsidR="002449C2" w14:paraId="662D9249"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32228312" w14:textId="77777777" w:rsidR="002449C2" w:rsidRDefault="00123961">
            <w:pPr>
              <w:widowControl w:val="0"/>
              <w:shd w:val="clear" w:color="auto" w:fill="FFFFFF"/>
              <w:spacing w:after="5" w:line="252" w:lineRule="auto"/>
              <w:ind w:left="22" w:right="-143" w:hanging="22"/>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Транспорт и связь</w:t>
            </w:r>
          </w:p>
        </w:tc>
        <w:tc>
          <w:tcPr>
            <w:tcW w:w="850" w:type="dxa"/>
            <w:tcBorders>
              <w:top w:val="single" w:sz="4" w:space="0" w:color="000000"/>
              <w:left w:val="single" w:sz="4" w:space="0" w:color="000000"/>
              <w:bottom w:val="single" w:sz="4" w:space="0" w:color="000000"/>
              <w:right w:val="single" w:sz="4" w:space="0" w:color="000000"/>
            </w:tcBorders>
          </w:tcPr>
          <w:p w14:paraId="710B2360"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кВт</w:t>
            </w:r>
          </w:p>
        </w:tc>
        <w:tc>
          <w:tcPr>
            <w:tcW w:w="1284" w:type="dxa"/>
            <w:tcBorders>
              <w:top w:val="single" w:sz="4" w:space="0" w:color="000000"/>
              <w:left w:val="single" w:sz="4" w:space="0" w:color="000000"/>
              <w:bottom w:val="single" w:sz="4" w:space="0" w:color="000000"/>
              <w:right w:val="single" w:sz="4" w:space="0" w:color="000000"/>
            </w:tcBorders>
          </w:tcPr>
          <w:p w14:paraId="535911E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29 475</w:t>
            </w:r>
          </w:p>
        </w:tc>
        <w:tc>
          <w:tcPr>
            <w:tcW w:w="1418" w:type="dxa"/>
            <w:tcBorders>
              <w:top w:val="single" w:sz="4" w:space="0" w:color="000000"/>
              <w:left w:val="single" w:sz="4" w:space="0" w:color="000000"/>
              <w:bottom w:val="single" w:sz="4" w:space="0" w:color="000000"/>
              <w:right w:val="single" w:sz="4" w:space="0" w:color="000000"/>
            </w:tcBorders>
          </w:tcPr>
          <w:p w14:paraId="1B10F130"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15 336</w:t>
            </w:r>
          </w:p>
        </w:tc>
        <w:tc>
          <w:tcPr>
            <w:tcW w:w="1270" w:type="dxa"/>
            <w:tcBorders>
              <w:top w:val="single" w:sz="4" w:space="0" w:color="000000"/>
              <w:left w:val="single" w:sz="4" w:space="0" w:color="000000"/>
              <w:bottom w:val="single" w:sz="4" w:space="0" w:color="000000"/>
              <w:right w:val="single" w:sz="4" w:space="0" w:color="000000"/>
            </w:tcBorders>
          </w:tcPr>
          <w:p w14:paraId="7401743C"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18 265</w:t>
            </w:r>
          </w:p>
        </w:tc>
        <w:tc>
          <w:tcPr>
            <w:tcW w:w="1389" w:type="dxa"/>
            <w:tcBorders>
              <w:top w:val="single" w:sz="4" w:space="0" w:color="000000"/>
              <w:left w:val="single" w:sz="4" w:space="0" w:color="000000"/>
              <w:bottom w:val="single" w:sz="4" w:space="0" w:color="000000"/>
              <w:right w:val="single" w:sz="4" w:space="0" w:color="000000"/>
            </w:tcBorders>
          </w:tcPr>
          <w:p w14:paraId="76D50BAB"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19 %</w:t>
            </w:r>
          </w:p>
        </w:tc>
      </w:tr>
      <w:tr w:rsidR="002449C2" w14:paraId="3AC613C0" w14:textId="77777777">
        <w:trPr>
          <w:cantSplit/>
          <w:trHeight w:val="70"/>
        </w:trPr>
        <w:tc>
          <w:tcPr>
            <w:tcW w:w="3394" w:type="dxa"/>
            <w:tcBorders>
              <w:top w:val="single" w:sz="4" w:space="0" w:color="000000"/>
              <w:left w:val="single" w:sz="4" w:space="0" w:color="000000"/>
              <w:bottom w:val="single" w:sz="4" w:space="0" w:color="000000"/>
              <w:right w:val="single" w:sz="4" w:space="0" w:color="000000"/>
            </w:tcBorders>
          </w:tcPr>
          <w:p w14:paraId="7D51DB66" w14:textId="77777777" w:rsidR="002449C2" w:rsidRDefault="00123961">
            <w:pPr>
              <w:widowControl w:val="0"/>
              <w:shd w:val="clear" w:color="auto" w:fill="FFFFFF"/>
              <w:spacing w:after="5" w:line="252" w:lineRule="auto"/>
              <w:ind w:left="22" w:right="-143" w:hanging="22"/>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Здравоохранение, образование, социальные услуги</w:t>
            </w:r>
          </w:p>
        </w:tc>
        <w:tc>
          <w:tcPr>
            <w:tcW w:w="850" w:type="dxa"/>
            <w:tcBorders>
              <w:top w:val="single" w:sz="4" w:space="0" w:color="000000"/>
              <w:left w:val="single" w:sz="4" w:space="0" w:color="000000"/>
              <w:bottom w:val="single" w:sz="4" w:space="0" w:color="000000"/>
              <w:right w:val="single" w:sz="4" w:space="0" w:color="000000"/>
            </w:tcBorders>
          </w:tcPr>
          <w:p w14:paraId="485AD2F0"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кВт</w:t>
            </w:r>
          </w:p>
        </w:tc>
        <w:tc>
          <w:tcPr>
            <w:tcW w:w="1284" w:type="dxa"/>
            <w:tcBorders>
              <w:top w:val="single" w:sz="4" w:space="0" w:color="000000"/>
              <w:left w:val="single" w:sz="4" w:space="0" w:color="000000"/>
              <w:bottom w:val="single" w:sz="4" w:space="0" w:color="000000"/>
              <w:right w:val="single" w:sz="4" w:space="0" w:color="000000"/>
            </w:tcBorders>
          </w:tcPr>
          <w:p w14:paraId="5F5B16D4"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2 663</w:t>
            </w:r>
          </w:p>
        </w:tc>
        <w:tc>
          <w:tcPr>
            <w:tcW w:w="1418" w:type="dxa"/>
            <w:tcBorders>
              <w:top w:val="single" w:sz="4" w:space="0" w:color="000000"/>
              <w:left w:val="single" w:sz="4" w:space="0" w:color="000000"/>
              <w:bottom w:val="single" w:sz="4" w:space="0" w:color="000000"/>
              <w:right w:val="single" w:sz="4" w:space="0" w:color="000000"/>
            </w:tcBorders>
          </w:tcPr>
          <w:p w14:paraId="4487B475"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2 494</w:t>
            </w:r>
          </w:p>
        </w:tc>
        <w:tc>
          <w:tcPr>
            <w:tcW w:w="1270" w:type="dxa"/>
            <w:tcBorders>
              <w:top w:val="single" w:sz="4" w:space="0" w:color="000000"/>
              <w:left w:val="single" w:sz="4" w:space="0" w:color="000000"/>
              <w:bottom w:val="single" w:sz="4" w:space="0" w:color="000000"/>
              <w:right w:val="single" w:sz="4" w:space="0" w:color="000000"/>
            </w:tcBorders>
          </w:tcPr>
          <w:p w14:paraId="2522C67F"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5 330</w:t>
            </w:r>
          </w:p>
        </w:tc>
        <w:tc>
          <w:tcPr>
            <w:tcW w:w="1389" w:type="dxa"/>
            <w:tcBorders>
              <w:top w:val="single" w:sz="4" w:space="0" w:color="000000"/>
              <w:left w:val="single" w:sz="4" w:space="0" w:color="000000"/>
              <w:bottom w:val="single" w:sz="4" w:space="0" w:color="000000"/>
              <w:right w:val="single" w:sz="4" w:space="0" w:color="000000"/>
            </w:tcBorders>
          </w:tcPr>
          <w:p w14:paraId="4225AF62"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114 %</w:t>
            </w:r>
          </w:p>
        </w:tc>
      </w:tr>
      <w:tr w:rsidR="002449C2" w14:paraId="1F1642DC" w14:textId="77777777">
        <w:trPr>
          <w:cantSplit/>
        </w:trPr>
        <w:tc>
          <w:tcPr>
            <w:tcW w:w="3394" w:type="dxa"/>
            <w:tcBorders>
              <w:top w:val="single" w:sz="4" w:space="0" w:color="000000"/>
              <w:left w:val="single" w:sz="4" w:space="0" w:color="000000"/>
              <w:bottom w:val="single" w:sz="4" w:space="0" w:color="000000"/>
              <w:right w:val="single" w:sz="4" w:space="0" w:color="000000"/>
            </w:tcBorders>
          </w:tcPr>
          <w:p w14:paraId="5BF07BB9"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Прочее</w:t>
            </w:r>
          </w:p>
        </w:tc>
        <w:tc>
          <w:tcPr>
            <w:tcW w:w="850" w:type="dxa"/>
            <w:tcBorders>
              <w:top w:val="single" w:sz="4" w:space="0" w:color="000000"/>
              <w:left w:val="single" w:sz="4" w:space="0" w:color="000000"/>
              <w:bottom w:val="single" w:sz="4" w:space="0" w:color="000000"/>
              <w:right w:val="single" w:sz="4" w:space="0" w:color="000000"/>
            </w:tcBorders>
          </w:tcPr>
          <w:p w14:paraId="33C75348"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кВт</w:t>
            </w:r>
          </w:p>
        </w:tc>
        <w:tc>
          <w:tcPr>
            <w:tcW w:w="1284" w:type="dxa"/>
            <w:tcBorders>
              <w:top w:val="single" w:sz="4" w:space="0" w:color="000000"/>
              <w:left w:val="single" w:sz="4" w:space="0" w:color="000000"/>
              <w:bottom w:val="single" w:sz="4" w:space="0" w:color="000000"/>
              <w:right w:val="single" w:sz="4" w:space="0" w:color="000000"/>
            </w:tcBorders>
          </w:tcPr>
          <w:p w14:paraId="00D2BA4A"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108 255</w:t>
            </w:r>
          </w:p>
        </w:tc>
        <w:tc>
          <w:tcPr>
            <w:tcW w:w="1418" w:type="dxa"/>
            <w:tcBorders>
              <w:top w:val="single" w:sz="4" w:space="0" w:color="000000"/>
              <w:left w:val="single" w:sz="4" w:space="0" w:color="000000"/>
              <w:bottom w:val="single" w:sz="4" w:space="0" w:color="000000"/>
              <w:right w:val="single" w:sz="4" w:space="0" w:color="000000"/>
            </w:tcBorders>
          </w:tcPr>
          <w:p w14:paraId="2F416726"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163 090</w:t>
            </w:r>
          </w:p>
        </w:tc>
        <w:tc>
          <w:tcPr>
            <w:tcW w:w="1270" w:type="dxa"/>
            <w:tcBorders>
              <w:top w:val="single" w:sz="4" w:space="0" w:color="000000"/>
              <w:left w:val="single" w:sz="4" w:space="0" w:color="000000"/>
              <w:bottom w:val="single" w:sz="4" w:space="0" w:color="000000"/>
              <w:right w:val="single" w:sz="4" w:space="0" w:color="000000"/>
            </w:tcBorders>
          </w:tcPr>
          <w:p w14:paraId="7B1EF478"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145 484</w:t>
            </w:r>
          </w:p>
        </w:tc>
        <w:tc>
          <w:tcPr>
            <w:tcW w:w="1389" w:type="dxa"/>
            <w:tcBorders>
              <w:top w:val="single" w:sz="4" w:space="0" w:color="000000"/>
              <w:left w:val="single" w:sz="4" w:space="0" w:color="000000"/>
              <w:bottom w:val="single" w:sz="4" w:space="0" w:color="000000"/>
              <w:right w:val="single" w:sz="4" w:space="0" w:color="000000"/>
            </w:tcBorders>
          </w:tcPr>
          <w:p w14:paraId="6D9598DD"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- 11 %</w:t>
            </w:r>
          </w:p>
        </w:tc>
      </w:tr>
    </w:tbl>
    <w:p w14:paraId="340FAD0B" w14:textId="77777777" w:rsidR="002449C2" w:rsidRDefault="002449C2">
      <w:pPr>
        <w:shd w:val="clear" w:color="auto" w:fill="FFFFFF"/>
        <w:spacing w:after="0" w:line="240" w:lineRule="auto"/>
        <w:jc w:val="both"/>
        <w:rPr>
          <w:rFonts w:ascii="Times New Roman" w:hAnsi="Times New Roman"/>
        </w:rPr>
      </w:pPr>
    </w:p>
    <w:p w14:paraId="586E3E89" w14:textId="77777777" w:rsidR="002449C2" w:rsidRDefault="00123961">
      <w:pPr>
        <w:shd w:val="clear" w:color="auto" w:fill="FFFFFF"/>
        <w:spacing w:after="0" w:line="240" w:lineRule="auto"/>
        <w:ind w:firstLine="708"/>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В 2024 году было принято в работу 24 732 заявки на технологическое присоединение суммарной мощностью 2 325 МВт, заключено 15 187 договоров технологического присоединения на мощность 636 МВт.</w:t>
      </w:r>
    </w:p>
    <w:p w14:paraId="1861E8CF" w14:textId="77777777" w:rsidR="002449C2" w:rsidRDefault="00123961">
      <w:pPr>
        <w:shd w:val="clear" w:color="auto" w:fill="FFFFFF"/>
        <w:spacing w:after="0" w:line="240" w:lineRule="auto"/>
        <w:ind w:firstLine="708"/>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Отклонение количества обращений заявителей и суммарного объема мощности по ним в ПАО «Россети Юг» в 2024 году относительно 2023 года составило 12 % и 31 % соответственно.</w:t>
      </w:r>
    </w:p>
    <w:p w14:paraId="7F2D1B45" w14:textId="77777777" w:rsidR="002449C2" w:rsidRDefault="00123961">
      <w:pPr>
        <w:shd w:val="clear" w:color="auto" w:fill="FFFFFF"/>
        <w:spacing w:after="0" w:line="240" w:lineRule="auto"/>
        <w:ind w:firstLine="708"/>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Изменения по количеству заключенных договоров ТП и объему мощности по сравнению с 2023 годом составили 11 % и 5 % соответственно.</w:t>
      </w:r>
    </w:p>
    <w:p w14:paraId="007C309D" w14:textId="77777777" w:rsidR="002449C2" w:rsidRDefault="00123961">
      <w:pPr>
        <w:shd w:val="clear" w:color="auto" w:fill="FFFFFF"/>
        <w:spacing w:after="0" w:line="240" w:lineRule="auto"/>
        <w:ind w:firstLine="708"/>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В 2024 году было исполнено 16 340 договоров на технологическое присоединение суммарной мощностью 481 МВт.</w:t>
      </w:r>
    </w:p>
    <w:p w14:paraId="52C89449" w14:textId="10AC9FB3" w:rsidR="002449C2" w:rsidRDefault="00123961">
      <w:pPr>
        <w:shd w:val="clear" w:color="auto" w:fill="FFFFFF"/>
        <w:tabs>
          <w:tab w:val="left" w:pos="0"/>
        </w:tabs>
        <w:spacing w:after="0" w:line="240" w:lineRule="auto"/>
        <w:ind w:firstLine="567"/>
        <w:jc w:val="center"/>
        <w:rPr>
          <w:rFonts w:ascii="Times New Roman" w:hAnsi="Times New Roman"/>
          <w:sz w:val="26"/>
          <w:szCs w:val="26"/>
          <w:lang w:eastAsia="en-US"/>
        </w:rPr>
      </w:pPr>
      <w:r>
        <w:rPr>
          <w:rFonts w:ascii="Times New Roman" w:eastAsia="Times New Roman" w:hAnsi="Times New Roman"/>
          <w:color w:val="000000"/>
          <w:sz w:val="26"/>
          <w:szCs w:val="26"/>
          <w:lang w:eastAsia="ru-RU"/>
        </w:rPr>
        <w:t>Рост количества исполненных договоров ТП и объема мощности по ним в сравнении с 2023 годом составил 10 % и 5 % соответственно.</w:t>
      </w:r>
      <w:r>
        <w:br w:type="page"/>
      </w:r>
    </w:p>
    <w:p w14:paraId="73ED855D" w14:textId="77777777" w:rsidR="002449C2" w:rsidRDefault="00123961">
      <w:pPr>
        <w:shd w:val="clear" w:color="auto" w:fill="FFFFFF"/>
        <w:tabs>
          <w:tab w:val="left" w:pos="0"/>
        </w:tabs>
        <w:spacing w:after="0" w:line="240" w:lineRule="auto"/>
        <w:ind w:firstLine="567"/>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Плановая выручка от оказания услуг по технологическому присоединению на 2025 год в разрезе филиалов, млн рублей без НДС</w:t>
      </w:r>
    </w:p>
    <w:p w14:paraId="7A22409C" w14:textId="77777777" w:rsidR="002449C2" w:rsidRDefault="002449C2">
      <w:pPr>
        <w:shd w:val="clear" w:color="auto" w:fill="FFFFFF"/>
        <w:tabs>
          <w:tab w:val="left" w:pos="0"/>
        </w:tabs>
        <w:spacing w:after="0" w:line="240" w:lineRule="auto"/>
        <w:ind w:firstLine="567"/>
        <w:jc w:val="center"/>
        <w:rPr>
          <w:rFonts w:ascii="Times New Roman" w:eastAsia="Times New Roman" w:hAnsi="Times New Roman"/>
          <w:b/>
          <w:i/>
          <w:sz w:val="24"/>
          <w:szCs w:val="24"/>
          <w:lang w:eastAsia="ru-RU"/>
        </w:rPr>
      </w:pPr>
    </w:p>
    <w:p w14:paraId="0F159C62" w14:textId="77777777" w:rsidR="002449C2" w:rsidRDefault="00123961">
      <w:pPr>
        <w:shd w:val="clear" w:color="auto" w:fill="FFFFFF"/>
        <w:tabs>
          <w:tab w:val="left" w:pos="0"/>
        </w:tabs>
        <w:spacing w:after="0" w:line="240" w:lineRule="auto"/>
        <w:jc w:val="center"/>
        <w:rPr>
          <w:rFonts w:ascii="Times New Roman" w:eastAsia="Times New Roman" w:hAnsi="Times New Roman"/>
          <w:b/>
          <w:i/>
          <w:lang w:eastAsia="ru-RU"/>
        </w:rPr>
      </w:pPr>
      <w:r>
        <w:rPr>
          <w:noProof/>
          <w:lang w:eastAsia="ru-RU"/>
        </w:rPr>
        <w:drawing>
          <wp:inline distT="0" distB="0" distL="0" distR="0" wp14:anchorId="0A5C3DFE" wp14:editId="0FC2F37F">
            <wp:extent cx="5785485" cy="2816860"/>
            <wp:effectExtent l="0" t="0" r="0" b="0"/>
            <wp:docPr id="38" name="_x005F_x0000_i4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_x005F_x0000_i4419"/>
                    <pic:cNvPicPr>
                      <a:picLocks noChangeAspect="1" noChangeArrowheads="1"/>
                    </pic:cNvPicPr>
                  </pic:nvPicPr>
                  <pic:blipFill>
                    <a:blip r:embed="rId65"/>
                    <a:stretch>
                      <a:fillRect/>
                    </a:stretch>
                  </pic:blipFill>
                  <pic:spPr bwMode="auto">
                    <a:xfrm>
                      <a:off x="0" y="0"/>
                      <a:ext cx="5785485" cy="2816860"/>
                    </a:xfrm>
                    <a:prstGeom prst="rect">
                      <a:avLst/>
                    </a:prstGeom>
                    <a:noFill/>
                  </pic:spPr>
                </pic:pic>
              </a:graphicData>
            </a:graphic>
          </wp:inline>
        </w:drawing>
      </w:r>
    </w:p>
    <w:p w14:paraId="4B1D0AE2" w14:textId="77777777" w:rsidR="002449C2" w:rsidRDefault="002449C2">
      <w:pPr>
        <w:shd w:val="clear" w:color="auto" w:fill="FFFFFF"/>
        <w:tabs>
          <w:tab w:val="left" w:pos="0"/>
        </w:tabs>
        <w:spacing w:after="0" w:line="240" w:lineRule="auto"/>
        <w:jc w:val="center"/>
        <w:rPr>
          <w:rFonts w:ascii="Times New Roman" w:eastAsia="Times New Roman" w:hAnsi="Times New Roman"/>
          <w:b/>
          <w:i/>
          <w:lang w:eastAsia="ru-RU"/>
        </w:rPr>
      </w:pPr>
    </w:p>
    <w:p w14:paraId="34374B2E" w14:textId="77777777" w:rsidR="002449C2" w:rsidRDefault="002449C2">
      <w:pPr>
        <w:shd w:val="clear" w:color="auto" w:fill="FFFFFF"/>
        <w:tabs>
          <w:tab w:val="left" w:pos="0"/>
        </w:tabs>
        <w:spacing w:after="0" w:line="240" w:lineRule="auto"/>
        <w:rPr>
          <w:rFonts w:ascii="Times New Roman" w:eastAsia="Times New Roman" w:hAnsi="Times New Roman"/>
          <w:b/>
          <w:i/>
          <w:sz w:val="24"/>
          <w:szCs w:val="24"/>
          <w:lang w:eastAsia="ru-RU"/>
        </w:rPr>
      </w:pPr>
    </w:p>
    <w:p w14:paraId="484BFDB3" w14:textId="77777777" w:rsidR="002449C2" w:rsidRDefault="00123961">
      <w:pPr>
        <w:shd w:val="clear" w:color="auto" w:fill="FFFFFF"/>
        <w:tabs>
          <w:tab w:val="left" w:pos="0"/>
        </w:tabs>
        <w:spacing w:after="0" w:line="240" w:lineRule="auto"/>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Динамика выручки от оказания услуг по технологическому присоединению,</w:t>
      </w:r>
    </w:p>
    <w:p w14:paraId="26509BA3" w14:textId="77777777" w:rsidR="002449C2" w:rsidRDefault="00123961">
      <w:pPr>
        <w:shd w:val="clear" w:color="auto" w:fill="FFFFFF"/>
        <w:tabs>
          <w:tab w:val="left" w:pos="0"/>
        </w:tabs>
        <w:spacing w:after="0" w:line="240" w:lineRule="auto"/>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млн рублей без НДС</w:t>
      </w:r>
    </w:p>
    <w:p w14:paraId="7D6F8D5C" w14:textId="77777777" w:rsidR="002449C2" w:rsidRDefault="002449C2">
      <w:pPr>
        <w:shd w:val="clear" w:color="auto" w:fill="FFFFFF"/>
        <w:tabs>
          <w:tab w:val="left" w:pos="0"/>
        </w:tabs>
        <w:spacing w:after="0" w:line="240" w:lineRule="auto"/>
        <w:rPr>
          <w:rFonts w:ascii="Times New Roman" w:eastAsia="Times New Roman" w:hAnsi="Times New Roman"/>
          <w:b/>
          <w:i/>
          <w:sz w:val="24"/>
          <w:szCs w:val="24"/>
          <w:lang w:eastAsia="ru-RU"/>
        </w:rPr>
      </w:pPr>
    </w:p>
    <w:p w14:paraId="3B8EF7C3" w14:textId="77777777" w:rsidR="002449C2" w:rsidRDefault="00123961">
      <w:pPr>
        <w:shd w:val="clear" w:color="auto" w:fill="FFFFFF"/>
        <w:tabs>
          <w:tab w:val="left" w:pos="0"/>
        </w:tabs>
        <w:spacing w:after="0" w:line="240" w:lineRule="auto"/>
        <w:rPr>
          <w:rFonts w:ascii="Times New Roman" w:eastAsia="Times New Roman" w:hAnsi="Times New Roman"/>
          <w:b/>
          <w:i/>
          <w:lang w:eastAsia="ru-RU"/>
        </w:rPr>
      </w:pPr>
      <w:r>
        <w:rPr>
          <w:noProof/>
          <w:lang w:eastAsia="ru-RU"/>
        </w:rPr>
        <w:drawing>
          <wp:inline distT="0" distB="0" distL="0" distR="0" wp14:anchorId="450407C8" wp14:editId="46AB69C9">
            <wp:extent cx="5937885" cy="2536190"/>
            <wp:effectExtent l="0" t="0" r="0" b="0"/>
            <wp:docPr id="39" name="_x005F_x0000_i4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_x005F_x0000_i4420"/>
                    <pic:cNvPicPr>
                      <a:picLocks noChangeAspect="1" noChangeArrowheads="1"/>
                    </pic:cNvPicPr>
                  </pic:nvPicPr>
                  <pic:blipFill>
                    <a:blip r:embed="rId66"/>
                    <a:stretch>
                      <a:fillRect/>
                    </a:stretch>
                  </pic:blipFill>
                  <pic:spPr bwMode="auto">
                    <a:xfrm>
                      <a:off x="0" y="0"/>
                      <a:ext cx="5937885" cy="2536190"/>
                    </a:xfrm>
                    <a:prstGeom prst="rect">
                      <a:avLst/>
                    </a:prstGeom>
                    <a:noFill/>
                  </pic:spPr>
                </pic:pic>
              </a:graphicData>
            </a:graphic>
          </wp:inline>
        </w:drawing>
      </w:r>
    </w:p>
    <w:p w14:paraId="76C3B8B2" w14:textId="77777777" w:rsidR="002449C2" w:rsidRDefault="002449C2">
      <w:pPr>
        <w:shd w:val="clear" w:color="auto" w:fill="FFFFFF"/>
        <w:tabs>
          <w:tab w:val="left" w:pos="0"/>
        </w:tabs>
        <w:spacing w:after="0" w:line="240" w:lineRule="auto"/>
        <w:rPr>
          <w:rFonts w:ascii="Times New Roman" w:eastAsia="Times New Roman" w:hAnsi="Times New Roman"/>
          <w:b/>
          <w:i/>
          <w:lang w:eastAsia="ru-RU"/>
        </w:rPr>
      </w:pPr>
    </w:p>
    <w:p w14:paraId="4D918218" w14:textId="77777777" w:rsidR="002449C2" w:rsidRDefault="00123961">
      <w:pPr>
        <w:shd w:val="clear" w:color="auto" w:fill="FFFFFF"/>
        <w:tabs>
          <w:tab w:val="left" w:pos="0"/>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Выручка от услуг по технологическому присоединению на 2025 год запланирована в размере 1 405 млн рублей без НДС, что на 403 млн рублей без НДС или 40 % больше фактических показателей 2024 года, что</w:t>
      </w:r>
      <w:r>
        <w:rPr>
          <w:sz w:val="26"/>
          <w:szCs w:val="26"/>
          <w:lang w:eastAsia="en-US"/>
        </w:rPr>
        <w:t xml:space="preserve"> </w:t>
      </w:r>
      <w:r>
        <w:rPr>
          <w:rFonts w:ascii="Times New Roman" w:hAnsi="Times New Roman"/>
          <w:sz w:val="26"/>
          <w:szCs w:val="26"/>
          <w:lang w:eastAsia="en-US"/>
        </w:rPr>
        <w:t>обусловлено наличием договоров ТП со сравнительно высокой стоимостью, планируемых к исполнению в 2025 году.</w:t>
      </w:r>
    </w:p>
    <w:p w14:paraId="6238AF41" w14:textId="77777777" w:rsidR="002449C2" w:rsidRDefault="00123961">
      <w:pPr>
        <w:shd w:val="clear" w:color="auto" w:fill="FFFFFF"/>
        <w:tabs>
          <w:tab w:val="left" w:pos="0"/>
        </w:tabs>
        <w:spacing w:after="0" w:line="240" w:lineRule="auto"/>
        <w:ind w:firstLine="567"/>
        <w:jc w:val="both"/>
        <w:rPr>
          <w:rFonts w:ascii="Times New Roman" w:hAnsi="Times New Roman"/>
          <w:i/>
          <w:sz w:val="26"/>
          <w:szCs w:val="26"/>
          <w:u w:val="single"/>
          <w:lang w:eastAsia="en-US"/>
        </w:rPr>
      </w:pPr>
      <w:r>
        <w:rPr>
          <w:rFonts w:ascii="Times New Roman" w:hAnsi="Times New Roman"/>
          <w:i/>
          <w:sz w:val="26"/>
          <w:szCs w:val="26"/>
          <w:u w:val="single"/>
          <w:lang w:eastAsia="en-US"/>
        </w:rPr>
        <w:t>Справочно:</w:t>
      </w:r>
    </w:p>
    <w:p w14:paraId="33A836F7" w14:textId="77777777" w:rsidR="002449C2" w:rsidRDefault="00123961">
      <w:pPr>
        <w:shd w:val="clear" w:color="auto" w:fill="FFFFFF"/>
        <w:tabs>
          <w:tab w:val="left" w:pos="0"/>
        </w:tabs>
        <w:spacing w:after="0" w:line="240" w:lineRule="auto"/>
        <w:ind w:firstLine="567"/>
        <w:jc w:val="both"/>
        <w:rPr>
          <w:rFonts w:ascii="Times New Roman" w:hAnsi="Times New Roman"/>
          <w:i/>
          <w:sz w:val="26"/>
          <w:szCs w:val="26"/>
          <w:lang w:eastAsia="en-US"/>
        </w:rPr>
      </w:pPr>
      <w:r>
        <w:rPr>
          <w:rFonts w:ascii="Times New Roman" w:hAnsi="Times New Roman"/>
          <w:i/>
          <w:sz w:val="26"/>
          <w:szCs w:val="26"/>
          <w:lang w:eastAsia="en-US"/>
        </w:rPr>
        <w:t>в 2020 - 2021 годах наблюдается рост показателя по выручке, что обусловлено:</w:t>
      </w:r>
    </w:p>
    <w:p w14:paraId="57518037" w14:textId="77777777" w:rsidR="002449C2" w:rsidRDefault="00123961">
      <w:pPr>
        <w:shd w:val="clear" w:color="auto" w:fill="FFFFFF"/>
        <w:tabs>
          <w:tab w:val="left" w:pos="0"/>
        </w:tabs>
        <w:spacing w:after="0" w:line="240" w:lineRule="auto"/>
        <w:ind w:firstLine="567"/>
        <w:jc w:val="both"/>
        <w:rPr>
          <w:rFonts w:ascii="Times New Roman" w:hAnsi="Times New Roman"/>
          <w:i/>
          <w:sz w:val="26"/>
          <w:szCs w:val="26"/>
          <w:lang w:eastAsia="en-US"/>
        </w:rPr>
      </w:pPr>
      <w:r>
        <w:rPr>
          <w:rFonts w:ascii="Times New Roman" w:hAnsi="Times New Roman"/>
          <w:i/>
          <w:sz w:val="26"/>
          <w:szCs w:val="26"/>
          <w:lang w:eastAsia="en-US"/>
        </w:rPr>
        <w:t xml:space="preserve">- исполнением договоров об осуществлении технологического присоединения с ООО «Четвертый Ветропарк ФРВ» («Целинская» ВЭС и «Салынская» ВЭС) на общую сумму выручки </w:t>
      </w:r>
      <w:r>
        <w:rPr>
          <w:rFonts w:ascii="Times New Roman" w:hAnsi="Times New Roman"/>
          <w:b/>
          <w:i/>
          <w:sz w:val="26"/>
          <w:szCs w:val="26"/>
          <w:lang w:eastAsia="en-US"/>
        </w:rPr>
        <w:t>1 354 млн рублей без НДС, что составило 71 % от общей выручки ПАО «Россети Юг» в 2020 году;</w:t>
      </w:r>
    </w:p>
    <w:p w14:paraId="6CB099B1" w14:textId="77777777" w:rsidR="002449C2" w:rsidRDefault="00123961">
      <w:pPr>
        <w:shd w:val="clear" w:color="auto" w:fill="FFFFFF"/>
        <w:tabs>
          <w:tab w:val="left" w:pos="0"/>
        </w:tabs>
        <w:spacing w:after="0" w:line="240" w:lineRule="auto"/>
        <w:ind w:firstLine="567"/>
        <w:jc w:val="both"/>
        <w:rPr>
          <w:rFonts w:ascii="Times New Roman" w:hAnsi="Times New Roman"/>
          <w:i/>
          <w:sz w:val="26"/>
          <w:szCs w:val="26"/>
          <w:lang w:eastAsia="en-US"/>
        </w:rPr>
      </w:pPr>
      <w:r>
        <w:rPr>
          <w:rFonts w:ascii="Times New Roman" w:hAnsi="Times New Roman"/>
          <w:i/>
          <w:sz w:val="26"/>
          <w:szCs w:val="26"/>
          <w:lang w:eastAsia="en-US"/>
        </w:rPr>
        <w:t xml:space="preserve">- исполнением договора с АО «Ветроэнергетическая отдельная генерирующая компания» («Марченковская» ВЭС) на сумму 638 млн рублей без НДС, договоров с ООО «Восьмой Ветропарк ФРВ» («Новоалексеевская» ВЭС и «Котовская» ВЭС) на общую сумму выручки 650 млн рублей без НДС и договора с ООО «Грин Энерджи Рус» («Элистинская» СЭС) на сумму 366 млн рублей без НДС. </w:t>
      </w:r>
    </w:p>
    <w:p w14:paraId="4E0501BA" w14:textId="77777777" w:rsidR="002449C2" w:rsidRDefault="00123961">
      <w:pPr>
        <w:shd w:val="clear" w:color="auto" w:fill="FFFFFF"/>
        <w:tabs>
          <w:tab w:val="left" w:pos="0"/>
        </w:tabs>
        <w:spacing w:after="0" w:line="240" w:lineRule="auto"/>
        <w:jc w:val="both"/>
        <w:rPr>
          <w:rFonts w:ascii="Times New Roman" w:hAnsi="Times New Roman"/>
          <w:b/>
          <w:i/>
          <w:sz w:val="26"/>
          <w:szCs w:val="26"/>
          <w:lang w:eastAsia="en-US"/>
        </w:rPr>
      </w:pPr>
      <w:r>
        <w:rPr>
          <w:rFonts w:ascii="Times New Roman" w:hAnsi="Times New Roman"/>
          <w:i/>
          <w:sz w:val="26"/>
          <w:szCs w:val="26"/>
          <w:lang w:eastAsia="en-US"/>
        </w:rPr>
        <w:tab/>
        <w:t>С</w:t>
      </w:r>
      <w:r>
        <w:rPr>
          <w:rFonts w:ascii="Times New Roman" w:hAnsi="Times New Roman"/>
          <w:b/>
          <w:i/>
          <w:sz w:val="26"/>
          <w:szCs w:val="26"/>
          <w:lang w:eastAsia="en-US"/>
        </w:rPr>
        <w:t>умма выручки сформировалась в размере 1 654 млн рублей без НДС, что составило 82 % от общей выручки ПАО «Россети Юг» в 2021 году.</w:t>
      </w:r>
    </w:p>
    <w:p w14:paraId="31202219" w14:textId="77777777" w:rsidR="002449C2" w:rsidRDefault="002449C2">
      <w:pPr>
        <w:shd w:val="clear" w:color="auto" w:fill="FFFFFF"/>
        <w:tabs>
          <w:tab w:val="left" w:pos="0"/>
        </w:tabs>
        <w:spacing w:after="0" w:line="240" w:lineRule="auto"/>
        <w:jc w:val="both"/>
        <w:rPr>
          <w:rFonts w:ascii="Times New Roman" w:hAnsi="Times New Roman"/>
          <w:b/>
          <w:i/>
          <w:sz w:val="26"/>
          <w:szCs w:val="26"/>
          <w:lang w:eastAsia="en-US"/>
        </w:rPr>
      </w:pPr>
    </w:p>
    <w:p w14:paraId="38C8F7A4" w14:textId="77777777" w:rsidR="002449C2" w:rsidRDefault="00123961">
      <w:pPr>
        <w:shd w:val="clear" w:color="auto" w:fill="FFFFFF"/>
        <w:tabs>
          <w:tab w:val="left" w:pos="0"/>
        </w:tabs>
        <w:spacing w:after="0" w:line="240" w:lineRule="auto"/>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Динамика поступлений от оказания услуг по технологическому присоединению, млн рублей с НДС</w:t>
      </w:r>
    </w:p>
    <w:p w14:paraId="10D13143" w14:textId="77777777" w:rsidR="002449C2" w:rsidRDefault="002449C2">
      <w:pPr>
        <w:shd w:val="clear" w:color="auto" w:fill="FFFFFF"/>
        <w:tabs>
          <w:tab w:val="left" w:pos="0"/>
        </w:tabs>
        <w:spacing w:after="0" w:line="240" w:lineRule="auto"/>
        <w:rPr>
          <w:rFonts w:ascii="Times New Roman" w:eastAsia="Times New Roman" w:hAnsi="Times New Roman"/>
          <w:b/>
          <w:i/>
          <w:sz w:val="24"/>
          <w:szCs w:val="24"/>
          <w:lang w:eastAsia="ru-RU"/>
        </w:rPr>
      </w:pPr>
    </w:p>
    <w:p w14:paraId="445B9348" w14:textId="77777777" w:rsidR="002449C2" w:rsidRDefault="00123961">
      <w:pPr>
        <w:shd w:val="clear" w:color="auto" w:fill="FFFFFF"/>
        <w:tabs>
          <w:tab w:val="left" w:pos="0"/>
        </w:tabs>
        <w:spacing w:after="0" w:line="240" w:lineRule="auto"/>
        <w:rPr>
          <w:rFonts w:ascii="Times New Roman" w:eastAsia="Times New Roman" w:hAnsi="Times New Roman"/>
          <w:b/>
          <w:i/>
          <w:lang w:eastAsia="ru-RU"/>
        </w:rPr>
      </w:pPr>
      <w:r>
        <w:rPr>
          <w:noProof/>
          <w:lang w:eastAsia="ru-RU"/>
        </w:rPr>
        <w:drawing>
          <wp:inline distT="0" distB="0" distL="0" distR="0" wp14:anchorId="39060D9A" wp14:editId="38448EA9">
            <wp:extent cx="5937885" cy="2536190"/>
            <wp:effectExtent l="0" t="0" r="0" b="0"/>
            <wp:docPr id="40" name="_x005F_x0000_i4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_x005F_x0000_i4421"/>
                    <pic:cNvPicPr>
                      <a:picLocks noChangeAspect="1" noChangeArrowheads="1"/>
                    </pic:cNvPicPr>
                  </pic:nvPicPr>
                  <pic:blipFill>
                    <a:blip r:embed="rId67"/>
                    <a:stretch>
                      <a:fillRect/>
                    </a:stretch>
                  </pic:blipFill>
                  <pic:spPr bwMode="auto">
                    <a:xfrm>
                      <a:off x="0" y="0"/>
                      <a:ext cx="5937885" cy="2536190"/>
                    </a:xfrm>
                    <a:prstGeom prst="rect">
                      <a:avLst/>
                    </a:prstGeom>
                    <a:noFill/>
                  </pic:spPr>
                </pic:pic>
              </a:graphicData>
            </a:graphic>
          </wp:inline>
        </w:drawing>
      </w:r>
    </w:p>
    <w:p w14:paraId="082E16FD" w14:textId="77777777" w:rsidR="002449C2" w:rsidRDefault="00123961">
      <w:pPr>
        <w:shd w:val="clear" w:color="auto" w:fill="FFFFFF"/>
        <w:tabs>
          <w:tab w:val="left" w:pos="0"/>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Поступления от услуг по технологическому присоединению на 2025 год запланированы в размере 1 144 млн рублей с НДС, что на 997 млн рублей с НДС или 47 % меньше фактических показателей 2024 года, что обусловлено наличием поступивших оплат в 2024 году по договорам ТП со сравнительно высокой стоимостью.</w:t>
      </w:r>
    </w:p>
    <w:p w14:paraId="6B34959D" w14:textId="77777777" w:rsidR="002449C2" w:rsidRDefault="002449C2">
      <w:pPr>
        <w:shd w:val="clear" w:color="auto" w:fill="FFFFFF"/>
        <w:tabs>
          <w:tab w:val="left" w:pos="0"/>
        </w:tabs>
        <w:spacing w:after="0" w:line="240" w:lineRule="auto"/>
        <w:ind w:firstLine="567"/>
        <w:jc w:val="both"/>
        <w:rPr>
          <w:rFonts w:ascii="Times New Roman" w:hAnsi="Times New Roman"/>
          <w:sz w:val="26"/>
          <w:szCs w:val="26"/>
          <w:lang w:eastAsia="en-US"/>
        </w:rPr>
      </w:pPr>
    </w:p>
    <w:p w14:paraId="5B5CA098" w14:textId="77777777" w:rsidR="002449C2" w:rsidRDefault="00123961">
      <w:pPr>
        <w:shd w:val="clear" w:color="auto" w:fill="FFFFFF"/>
        <w:tabs>
          <w:tab w:val="left" w:pos="0"/>
        </w:tabs>
        <w:spacing w:after="0" w:line="240" w:lineRule="auto"/>
        <w:ind w:firstLine="567"/>
        <w:jc w:val="both"/>
        <w:rPr>
          <w:rFonts w:ascii="Times New Roman" w:hAnsi="Times New Roman"/>
          <w:i/>
          <w:sz w:val="26"/>
          <w:szCs w:val="26"/>
          <w:u w:val="single"/>
          <w:lang w:eastAsia="en-US"/>
        </w:rPr>
      </w:pPr>
      <w:r>
        <w:rPr>
          <w:rFonts w:ascii="Times New Roman" w:hAnsi="Times New Roman"/>
          <w:i/>
          <w:sz w:val="26"/>
          <w:szCs w:val="26"/>
          <w:u w:val="single"/>
          <w:lang w:eastAsia="en-US"/>
        </w:rPr>
        <w:t>Справочно:</w:t>
      </w:r>
    </w:p>
    <w:p w14:paraId="0B89CB1A" w14:textId="77777777" w:rsidR="002449C2" w:rsidRDefault="00123961">
      <w:pPr>
        <w:shd w:val="clear" w:color="auto" w:fill="FFFFFF"/>
        <w:tabs>
          <w:tab w:val="left" w:pos="0"/>
        </w:tabs>
        <w:spacing w:after="0" w:line="240" w:lineRule="auto"/>
        <w:ind w:firstLine="567"/>
        <w:jc w:val="both"/>
        <w:rPr>
          <w:rFonts w:ascii="Times New Roman" w:hAnsi="Times New Roman"/>
          <w:i/>
          <w:sz w:val="26"/>
          <w:szCs w:val="26"/>
          <w:lang w:eastAsia="en-US"/>
        </w:rPr>
      </w:pPr>
      <w:r>
        <w:rPr>
          <w:rFonts w:ascii="Times New Roman" w:hAnsi="Times New Roman"/>
          <w:i/>
          <w:sz w:val="26"/>
          <w:szCs w:val="26"/>
          <w:lang w:eastAsia="en-US"/>
        </w:rPr>
        <w:t>в 2019 - 2021 годах наблюдается рост показателя по поступлениям, что обусловлено поступившими оплатами со стороны контрагентов по договорам технологического присоединения объектов «генерации» с высокой стоимостью:</w:t>
      </w:r>
    </w:p>
    <w:p w14:paraId="40415CCB" w14:textId="77777777" w:rsidR="002449C2" w:rsidRDefault="00123961">
      <w:pPr>
        <w:shd w:val="clear" w:color="auto" w:fill="FFFFFF"/>
        <w:tabs>
          <w:tab w:val="left" w:pos="0"/>
        </w:tabs>
        <w:spacing w:after="0" w:line="240" w:lineRule="auto"/>
        <w:ind w:firstLine="567"/>
        <w:jc w:val="both"/>
        <w:rPr>
          <w:rFonts w:ascii="Times New Roman" w:hAnsi="Times New Roman"/>
          <w:sz w:val="26"/>
          <w:szCs w:val="26"/>
          <w:lang w:eastAsia="en-US"/>
        </w:rPr>
      </w:pPr>
      <w:r>
        <w:rPr>
          <w:rFonts w:ascii="Times New Roman" w:hAnsi="Times New Roman"/>
          <w:i/>
          <w:sz w:val="26"/>
          <w:szCs w:val="26"/>
          <w:lang w:eastAsia="en-US"/>
        </w:rPr>
        <w:t>- в 2019 году поступило 569 млн рублей с НДС по договору с ООО «Третий Ветропарк ФРВ» («Гуковская» ВЭС) и 325 млн рублей с НДС по договорам с ООО «Четвертый Ветропарк ФРВ» («Целинская» ВЭС и «Салынская» ВЭС).</w:t>
      </w:r>
    </w:p>
    <w:p w14:paraId="2691A200" w14:textId="77777777" w:rsidR="002449C2" w:rsidRDefault="00123961">
      <w:pPr>
        <w:shd w:val="clear" w:color="auto" w:fill="FFFFFF"/>
        <w:tabs>
          <w:tab w:val="left" w:pos="0"/>
        </w:tabs>
        <w:spacing w:after="0" w:line="240" w:lineRule="auto"/>
        <w:jc w:val="both"/>
        <w:rPr>
          <w:rFonts w:ascii="Times New Roman" w:hAnsi="Times New Roman"/>
          <w:b/>
          <w:i/>
          <w:sz w:val="26"/>
          <w:szCs w:val="26"/>
          <w:lang w:eastAsia="en-US"/>
        </w:rPr>
      </w:pPr>
      <w:r>
        <w:rPr>
          <w:rFonts w:ascii="Times New Roman" w:hAnsi="Times New Roman"/>
          <w:b/>
          <w:i/>
          <w:sz w:val="26"/>
          <w:szCs w:val="26"/>
          <w:lang w:eastAsia="en-US"/>
        </w:rPr>
        <w:tab/>
        <w:t>Сумма поступлений сформировалась в размере 894 млн рублей с НДС, что составило 63 % от общего объема поступлений ПАО «Россети Юг» в 2019 году;</w:t>
      </w:r>
    </w:p>
    <w:p w14:paraId="3C00B410" w14:textId="77777777" w:rsidR="002449C2" w:rsidRDefault="00123961">
      <w:pPr>
        <w:shd w:val="clear" w:color="auto" w:fill="FFFFFF"/>
        <w:tabs>
          <w:tab w:val="left" w:pos="0"/>
        </w:tabs>
        <w:spacing w:after="0" w:line="240" w:lineRule="auto"/>
        <w:ind w:firstLine="567"/>
        <w:jc w:val="both"/>
        <w:rPr>
          <w:rFonts w:ascii="Times New Roman" w:hAnsi="Times New Roman"/>
          <w:sz w:val="26"/>
          <w:szCs w:val="26"/>
          <w:lang w:eastAsia="en-US"/>
        </w:rPr>
      </w:pPr>
      <w:r>
        <w:rPr>
          <w:rFonts w:ascii="Times New Roman" w:hAnsi="Times New Roman"/>
          <w:i/>
          <w:sz w:val="26"/>
          <w:szCs w:val="26"/>
          <w:lang w:eastAsia="en-US"/>
        </w:rPr>
        <w:t>- в 2020 году поступило 468 млн рублей с НДС по договорам с ООО «Восьмой Ветропарк ФРВ» («Котовская» ВЭС и «Новоалексеевская» ВЭС), 1 300 млн рублей с НДС по договорам с ООО «Четвертый Ветропарк ФРВ» («Целинская» ВЭС и «Салынская» ВЭС), 162 млн рублей с НДС по договору с ООО «Седьмой Ветропарк ФРВ» («Казачья» ВЭС), 63 млн рублей с НДС по договору с ООО «Третий Ветропарк ФРВ» («Гуковская» ВЭС) и 689 млн рублей с НДС по договору с АО «Ветроэнергетическая отдельная генерирующая компания» («Марченковская» ВЭС).</w:t>
      </w:r>
    </w:p>
    <w:p w14:paraId="0208B065" w14:textId="77777777" w:rsidR="002449C2" w:rsidRDefault="00123961">
      <w:pPr>
        <w:shd w:val="clear" w:color="auto" w:fill="FFFFFF"/>
        <w:tabs>
          <w:tab w:val="left" w:pos="0"/>
        </w:tabs>
        <w:spacing w:after="0" w:line="240" w:lineRule="auto"/>
        <w:jc w:val="both"/>
        <w:rPr>
          <w:rFonts w:ascii="Times New Roman" w:hAnsi="Times New Roman"/>
          <w:b/>
          <w:i/>
          <w:sz w:val="26"/>
          <w:szCs w:val="26"/>
          <w:lang w:eastAsia="en-US"/>
        </w:rPr>
      </w:pPr>
      <w:r>
        <w:rPr>
          <w:rFonts w:ascii="Times New Roman" w:hAnsi="Times New Roman"/>
          <w:b/>
          <w:i/>
          <w:sz w:val="26"/>
          <w:szCs w:val="26"/>
          <w:lang w:eastAsia="en-US"/>
        </w:rPr>
        <w:tab/>
        <w:t>Сумма поступлений сформировалась в размере 2 682 млн рублей с НДС, что составило 79 % от общего объема поступлений ПАО «Россети Юг» в 2020 году;</w:t>
      </w:r>
    </w:p>
    <w:p w14:paraId="2263B95B" w14:textId="77777777" w:rsidR="002449C2" w:rsidRDefault="00123961">
      <w:pPr>
        <w:shd w:val="clear" w:color="auto" w:fill="FFFFFF"/>
        <w:tabs>
          <w:tab w:val="left" w:pos="0"/>
        </w:tabs>
        <w:spacing w:after="0" w:line="240" w:lineRule="auto"/>
        <w:ind w:firstLine="567"/>
        <w:jc w:val="both"/>
        <w:rPr>
          <w:rFonts w:ascii="Times New Roman" w:hAnsi="Times New Roman"/>
          <w:i/>
          <w:sz w:val="26"/>
          <w:szCs w:val="26"/>
          <w:lang w:eastAsia="en-US"/>
        </w:rPr>
      </w:pPr>
      <w:r>
        <w:rPr>
          <w:rFonts w:ascii="Times New Roman" w:hAnsi="Times New Roman"/>
          <w:i/>
          <w:sz w:val="26"/>
          <w:szCs w:val="26"/>
          <w:lang w:eastAsia="en-US"/>
        </w:rPr>
        <w:t>- в 2021 году поступило 312 млн рублей с НДС по договорам с ООО «Восьмой Ветропарк ФРВ» («Котовская» ВЭС и «Новоалексеевская» ВЭС) и 650 млн рублей с НДС по договору с ООО «Грин Энерджи Рус» («Элистинская» СЭС).</w:t>
      </w:r>
    </w:p>
    <w:p w14:paraId="66CAA768" w14:textId="77777777" w:rsidR="002449C2" w:rsidRDefault="00123961">
      <w:pPr>
        <w:shd w:val="clear" w:color="auto" w:fill="FFFFFF"/>
        <w:tabs>
          <w:tab w:val="left" w:pos="0"/>
        </w:tabs>
        <w:spacing w:after="0" w:line="240" w:lineRule="auto"/>
        <w:ind w:firstLine="567"/>
        <w:jc w:val="both"/>
        <w:rPr>
          <w:rFonts w:ascii="Times New Roman" w:hAnsi="Times New Roman"/>
          <w:sz w:val="26"/>
          <w:szCs w:val="26"/>
          <w:lang w:eastAsia="en-US"/>
        </w:rPr>
      </w:pPr>
      <w:r>
        <w:rPr>
          <w:rFonts w:ascii="Times New Roman" w:hAnsi="Times New Roman"/>
          <w:b/>
          <w:i/>
          <w:sz w:val="26"/>
          <w:szCs w:val="26"/>
          <w:lang w:eastAsia="en-US"/>
        </w:rPr>
        <w:t>Сумма поступлений сформировалась в размере 962 млн рублей с НДС, что составило 57 % от общего объема поступлений ПАО «Россети Юг» в 2021 году.</w:t>
      </w:r>
    </w:p>
    <w:p w14:paraId="07853F57" w14:textId="77777777" w:rsidR="002449C2" w:rsidRDefault="00123961">
      <w:pPr>
        <w:keepNext/>
        <w:pBdr>
          <w:bottom w:val="single" w:sz="4" w:space="1" w:color="622423"/>
        </w:pBdr>
        <w:shd w:val="clear" w:color="auto" w:fill="FFFFFF"/>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54" w:name="_Toc195174926"/>
      <w:bookmarkStart w:id="55" w:name="_Toc196143018"/>
      <w:r>
        <w:rPr>
          <w:rFonts w:ascii="Times New Roman" w:eastAsia="Times New Roman" w:hAnsi="Times New Roman"/>
          <w:caps/>
          <w:color w:val="632423"/>
          <w:spacing w:val="15"/>
          <w:sz w:val="24"/>
          <w:szCs w:val="24"/>
          <w:lang w:eastAsia="en-US" w:bidi="en-US"/>
        </w:rPr>
        <w:t>Реализация дополнительных (нетарифных) услуг.</w:t>
      </w:r>
      <w:bookmarkEnd w:id="54"/>
      <w:bookmarkEnd w:id="55"/>
      <w:r>
        <w:rPr>
          <w:rFonts w:ascii="Times New Roman" w:eastAsia="Times New Roman" w:hAnsi="Times New Roman"/>
          <w:caps/>
          <w:color w:val="632423"/>
          <w:spacing w:val="15"/>
          <w:sz w:val="24"/>
          <w:szCs w:val="24"/>
          <w:lang w:eastAsia="en-US" w:bidi="en-US"/>
        </w:rPr>
        <w:t xml:space="preserve"> </w:t>
      </w:r>
    </w:p>
    <w:p w14:paraId="1DDB9811" w14:textId="77777777" w:rsidR="002449C2" w:rsidRDefault="00123961">
      <w:pPr>
        <w:shd w:val="clear" w:color="auto" w:fill="FFFFFF"/>
        <w:tabs>
          <w:tab w:val="left" w:pos="0"/>
        </w:tabs>
        <w:spacing w:after="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Наиболее востребованные дополнительные (нетарифные) услуги</w:t>
      </w:r>
    </w:p>
    <w:p w14:paraId="0C658524" w14:textId="77777777" w:rsidR="002449C2" w:rsidRDefault="00123961">
      <w:pPr>
        <w:shd w:val="clear" w:color="auto" w:fill="FFFFFF"/>
        <w:spacing w:after="0" w:line="240" w:lineRule="auto"/>
        <w:ind w:firstLine="709"/>
        <w:contextualSpacing/>
        <w:jc w:val="both"/>
        <w:rPr>
          <w:rFonts w:ascii="Times New Roman" w:hAnsi="Times New Roman"/>
          <w:sz w:val="26"/>
          <w:szCs w:val="26"/>
          <w:lang w:eastAsia="en-US"/>
        </w:rPr>
      </w:pPr>
      <w:r>
        <w:rPr>
          <w:rFonts w:ascii="Times New Roman" w:hAnsi="Times New Roman"/>
          <w:sz w:val="26"/>
          <w:szCs w:val="26"/>
          <w:lang w:eastAsia="en-US"/>
        </w:rPr>
        <w:t>Кроме основных видов деятельности, подлежащих государственному регулированию, Общество осуществляет прочие виды деятельности в рамках оказания дополнительных (нетарифных) услуг.</w:t>
      </w:r>
    </w:p>
    <w:p w14:paraId="2DB17C10" w14:textId="77777777" w:rsidR="002449C2" w:rsidRDefault="00123961">
      <w:pPr>
        <w:shd w:val="clear" w:color="auto" w:fill="FFFFFF"/>
        <w:tabs>
          <w:tab w:val="left" w:pos="1080"/>
          <w:tab w:val="left" w:pos="1320"/>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xml:space="preserve">Выручка от реализации дополнительных услуг в 2024 году составила </w:t>
      </w:r>
      <w:r>
        <w:rPr>
          <w:rFonts w:ascii="Times New Roman" w:hAnsi="Times New Roman"/>
          <w:sz w:val="26"/>
          <w:szCs w:val="26"/>
          <w:lang w:eastAsia="en-US"/>
        </w:rPr>
        <w:br w:type="textWrapping" w:clear="all"/>
        <w:t>747,3 млн рублей при плановых показателях 922,3 млн рублей. Наибольший объем выручки от прочей деятельности приходится на показатели от оказания услуг:</w:t>
      </w:r>
    </w:p>
    <w:p w14:paraId="0CF13E51" w14:textId="77777777" w:rsidR="002449C2" w:rsidRDefault="00123961">
      <w:pPr>
        <w:shd w:val="clear" w:color="auto" w:fill="FFFFFF"/>
        <w:tabs>
          <w:tab w:val="left" w:pos="1080"/>
          <w:tab w:val="left" w:pos="1320"/>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по ремонтно-эксплуатационному обслуживанию электросетевых объектов и сетей наружного освещения;</w:t>
      </w:r>
    </w:p>
    <w:p w14:paraId="1DF06E5D" w14:textId="77777777" w:rsidR="002449C2" w:rsidRDefault="00123961">
      <w:pPr>
        <w:shd w:val="clear" w:color="auto" w:fill="FFFFFF"/>
        <w:tabs>
          <w:tab w:val="left" w:pos="1080"/>
          <w:tab w:val="left" w:pos="1320"/>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по размещению телекоммуникационного оборудования связи, в том числе волоконно-оптических линий связи;</w:t>
      </w:r>
    </w:p>
    <w:p w14:paraId="2BC69D75" w14:textId="77777777" w:rsidR="002449C2" w:rsidRDefault="00123961">
      <w:pPr>
        <w:shd w:val="clear" w:color="auto" w:fill="FFFFFF"/>
        <w:tabs>
          <w:tab w:val="left" w:pos="1080"/>
          <w:tab w:val="left" w:pos="1320"/>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строительно-монтажным работам;</w:t>
      </w:r>
    </w:p>
    <w:p w14:paraId="7D9369C4" w14:textId="77777777" w:rsidR="002449C2" w:rsidRDefault="00123961">
      <w:pPr>
        <w:shd w:val="clear" w:color="auto" w:fill="FFFFFF"/>
        <w:tabs>
          <w:tab w:val="left" w:pos="1080"/>
          <w:tab w:val="left" w:pos="1320"/>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услуги допуска сторонних организаций в охранную зону объектов электросетевого хозяйства.</w:t>
      </w:r>
    </w:p>
    <w:p w14:paraId="1B4D835C" w14:textId="77777777" w:rsidR="002449C2" w:rsidRDefault="002449C2">
      <w:pPr>
        <w:shd w:val="clear" w:color="auto" w:fill="FFFFFF"/>
        <w:tabs>
          <w:tab w:val="left" w:pos="1080"/>
          <w:tab w:val="left" w:pos="1320"/>
        </w:tabs>
        <w:spacing w:after="0" w:line="240" w:lineRule="auto"/>
        <w:ind w:firstLine="567"/>
        <w:jc w:val="both"/>
        <w:rPr>
          <w:rFonts w:ascii="Times New Roman" w:eastAsia="Times New Roman" w:hAnsi="Times New Roman"/>
          <w:sz w:val="26"/>
          <w:szCs w:val="24"/>
          <w:lang w:eastAsia="ru-RU"/>
        </w:rPr>
      </w:pPr>
    </w:p>
    <w:p w14:paraId="07B51D58" w14:textId="77777777" w:rsidR="002449C2" w:rsidRDefault="00123961">
      <w:pPr>
        <w:shd w:val="clear" w:color="auto" w:fill="FFFFFF"/>
        <w:tabs>
          <w:tab w:val="left" w:pos="1080"/>
          <w:tab w:val="left" w:pos="1320"/>
        </w:tabs>
        <w:spacing w:after="0" w:line="240" w:lineRule="auto"/>
        <w:ind w:firstLine="567"/>
        <w:jc w:val="both"/>
        <w:rPr>
          <w:rFonts w:ascii="Times New Roman" w:eastAsia="Times New Roman" w:hAnsi="Times New Roman"/>
          <w:sz w:val="26"/>
          <w:szCs w:val="24"/>
          <w:lang w:eastAsia="ru-RU"/>
        </w:rPr>
      </w:pPr>
      <w:r>
        <w:rPr>
          <w:noProof/>
          <w:lang w:eastAsia="ru-RU"/>
        </w:rPr>
        <w:drawing>
          <wp:inline distT="0" distB="0" distL="0" distR="0" wp14:anchorId="3921A856" wp14:editId="5B43B4E5">
            <wp:extent cx="5379720" cy="2956560"/>
            <wp:effectExtent l="0" t="0" r="0" b="0"/>
            <wp:docPr id="41" name="_x005F_x0000_s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_x005F_x0000_s4376"/>
                    <pic:cNvPicPr>
                      <a:picLocks noChangeAspect="1" noChangeArrowheads="1"/>
                    </pic:cNvPicPr>
                  </pic:nvPicPr>
                  <pic:blipFill>
                    <a:blip r:embed="rId68"/>
                    <a:stretch>
                      <a:fillRect/>
                    </a:stretch>
                  </pic:blipFill>
                  <pic:spPr bwMode="auto">
                    <a:xfrm>
                      <a:off x="0" y="0"/>
                      <a:ext cx="5379720" cy="2956560"/>
                    </a:xfrm>
                    <a:prstGeom prst="rect">
                      <a:avLst/>
                    </a:prstGeom>
                    <a:noFill/>
                  </pic:spPr>
                </pic:pic>
              </a:graphicData>
            </a:graphic>
          </wp:inline>
        </w:drawing>
      </w:r>
    </w:p>
    <w:p w14:paraId="2FF418AF" w14:textId="77777777" w:rsidR="002449C2" w:rsidRDefault="002449C2">
      <w:pPr>
        <w:shd w:val="clear" w:color="auto" w:fill="FFFFFF"/>
        <w:tabs>
          <w:tab w:val="left" w:pos="1080"/>
          <w:tab w:val="left" w:pos="1320"/>
        </w:tabs>
        <w:spacing w:after="0" w:line="240" w:lineRule="auto"/>
        <w:ind w:firstLine="567"/>
        <w:jc w:val="both"/>
        <w:rPr>
          <w:rFonts w:ascii="Times New Roman" w:eastAsia="Times New Roman" w:hAnsi="Times New Roman"/>
          <w:sz w:val="26"/>
          <w:szCs w:val="24"/>
          <w:lang w:eastAsia="ru-RU"/>
        </w:rPr>
      </w:pPr>
    </w:p>
    <w:p w14:paraId="4263C8A4" w14:textId="77777777" w:rsidR="002449C2" w:rsidRDefault="00123961">
      <w:pPr>
        <w:shd w:val="clear" w:color="auto" w:fill="FFFFFF"/>
        <w:tabs>
          <w:tab w:val="left" w:pos="1080"/>
          <w:tab w:val="left" w:pos="1320"/>
        </w:tabs>
        <w:spacing w:after="0" w:line="240" w:lineRule="auto"/>
        <w:ind w:firstLine="567"/>
        <w:jc w:val="both"/>
        <w:rPr>
          <w:rFonts w:ascii="Times New Roman" w:eastAsia="Times New Roman" w:hAnsi="Times New Roman"/>
          <w:sz w:val="26"/>
          <w:szCs w:val="24"/>
          <w:lang w:eastAsia="ru-RU"/>
        </w:rPr>
      </w:pPr>
      <w:r>
        <w:rPr>
          <w:rFonts w:ascii="Times New Roman" w:eastAsia="Times New Roman" w:hAnsi="Times New Roman"/>
          <w:sz w:val="26"/>
          <w:szCs w:val="24"/>
          <w:lang w:eastAsia="ru-RU"/>
        </w:rPr>
        <w:t>В настоящий момент перед ПАО «Россети Юг» стоит задача по эффективному развитию и существенному увеличению прочей (нетарифной) выручки. С учетом особенностей конкурентного пространства на рынке дополнительных услуг, а также сильных и слабых сторон ПАО «Россети Юг» в части развития нетарифного направления, ориентированного на целевые значения Бизнес-плана, работа в Обществе строится с учетом интеграции системного подхода в развитии направления и комплекса оптимизирующих мероприятий: разработка эффективных  механизмов, направленных на оптимизацию внутренних бизнес-процессов, повышения уровня конкурентоспособности, качественное оказания услуг, мониторинг электронных торговых площадок, оценку и участие в актуальных для возможностей Общества ТЗП, а также прочих тактических решений. Развитие конкурентных направлений услуг – является ключевым стратегическим вектором ПАО «Россети Юг» по развитию дополнительного (нетарифного) направления деятельности.</w:t>
      </w:r>
    </w:p>
    <w:p w14:paraId="091517F8"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Обществом на возмездной основе оказываются услуги по организации учета электрической энергии, техническому и ремонтно-эксплуатационному обслуживанию электросетевых объектов, совместному использованию опор, размещению оборудования, выполнению строительно-монтажных работ и пр.</w:t>
      </w:r>
    </w:p>
    <w:p w14:paraId="09453726" w14:textId="77777777" w:rsidR="002449C2" w:rsidRDefault="002449C2">
      <w:pPr>
        <w:shd w:val="clear" w:color="auto" w:fill="FFFFFF"/>
        <w:spacing w:after="160" w:line="259" w:lineRule="auto"/>
        <w:ind w:firstLine="567"/>
        <w:jc w:val="both"/>
        <w:rPr>
          <w:rFonts w:ascii="Times New Roman" w:hAnsi="Times New Roman"/>
          <w:bCs/>
          <w:color w:val="FF0000"/>
          <w:sz w:val="24"/>
          <w:szCs w:val="24"/>
          <w:lang w:eastAsia="en-US"/>
        </w:rPr>
      </w:pPr>
    </w:p>
    <w:p w14:paraId="3F616D2B" w14:textId="77777777" w:rsidR="002449C2" w:rsidRDefault="00123961">
      <w:pPr>
        <w:shd w:val="clear" w:color="auto" w:fill="FFFFFF"/>
        <w:spacing w:after="160" w:line="259" w:lineRule="auto"/>
        <w:ind w:firstLine="567"/>
        <w:jc w:val="both"/>
        <w:rPr>
          <w:rFonts w:ascii="Times New Roman" w:hAnsi="Times New Roman"/>
          <w:bCs/>
          <w:sz w:val="24"/>
          <w:szCs w:val="24"/>
          <w:lang w:eastAsia="en-US"/>
        </w:rPr>
      </w:pPr>
      <w:r>
        <w:rPr>
          <w:noProof/>
          <w:lang w:eastAsia="ru-RU"/>
        </w:rPr>
        <w:drawing>
          <wp:inline distT="0" distB="0" distL="0" distR="0" wp14:anchorId="4F7FA43C" wp14:editId="6ECC72FA">
            <wp:extent cx="5499100" cy="3213100"/>
            <wp:effectExtent l="0" t="0" r="0" b="0"/>
            <wp:docPr id="42" name="_x005F_x0000_i4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_x005F_x0000_i4423"/>
                    <pic:cNvPicPr>
                      <a:picLocks noChangeAspect="1" noChangeArrowheads="1"/>
                    </pic:cNvPicPr>
                  </pic:nvPicPr>
                  <pic:blipFill>
                    <a:blip r:embed="rId69"/>
                    <a:stretch>
                      <a:fillRect/>
                    </a:stretch>
                  </pic:blipFill>
                  <pic:spPr bwMode="auto">
                    <a:xfrm>
                      <a:off x="0" y="0"/>
                      <a:ext cx="5499100" cy="3213100"/>
                    </a:xfrm>
                    <a:prstGeom prst="rect">
                      <a:avLst/>
                    </a:prstGeom>
                    <a:noFill/>
                  </pic:spPr>
                </pic:pic>
              </a:graphicData>
            </a:graphic>
          </wp:inline>
        </w:drawing>
      </w:r>
    </w:p>
    <w:p w14:paraId="17A5E596" w14:textId="77777777" w:rsidR="002449C2" w:rsidRDefault="002449C2">
      <w:pPr>
        <w:shd w:val="clear" w:color="auto" w:fill="FFFFFF"/>
        <w:spacing w:after="0" w:line="240" w:lineRule="auto"/>
        <w:ind w:firstLine="709"/>
        <w:jc w:val="both"/>
        <w:rPr>
          <w:rFonts w:ascii="Times New Roman" w:hAnsi="Times New Roman"/>
          <w:sz w:val="26"/>
          <w:szCs w:val="26"/>
          <w:lang w:eastAsia="en-US"/>
        </w:rPr>
      </w:pPr>
    </w:p>
    <w:tbl>
      <w:tblPr>
        <w:tblW w:w="9214" w:type="dxa"/>
        <w:tblInd w:w="-10" w:type="dxa"/>
        <w:tblLayout w:type="fixed"/>
        <w:tblLook w:val="04A0" w:firstRow="1" w:lastRow="0" w:firstColumn="1" w:lastColumn="0" w:noHBand="0" w:noVBand="1"/>
      </w:tblPr>
      <w:tblGrid>
        <w:gridCol w:w="3248"/>
        <w:gridCol w:w="1125"/>
        <w:gridCol w:w="1129"/>
        <w:gridCol w:w="1134"/>
        <w:gridCol w:w="1125"/>
        <w:gridCol w:w="1453"/>
      </w:tblGrid>
      <w:tr w:rsidR="002449C2" w14:paraId="18EA3FE3" w14:textId="77777777">
        <w:trPr>
          <w:cantSplit/>
          <w:trHeight w:val="315"/>
        </w:trPr>
        <w:tc>
          <w:tcPr>
            <w:tcW w:w="9213" w:type="dxa"/>
            <w:gridSpan w:val="6"/>
            <w:tcBorders>
              <w:top w:val="single" w:sz="8" w:space="0" w:color="000000"/>
              <w:left w:val="single" w:sz="8" w:space="0" w:color="000000"/>
              <w:bottom w:val="single" w:sz="8" w:space="0" w:color="000000"/>
              <w:right w:val="single" w:sz="8" w:space="0" w:color="000000"/>
            </w:tcBorders>
            <w:vAlign w:val="center"/>
          </w:tcPr>
          <w:p w14:paraId="52657299"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Реализация дополнительных (нетарифных) услуг</w:t>
            </w:r>
          </w:p>
        </w:tc>
      </w:tr>
      <w:tr w:rsidR="002449C2" w14:paraId="343139E7" w14:textId="77777777">
        <w:trPr>
          <w:cantSplit/>
          <w:trHeight w:val="315"/>
        </w:trPr>
        <w:tc>
          <w:tcPr>
            <w:tcW w:w="3247" w:type="dxa"/>
            <w:vMerge w:val="restart"/>
            <w:tcBorders>
              <w:left w:val="single" w:sz="8" w:space="0" w:color="000000"/>
              <w:bottom w:val="single" w:sz="8" w:space="0" w:color="000000"/>
              <w:right w:val="single" w:sz="8" w:space="0" w:color="000000"/>
            </w:tcBorders>
            <w:vAlign w:val="center"/>
          </w:tcPr>
          <w:p w14:paraId="6DA194F2"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Показатели</w:t>
            </w:r>
          </w:p>
        </w:tc>
        <w:tc>
          <w:tcPr>
            <w:tcW w:w="1125" w:type="dxa"/>
            <w:vMerge w:val="restart"/>
            <w:tcBorders>
              <w:left w:val="single" w:sz="8" w:space="0" w:color="000000"/>
              <w:bottom w:val="single" w:sz="8" w:space="0" w:color="000000"/>
              <w:right w:val="single" w:sz="8" w:space="0" w:color="000000"/>
            </w:tcBorders>
            <w:vAlign w:val="center"/>
          </w:tcPr>
          <w:p w14:paraId="6ADBEB91"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Ед. изм.</w:t>
            </w:r>
          </w:p>
        </w:tc>
        <w:tc>
          <w:tcPr>
            <w:tcW w:w="4841" w:type="dxa"/>
            <w:gridSpan w:val="4"/>
            <w:tcBorders>
              <w:top w:val="single" w:sz="8" w:space="0" w:color="000000"/>
              <w:bottom w:val="single" w:sz="8" w:space="0" w:color="000000"/>
              <w:right w:val="single" w:sz="8" w:space="0" w:color="000000"/>
            </w:tcBorders>
            <w:vAlign w:val="center"/>
          </w:tcPr>
          <w:p w14:paraId="11E909FF"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Период</w:t>
            </w:r>
          </w:p>
        </w:tc>
      </w:tr>
      <w:tr w:rsidR="002449C2" w14:paraId="3BDA0274" w14:textId="77777777">
        <w:trPr>
          <w:trHeight w:val="780"/>
        </w:trPr>
        <w:tc>
          <w:tcPr>
            <w:tcW w:w="3247" w:type="dxa"/>
            <w:vMerge/>
            <w:tcBorders>
              <w:left w:val="single" w:sz="8" w:space="0" w:color="000000"/>
              <w:bottom w:val="single" w:sz="8" w:space="0" w:color="000000"/>
              <w:right w:val="single" w:sz="8" w:space="0" w:color="000000"/>
            </w:tcBorders>
            <w:vAlign w:val="center"/>
          </w:tcPr>
          <w:p w14:paraId="5F872A95" w14:textId="77777777" w:rsidR="002449C2" w:rsidRDefault="002449C2">
            <w:pPr>
              <w:shd w:val="clear" w:color="auto" w:fill="FFFFFF"/>
              <w:spacing w:after="0" w:line="240" w:lineRule="auto"/>
              <w:rPr>
                <w:rFonts w:ascii="Times New Roman" w:eastAsia="Times New Roman" w:hAnsi="Times New Roman"/>
                <w:b/>
                <w:bCs/>
                <w:color w:val="000000"/>
                <w:sz w:val="20"/>
                <w:szCs w:val="20"/>
                <w:lang w:eastAsia="ru-RU"/>
              </w:rPr>
            </w:pPr>
          </w:p>
        </w:tc>
        <w:tc>
          <w:tcPr>
            <w:tcW w:w="1125" w:type="dxa"/>
            <w:vMerge/>
            <w:tcBorders>
              <w:left w:val="single" w:sz="8" w:space="0" w:color="000000"/>
              <w:bottom w:val="single" w:sz="8" w:space="0" w:color="000000"/>
              <w:right w:val="single" w:sz="8" w:space="0" w:color="000000"/>
            </w:tcBorders>
            <w:vAlign w:val="center"/>
          </w:tcPr>
          <w:p w14:paraId="5F7983E6" w14:textId="77777777" w:rsidR="002449C2" w:rsidRDefault="002449C2">
            <w:pPr>
              <w:shd w:val="clear" w:color="auto" w:fill="FFFFFF"/>
              <w:spacing w:after="0" w:line="240" w:lineRule="auto"/>
              <w:rPr>
                <w:rFonts w:ascii="Times New Roman" w:eastAsia="Times New Roman" w:hAnsi="Times New Roman"/>
                <w:b/>
                <w:bCs/>
                <w:color w:val="000000"/>
                <w:sz w:val="20"/>
                <w:szCs w:val="20"/>
                <w:lang w:eastAsia="ru-RU"/>
              </w:rPr>
            </w:pPr>
          </w:p>
        </w:tc>
        <w:tc>
          <w:tcPr>
            <w:tcW w:w="1129" w:type="dxa"/>
            <w:tcBorders>
              <w:bottom w:val="single" w:sz="8" w:space="0" w:color="000000"/>
              <w:right w:val="single" w:sz="8" w:space="0" w:color="000000"/>
            </w:tcBorders>
            <w:vAlign w:val="center"/>
          </w:tcPr>
          <w:p w14:paraId="53C5EC5D"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2022 год</w:t>
            </w:r>
          </w:p>
        </w:tc>
        <w:tc>
          <w:tcPr>
            <w:tcW w:w="1134" w:type="dxa"/>
            <w:tcBorders>
              <w:bottom w:val="single" w:sz="8" w:space="0" w:color="000000"/>
              <w:right w:val="single" w:sz="8" w:space="0" w:color="000000"/>
            </w:tcBorders>
            <w:vAlign w:val="center"/>
          </w:tcPr>
          <w:p w14:paraId="6B099582"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2023 год</w:t>
            </w:r>
          </w:p>
        </w:tc>
        <w:tc>
          <w:tcPr>
            <w:tcW w:w="1125" w:type="dxa"/>
            <w:tcBorders>
              <w:bottom w:val="single" w:sz="8" w:space="0" w:color="000000"/>
              <w:right w:val="single" w:sz="8" w:space="0" w:color="000000"/>
            </w:tcBorders>
            <w:vAlign w:val="center"/>
          </w:tcPr>
          <w:p w14:paraId="69B98161"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2024 год</w:t>
            </w:r>
          </w:p>
        </w:tc>
        <w:tc>
          <w:tcPr>
            <w:tcW w:w="1453" w:type="dxa"/>
            <w:tcBorders>
              <w:bottom w:val="single" w:sz="8" w:space="0" w:color="000000"/>
              <w:right w:val="single" w:sz="8" w:space="0" w:color="000000"/>
            </w:tcBorders>
            <w:vAlign w:val="center"/>
          </w:tcPr>
          <w:p w14:paraId="0CA54879"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прирост 2024 относительно 2023, %</w:t>
            </w:r>
          </w:p>
        </w:tc>
      </w:tr>
      <w:tr w:rsidR="002449C2" w14:paraId="2BA17A5C" w14:textId="77777777">
        <w:trPr>
          <w:cantSplit/>
          <w:trHeight w:val="315"/>
        </w:trPr>
        <w:tc>
          <w:tcPr>
            <w:tcW w:w="3247" w:type="dxa"/>
            <w:tcBorders>
              <w:left w:val="single" w:sz="8" w:space="0" w:color="000000"/>
              <w:bottom w:val="single" w:sz="8" w:space="0" w:color="000000"/>
              <w:right w:val="single" w:sz="8" w:space="0" w:color="000000"/>
            </w:tcBorders>
            <w:vAlign w:val="center"/>
          </w:tcPr>
          <w:p w14:paraId="359CF455"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1</w:t>
            </w:r>
          </w:p>
        </w:tc>
        <w:tc>
          <w:tcPr>
            <w:tcW w:w="1125" w:type="dxa"/>
            <w:tcBorders>
              <w:bottom w:val="single" w:sz="8" w:space="0" w:color="000000"/>
              <w:right w:val="single" w:sz="8" w:space="0" w:color="000000"/>
            </w:tcBorders>
            <w:vAlign w:val="center"/>
          </w:tcPr>
          <w:p w14:paraId="615632B3"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2</w:t>
            </w:r>
          </w:p>
        </w:tc>
        <w:tc>
          <w:tcPr>
            <w:tcW w:w="1129" w:type="dxa"/>
            <w:tcBorders>
              <w:bottom w:val="single" w:sz="8" w:space="0" w:color="000000"/>
              <w:right w:val="single" w:sz="8" w:space="0" w:color="000000"/>
            </w:tcBorders>
            <w:vAlign w:val="center"/>
          </w:tcPr>
          <w:p w14:paraId="42E3E45B"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3</w:t>
            </w:r>
          </w:p>
        </w:tc>
        <w:tc>
          <w:tcPr>
            <w:tcW w:w="1134" w:type="dxa"/>
            <w:tcBorders>
              <w:bottom w:val="single" w:sz="8" w:space="0" w:color="000000"/>
              <w:right w:val="single" w:sz="8" w:space="0" w:color="000000"/>
            </w:tcBorders>
            <w:vAlign w:val="center"/>
          </w:tcPr>
          <w:p w14:paraId="3BBC3D0B"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4</w:t>
            </w:r>
          </w:p>
        </w:tc>
        <w:tc>
          <w:tcPr>
            <w:tcW w:w="1125" w:type="dxa"/>
            <w:tcBorders>
              <w:bottom w:val="single" w:sz="8" w:space="0" w:color="000000"/>
              <w:right w:val="single" w:sz="8" w:space="0" w:color="000000"/>
            </w:tcBorders>
            <w:vAlign w:val="center"/>
          </w:tcPr>
          <w:p w14:paraId="3F7E9B80"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5</w:t>
            </w:r>
          </w:p>
        </w:tc>
        <w:tc>
          <w:tcPr>
            <w:tcW w:w="1453" w:type="dxa"/>
            <w:tcBorders>
              <w:bottom w:val="single" w:sz="8" w:space="0" w:color="000000"/>
              <w:right w:val="single" w:sz="8" w:space="0" w:color="000000"/>
            </w:tcBorders>
            <w:vAlign w:val="center"/>
          </w:tcPr>
          <w:p w14:paraId="7720426E"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6</w:t>
            </w:r>
          </w:p>
        </w:tc>
      </w:tr>
      <w:tr w:rsidR="002449C2" w14:paraId="046CF750" w14:textId="77777777">
        <w:trPr>
          <w:cantSplit/>
          <w:trHeight w:val="780"/>
        </w:trPr>
        <w:tc>
          <w:tcPr>
            <w:tcW w:w="3247" w:type="dxa"/>
            <w:tcBorders>
              <w:left w:val="single" w:sz="8" w:space="0" w:color="000000"/>
              <w:bottom w:val="single" w:sz="8" w:space="0" w:color="000000"/>
              <w:right w:val="single" w:sz="8" w:space="0" w:color="000000"/>
            </w:tcBorders>
            <w:vAlign w:val="center"/>
          </w:tcPr>
          <w:p w14:paraId="6CDFF3C3" w14:textId="77777777" w:rsidR="002449C2" w:rsidRDefault="00123961">
            <w:pPr>
              <w:shd w:val="clear" w:color="auto" w:fill="FFFFFF"/>
              <w:spacing w:after="0" w:line="240" w:lineRule="auto"/>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Выручка от реализации дополнительных (нетарифных) услуг прочей деятельности</w:t>
            </w:r>
          </w:p>
        </w:tc>
        <w:tc>
          <w:tcPr>
            <w:tcW w:w="1125" w:type="dxa"/>
            <w:tcBorders>
              <w:bottom w:val="single" w:sz="8" w:space="0" w:color="000000"/>
              <w:right w:val="single" w:sz="8" w:space="0" w:color="000000"/>
            </w:tcBorders>
            <w:vAlign w:val="center"/>
          </w:tcPr>
          <w:p w14:paraId="66975F99" w14:textId="77777777" w:rsidR="002449C2" w:rsidRDefault="00123961">
            <w:pPr>
              <w:shd w:val="clear" w:color="auto" w:fill="FFFFFF"/>
              <w:spacing w:after="0" w:line="240" w:lineRule="auto"/>
              <w:jc w:val="center"/>
              <w:rPr>
                <w:rFonts w:ascii="Times New Roman" w:eastAsia="Times New Roman" w:hAnsi="Times New Roman"/>
                <w:b/>
                <w:color w:val="000000"/>
                <w:lang w:eastAsia="ru-RU"/>
              </w:rPr>
            </w:pPr>
            <w:r>
              <w:rPr>
                <w:rFonts w:ascii="Times New Roman" w:eastAsia="Times New Roman" w:hAnsi="Times New Roman"/>
                <w:b/>
                <w:color w:val="000000"/>
                <w:lang w:eastAsia="ru-RU"/>
              </w:rPr>
              <w:t>млн руб.</w:t>
            </w:r>
          </w:p>
        </w:tc>
        <w:tc>
          <w:tcPr>
            <w:tcW w:w="1129" w:type="dxa"/>
            <w:tcBorders>
              <w:bottom w:val="single" w:sz="8" w:space="0" w:color="000000"/>
              <w:right w:val="single" w:sz="8" w:space="0" w:color="000000"/>
            </w:tcBorders>
            <w:vAlign w:val="center"/>
          </w:tcPr>
          <w:p w14:paraId="583B4FD1" w14:textId="77777777" w:rsidR="002449C2" w:rsidRDefault="00123961">
            <w:pPr>
              <w:shd w:val="clear" w:color="auto" w:fill="FFFFFF"/>
              <w:spacing w:after="0" w:line="240" w:lineRule="auto"/>
              <w:jc w:val="center"/>
              <w:rPr>
                <w:rFonts w:ascii="Times New Roman" w:eastAsia="Times New Roman" w:hAnsi="Times New Roman"/>
                <w:b/>
                <w:color w:val="000000"/>
                <w:lang w:eastAsia="ru-RU"/>
              </w:rPr>
            </w:pPr>
            <w:r>
              <w:rPr>
                <w:rFonts w:ascii="Times New Roman" w:eastAsia="Times New Roman" w:hAnsi="Times New Roman"/>
                <w:b/>
                <w:color w:val="000000"/>
                <w:lang w:eastAsia="ru-RU"/>
              </w:rPr>
              <w:t>349,8</w:t>
            </w:r>
          </w:p>
        </w:tc>
        <w:tc>
          <w:tcPr>
            <w:tcW w:w="1134" w:type="dxa"/>
            <w:tcBorders>
              <w:bottom w:val="single" w:sz="8" w:space="0" w:color="000000"/>
              <w:right w:val="single" w:sz="8" w:space="0" w:color="000000"/>
            </w:tcBorders>
            <w:vAlign w:val="center"/>
          </w:tcPr>
          <w:p w14:paraId="7671D997" w14:textId="77777777" w:rsidR="002449C2" w:rsidRDefault="00123961">
            <w:pPr>
              <w:shd w:val="clear" w:color="auto" w:fill="FFFFFF"/>
              <w:spacing w:after="0" w:line="240" w:lineRule="auto"/>
              <w:jc w:val="center"/>
              <w:rPr>
                <w:rFonts w:ascii="Times New Roman" w:eastAsia="Times New Roman" w:hAnsi="Times New Roman"/>
                <w:b/>
                <w:color w:val="000000"/>
                <w:lang w:eastAsia="ru-RU"/>
              </w:rPr>
            </w:pPr>
            <w:r>
              <w:rPr>
                <w:rFonts w:ascii="Times New Roman" w:eastAsia="Times New Roman" w:hAnsi="Times New Roman"/>
                <w:b/>
                <w:color w:val="000000"/>
                <w:lang w:eastAsia="ru-RU"/>
              </w:rPr>
              <w:t>454,3</w:t>
            </w:r>
          </w:p>
        </w:tc>
        <w:tc>
          <w:tcPr>
            <w:tcW w:w="1125" w:type="dxa"/>
            <w:tcBorders>
              <w:bottom w:val="single" w:sz="8" w:space="0" w:color="000000"/>
              <w:right w:val="single" w:sz="8" w:space="0" w:color="000000"/>
            </w:tcBorders>
            <w:vAlign w:val="center"/>
          </w:tcPr>
          <w:p w14:paraId="08B57FCD" w14:textId="77777777" w:rsidR="002449C2" w:rsidRDefault="00123961">
            <w:pPr>
              <w:shd w:val="clear" w:color="auto" w:fill="FFFFFF"/>
              <w:spacing w:after="0" w:line="240" w:lineRule="auto"/>
              <w:jc w:val="center"/>
              <w:rPr>
                <w:rFonts w:ascii="Times New Roman" w:eastAsia="Times New Roman" w:hAnsi="Times New Roman"/>
                <w:b/>
                <w:color w:val="000000"/>
                <w:lang w:eastAsia="ru-RU"/>
              </w:rPr>
            </w:pPr>
            <w:r>
              <w:rPr>
                <w:rFonts w:ascii="Times New Roman" w:eastAsia="Times New Roman" w:hAnsi="Times New Roman"/>
                <w:b/>
                <w:color w:val="000000"/>
                <w:lang w:eastAsia="ru-RU"/>
              </w:rPr>
              <w:t>747,3</w:t>
            </w:r>
          </w:p>
        </w:tc>
        <w:tc>
          <w:tcPr>
            <w:tcW w:w="1453" w:type="dxa"/>
            <w:tcBorders>
              <w:bottom w:val="single" w:sz="8" w:space="0" w:color="000000"/>
              <w:right w:val="single" w:sz="8" w:space="0" w:color="000000"/>
            </w:tcBorders>
            <w:vAlign w:val="center"/>
          </w:tcPr>
          <w:p w14:paraId="35F49E62" w14:textId="77777777" w:rsidR="002449C2" w:rsidRDefault="00123961">
            <w:pPr>
              <w:shd w:val="clear" w:color="auto" w:fill="FFFFFF"/>
              <w:spacing w:after="0" w:line="240" w:lineRule="auto"/>
              <w:jc w:val="center"/>
              <w:rPr>
                <w:rFonts w:ascii="Times New Roman" w:eastAsia="Times New Roman" w:hAnsi="Times New Roman"/>
                <w:b/>
                <w:color w:val="000000"/>
                <w:lang w:eastAsia="ru-RU"/>
              </w:rPr>
            </w:pPr>
            <w:r>
              <w:rPr>
                <w:rFonts w:ascii="Times New Roman" w:eastAsia="Times New Roman" w:hAnsi="Times New Roman"/>
                <w:b/>
                <w:color w:val="000000"/>
                <w:lang w:eastAsia="ru-RU"/>
              </w:rPr>
              <w:t>64,4%</w:t>
            </w:r>
          </w:p>
        </w:tc>
      </w:tr>
      <w:tr w:rsidR="002449C2" w14:paraId="6FB19D99" w14:textId="77777777">
        <w:trPr>
          <w:cantSplit/>
          <w:trHeight w:val="315"/>
        </w:trPr>
        <w:tc>
          <w:tcPr>
            <w:tcW w:w="3247" w:type="dxa"/>
            <w:tcBorders>
              <w:left w:val="single" w:sz="8" w:space="0" w:color="000000"/>
              <w:bottom w:val="single" w:sz="8" w:space="0" w:color="000000"/>
              <w:right w:val="single" w:sz="8" w:space="0" w:color="000000"/>
            </w:tcBorders>
            <w:vAlign w:val="center"/>
          </w:tcPr>
          <w:p w14:paraId="63586624" w14:textId="77777777" w:rsidR="002449C2" w:rsidRDefault="00123961">
            <w:pPr>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Аренда и услуги по размещению</w:t>
            </w:r>
          </w:p>
        </w:tc>
        <w:tc>
          <w:tcPr>
            <w:tcW w:w="1125" w:type="dxa"/>
            <w:tcBorders>
              <w:bottom w:val="single" w:sz="8" w:space="0" w:color="000000"/>
              <w:right w:val="single" w:sz="8" w:space="0" w:color="000000"/>
            </w:tcBorders>
            <w:vAlign w:val="center"/>
          </w:tcPr>
          <w:p w14:paraId="5153681E"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млн руб.</w:t>
            </w:r>
          </w:p>
        </w:tc>
        <w:tc>
          <w:tcPr>
            <w:tcW w:w="1129" w:type="dxa"/>
            <w:tcBorders>
              <w:bottom w:val="single" w:sz="8" w:space="0" w:color="000000"/>
              <w:right w:val="single" w:sz="8" w:space="0" w:color="000000"/>
            </w:tcBorders>
            <w:vAlign w:val="center"/>
          </w:tcPr>
          <w:p w14:paraId="07CE161A"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127,8</w:t>
            </w:r>
          </w:p>
        </w:tc>
        <w:tc>
          <w:tcPr>
            <w:tcW w:w="1134" w:type="dxa"/>
            <w:tcBorders>
              <w:bottom w:val="single" w:sz="8" w:space="0" w:color="000000"/>
              <w:right w:val="single" w:sz="8" w:space="0" w:color="000000"/>
            </w:tcBorders>
            <w:vAlign w:val="center"/>
          </w:tcPr>
          <w:p w14:paraId="083296B3"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161,5</w:t>
            </w:r>
          </w:p>
        </w:tc>
        <w:tc>
          <w:tcPr>
            <w:tcW w:w="1125" w:type="dxa"/>
            <w:tcBorders>
              <w:bottom w:val="single" w:sz="8" w:space="0" w:color="000000"/>
              <w:right w:val="single" w:sz="8" w:space="0" w:color="000000"/>
            </w:tcBorders>
            <w:vAlign w:val="center"/>
          </w:tcPr>
          <w:p w14:paraId="17CC0DCC"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261,5</w:t>
            </w:r>
          </w:p>
        </w:tc>
        <w:tc>
          <w:tcPr>
            <w:tcW w:w="1453" w:type="dxa"/>
            <w:tcBorders>
              <w:bottom w:val="single" w:sz="8" w:space="0" w:color="000000"/>
              <w:right w:val="single" w:sz="8" w:space="0" w:color="000000"/>
            </w:tcBorders>
            <w:vAlign w:val="center"/>
          </w:tcPr>
          <w:p w14:paraId="0A3A0A81"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61,9%</w:t>
            </w:r>
          </w:p>
        </w:tc>
      </w:tr>
      <w:tr w:rsidR="002449C2" w14:paraId="192B2A9E" w14:textId="77777777">
        <w:trPr>
          <w:cantSplit/>
          <w:trHeight w:val="525"/>
        </w:trPr>
        <w:tc>
          <w:tcPr>
            <w:tcW w:w="3247" w:type="dxa"/>
            <w:tcBorders>
              <w:left w:val="single" w:sz="8" w:space="0" w:color="000000"/>
              <w:bottom w:val="single" w:sz="8" w:space="0" w:color="000000"/>
              <w:right w:val="single" w:sz="8" w:space="0" w:color="000000"/>
            </w:tcBorders>
            <w:vAlign w:val="center"/>
          </w:tcPr>
          <w:p w14:paraId="0BF7F344" w14:textId="77777777" w:rsidR="002449C2" w:rsidRDefault="00123961">
            <w:pPr>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Услуги по техническому и ремонтно-эксплуатационному обслуживанию</w:t>
            </w:r>
          </w:p>
        </w:tc>
        <w:tc>
          <w:tcPr>
            <w:tcW w:w="1125" w:type="dxa"/>
            <w:tcBorders>
              <w:bottom w:val="single" w:sz="8" w:space="0" w:color="000000"/>
              <w:right w:val="single" w:sz="8" w:space="0" w:color="000000"/>
            </w:tcBorders>
            <w:vAlign w:val="center"/>
          </w:tcPr>
          <w:p w14:paraId="423C34C5"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млн руб.</w:t>
            </w:r>
          </w:p>
        </w:tc>
        <w:tc>
          <w:tcPr>
            <w:tcW w:w="1129" w:type="dxa"/>
            <w:tcBorders>
              <w:bottom w:val="single" w:sz="8" w:space="0" w:color="000000"/>
              <w:right w:val="single" w:sz="8" w:space="0" w:color="000000"/>
            </w:tcBorders>
            <w:vAlign w:val="center"/>
          </w:tcPr>
          <w:p w14:paraId="1AC144D5"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75,8</w:t>
            </w:r>
          </w:p>
        </w:tc>
        <w:tc>
          <w:tcPr>
            <w:tcW w:w="1134" w:type="dxa"/>
            <w:tcBorders>
              <w:bottom w:val="single" w:sz="8" w:space="0" w:color="000000"/>
              <w:right w:val="single" w:sz="8" w:space="0" w:color="000000"/>
            </w:tcBorders>
            <w:vAlign w:val="center"/>
          </w:tcPr>
          <w:p w14:paraId="037A5C00"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101,3</w:t>
            </w:r>
          </w:p>
        </w:tc>
        <w:tc>
          <w:tcPr>
            <w:tcW w:w="1125" w:type="dxa"/>
            <w:tcBorders>
              <w:bottom w:val="single" w:sz="8" w:space="0" w:color="000000"/>
              <w:right w:val="single" w:sz="8" w:space="0" w:color="000000"/>
            </w:tcBorders>
            <w:vAlign w:val="center"/>
          </w:tcPr>
          <w:p w14:paraId="08281D75"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134,9</w:t>
            </w:r>
          </w:p>
        </w:tc>
        <w:tc>
          <w:tcPr>
            <w:tcW w:w="1453" w:type="dxa"/>
            <w:tcBorders>
              <w:bottom w:val="single" w:sz="8" w:space="0" w:color="000000"/>
              <w:right w:val="single" w:sz="8" w:space="0" w:color="000000"/>
            </w:tcBorders>
            <w:vAlign w:val="center"/>
          </w:tcPr>
          <w:p w14:paraId="05FEC07D"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33,1%</w:t>
            </w:r>
          </w:p>
        </w:tc>
      </w:tr>
      <w:tr w:rsidR="002449C2" w14:paraId="53F59269" w14:textId="77777777">
        <w:trPr>
          <w:cantSplit/>
          <w:trHeight w:val="525"/>
        </w:trPr>
        <w:tc>
          <w:tcPr>
            <w:tcW w:w="3247" w:type="dxa"/>
            <w:tcBorders>
              <w:left w:val="single" w:sz="8" w:space="0" w:color="000000"/>
              <w:bottom w:val="single" w:sz="8" w:space="0" w:color="000000"/>
              <w:right w:val="single" w:sz="8" w:space="0" w:color="000000"/>
            </w:tcBorders>
            <w:vAlign w:val="center"/>
          </w:tcPr>
          <w:p w14:paraId="280EB383" w14:textId="77777777" w:rsidR="002449C2" w:rsidRDefault="00123961">
            <w:pPr>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Выполнение строительно-монтажных работ</w:t>
            </w:r>
          </w:p>
        </w:tc>
        <w:tc>
          <w:tcPr>
            <w:tcW w:w="1125" w:type="dxa"/>
            <w:tcBorders>
              <w:bottom w:val="single" w:sz="8" w:space="0" w:color="000000"/>
              <w:right w:val="single" w:sz="8" w:space="0" w:color="000000"/>
            </w:tcBorders>
            <w:vAlign w:val="center"/>
          </w:tcPr>
          <w:p w14:paraId="57096056"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млн руб.</w:t>
            </w:r>
          </w:p>
        </w:tc>
        <w:tc>
          <w:tcPr>
            <w:tcW w:w="1129" w:type="dxa"/>
            <w:tcBorders>
              <w:bottom w:val="single" w:sz="8" w:space="0" w:color="000000"/>
              <w:right w:val="single" w:sz="8" w:space="0" w:color="000000"/>
            </w:tcBorders>
            <w:vAlign w:val="center"/>
          </w:tcPr>
          <w:p w14:paraId="1DC1A27A"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29,6</w:t>
            </w:r>
          </w:p>
        </w:tc>
        <w:tc>
          <w:tcPr>
            <w:tcW w:w="1134" w:type="dxa"/>
            <w:tcBorders>
              <w:bottom w:val="single" w:sz="8" w:space="0" w:color="000000"/>
              <w:right w:val="single" w:sz="8" w:space="0" w:color="000000"/>
            </w:tcBorders>
            <w:vAlign w:val="center"/>
          </w:tcPr>
          <w:p w14:paraId="2882F6FE"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48,7</w:t>
            </w:r>
          </w:p>
        </w:tc>
        <w:tc>
          <w:tcPr>
            <w:tcW w:w="1125" w:type="dxa"/>
            <w:tcBorders>
              <w:bottom w:val="single" w:sz="8" w:space="0" w:color="000000"/>
              <w:right w:val="single" w:sz="8" w:space="0" w:color="000000"/>
            </w:tcBorders>
            <w:vAlign w:val="center"/>
          </w:tcPr>
          <w:p w14:paraId="434A2B7D"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213,4</w:t>
            </w:r>
          </w:p>
        </w:tc>
        <w:tc>
          <w:tcPr>
            <w:tcW w:w="1453" w:type="dxa"/>
            <w:tcBorders>
              <w:bottom w:val="single" w:sz="8" w:space="0" w:color="000000"/>
              <w:right w:val="single" w:sz="8" w:space="0" w:color="000000"/>
            </w:tcBorders>
            <w:vAlign w:val="center"/>
          </w:tcPr>
          <w:p w14:paraId="0F73439D"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338,2%</w:t>
            </w:r>
          </w:p>
        </w:tc>
      </w:tr>
      <w:tr w:rsidR="002449C2" w14:paraId="4638BC3B" w14:textId="77777777">
        <w:trPr>
          <w:cantSplit/>
          <w:trHeight w:val="810"/>
        </w:trPr>
        <w:tc>
          <w:tcPr>
            <w:tcW w:w="3247" w:type="dxa"/>
            <w:tcBorders>
              <w:left w:val="single" w:sz="8" w:space="0" w:color="000000"/>
              <w:right w:val="single" w:sz="8" w:space="0" w:color="000000"/>
            </w:tcBorders>
            <w:vAlign w:val="center"/>
          </w:tcPr>
          <w:p w14:paraId="0EFE9EB7" w14:textId="77777777" w:rsidR="002449C2" w:rsidRDefault="00123961">
            <w:pPr>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Консультационные и организационно-технические услуги</w:t>
            </w:r>
          </w:p>
        </w:tc>
        <w:tc>
          <w:tcPr>
            <w:tcW w:w="1125" w:type="dxa"/>
            <w:tcBorders>
              <w:right w:val="single" w:sz="8" w:space="0" w:color="000000"/>
            </w:tcBorders>
            <w:vAlign w:val="center"/>
          </w:tcPr>
          <w:p w14:paraId="591B7A6B"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млн руб.</w:t>
            </w:r>
          </w:p>
        </w:tc>
        <w:tc>
          <w:tcPr>
            <w:tcW w:w="1129" w:type="dxa"/>
            <w:tcBorders>
              <w:right w:val="single" w:sz="8" w:space="0" w:color="000000"/>
            </w:tcBorders>
            <w:vAlign w:val="center"/>
          </w:tcPr>
          <w:p w14:paraId="0E342D98"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47,0</w:t>
            </w:r>
          </w:p>
        </w:tc>
        <w:tc>
          <w:tcPr>
            <w:tcW w:w="1134" w:type="dxa"/>
            <w:tcBorders>
              <w:right w:val="single" w:sz="8" w:space="0" w:color="000000"/>
            </w:tcBorders>
            <w:vAlign w:val="center"/>
          </w:tcPr>
          <w:p w14:paraId="02C5E814"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48,1</w:t>
            </w:r>
          </w:p>
        </w:tc>
        <w:tc>
          <w:tcPr>
            <w:tcW w:w="1125" w:type="dxa"/>
            <w:tcBorders>
              <w:right w:val="single" w:sz="8" w:space="0" w:color="000000"/>
            </w:tcBorders>
            <w:vAlign w:val="center"/>
          </w:tcPr>
          <w:p w14:paraId="7D650228"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42,1</w:t>
            </w:r>
          </w:p>
        </w:tc>
        <w:tc>
          <w:tcPr>
            <w:tcW w:w="1453" w:type="dxa"/>
            <w:tcBorders>
              <w:bottom w:val="single" w:sz="8" w:space="0" w:color="000000"/>
              <w:right w:val="single" w:sz="8" w:space="0" w:color="000000"/>
            </w:tcBorders>
            <w:vAlign w:val="center"/>
          </w:tcPr>
          <w:p w14:paraId="2710AFE5"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-12,5%</w:t>
            </w:r>
          </w:p>
        </w:tc>
      </w:tr>
      <w:tr w:rsidR="002449C2" w14:paraId="61C405FB" w14:textId="77777777">
        <w:trPr>
          <w:cantSplit/>
          <w:trHeight w:val="315"/>
        </w:trPr>
        <w:tc>
          <w:tcPr>
            <w:tcW w:w="3247" w:type="dxa"/>
            <w:tcBorders>
              <w:top w:val="single" w:sz="8" w:space="0" w:color="000000"/>
              <w:left w:val="single" w:sz="8" w:space="0" w:color="000000"/>
              <w:bottom w:val="single" w:sz="8" w:space="0" w:color="000000"/>
              <w:right w:val="single" w:sz="8" w:space="0" w:color="000000"/>
            </w:tcBorders>
            <w:vAlign w:val="center"/>
          </w:tcPr>
          <w:p w14:paraId="099A0DB0" w14:textId="77777777" w:rsidR="002449C2" w:rsidRDefault="00123961">
            <w:pPr>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Агентские услуги</w:t>
            </w:r>
          </w:p>
        </w:tc>
        <w:tc>
          <w:tcPr>
            <w:tcW w:w="1125" w:type="dxa"/>
            <w:tcBorders>
              <w:top w:val="single" w:sz="8" w:space="0" w:color="000000"/>
              <w:bottom w:val="single" w:sz="8" w:space="0" w:color="000000"/>
              <w:right w:val="single" w:sz="8" w:space="0" w:color="000000"/>
            </w:tcBorders>
            <w:vAlign w:val="center"/>
          </w:tcPr>
          <w:p w14:paraId="760BBBC7"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млн руб.</w:t>
            </w:r>
          </w:p>
        </w:tc>
        <w:tc>
          <w:tcPr>
            <w:tcW w:w="1129" w:type="dxa"/>
            <w:tcBorders>
              <w:top w:val="single" w:sz="8" w:space="0" w:color="000000"/>
              <w:bottom w:val="single" w:sz="8" w:space="0" w:color="000000"/>
              <w:right w:val="single" w:sz="8" w:space="0" w:color="000000"/>
            </w:tcBorders>
            <w:vAlign w:val="center"/>
          </w:tcPr>
          <w:p w14:paraId="3B2FACE4"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5,5</w:t>
            </w:r>
          </w:p>
        </w:tc>
        <w:tc>
          <w:tcPr>
            <w:tcW w:w="1134" w:type="dxa"/>
            <w:tcBorders>
              <w:top w:val="single" w:sz="8" w:space="0" w:color="000000"/>
              <w:bottom w:val="single" w:sz="8" w:space="0" w:color="000000"/>
              <w:right w:val="single" w:sz="8" w:space="0" w:color="000000"/>
            </w:tcBorders>
            <w:vAlign w:val="center"/>
          </w:tcPr>
          <w:p w14:paraId="2F087A60"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5,9</w:t>
            </w:r>
          </w:p>
        </w:tc>
        <w:tc>
          <w:tcPr>
            <w:tcW w:w="1125" w:type="dxa"/>
            <w:tcBorders>
              <w:top w:val="single" w:sz="8" w:space="0" w:color="000000"/>
              <w:bottom w:val="single" w:sz="8" w:space="0" w:color="000000"/>
              <w:right w:val="single" w:sz="8" w:space="0" w:color="000000"/>
            </w:tcBorders>
            <w:vAlign w:val="center"/>
          </w:tcPr>
          <w:p w14:paraId="734B7CA7"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5,6</w:t>
            </w:r>
          </w:p>
        </w:tc>
        <w:tc>
          <w:tcPr>
            <w:tcW w:w="1453" w:type="dxa"/>
            <w:tcBorders>
              <w:bottom w:val="single" w:sz="8" w:space="0" w:color="000000"/>
              <w:right w:val="single" w:sz="8" w:space="0" w:color="000000"/>
            </w:tcBorders>
            <w:vAlign w:val="center"/>
          </w:tcPr>
          <w:p w14:paraId="31FA1352"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-5,2%</w:t>
            </w:r>
          </w:p>
        </w:tc>
      </w:tr>
      <w:tr w:rsidR="002449C2" w14:paraId="4A00DA61" w14:textId="77777777">
        <w:trPr>
          <w:cantSplit/>
          <w:trHeight w:val="525"/>
        </w:trPr>
        <w:tc>
          <w:tcPr>
            <w:tcW w:w="3247" w:type="dxa"/>
            <w:tcBorders>
              <w:left w:val="single" w:sz="8" w:space="0" w:color="000000"/>
              <w:bottom w:val="single" w:sz="8" w:space="0" w:color="000000"/>
              <w:right w:val="single" w:sz="8" w:space="0" w:color="000000"/>
            </w:tcBorders>
            <w:vAlign w:val="center"/>
          </w:tcPr>
          <w:p w14:paraId="38265C2E" w14:textId="77777777" w:rsidR="002449C2" w:rsidRDefault="00123961">
            <w:pPr>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Услуги связи и информационных технологий</w:t>
            </w:r>
          </w:p>
        </w:tc>
        <w:tc>
          <w:tcPr>
            <w:tcW w:w="1125" w:type="dxa"/>
            <w:tcBorders>
              <w:bottom w:val="single" w:sz="8" w:space="0" w:color="000000"/>
              <w:right w:val="single" w:sz="8" w:space="0" w:color="000000"/>
            </w:tcBorders>
            <w:vAlign w:val="center"/>
          </w:tcPr>
          <w:p w14:paraId="32AB1D10"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млн руб.</w:t>
            </w:r>
          </w:p>
        </w:tc>
        <w:tc>
          <w:tcPr>
            <w:tcW w:w="1129" w:type="dxa"/>
            <w:tcBorders>
              <w:bottom w:val="single" w:sz="8" w:space="0" w:color="000000"/>
              <w:right w:val="single" w:sz="8" w:space="0" w:color="000000"/>
            </w:tcBorders>
            <w:vAlign w:val="center"/>
          </w:tcPr>
          <w:p w14:paraId="6986CC2C"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0,9</w:t>
            </w:r>
          </w:p>
        </w:tc>
        <w:tc>
          <w:tcPr>
            <w:tcW w:w="1134" w:type="dxa"/>
            <w:tcBorders>
              <w:bottom w:val="single" w:sz="8" w:space="0" w:color="000000"/>
              <w:right w:val="single" w:sz="8" w:space="0" w:color="000000"/>
            </w:tcBorders>
            <w:vAlign w:val="center"/>
          </w:tcPr>
          <w:p w14:paraId="73539A42"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0,9</w:t>
            </w:r>
          </w:p>
        </w:tc>
        <w:tc>
          <w:tcPr>
            <w:tcW w:w="1125" w:type="dxa"/>
            <w:tcBorders>
              <w:bottom w:val="single" w:sz="8" w:space="0" w:color="000000"/>
              <w:right w:val="single" w:sz="8" w:space="0" w:color="000000"/>
            </w:tcBorders>
            <w:vAlign w:val="center"/>
          </w:tcPr>
          <w:p w14:paraId="6951D3DB"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w:t>
            </w:r>
          </w:p>
        </w:tc>
        <w:tc>
          <w:tcPr>
            <w:tcW w:w="1453" w:type="dxa"/>
            <w:tcBorders>
              <w:bottom w:val="single" w:sz="8" w:space="0" w:color="000000"/>
              <w:right w:val="single" w:sz="8" w:space="0" w:color="000000"/>
            </w:tcBorders>
            <w:vAlign w:val="center"/>
          </w:tcPr>
          <w:p w14:paraId="03395865"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-44,4%</w:t>
            </w:r>
          </w:p>
        </w:tc>
      </w:tr>
      <w:tr w:rsidR="002449C2" w14:paraId="30041C91" w14:textId="77777777">
        <w:trPr>
          <w:cantSplit/>
          <w:trHeight w:val="315"/>
        </w:trPr>
        <w:tc>
          <w:tcPr>
            <w:tcW w:w="3247" w:type="dxa"/>
            <w:tcBorders>
              <w:left w:val="single" w:sz="8" w:space="0" w:color="000000"/>
              <w:bottom w:val="single" w:sz="8" w:space="0" w:color="000000"/>
              <w:right w:val="single" w:sz="8" w:space="0" w:color="000000"/>
            </w:tcBorders>
            <w:vAlign w:val="center"/>
          </w:tcPr>
          <w:p w14:paraId="1DC6A438" w14:textId="77777777" w:rsidR="002449C2" w:rsidRDefault="00123961">
            <w:pPr>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Другие услуги прочей деятельности</w:t>
            </w:r>
          </w:p>
        </w:tc>
        <w:tc>
          <w:tcPr>
            <w:tcW w:w="1125" w:type="dxa"/>
            <w:tcBorders>
              <w:bottom w:val="single" w:sz="8" w:space="0" w:color="000000"/>
              <w:right w:val="single" w:sz="8" w:space="0" w:color="000000"/>
            </w:tcBorders>
            <w:vAlign w:val="center"/>
          </w:tcPr>
          <w:p w14:paraId="6896AED1"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млн руб.</w:t>
            </w:r>
          </w:p>
        </w:tc>
        <w:tc>
          <w:tcPr>
            <w:tcW w:w="1129" w:type="dxa"/>
            <w:tcBorders>
              <w:bottom w:val="single" w:sz="8" w:space="0" w:color="000000"/>
              <w:right w:val="single" w:sz="8" w:space="0" w:color="000000"/>
            </w:tcBorders>
            <w:vAlign w:val="center"/>
          </w:tcPr>
          <w:p w14:paraId="77BD63C9"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11,0</w:t>
            </w:r>
          </w:p>
        </w:tc>
        <w:tc>
          <w:tcPr>
            <w:tcW w:w="1134" w:type="dxa"/>
            <w:tcBorders>
              <w:bottom w:val="single" w:sz="8" w:space="0" w:color="000000"/>
              <w:right w:val="single" w:sz="8" w:space="0" w:color="000000"/>
            </w:tcBorders>
            <w:vAlign w:val="center"/>
          </w:tcPr>
          <w:p w14:paraId="37AA0A62"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30,1</w:t>
            </w:r>
          </w:p>
        </w:tc>
        <w:tc>
          <w:tcPr>
            <w:tcW w:w="1125" w:type="dxa"/>
            <w:tcBorders>
              <w:bottom w:val="single" w:sz="8" w:space="0" w:color="000000"/>
              <w:right w:val="single" w:sz="8" w:space="0" w:color="000000"/>
            </w:tcBorders>
            <w:vAlign w:val="center"/>
          </w:tcPr>
          <w:p w14:paraId="115D2EE4"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26,2</w:t>
            </w:r>
          </w:p>
        </w:tc>
        <w:tc>
          <w:tcPr>
            <w:tcW w:w="1453" w:type="dxa"/>
            <w:tcBorders>
              <w:bottom w:val="single" w:sz="8" w:space="0" w:color="000000"/>
              <w:right w:val="single" w:sz="8" w:space="0" w:color="000000"/>
            </w:tcBorders>
            <w:vAlign w:val="center"/>
          </w:tcPr>
          <w:p w14:paraId="3EDC99C6"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-12,9%</w:t>
            </w:r>
          </w:p>
        </w:tc>
      </w:tr>
      <w:tr w:rsidR="002449C2" w14:paraId="078160B9" w14:textId="77777777">
        <w:trPr>
          <w:cantSplit/>
          <w:trHeight w:val="315"/>
        </w:trPr>
        <w:tc>
          <w:tcPr>
            <w:tcW w:w="3247" w:type="dxa"/>
            <w:tcBorders>
              <w:left w:val="single" w:sz="8" w:space="0" w:color="000000"/>
              <w:bottom w:val="single" w:sz="8" w:space="0" w:color="000000"/>
              <w:right w:val="single" w:sz="8" w:space="0" w:color="000000"/>
            </w:tcBorders>
            <w:vAlign w:val="center"/>
          </w:tcPr>
          <w:p w14:paraId="28C8C623" w14:textId="77777777" w:rsidR="002449C2" w:rsidRDefault="00123961">
            <w:pPr>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Другие прочие услуги</w:t>
            </w:r>
          </w:p>
        </w:tc>
        <w:tc>
          <w:tcPr>
            <w:tcW w:w="1125" w:type="dxa"/>
            <w:tcBorders>
              <w:bottom w:val="single" w:sz="8" w:space="0" w:color="000000"/>
              <w:right w:val="single" w:sz="8" w:space="0" w:color="000000"/>
            </w:tcBorders>
            <w:vAlign w:val="center"/>
          </w:tcPr>
          <w:p w14:paraId="3965EFED"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млн руб.</w:t>
            </w:r>
          </w:p>
        </w:tc>
        <w:tc>
          <w:tcPr>
            <w:tcW w:w="1129" w:type="dxa"/>
            <w:tcBorders>
              <w:bottom w:val="single" w:sz="8" w:space="0" w:color="000000"/>
              <w:right w:val="single" w:sz="8" w:space="0" w:color="000000"/>
            </w:tcBorders>
            <w:vAlign w:val="center"/>
          </w:tcPr>
          <w:p w14:paraId="16B22E51"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52,2</w:t>
            </w:r>
          </w:p>
        </w:tc>
        <w:tc>
          <w:tcPr>
            <w:tcW w:w="1134" w:type="dxa"/>
            <w:tcBorders>
              <w:bottom w:val="single" w:sz="8" w:space="0" w:color="000000"/>
              <w:right w:val="single" w:sz="8" w:space="0" w:color="000000"/>
            </w:tcBorders>
            <w:vAlign w:val="center"/>
          </w:tcPr>
          <w:p w14:paraId="4CA79D63"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57,8</w:t>
            </w:r>
          </w:p>
        </w:tc>
        <w:tc>
          <w:tcPr>
            <w:tcW w:w="1125" w:type="dxa"/>
            <w:tcBorders>
              <w:bottom w:val="single" w:sz="8" w:space="0" w:color="000000"/>
              <w:right w:val="single" w:sz="8" w:space="0" w:color="000000"/>
            </w:tcBorders>
            <w:vAlign w:val="center"/>
          </w:tcPr>
          <w:p w14:paraId="554DAF23"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63,1</w:t>
            </w:r>
          </w:p>
        </w:tc>
        <w:tc>
          <w:tcPr>
            <w:tcW w:w="1453" w:type="dxa"/>
            <w:tcBorders>
              <w:bottom w:val="single" w:sz="8" w:space="0" w:color="000000"/>
              <w:right w:val="single" w:sz="8" w:space="0" w:color="000000"/>
            </w:tcBorders>
            <w:vAlign w:val="center"/>
          </w:tcPr>
          <w:p w14:paraId="2044B931"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9,2%</w:t>
            </w:r>
          </w:p>
        </w:tc>
      </w:tr>
      <w:tr w:rsidR="002449C2" w14:paraId="5263D7EF" w14:textId="77777777">
        <w:trPr>
          <w:cantSplit/>
          <w:trHeight w:val="525"/>
        </w:trPr>
        <w:tc>
          <w:tcPr>
            <w:tcW w:w="3247" w:type="dxa"/>
            <w:tcBorders>
              <w:left w:val="single" w:sz="8" w:space="0" w:color="000000"/>
              <w:bottom w:val="single" w:sz="8" w:space="0" w:color="000000"/>
              <w:right w:val="single" w:sz="8" w:space="0" w:color="000000"/>
            </w:tcBorders>
            <w:vAlign w:val="center"/>
          </w:tcPr>
          <w:p w14:paraId="09685D78" w14:textId="77777777" w:rsidR="002449C2" w:rsidRDefault="00123961">
            <w:pPr>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bCs/>
                <w:color w:val="000000"/>
                <w:sz w:val="20"/>
                <w:szCs w:val="20"/>
                <w:lang w:eastAsia="ru-RU"/>
              </w:rPr>
              <w:t>Объем нетарифной выручки от прочих видов деятельности</w:t>
            </w:r>
          </w:p>
        </w:tc>
        <w:tc>
          <w:tcPr>
            <w:tcW w:w="1125" w:type="dxa"/>
            <w:tcBorders>
              <w:bottom w:val="single" w:sz="8" w:space="0" w:color="000000"/>
              <w:right w:val="single" w:sz="8" w:space="0" w:color="000000"/>
            </w:tcBorders>
            <w:vAlign w:val="center"/>
          </w:tcPr>
          <w:p w14:paraId="03D68A48"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w:t>
            </w:r>
          </w:p>
        </w:tc>
        <w:tc>
          <w:tcPr>
            <w:tcW w:w="1129" w:type="dxa"/>
            <w:tcBorders>
              <w:bottom w:val="single" w:sz="8" w:space="0" w:color="000000"/>
              <w:right w:val="single" w:sz="8" w:space="0" w:color="000000"/>
            </w:tcBorders>
            <w:vAlign w:val="center"/>
          </w:tcPr>
          <w:p w14:paraId="58839CC9"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1,72</w:t>
            </w:r>
          </w:p>
        </w:tc>
        <w:tc>
          <w:tcPr>
            <w:tcW w:w="1134" w:type="dxa"/>
            <w:tcBorders>
              <w:bottom w:val="single" w:sz="8" w:space="0" w:color="000000"/>
              <w:right w:val="single" w:sz="8" w:space="0" w:color="000000"/>
            </w:tcBorders>
            <w:vAlign w:val="center"/>
          </w:tcPr>
          <w:p w14:paraId="4C22A070"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1,93</w:t>
            </w:r>
          </w:p>
        </w:tc>
        <w:tc>
          <w:tcPr>
            <w:tcW w:w="1125" w:type="dxa"/>
            <w:tcBorders>
              <w:bottom w:val="single" w:sz="8" w:space="0" w:color="000000"/>
              <w:right w:val="single" w:sz="8" w:space="0" w:color="000000"/>
            </w:tcBorders>
            <w:vAlign w:val="center"/>
          </w:tcPr>
          <w:p w14:paraId="6771C539"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3,10</w:t>
            </w:r>
          </w:p>
        </w:tc>
        <w:tc>
          <w:tcPr>
            <w:tcW w:w="1453" w:type="dxa"/>
            <w:tcBorders>
              <w:bottom w:val="single" w:sz="8" w:space="0" w:color="000000"/>
              <w:right w:val="single" w:sz="8" w:space="0" w:color="000000"/>
            </w:tcBorders>
            <w:vAlign w:val="center"/>
          </w:tcPr>
          <w:p w14:paraId="12A80210" w14:textId="77777777" w:rsidR="002449C2" w:rsidRDefault="002449C2">
            <w:pPr>
              <w:shd w:val="clear" w:color="auto" w:fill="FFFFFF"/>
              <w:spacing w:after="0" w:line="240" w:lineRule="auto"/>
              <w:jc w:val="center"/>
              <w:rPr>
                <w:rFonts w:ascii="Times New Roman" w:eastAsia="Times New Roman" w:hAnsi="Times New Roman"/>
                <w:color w:val="000000"/>
                <w:sz w:val="20"/>
                <w:szCs w:val="20"/>
                <w:lang w:eastAsia="ru-RU"/>
              </w:rPr>
            </w:pPr>
          </w:p>
        </w:tc>
      </w:tr>
    </w:tbl>
    <w:p w14:paraId="5B5FC789" w14:textId="77777777" w:rsidR="002449C2" w:rsidRDefault="002449C2">
      <w:pPr>
        <w:shd w:val="clear" w:color="auto" w:fill="FFFFFF"/>
        <w:spacing w:after="0" w:line="240" w:lineRule="auto"/>
        <w:ind w:firstLine="709"/>
        <w:jc w:val="both"/>
        <w:rPr>
          <w:rFonts w:ascii="Times New Roman" w:hAnsi="Times New Roman"/>
          <w:sz w:val="26"/>
          <w:szCs w:val="26"/>
          <w:lang w:eastAsia="en-US"/>
        </w:rPr>
      </w:pPr>
    </w:p>
    <w:p w14:paraId="0476B933" w14:textId="77777777" w:rsidR="002449C2" w:rsidRDefault="00123961">
      <w:pPr>
        <w:shd w:val="clear" w:color="auto" w:fill="FFFFFF"/>
        <w:tabs>
          <w:tab w:val="left" w:pos="1320"/>
        </w:tabs>
        <w:spacing w:after="0" w:line="240" w:lineRule="auto"/>
        <w:ind w:firstLine="774"/>
        <w:jc w:val="both"/>
        <w:rPr>
          <w:rFonts w:ascii="Times New Roman" w:eastAsia="Times New Roman" w:hAnsi="Times New Roman"/>
          <w:sz w:val="26"/>
          <w:szCs w:val="26"/>
          <w:lang w:eastAsia="ru-RU"/>
        </w:rPr>
      </w:pPr>
      <w:r>
        <w:rPr>
          <w:rFonts w:ascii="Times New Roman" w:eastAsia="Times New Roman" w:hAnsi="Times New Roman"/>
          <w:b/>
          <w:i/>
          <w:sz w:val="26"/>
          <w:szCs w:val="26"/>
          <w:lang w:eastAsia="ru-RU"/>
        </w:rPr>
        <w:t>Выручка от сдачи в аренду</w:t>
      </w:r>
      <w:r>
        <w:rPr>
          <w:rFonts w:ascii="Times New Roman" w:eastAsia="Times New Roman" w:hAnsi="Times New Roman"/>
          <w:sz w:val="26"/>
          <w:szCs w:val="26"/>
          <w:lang w:eastAsia="ru-RU"/>
        </w:rPr>
        <w:t xml:space="preserve"> на основании условий заключенных договоров составила 25,0 млн рублей. В аренду сдаются небольшие площади, являющиеся частью производственных земельных участков (в филиале «Астраханьэнерго» – частью непрофильного земельного участка), а также части помещений и имущества профильного (части нежилых административных помещений в филиале «Волгоградэнерго»), так и непрофильного (часть здания ДК «Энергетик» непрофильного имущества филиала «Ростовэнерго») назначения.</w:t>
      </w:r>
    </w:p>
    <w:p w14:paraId="59AB989E"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b/>
          <w:i/>
          <w:sz w:val="26"/>
          <w:szCs w:val="26"/>
          <w:lang w:eastAsia="en-US"/>
        </w:rPr>
        <w:t>Доходы от оказания услуг по размещению наружного освещения</w:t>
      </w:r>
      <w:r>
        <w:rPr>
          <w:rFonts w:ascii="Times New Roman" w:hAnsi="Times New Roman"/>
          <w:sz w:val="26"/>
          <w:szCs w:val="26"/>
          <w:lang w:eastAsia="en-US"/>
        </w:rPr>
        <w:t xml:space="preserve"> по договорам, заключенным в основном с органами местного самоуправления на территории присутствия Общества, составили 9,1 млн рублей. Такие договоры заключаются в начале каждого года со сроком действия не более 12 месяцев.</w:t>
      </w:r>
    </w:p>
    <w:p w14:paraId="270ABCFE" w14:textId="77777777" w:rsidR="002449C2" w:rsidRDefault="002449C2">
      <w:pPr>
        <w:shd w:val="clear" w:color="auto" w:fill="FFFFFF"/>
        <w:spacing w:after="0" w:line="240" w:lineRule="auto"/>
        <w:ind w:firstLine="709"/>
        <w:jc w:val="both"/>
        <w:rPr>
          <w:rFonts w:ascii="Times New Roman" w:hAnsi="Times New Roman"/>
          <w:b/>
          <w:i/>
          <w:sz w:val="26"/>
          <w:szCs w:val="26"/>
          <w:lang w:eastAsia="en-US"/>
        </w:rPr>
      </w:pPr>
    </w:p>
    <w:p w14:paraId="62011CB6" w14:textId="77777777" w:rsidR="002449C2" w:rsidRDefault="00123961">
      <w:pPr>
        <w:spacing w:after="0" w:line="240" w:lineRule="auto"/>
        <w:ind w:firstLine="709"/>
        <w:jc w:val="both"/>
        <w:rPr>
          <w:rFonts w:ascii="Times New Roman" w:hAnsi="Times New Roman"/>
          <w:b/>
          <w:i/>
          <w:sz w:val="26"/>
          <w:szCs w:val="26"/>
          <w:lang w:eastAsia="en-US"/>
        </w:rPr>
      </w:pPr>
      <w:r>
        <w:rPr>
          <w:noProof/>
          <w:lang w:eastAsia="ru-RU"/>
        </w:rPr>
        <w:drawing>
          <wp:inline distT="0" distB="0" distL="0" distR="0" wp14:anchorId="3463D137" wp14:editId="745DF023">
            <wp:extent cx="5518150" cy="3188335"/>
            <wp:effectExtent l="0" t="0" r="0" b="0"/>
            <wp:docPr id="43" name="_x005F_x0000_s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_x005F_x0000_s4373"/>
                    <pic:cNvPicPr>
                      <a:picLocks noChangeAspect="1" noChangeArrowheads="1"/>
                    </pic:cNvPicPr>
                  </pic:nvPicPr>
                  <pic:blipFill>
                    <a:blip r:embed="rId70"/>
                    <a:stretch>
                      <a:fillRect/>
                    </a:stretch>
                  </pic:blipFill>
                  <pic:spPr bwMode="auto">
                    <a:xfrm>
                      <a:off x="0" y="0"/>
                      <a:ext cx="5518150" cy="3188335"/>
                    </a:xfrm>
                    <a:prstGeom prst="rect">
                      <a:avLst/>
                    </a:prstGeom>
                    <a:noFill/>
                  </pic:spPr>
                </pic:pic>
              </a:graphicData>
            </a:graphic>
          </wp:inline>
        </w:drawing>
      </w:r>
    </w:p>
    <w:p w14:paraId="5FB7540C" w14:textId="77777777" w:rsidR="002449C2" w:rsidRDefault="002449C2">
      <w:pPr>
        <w:spacing w:after="0" w:line="240" w:lineRule="auto"/>
        <w:ind w:firstLine="709"/>
        <w:jc w:val="both"/>
        <w:rPr>
          <w:rFonts w:ascii="Times New Roman" w:hAnsi="Times New Roman"/>
          <w:b/>
          <w:i/>
          <w:sz w:val="26"/>
          <w:szCs w:val="26"/>
          <w:lang w:eastAsia="en-US"/>
        </w:rPr>
      </w:pPr>
    </w:p>
    <w:p w14:paraId="172039B6" w14:textId="77777777" w:rsidR="002449C2" w:rsidRDefault="002449C2">
      <w:pPr>
        <w:spacing w:after="0" w:line="240" w:lineRule="auto"/>
        <w:ind w:firstLine="709"/>
        <w:jc w:val="both"/>
        <w:rPr>
          <w:rFonts w:ascii="Times New Roman" w:hAnsi="Times New Roman"/>
          <w:b/>
          <w:i/>
          <w:sz w:val="26"/>
          <w:szCs w:val="26"/>
          <w:lang w:eastAsia="en-US"/>
        </w:rPr>
      </w:pPr>
    </w:p>
    <w:p w14:paraId="4A52BD6E" w14:textId="77777777" w:rsidR="002449C2" w:rsidRDefault="002449C2">
      <w:pPr>
        <w:spacing w:after="0" w:line="240" w:lineRule="auto"/>
        <w:ind w:firstLine="709"/>
        <w:jc w:val="both"/>
        <w:rPr>
          <w:rFonts w:ascii="Times New Roman" w:hAnsi="Times New Roman"/>
          <w:b/>
          <w:i/>
          <w:sz w:val="26"/>
          <w:szCs w:val="26"/>
          <w:lang w:eastAsia="en-US"/>
        </w:rPr>
      </w:pPr>
    </w:p>
    <w:p w14:paraId="6339F548"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b/>
          <w:i/>
          <w:sz w:val="26"/>
          <w:szCs w:val="26"/>
          <w:lang w:eastAsia="en-US"/>
        </w:rPr>
        <w:t>Выручка от размещения телекоммуникационного оборудования связи, в том числе на размещение волоконно-оптической линии связи на опорах воздушных линий электропередачи (далее – ВОЛС)</w:t>
      </w:r>
      <w:r>
        <w:rPr>
          <w:rFonts w:ascii="Times New Roman" w:hAnsi="Times New Roman"/>
          <w:sz w:val="26"/>
          <w:szCs w:val="26"/>
          <w:lang w:eastAsia="en-US"/>
        </w:rPr>
        <w:t xml:space="preserve"> ПАО «Россети Юг» по итогам 2024 года сформировалась в объеме 227,3 млн руб., что на 99,6 млн руб. больше, чем в 2023 году или на 78,1% (факт в 2023 году – 127,6 млн руб.). Основную долю в выручке составляет доход по договорам, заключенным с ПАО «Ростелеком», ПАО «ВымпелКом», ЗАО «Вист </w:t>
      </w:r>
      <w:proofErr w:type="gramStart"/>
      <w:r>
        <w:rPr>
          <w:rFonts w:ascii="Times New Roman" w:hAnsi="Times New Roman"/>
          <w:sz w:val="26"/>
          <w:szCs w:val="26"/>
          <w:lang w:eastAsia="en-US"/>
        </w:rPr>
        <w:t>он-лайн</w:t>
      </w:r>
      <w:proofErr w:type="gramEnd"/>
      <w:r>
        <w:rPr>
          <w:rFonts w:ascii="Times New Roman" w:hAnsi="Times New Roman"/>
          <w:sz w:val="26"/>
          <w:szCs w:val="26"/>
          <w:lang w:eastAsia="en-US"/>
        </w:rPr>
        <w:t>», ПАО «МТС», ПАО «Мегафон», АО «ЭР-Телеком Холдинг».</w:t>
      </w:r>
      <w:r>
        <w:rPr>
          <w:lang w:eastAsia="en-US"/>
        </w:rPr>
        <w:t xml:space="preserve"> </w:t>
      </w:r>
      <w:r>
        <w:rPr>
          <w:rFonts w:ascii="Times New Roman" w:hAnsi="Times New Roman"/>
          <w:sz w:val="26"/>
          <w:szCs w:val="26"/>
          <w:lang w:eastAsia="en-US"/>
        </w:rPr>
        <w:t xml:space="preserve"> </w:t>
      </w:r>
    </w:p>
    <w:p w14:paraId="4183C092" w14:textId="77777777" w:rsidR="002449C2" w:rsidRDefault="00123961">
      <w:pPr>
        <w:shd w:val="clear" w:color="auto" w:fill="FFFFFF"/>
        <w:tabs>
          <w:tab w:val="left" w:pos="1080"/>
          <w:tab w:val="left" w:pos="1320"/>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b/>
          <w:i/>
          <w:sz w:val="26"/>
          <w:szCs w:val="26"/>
          <w:lang w:eastAsia="ru-RU"/>
        </w:rPr>
        <w:t>Доходы от оказания услуг по техническому и ремонтно-эксплуатационному обслуживанию</w:t>
      </w:r>
      <w:r>
        <w:rPr>
          <w:rFonts w:ascii="Times New Roman" w:eastAsia="Times New Roman" w:hAnsi="Times New Roman"/>
          <w:sz w:val="26"/>
          <w:szCs w:val="26"/>
          <w:lang w:eastAsia="ru-RU"/>
        </w:rPr>
        <w:t xml:space="preserve"> по итогам 2024 года сформировались в объеме 134,9 млн рублей, что на 33,6 млн руб. больше, чем в 2023 году или на 33,1% (факт в 2023 году – 101,3 млн руб.) и на 27,4 млн руб. больше планового значения (план на 2024 – 107,5 млн руб.). Основная доля выручки получена по заключенным договорам с рядом ключевых контрагентов: </w:t>
      </w:r>
      <w:r>
        <w:rPr>
          <w:rFonts w:ascii="Times New Roman" w:eastAsia="Times New Roman" w:hAnsi="Times New Roman"/>
          <w:sz w:val="26"/>
          <w:szCs w:val="24"/>
          <w:lang w:eastAsia="ru-RU"/>
        </w:rPr>
        <w:t>АО «Волжский трубный завод», ОАО «Кермический завод», АО «Каспийский трубопроводный Консорциум – Р», ООО «Агропромышленный комплекс Астраханский», ООО «Современные системы реновации», ГАУК АО «АГТОБ», ООО «Техбезопасность», ООО «Птицефабрика Владимировская»</w:t>
      </w:r>
      <w:r>
        <w:rPr>
          <w:rFonts w:ascii="Arial Narrow" w:eastAsia="Times New Roman" w:hAnsi="Arial Narrow"/>
          <w:sz w:val="26"/>
          <w:szCs w:val="24"/>
          <w:lang w:eastAsia="ru-RU"/>
        </w:rPr>
        <w:t xml:space="preserve">, </w:t>
      </w:r>
      <w:r>
        <w:rPr>
          <w:rFonts w:ascii="Times New Roman" w:eastAsia="Times New Roman" w:hAnsi="Times New Roman"/>
          <w:sz w:val="26"/>
          <w:szCs w:val="26"/>
          <w:lang w:eastAsia="ru-RU"/>
        </w:rPr>
        <w:t>АО «Черномортранснефть», ОАО «РЖД», АО «Новошахтинский завод нефтепродуктов», а также с органами местного самоуправления, бюджетными учреждениями и сельскохозяйственными предприятиями. Такие договора заключаются в начале каждого года со сроком действия не более 12 месяцев.</w:t>
      </w:r>
    </w:p>
    <w:p w14:paraId="767F6CB7" w14:textId="77777777" w:rsidR="002449C2" w:rsidRDefault="00123961">
      <w:pPr>
        <w:shd w:val="clear" w:color="auto" w:fill="FFFFFF"/>
        <w:spacing w:after="0" w:line="259" w:lineRule="auto"/>
        <w:ind w:firstLine="709"/>
        <w:contextualSpacing/>
        <w:jc w:val="both"/>
        <w:rPr>
          <w:bCs/>
          <w:szCs w:val="26"/>
          <w:lang w:eastAsia="en-US"/>
        </w:rPr>
      </w:pPr>
      <w:r>
        <w:rPr>
          <w:rFonts w:ascii="Times New Roman" w:hAnsi="Times New Roman"/>
          <w:b/>
          <w:i/>
          <w:sz w:val="26"/>
          <w:szCs w:val="26"/>
          <w:lang w:eastAsia="en-US"/>
        </w:rPr>
        <w:t>Выручка за выполнение работ, отнесенных к компетенции заявителя, при осуществлении технологического присоединения («ТП под ключ», пакетная услуга), а также строительно-монтажные работы, реконструкция и перевооружение электросетевых объектов потребителя</w:t>
      </w:r>
      <w:r>
        <w:rPr>
          <w:rFonts w:ascii="Times New Roman" w:hAnsi="Times New Roman"/>
          <w:sz w:val="26"/>
          <w:szCs w:val="26"/>
          <w:lang w:eastAsia="en-US"/>
        </w:rPr>
        <w:t xml:space="preserve"> по итогам 2024 года сформировалась в объеме 213,3 млн рублей, что выше фактических показателей 2023 года на 164,7 млн рублей или 338,3 % (факт 2023 – 48,6 млн рублей). </w:t>
      </w:r>
      <w:r>
        <w:rPr>
          <w:rFonts w:ascii="Times New Roman" w:hAnsi="Times New Roman"/>
          <w:bCs/>
          <w:sz w:val="26"/>
          <w:szCs w:val="26"/>
          <w:lang w:eastAsia="en-US"/>
        </w:rPr>
        <w:t>Достижение планового значения выручки от услуг по выполнению строительно-монтажных работ связано в основном с заключением нетиповых доходных договоров в том числе в рамках участия в ТЗП в качестве поставщика.</w:t>
      </w:r>
      <w:r>
        <w:rPr>
          <w:bCs/>
          <w:szCs w:val="26"/>
          <w:lang w:eastAsia="en-US"/>
        </w:rPr>
        <w:t xml:space="preserve"> </w:t>
      </w:r>
    </w:p>
    <w:p w14:paraId="117A93DB" w14:textId="77777777" w:rsidR="002449C2" w:rsidRDefault="00123961">
      <w:pPr>
        <w:shd w:val="clear" w:color="auto" w:fill="FFFFFF"/>
        <w:tabs>
          <w:tab w:val="left" w:pos="1080"/>
          <w:tab w:val="left" w:pos="1320"/>
        </w:tabs>
        <w:spacing w:after="0" w:line="240" w:lineRule="auto"/>
        <w:ind w:firstLine="709"/>
        <w:jc w:val="both"/>
        <w:rPr>
          <w:rFonts w:ascii="Times New Roman" w:hAnsi="Times New Roman"/>
          <w:sz w:val="26"/>
          <w:szCs w:val="26"/>
          <w:lang w:eastAsia="en-US"/>
        </w:rPr>
      </w:pPr>
      <w:r>
        <w:rPr>
          <w:rFonts w:ascii="Times New Roman" w:eastAsia="Times New Roman" w:hAnsi="Times New Roman"/>
          <w:b/>
          <w:i/>
          <w:sz w:val="26"/>
          <w:szCs w:val="26"/>
          <w:lang w:eastAsia="ru-RU"/>
        </w:rPr>
        <w:t>Оказание пакетной услуги «ТП под ключ» ведется параллельно с выполнением обязательств по основному договору</w:t>
      </w:r>
      <w:r>
        <w:rPr>
          <w:rFonts w:ascii="Times New Roman" w:eastAsia="Times New Roman" w:hAnsi="Times New Roman"/>
          <w:sz w:val="26"/>
          <w:szCs w:val="26"/>
          <w:lang w:eastAsia="ru-RU"/>
        </w:rPr>
        <w:t xml:space="preserve"> об осуществлении </w:t>
      </w:r>
      <w:r>
        <w:rPr>
          <w:rFonts w:ascii="Times New Roman" w:hAnsi="Times New Roman"/>
          <w:sz w:val="26"/>
          <w:szCs w:val="26"/>
          <w:lang w:eastAsia="en-US"/>
        </w:rPr>
        <w:t>технологического присоединения. Выручка от оказания услуг по выполнению работ, относящихся к компетенции заявителя-«ТП под ключ», сформировалась в объеме 21,091 млн рублей. Основную долю в выручке составляет доход по договорам, заключенным с рядом ключевых контрагентов ООО «Костины горы», ООО «ГАРАНТТРАНСЮГ», ИП Колодиевой Н.В., АО «Краснокоротковское», ООО «Булгун Трейд Агро».</w:t>
      </w:r>
    </w:p>
    <w:p w14:paraId="2686F747"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b/>
          <w:i/>
          <w:sz w:val="26"/>
          <w:szCs w:val="26"/>
          <w:lang w:eastAsia="en-US"/>
        </w:rPr>
        <w:t>Выручка от оказания услуг по организации учета электрической энергии</w:t>
      </w:r>
      <w:r>
        <w:rPr>
          <w:rFonts w:ascii="Times New Roman" w:hAnsi="Times New Roman"/>
          <w:sz w:val="26"/>
          <w:szCs w:val="26"/>
          <w:lang w:eastAsia="en-US"/>
        </w:rPr>
        <w:t xml:space="preserve"> по итогам 2024 года сформировалась в объеме 10,5 млн рублей, что выше фактических показателей 2023 года на 3,3 млн рублей или 45,8 % (факт 2023 –7,2 млн рублей).</w:t>
      </w:r>
    </w:p>
    <w:p w14:paraId="22C9138B" w14:textId="77777777" w:rsidR="002449C2" w:rsidRDefault="00123961">
      <w:pPr>
        <w:shd w:val="clear" w:color="auto" w:fill="FFFFFF"/>
        <w:spacing w:after="0" w:line="259" w:lineRule="auto"/>
        <w:ind w:firstLine="708"/>
        <w:jc w:val="both"/>
        <w:rPr>
          <w:rFonts w:ascii="Times New Roman" w:hAnsi="Times New Roman"/>
          <w:sz w:val="26"/>
          <w:szCs w:val="26"/>
          <w:lang w:eastAsia="en-US"/>
        </w:rPr>
      </w:pPr>
      <w:r>
        <w:rPr>
          <w:rFonts w:ascii="Times New Roman" w:hAnsi="Times New Roman"/>
          <w:b/>
          <w:i/>
          <w:sz w:val="26"/>
          <w:szCs w:val="26"/>
          <w:lang w:eastAsia="en-US"/>
        </w:rPr>
        <w:t>Выручка от оказания консультационных и организационно-технических услуг</w:t>
      </w:r>
      <w:r>
        <w:rPr>
          <w:rFonts w:ascii="Times New Roman" w:hAnsi="Times New Roman"/>
          <w:sz w:val="26"/>
          <w:szCs w:val="26"/>
          <w:lang w:eastAsia="en-US"/>
        </w:rPr>
        <w:t xml:space="preserve"> по итогам 2024 года составила 42,1 млн руб., по следующим направлениям деятельности:</w:t>
      </w:r>
    </w:p>
    <w:p w14:paraId="16FF908B" w14:textId="77777777" w:rsidR="002449C2" w:rsidRDefault="00123961">
      <w:pPr>
        <w:shd w:val="clear" w:color="auto" w:fill="FFFFFF"/>
        <w:tabs>
          <w:tab w:val="left" w:pos="1080"/>
          <w:tab w:val="left" w:pos="1320"/>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Услуги по отключению-подключению потребителей, по введению ограничения (восстановлению) потребления электроэнергии – 28,4 млн рублей;</w:t>
      </w:r>
    </w:p>
    <w:p w14:paraId="6558DE30" w14:textId="77777777" w:rsidR="002449C2" w:rsidRDefault="00123961">
      <w:pPr>
        <w:shd w:val="clear" w:color="auto" w:fill="FFFFFF"/>
        <w:spacing w:after="0" w:line="259" w:lineRule="auto"/>
        <w:ind w:firstLine="709"/>
        <w:jc w:val="both"/>
        <w:rPr>
          <w:rFonts w:ascii="Times New Roman" w:hAnsi="Times New Roman"/>
          <w:sz w:val="26"/>
          <w:szCs w:val="26"/>
          <w:lang w:eastAsia="en-US"/>
        </w:rPr>
      </w:pPr>
      <w:r>
        <w:rPr>
          <w:rFonts w:ascii="Times New Roman" w:hAnsi="Times New Roman"/>
          <w:sz w:val="26"/>
          <w:szCs w:val="26"/>
          <w:lang w:eastAsia="en-US"/>
        </w:rPr>
        <w:t>- Услуги по предоставлению допуска сторонних организаций для производства работ в охранных зонах или на объектах электросетевого хозяйства – 13,1 млн рублей.</w:t>
      </w:r>
    </w:p>
    <w:p w14:paraId="1D50D266" w14:textId="77777777" w:rsidR="002449C2" w:rsidRDefault="00123961">
      <w:pPr>
        <w:shd w:val="clear" w:color="auto" w:fill="FFFFFF"/>
        <w:spacing w:after="0" w:line="259" w:lineRule="auto"/>
        <w:ind w:firstLine="708"/>
        <w:jc w:val="both"/>
        <w:rPr>
          <w:rFonts w:ascii="Times New Roman" w:hAnsi="Times New Roman"/>
          <w:sz w:val="26"/>
          <w:szCs w:val="26"/>
          <w:lang w:eastAsia="en-US"/>
        </w:rPr>
      </w:pPr>
      <w:r>
        <w:rPr>
          <w:rFonts w:ascii="Times New Roman" w:hAnsi="Times New Roman"/>
          <w:b/>
          <w:i/>
          <w:sz w:val="26"/>
          <w:szCs w:val="26"/>
          <w:lang w:eastAsia="en-US"/>
        </w:rPr>
        <w:t>Выручка по агентским услугам</w:t>
      </w:r>
      <w:r>
        <w:rPr>
          <w:rFonts w:ascii="Times New Roman" w:hAnsi="Times New Roman"/>
          <w:b/>
          <w:sz w:val="26"/>
          <w:szCs w:val="26"/>
          <w:lang w:eastAsia="en-US"/>
        </w:rPr>
        <w:t xml:space="preserve"> </w:t>
      </w:r>
      <w:r>
        <w:rPr>
          <w:rFonts w:ascii="Times New Roman" w:hAnsi="Times New Roman"/>
          <w:sz w:val="26"/>
          <w:szCs w:val="26"/>
          <w:lang w:eastAsia="en-US"/>
        </w:rPr>
        <w:t xml:space="preserve">по итогам 2024 года сформировалась в объеме 5,5 млн рублей. </w:t>
      </w:r>
      <w:r>
        <w:rPr>
          <w:rFonts w:ascii="Times New Roman" w:hAnsi="Times New Roman"/>
          <w:bCs/>
          <w:sz w:val="26"/>
          <w:szCs w:val="26"/>
          <w:lang w:eastAsia="en-US"/>
        </w:rPr>
        <w:t>Рост выручки по агентским услугам относительно плана связан с заключением на территории Республики Калмыкия агентских договоров с ООО «Спецавтохозяйство» и МУП «Элиставодоканал» и МУП «Городовиковский водоканал Городовиковского ГМО РК».</w:t>
      </w:r>
    </w:p>
    <w:p w14:paraId="40A4494E" w14:textId="77777777" w:rsidR="002449C2" w:rsidRDefault="00123961">
      <w:pPr>
        <w:shd w:val="clear" w:color="auto" w:fill="FFFFFF"/>
        <w:spacing w:after="0" w:line="259" w:lineRule="auto"/>
        <w:ind w:firstLine="708"/>
        <w:jc w:val="both"/>
        <w:rPr>
          <w:rFonts w:ascii="Times New Roman" w:hAnsi="Times New Roman"/>
          <w:sz w:val="26"/>
          <w:szCs w:val="26"/>
          <w:lang w:eastAsia="en-US"/>
        </w:rPr>
      </w:pPr>
      <w:r>
        <w:rPr>
          <w:rFonts w:ascii="Times New Roman" w:hAnsi="Times New Roman"/>
          <w:b/>
          <w:i/>
          <w:sz w:val="26"/>
          <w:szCs w:val="26"/>
          <w:lang w:eastAsia="en-US"/>
        </w:rPr>
        <w:t>Доходы по услугам связи и информационных технологий</w:t>
      </w:r>
      <w:r>
        <w:rPr>
          <w:rFonts w:ascii="Times New Roman" w:hAnsi="Times New Roman"/>
          <w:sz w:val="26"/>
          <w:szCs w:val="26"/>
          <w:lang w:eastAsia="en-US"/>
        </w:rPr>
        <w:t xml:space="preserve"> по итогам 2024 года сформировались в объеме 0,5 млн рублей в соответствии с заключёнными договорами об оказании услуг телефонной связи (предоставление доступа к телефонной связи и возможности пользования телефонной связью) на территориях Ростовской и Волгоградской областях. Оказание услуг местной телефонной связи физическим и юридическим лицам осуществляется при наличии свободных ресурсов по тарифам ПАО «Ростелеком». </w:t>
      </w:r>
    </w:p>
    <w:p w14:paraId="799CFC4A" w14:textId="77777777" w:rsidR="002449C2" w:rsidRDefault="00123961">
      <w:pPr>
        <w:shd w:val="clear" w:color="auto" w:fill="FFFFFF"/>
        <w:spacing w:after="0" w:line="259" w:lineRule="auto"/>
        <w:ind w:firstLine="708"/>
        <w:jc w:val="both"/>
        <w:rPr>
          <w:rFonts w:ascii="Times New Roman" w:hAnsi="Times New Roman"/>
          <w:sz w:val="26"/>
          <w:szCs w:val="26"/>
          <w:lang w:eastAsia="en-US"/>
        </w:rPr>
      </w:pPr>
      <w:r>
        <w:rPr>
          <w:rFonts w:ascii="Times New Roman" w:hAnsi="Times New Roman"/>
          <w:b/>
          <w:i/>
          <w:sz w:val="26"/>
          <w:szCs w:val="26"/>
          <w:lang w:eastAsia="en-US"/>
        </w:rPr>
        <w:t>Выручка по другим услугам по прочей операционной деятельности</w:t>
      </w:r>
      <w:r>
        <w:rPr>
          <w:rFonts w:ascii="Times New Roman" w:hAnsi="Times New Roman"/>
          <w:sz w:val="26"/>
          <w:szCs w:val="26"/>
          <w:lang w:eastAsia="en-US"/>
        </w:rPr>
        <w:t xml:space="preserve"> по итогам 2024 года составила 26,2 млн рублей по следующим видам оказываемых услуг:</w:t>
      </w:r>
    </w:p>
    <w:p w14:paraId="1687A39D" w14:textId="77777777" w:rsidR="002449C2" w:rsidRDefault="00123961">
      <w:pPr>
        <w:shd w:val="clear" w:color="auto" w:fill="FFFFFF"/>
        <w:spacing w:after="0" w:line="259" w:lineRule="auto"/>
        <w:ind w:firstLine="708"/>
        <w:jc w:val="both"/>
        <w:rPr>
          <w:rFonts w:ascii="Times New Roman" w:hAnsi="Times New Roman"/>
          <w:sz w:val="26"/>
          <w:szCs w:val="26"/>
          <w:lang w:eastAsia="en-US"/>
        </w:rPr>
      </w:pPr>
      <w:r>
        <w:rPr>
          <w:rFonts w:ascii="Times New Roman" w:hAnsi="Times New Roman"/>
          <w:sz w:val="26"/>
          <w:szCs w:val="26"/>
          <w:lang w:eastAsia="en-US"/>
        </w:rPr>
        <w:t> - Выдача дубликатов (восстановление ранее выданных) документов о технологическом присоединении (ТП) к сети, в том числе по смене собственника и т.д. – 4,4 млн рублей.</w:t>
      </w:r>
    </w:p>
    <w:p w14:paraId="6C9C73E8" w14:textId="77777777" w:rsidR="002449C2" w:rsidRDefault="00123961">
      <w:pPr>
        <w:shd w:val="clear" w:color="auto" w:fill="FFFFFF"/>
        <w:spacing w:after="0" w:line="259" w:lineRule="auto"/>
        <w:ind w:firstLine="708"/>
        <w:jc w:val="both"/>
        <w:rPr>
          <w:rFonts w:ascii="Times New Roman" w:hAnsi="Times New Roman"/>
          <w:sz w:val="26"/>
          <w:szCs w:val="26"/>
          <w:lang w:eastAsia="en-US"/>
        </w:rPr>
      </w:pPr>
      <w:r>
        <w:rPr>
          <w:rFonts w:ascii="Times New Roman" w:hAnsi="Times New Roman"/>
          <w:sz w:val="26"/>
          <w:szCs w:val="26"/>
          <w:lang w:eastAsia="en-US"/>
        </w:rPr>
        <w:t>- Согласование выкопировок, проектной и рабочей документации – 8,3 млн рублей.</w:t>
      </w:r>
    </w:p>
    <w:p w14:paraId="49177C1F" w14:textId="77777777" w:rsidR="002449C2" w:rsidRDefault="00123961">
      <w:pPr>
        <w:shd w:val="clear" w:color="auto" w:fill="FFFFFF"/>
        <w:spacing w:after="0" w:line="259" w:lineRule="auto"/>
        <w:ind w:firstLine="708"/>
        <w:jc w:val="both"/>
        <w:rPr>
          <w:rFonts w:ascii="Times New Roman" w:hAnsi="Times New Roman"/>
          <w:sz w:val="26"/>
          <w:szCs w:val="26"/>
          <w:lang w:eastAsia="en-US"/>
        </w:rPr>
      </w:pPr>
      <w:r>
        <w:rPr>
          <w:rFonts w:ascii="Times New Roman" w:hAnsi="Times New Roman"/>
          <w:sz w:val="26"/>
          <w:szCs w:val="26"/>
          <w:lang w:eastAsia="en-US"/>
        </w:rPr>
        <w:t>- Транспортно - экспедиторские услуги, такелажные, погрузо-разгрузочные работы – 7,9 млн рублей.</w:t>
      </w:r>
    </w:p>
    <w:p w14:paraId="2501A062" w14:textId="77777777" w:rsidR="002449C2" w:rsidRDefault="00123961">
      <w:pPr>
        <w:shd w:val="clear" w:color="auto" w:fill="FFFFFF"/>
        <w:spacing w:after="0" w:line="259" w:lineRule="auto"/>
        <w:ind w:firstLine="708"/>
        <w:jc w:val="both"/>
        <w:rPr>
          <w:rFonts w:ascii="Times New Roman" w:hAnsi="Times New Roman"/>
          <w:sz w:val="26"/>
          <w:szCs w:val="26"/>
          <w:lang w:eastAsia="en-US"/>
        </w:rPr>
      </w:pPr>
      <w:r>
        <w:rPr>
          <w:rFonts w:ascii="Times New Roman" w:eastAsia="Times New Roman" w:hAnsi="Times New Roman"/>
          <w:bCs/>
          <w:sz w:val="26"/>
          <w:szCs w:val="26"/>
          <w:lang w:eastAsia="ru-RU"/>
        </w:rPr>
        <w:t xml:space="preserve">- </w:t>
      </w:r>
      <w:r>
        <w:rPr>
          <w:rFonts w:ascii="Times New Roman" w:hAnsi="Times New Roman"/>
          <w:sz w:val="26"/>
          <w:szCs w:val="26"/>
          <w:lang w:eastAsia="en-US"/>
        </w:rPr>
        <w:t>Услуги по организации деятельности ЕСОК – 0,5 млн рублей.</w:t>
      </w:r>
    </w:p>
    <w:p w14:paraId="4A729163" w14:textId="77777777" w:rsidR="002449C2" w:rsidRDefault="00123961">
      <w:pPr>
        <w:shd w:val="clear" w:color="auto" w:fill="FFFFFF"/>
        <w:spacing w:after="0" w:line="259" w:lineRule="auto"/>
        <w:ind w:firstLine="708"/>
        <w:jc w:val="both"/>
        <w:rPr>
          <w:rFonts w:ascii="Times New Roman" w:hAnsi="Times New Roman"/>
          <w:sz w:val="26"/>
          <w:szCs w:val="26"/>
          <w:lang w:eastAsia="en-US"/>
        </w:rPr>
      </w:pPr>
      <w:r>
        <w:rPr>
          <w:rFonts w:ascii="Times New Roman" w:hAnsi="Times New Roman"/>
          <w:sz w:val="26"/>
          <w:szCs w:val="26"/>
          <w:lang w:eastAsia="en-US"/>
        </w:rPr>
        <w:t>- Услуги по установлению/корректировке границ охранной зоны ОЭХ - 0,1 млн рублей</w:t>
      </w:r>
    </w:p>
    <w:p w14:paraId="28406F3D" w14:textId="77777777" w:rsidR="002449C2" w:rsidRDefault="00123961">
      <w:pPr>
        <w:shd w:val="clear" w:color="auto" w:fill="FFFFFF"/>
        <w:spacing w:after="0" w:line="259" w:lineRule="auto"/>
        <w:ind w:firstLine="708"/>
        <w:jc w:val="both"/>
        <w:rPr>
          <w:rFonts w:ascii="Times New Roman" w:hAnsi="Times New Roman"/>
          <w:sz w:val="26"/>
          <w:szCs w:val="26"/>
          <w:lang w:eastAsia="en-US"/>
        </w:rPr>
      </w:pPr>
      <w:r>
        <w:rPr>
          <w:rFonts w:ascii="Times New Roman" w:hAnsi="Times New Roman"/>
          <w:sz w:val="26"/>
          <w:szCs w:val="26"/>
          <w:lang w:eastAsia="en-US"/>
        </w:rPr>
        <w:t xml:space="preserve">- Восстановительные работы на территории ЛНР, ДНР – 5,0 млн рублей – заключен договор </w:t>
      </w:r>
      <w:r>
        <w:rPr>
          <w:rFonts w:ascii="Times New Roman" w:hAnsi="Times New Roman"/>
          <w:sz w:val="26"/>
          <w:szCs w:val="26"/>
          <w:highlight w:val="white"/>
          <w:lang w:eastAsia="en-US"/>
        </w:rPr>
        <w:t>на аварийно-восстановительные работы по ликвидации последствий аварий на электросетевых объектах для ГУП ДНР «Региональная энергопоставляющая компания»</w:t>
      </w:r>
      <w:r>
        <w:rPr>
          <w:rFonts w:ascii="Times New Roman" w:hAnsi="Times New Roman"/>
          <w:sz w:val="26"/>
          <w:szCs w:val="26"/>
          <w:lang w:eastAsia="en-US"/>
        </w:rPr>
        <w:t>.</w:t>
      </w:r>
    </w:p>
    <w:p w14:paraId="4AF83CB1"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b/>
          <w:i/>
          <w:sz w:val="26"/>
          <w:szCs w:val="26"/>
          <w:lang w:eastAsia="en-US"/>
        </w:rPr>
        <w:t>По статье «Другие прочие услуги»</w:t>
      </w:r>
      <w:r>
        <w:rPr>
          <w:rFonts w:ascii="Times New Roman" w:hAnsi="Times New Roman"/>
          <w:sz w:val="26"/>
          <w:szCs w:val="26"/>
          <w:lang w:eastAsia="en-US"/>
        </w:rPr>
        <w:t xml:space="preserve"> выручка по итогам 2024 года составила </w:t>
      </w:r>
      <w:r>
        <w:rPr>
          <w:rFonts w:ascii="Times New Roman" w:hAnsi="Times New Roman"/>
          <w:sz w:val="26"/>
          <w:szCs w:val="26"/>
          <w:lang w:eastAsia="en-US"/>
        </w:rPr>
        <w:br w:type="textWrapping" w:clear="all"/>
        <w:t>63,1 млн рублей. К услугам непромышленного характера относятся:</w:t>
      </w:r>
    </w:p>
    <w:p w14:paraId="303D41B8"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Реализация товаров – 0,1 млн рублей;</w:t>
      </w:r>
    </w:p>
    <w:p w14:paraId="390F0D81"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Услуги баз отдыха и детских лагерей (путевки) – 57,8 млн рублей;</w:t>
      </w:r>
    </w:p>
    <w:p w14:paraId="1185E9A7"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Услуги проживания – 2,6 млн рублей;</w:t>
      </w:r>
    </w:p>
    <w:p w14:paraId="596172B3"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 xml:space="preserve">Услуги столовых – 2,6 млн рублей. </w:t>
      </w:r>
    </w:p>
    <w:p w14:paraId="0A7A1E5D" w14:textId="77777777" w:rsidR="002449C2" w:rsidRDefault="002449C2">
      <w:pPr>
        <w:shd w:val="clear" w:color="auto" w:fill="FFFFFF"/>
        <w:spacing w:after="0" w:line="240" w:lineRule="auto"/>
        <w:ind w:firstLine="709"/>
        <w:jc w:val="both"/>
        <w:rPr>
          <w:rFonts w:ascii="Cambria" w:hAnsi="Cambria" w:cs="Calibri"/>
          <w:sz w:val="26"/>
          <w:szCs w:val="26"/>
          <w:lang w:eastAsia="en-US"/>
        </w:rPr>
      </w:pPr>
    </w:p>
    <w:p w14:paraId="09EB8764" w14:textId="77777777" w:rsidR="002449C2" w:rsidRDefault="00123961">
      <w:pPr>
        <w:shd w:val="clear" w:color="auto" w:fill="FFFFFF"/>
        <w:spacing w:after="0" w:line="259" w:lineRule="auto"/>
        <w:ind w:firstLine="709"/>
        <w:jc w:val="both"/>
        <w:rPr>
          <w:rFonts w:ascii="Times New Roman" w:hAnsi="Times New Roman"/>
          <w:spacing w:val="20"/>
          <w:sz w:val="26"/>
          <w:szCs w:val="26"/>
          <w:lang w:eastAsia="en-US"/>
        </w:rPr>
      </w:pPr>
      <w:r>
        <w:rPr>
          <w:rFonts w:ascii="Times New Roman" w:hAnsi="Times New Roman"/>
          <w:spacing w:val="20"/>
          <w:sz w:val="26"/>
          <w:szCs w:val="26"/>
          <w:lang w:eastAsia="en-US"/>
        </w:rPr>
        <w:t>По итогам 2024 года ПАО «Россети Юг» заключено 24 соглашений о компенсации при переустройстве объектов электросетевого хозяйства Общества, осуществляемом по инициативе третьих лиц.</w:t>
      </w:r>
    </w:p>
    <w:p w14:paraId="2BB5C43F" w14:textId="77777777" w:rsidR="002449C2" w:rsidRDefault="00123961">
      <w:pPr>
        <w:shd w:val="clear" w:color="auto" w:fill="FFFFFF"/>
        <w:spacing w:after="0" w:line="259" w:lineRule="auto"/>
        <w:ind w:firstLine="709"/>
        <w:jc w:val="both"/>
        <w:rPr>
          <w:rFonts w:ascii="Times New Roman" w:hAnsi="Times New Roman"/>
          <w:sz w:val="26"/>
          <w:szCs w:val="26"/>
          <w:lang w:eastAsia="en-US"/>
        </w:rPr>
      </w:pPr>
      <w:r>
        <w:rPr>
          <w:rFonts w:ascii="Times New Roman" w:hAnsi="Times New Roman"/>
          <w:sz w:val="26"/>
          <w:szCs w:val="26"/>
          <w:lang w:eastAsia="en-US"/>
        </w:rPr>
        <w:t>Общий размер предварительной компенсации по заключенным соглашениям составил 451,8 млн рублей. Контрагентами выступают коммерческие предприятия, органы местного самоуправления, муниципальные и бюджетные учреждения на территории присутствия Общества.</w:t>
      </w:r>
    </w:p>
    <w:p w14:paraId="77367236" w14:textId="77777777" w:rsidR="002449C2" w:rsidRDefault="00123961">
      <w:pPr>
        <w:shd w:val="clear" w:color="auto" w:fill="FFFFFF"/>
        <w:spacing w:after="160" w:line="259" w:lineRule="auto"/>
        <w:ind w:firstLine="709"/>
        <w:jc w:val="both"/>
        <w:rPr>
          <w:rFonts w:ascii="Times New Roman" w:hAnsi="Times New Roman"/>
          <w:sz w:val="26"/>
          <w:szCs w:val="26"/>
          <w:lang w:eastAsia="en-US"/>
        </w:rPr>
      </w:pPr>
      <w:r>
        <w:rPr>
          <w:rFonts w:ascii="Times New Roman" w:hAnsi="Times New Roman"/>
          <w:sz w:val="26"/>
          <w:szCs w:val="26"/>
          <w:lang w:eastAsia="en-US"/>
        </w:rPr>
        <w:t>Доход от переустройства электросетевых объектов по итогам 2024 года составил 61,6 млн руб.</w:t>
      </w:r>
    </w:p>
    <w:p w14:paraId="7EC86CD6" w14:textId="77777777" w:rsidR="002449C2" w:rsidRDefault="002449C2">
      <w:pPr>
        <w:shd w:val="clear" w:color="auto" w:fill="FFFFFF"/>
        <w:spacing w:after="0" w:line="240" w:lineRule="auto"/>
        <w:ind w:firstLine="709"/>
        <w:jc w:val="both"/>
        <w:rPr>
          <w:rFonts w:ascii="Times New Roman" w:hAnsi="Times New Roman"/>
          <w:bCs/>
          <w:sz w:val="26"/>
          <w:szCs w:val="26"/>
          <w:lang w:eastAsia="en-US"/>
        </w:rPr>
      </w:pPr>
    </w:p>
    <w:p w14:paraId="6A044B3F" w14:textId="77777777" w:rsidR="002449C2" w:rsidRDefault="00123961">
      <w:pPr>
        <w:shd w:val="clear" w:color="auto" w:fill="FFFFFF"/>
        <w:spacing w:after="0" w:line="240" w:lineRule="auto"/>
        <w:ind w:firstLine="709"/>
        <w:jc w:val="both"/>
        <w:rPr>
          <w:rFonts w:ascii="Times New Roman" w:hAnsi="Times New Roman"/>
          <w:bCs/>
          <w:sz w:val="26"/>
          <w:szCs w:val="26"/>
          <w:lang w:eastAsia="en-US"/>
        </w:rPr>
      </w:pPr>
      <w:r>
        <w:rPr>
          <w:noProof/>
          <w:lang w:eastAsia="ru-RU"/>
        </w:rPr>
        <w:drawing>
          <wp:inline distT="0" distB="0" distL="0" distR="0" wp14:anchorId="52D261A7" wp14:editId="6BF93615">
            <wp:extent cx="5470525" cy="3298190"/>
            <wp:effectExtent l="0" t="0" r="0" b="0"/>
            <wp:docPr id="44" name="_x005F_x0000_s4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_x005F_x0000_s4375"/>
                    <pic:cNvPicPr>
                      <a:picLocks noChangeAspect="1" noChangeArrowheads="1"/>
                    </pic:cNvPicPr>
                  </pic:nvPicPr>
                  <pic:blipFill>
                    <a:blip r:embed="rId71"/>
                    <a:stretch>
                      <a:fillRect/>
                    </a:stretch>
                  </pic:blipFill>
                  <pic:spPr bwMode="auto">
                    <a:xfrm>
                      <a:off x="0" y="0"/>
                      <a:ext cx="5470525" cy="3298190"/>
                    </a:xfrm>
                    <a:prstGeom prst="rect">
                      <a:avLst/>
                    </a:prstGeom>
                    <a:noFill/>
                  </pic:spPr>
                </pic:pic>
              </a:graphicData>
            </a:graphic>
          </wp:inline>
        </w:drawing>
      </w:r>
    </w:p>
    <w:p w14:paraId="41C79351" w14:textId="77777777" w:rsidR="002449C2" w:rsidRDefault="002449C2">
      <w:pPr>
        <w:shd w:val="clear" w:color="auto" w:fill="FFFFFF"/>
        <w:spacing w:after="0" w:line="240" w:lineRule="auto"/>
        <w:ind w:firstLine="709"/>
        <w:jc w:val="both"/>
        <w:rPr>
          <w:rFonts w:ascii="Times New Roman" w:hAnsi="Times New Roman"/>
          <w:bCs/>
          <w:sz w:val="26"/>
          <w:szCs w:val="26"/>
          <w:lang w:eastAsia="en-US"/>
        </w:rPr>
      </w:pPr>
    </w:p>
    <w:p w14:paraId="206B65B1" w14:textId="77777777" w:rsidR="002449C2" w:rsidRDefault="00123961">
      <w:pPr>
        <w:shd w:val="clear" w:color="auto" w:fill="FFFFFF"/>
        <w:spacing w:after="0" w:line="240" w:lineRule="auto"/>
        <w:ind w:firstLine="709"/>
        <w:jc w:val="both"/>
        <w:rPr>
          <w:rFonts w:ascii="Times New Roman" w:hAnsi="Times New Roman"/>
          <w:bCs/>
          <w:sz w:val="26"/>
          <w:szCs w:val="26"/>
          <w:lang w:eastAsia="en-US"/>
        </w:rPr>
      </w:pPr>
      <w:r>
        <w:rPr>
          <w:rFonts w:ascii="Times New Roman" w:hAnsi="Times New Roman"/>
          <w:sz w:val="26"/>
          <w:szCs w:val="26"/>
          <w:lang w:eastAsia="en-US"/>
        </w:rPr>
        <w:t>В 2024 г</w:t>
      </w:r>
      <w:r w:rsidR="007F70A4">
        <w:rPr>
          <w:rFonts w:ascii="Times New Roman" w:hAnsi="Times New Roman"/>
          <w:sz w:val="26"/>
          <w:szCs w:val="26"/>
          <w:lang w:eastAsia="en-US"/>
        </w:rPr>
        <w:t>оду</w:t>
      </w:r>
      <w:r>
        <w:rPr>
          <w:rFonts w:ascii="Times New Roman" w:hAnsi="Times New Roman"/>
          <w:sz w:val="26"/>
          <w:szCs w:val="26"/>
          <w:lang w:eastAsia="en-US"/>
        </w:rPr>
        <w:t xml:space="preserve"> реализованы следующие мероприятия по развитию и реализации крупных проектов по направлению прочей деятельности:</w:t>
      </w:r>
      <w:r>
        <w:rPr>
          <w:rFonts w:ascii="Times New Roman" w:hAnsi="Times New Roman"/>
          <w:bCs/>
          <w:sz w:val="26"/>
          <w:szCs w:val="26"/>
          <w:lang w:eastAsia="en-US"/>
        </w:rPr>
        <w:t xml:space="preserve"> </w:t>
      </w:r>
    </w:p>
    <w:p w14:paraId="5328F3EB" w14:textId="77777777" w:rsidR="002449C2" w:rsidRDefault="00123961">
      <w:pPr>
        <w:shd w:val="clear" w:color="auto" w:fill="FFFFFF"/>
        <w:spacing w:after="0" w:line="240" w:lineRule="auto"/>
        <w:ind w:firstLine="709"/>
        <w:contextualSpacing/>
        <w:jc w:val="both"/>
        <w:rPr>
          <w:rFonts w:ascii="Times New Roman" w:hAnsi="Times New Roman"/>
          <w:sz w:val="26"/>
          <w:szCs w:val="26"/>
          <w:highlight w:val="yellow"/>
          <w:lang w:eastAsia="en-US"/>
        </w:rPr>
      </w:pPr>
      <w:r>
        <w:rPr>
          <w:rFonts w:ascii="Times New Roman" w:hAnsi="Times New Roman"/>
          <w:sz w:val="26"/>
          <w:szCs w:val="26"/>
          <w:lang w:eastAsia="en-US"/>
        </w:rPr>
        <w:t xml:space="preserve">1. Велась работа по устройству наружного освещения в рамках государственной программы Волгоградской области «Энергосбережение и повышение энергетической эффективности» с ООО «Светосервис-Волгоград» и с Администрацией Нижнебыковского сельского поселения, по выполнению работ по содержанию внутрипоселковых автомобильных дорог и устройство недостающих элементов и оборудования электроснабжения и энергообеспечения в Нижнебыковском СП по ул. Быковская д.75-79, в х.Быковском. </w:t>
      </w:r>
    </w:p>
    <w:p w14:paraId="6522562F"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2. Организованы встречи с потенциальными «крупными» контрагентами на предмет долгосрочного сотрудничества такими, как ООО «ЕвроХим-ВолгаКалий», АО «Новошахтинский завод нефтепродуктов», ОАО «Керамический завод», АО «Черномортранснефть</w:t>
      </w:r>
      <w:r>
        <w:rPr>
          <w:sz w:val="27"/>
          <w:szCs w:val="27"/>
          <w:lang w:eastAsia="en-US"/>
        </w:rPr>
        <w:t xml:space="preserve">» </w:t>
      </w:r>
      <w:r>
        <w:rPr>
          <w:rFonts w:ascii="Times New Roman" w:hAnsi="Times New Roman"/>
          <w:sz w:val="26"/>
          <w:szCs w:val="26"/>
          <w:lang w:eastAsia="en-US"/>
        </w:rPr>
        <w:t>и др.</w:t>
      </w:r>
    </w:p>
    <w:p w14:paraId="715144C7" w14:textId="77777777" w:rsidR="002449C2" w:rsidRDefault="00123961">
      <w:pPr>
        <w:shd w:val="clear" w:color="auto" w:fill="FFFFFF"/>
        <w:tabs>
          <w:tab w:val="left" w:pos="9214"/>
          <w:tab w:val="left" w:pos="9356"/>
        </w:tabs>
        <w:spacing w:before="60" w:after="0" w:line="240" w:lineRule="auto"/>
        <w:ind w:firstLine="709"/>
        <w:jc w:val="both"/>
        <w:rPr>
          <w:rFonts w:ascii="Times New Roman" w:eastAsia="Arial Narrow" w:hAnsi="Times New Roman"/>
          <w:sz w:val="26"/>
          <w:szCs w:val="26"/>
          <w:lang w:eastAsia="en-US"/>
        </w:rPr>
      </w:pPr>
      <w:r>
        <w:rPr>
          <w:rFonts w:ascii="Times New Roman" w:hAnsi="Times New Roman"/>
          <w:bCs/>
          <w:sz w:val="26"/>
          <w:szCs w:val="26"/>
          <w:lang w:eastAsia="en-US"/>
        </w:rPr>
        <w:t xml:space="preserve">3. Обществом на территории Республики Калмыкия заключены агентские договора </w:t>
      </w:r>
      <w:r>
        <w:rPr>
          <w:rFonts w:ascii="Times New Roman" w:eastAsia="Arial Narrow" w:hAnsi="Times New Roman"/>
          <w:sz w:val="26"/>
          <w:szCs w:val="26"/>
          <w:lang w:eastAsia="en-US"/>
        </w:rPr>
        <w:t xml:space="preserve">с ресурсоснабжающими организациями (поставщиками коммунальных услуг) по абонентскому обслуживанию и приему платежей физических лиц. </w:t>
      </w:r>
    </w:p>
    <w:p w14:paraId="55C88239" w14:textId="77777777" w:rsidR="002449C2" w:rsidRDefault="00123961">
      <w:pPr>
        <w:shd w:val="clear" w:color="auto" w:fill="FFFFFF"/>
        <w:tabs>
          <w:tab w:val="left" w:pos="9214"/>
          <w:tab w:val="left" w:pos="9356"/>
        </w:tabs>
        <w:spacing w:before="60" w:after="0" w:line="240" w:lineRule="auto"/>
        <w:ind w:firstLine="709"/>
        <w:jc w:val="both"/>
        <w:rPr>
          <w:rFonts w:ascii="Times New Roman" w:hAnsi="Times New Roman"/>
          <w:bCs/>
          <w:sz w:val="26"/>
          <w:szCs w:val="26"/>
          <w:lang w:eastAsia="en-US"/>
        </w:rPr>
      </w:pPr>
      <w:r>
        <w:rPr>
          <w:rFonts w:ascii="Times New Roman" w:hAnsi="Times New Roman"/>
          <w:bCs/>
          <w:sz w:val="26"/>
          <w:szCs w:val="26"/>
          <w:lang w:eastAsia="en-US"/>
        </w:rPr>
        <w:t>4. Для реализации возможного участия в конкурсных процедурах на электронных торговых площадках в качестве исполнителя нетарифных услуг/работ в ПАО «Россети Юг» организовано и проведено обучение на тему: «Управление закупками для обеспечения корпоративных нужд. Осуществление закупочной деятельности в соответствии с Федеральным законом от 05.04.2013 № 44-ФЗ «О контрактной системе в сфере закупок товаров, работ, услуг для обеспечения государственных и муниципальных нужд».</w:t>
      </w:r>
    </w:p>
    <w:p w14:paraId="0838AF55" w14:textId="77777777" w:rsidR="002449C2" w:rsidRDefault="00123961">
      <w:pPr>
        <w:shd w:val="clear" w:color="auto" w:fill="FFFFFF"/>
        <w:tabs>
          <w:tab w:val="left" w:pos="9214"/>
          <w:tab w:val="left" w:pos="9356"/>
        </w:tabs>
        <w:spacing w:before="60" w:after="0" w:line="240" w:lineRule="auto"/>
        <w:ind w:firstLine="709"/>
        <w:jc w:val="both"/>
        <w:rPr>
          <w:rFonts w:ascii="Times New Roman" w:hAnsi="Times New Roman"/>
          <w:bCs/>
          <w:sz w:val="26"/>
          <w:szCs w:val="26"/>
          <w:lang w:eastAsia="en-US"/>
        </w:rPr>
      </w:pPr>
      <w:r>
        <w:rPr>
          <w:rFonts w:ascii="Times New Roman" w:hAnsi="Times New Roman"/>
          <w:bCs/>
          <w:sz w:val="26"/>
          <w:szCs w:val="26"/>
          <w:lang w:eastAsia="en-US"/>
        </w:rPr>
        <w:t xml:space="preserve">5. В 2024 году решением Совета директоров ПАО «Россети Юг» 14.06.2024 (протокол от 14.06.2024 № 576/2024) утверждена Дорожная карта по развитию дополнительных (нетарифных) услуг ПАО «Россети Юг» (далее – Дорожная карта). </w:t>
      </w:r>
    </w:p>
    <w:p w14:paraId="01AB1591" w14:textId="77777777" w:rsidR="002449C2" w:rsidRDefault="00123961">
      <w:pPr>
        <w:shd w:val="clear" w:color="auto" w:fill="FFFFFF"/>
        <w:tabs>
          <w:tab w:val="left" w:pos="9214"/>
          <w:tab w:val="left" w:pos="9356"/>
        </w:tabs>
        <w:spacing w:before="60" w:after="0" w:line="240" w:lineRule="auto"/>
        <w:ind w:firstLine="709"/>
        <w:jc w:val="both"/>
        <w:rPr>
          <w:rFonts w:ascii="Times New Roman" w:hAnsi="Times New Roman"/>
          <w:bCs/>
          <w:sz w:val="26"/>
          <w:szCs w:val="26"/>
          <w:lang w:eastAsia="en-US"/>
        </w:rPr>
      </w:pPr>
      <w:r>
        <w:rPr>
          <w:rFonts w:ascii="Times New Roman" w:hAnsi="Times New Roman"/>
          <w:bCs/>
          <w:sz w:val="26"/>
          <w:szCs w:val="26"/>
          <w:lang w:eastAsia="en-US"/>
        </w:rPr>
        <w:t>В соответствии с Дорожной картой предусмотрен комплекс мероприятий по развитию и реализации дополнительных (нетарифных) услуг для достижения целевых показателей бизнес-плана Общества и увеличения объема доходов по прочим видам деятельности в общем объеме выручки.</w:t>
      </w:r>
    </w:p>
    <w:tbl>
      <w:tblPr>
        <w:tblW w:w="7689" w:type="dxa"/>
        <w:tblInd w:w="1809" w:type="dxa"/>
        <w:tblLayout w:type="fixed"/>
        <w:tblLook w:val="04A0" w:firstRow="1" w:lastRow="0" w:firstColumn="1" w:lastColumn="0" w:noHBand="0" w:noVBand="1"/>
      </w:tblPr>
      <w:tblGrid>
        <w:gridCol w:w="855"/>
        <w:gridCol w:w="6834"/>
      </w:tblGrid>
      <w:tr w:rsidR="002449C2" w14:paraId="22949CA8" w14:textId="77777777">
        <w:tc>
          <w:tcPr>
            <w:tcW w:w="855" w:type="dxa"/>
          </w:tcPr>
          <w:p w14:paraId="1B670C4F" w14:textId="77777777" w:rsidR="002449C2" w:rsidRDefault="00123961">
            <w:pPr>
              <w:tabs>
                <w:tab w:val="left" w:pos="1080"/>
                <w:tab w:val="left" w:pos="1320"/>
              </w:tabs>
              <w:spacing w:after="0" w:line="240" w:lineRule="auto"/>
              <w:jc w:val="both"/>
              <w:rPr>
                <w:rFonts w:ascii="Times New Roman" w:eastAsia="Times New Roman" w:hAnsi="Times New Roman"/>
                <w:spacing w:val="20"/>
                <w:sz w:val="26"/>
                <w:szCs w:val="26"/>
                <w:lang w:eastAsia="ru-RU"/>
              </w:rPr>
            </w:pPr>
            <w:r>
              <w:rPr>
                <w:noProof/>
                <w:lang w:eastAsia="ru-RU"/>
              </w:rPr>
              <w:drawing>
                <wp:inline distT="0" distB="0" distL="0" distR="0" wp14:anchorId="529CAB7B" wp14:editId="5F6B5E3B">
                  <wp:extent cx="405765" cy="405765"/>
                  <wp:effectExtent l="0" t="0" r="0" b="0"/>
                  <wp:docPr id="45" name="_x005F_x0000_i4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_x005F_x0000_i4426"/>
                          <pic:cNvPicPr>
                            <a:picLocks noChangeAspect="1" noChangeArrowheads="1"/>
                          </pic:cNvPicPr>
                        </pic:nvPicPr>
                        <pic:blipFill>
                          <a:blip r:embed="rId72"/>
                          <a:stretch>
                            <a:fillRect/>
                          </a:stretch>
                        </pic:blipFill>
                        <pic:spPr bwMode="auto">
                          <a:xfrm>
                            <a:off x="0" y="0"/>
                            <a:ext cx="405765" cy="405765"/>
                          </a:xfrm>
                          <a:prstGeom prst="rect">
                            <a:avLst/>
                          </a:prstGeom>
                          <a:noFill/>
                        </pic:spPr>
                      </pic:pic>
                    </a:graphicData>
                  </a:graphic>
                </wp:inline>
              </w:drawing>
            </w:r>
          </w:p>
        </w:tc>
        <w:tc>
          <w:tcPr>
            <w:tcW w:w="6833" w:type="dxa"/>
          </w:tcPr>
          <w:p w14:paraId="5B4FE1C1" w14:textId="77777777" w:rsidR="002449C2" w:rsidRDefault="00123961">
            <w:pPr>
              <w:tabs>
                <w:tab w:val="left" w:pos="1080"/>
                <w:tab w:val="left" w:pos="1320"/>
              </w:tabs>
              <w:spacing w:before="120" w:after="120" w:line="240" w:lineRule="auto"/>
              <w:rPr>
                <w:rFonts w:ascii="Times New Roman" w:eastAsia="Times New Roman" w:hAnsi="Times New Roman"/>
                <w:spacing w:val="20"/>
                <w:sz w:val="26"/>
                <w:szCs w:val="26"/>
                <w:lang w:eastAsia="ru-RU"/>
              </w:rPr>
            </w:pPr>
            <w:r>
              <w:rPr>
                <w:rFonts w:ascii="Times New Roman" w:eastAsia="Times New Roman" w:hAnsi="Times New Roman"/>
                <w:b/>
                <w:color w:val="1D1B11"/>
                <w:sz w:val="26"/>
                <w:szCs w:val="26"/>
                <w:lang w:eastAsia="ru-RU"/>
              </w:rPr>
              <w:t>Планы на 2025 год</w:t>
            </w:r>
          </w:p>
        </w:tc>
      </w:tr>
    </w:tbl>
    <w:p w14:paraId="3A4A8FF4" w14:textId="77777777" w:rsidR="002449C2" w:rsidRDefault="00123961">
      <w:pPr>
        <w:shd w:val="clear" w:color="auto" w:fill="FFFFFF"/>
        <w:tabs>
          <w:tab w:val="left" w:pos="1080"/>
          <w:tab w:val="left" w:pos="1320"/>
        </w:tabs>
        <w:spacing w:after="0" w:line="240" w:lineRule="auto"/>
        <w:ind w:firstLine="567"/>
        <w:jc w:val="both"/>
        <w:rPr>
          <w:rFonts w:ascii="Times New Roman" w:eastAsia="Times New Roman" w:hAnsi="Times New Roman"/>
          <w:spacing w:val="20"/>
          <w:sz w:val="26"/>
          <w:szCs w:val="26"/>
          <w:lang w:eastAsia="ru-RU"/>
        </w:rPr>
      </w:pPr>
      <w:r>
        <w:rPr>
          <w:rFonts w:ascii="Times New Roman" w:eastAsia="Times New Roman" w:hAnsi="Times New Roman"/>
          <w:spacing w:val="20"/>
          <w:sz w:val="26"/>
          <w:szCs w:val="26"/>
          <w:lang w:eastAsia="ru-RU"/>
        </w:rPr>
        <w:t xml:space="preserve">В настоящее время перед ПАО «Россети Юг» стоит задача по эффективному развитию и существенному увеличению прочей (нетарифной) выручки. </w:t>
      </w:r>
      <w:r>
        <w:rPr>
          <w:rFonts w:ascii="Times New Roman" w:eastAsia="Times New Roman" w:hAnsi="Times New Roman"/>
          <w:spacing w:val="20"/>
          <w:sz w:val="26"/>
          <w:szCs w:val="26"/>
          <w:highlight w:val="white"/>
          <w:lang w:eastAsia="ru-RU"/>
        </w:rPr>
        <w:t>Достижение установленных целевых показателей по реализации нетарифных услуг возможно при комплексном подходе по развитию всех ключевых параметров этого направления, особое внимание уделяется развитию услуг по направлению строительно-монтажных, ремонтно-эксплуатационных работ и выполнению работ, относящихся к компетенции заявителя – «ТП под ключ».</w:t>
      </w:r>
      <w:r>
        <w:rPr>
          <w:rFonts w:ascii="Times New Roman" w:eastAsia="Times New Roman" w:hAnsi="Times New Roman"/>
          <w:spacing w:val="20"/>
          <w:sz w:val="26"/>
          <w:szCs w:val="26"/>
          <w:lang w:eastAsia="ru-RU"/>
        </w:rPr>
        <w:t xml:space="preserve"> Это позволит внести существенный вклад не только в меры по достижению целевых показателей, но и в улучшение финансово-экономического состояния Общества в целом.</w:t>
      </w:r>
    </w:p>
    <w:p w14:paraId="598162F3" w14:textId="77777777" w:rsidR="002449C2" w:rsidRDefault="002449C2">
      <w:pPr>
        <w:shd w:val="clear" w:color="auto" w:fill="FFFFFF"/>
        <w:spacing w:after="0" w:line="240" w:lineRule="auto"/>
        <w:ind w:firstLine="709"/>
        <w:jc w:val="both"/>
        <w:rPr>
          <w:rFonts w:ascii="Arial Narrow" w:eastAsia="Times New Roman" w:hAnsi="Arial Narrow"/>
          <w:b/>
          <w:sz w:val="24"/>
          <w:szCs w:val="24"/>
          <w:lang w:eastAsia="ru-RU"/>
        </w:rPr>
      </w:pPr>
    </w:p>
    <w:p w14:paraId="53BDDFEA" w14:textId="77777777" w:rsidR="002449C2" w:rsidRDefault="00123961">
      <w:pPr>
        <w:keepNext/>
        <w:keepLines/>
        <w:shd w:val="clear" w:color="auto" w:fill="FFFFFF"/>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56" w:name="_Toc195174927"/>
      <w:bookmarkStart w:id="57" w:name="_Toc196143019"/>
      <w:r>
        <w:rPr>
          <w:rFonts w:ascii="Times New Roman" w:eastAsia="Times New Roman" w:hAnsi="Times New Roman"/>
          <w:color w:val="385623"/>
          <w:sz w:val="28"/>
          <w:szCs w:val="28"/>
          <w:lang w:eastAsia="en-US" w:bidi="en-US"/>
        </w:rPr>
        <w:t>Взаимодействие с потребителями</w:t>
      </w:r>
      <w:bookmarkEnd w:id="56"/>
      <w:bookmarkEnd w:id="57"/>
    </w:p>
    <w:p w14:paraId="3643F378"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Ключевой принцип клиентоцентричной политики ПАО «Россети Юг» состоит в формировании лояльности потребителей услуг к Компании за счет качественного оказания услуг, комфортного обслуживания и эффективного взаимодействия посредством корпоративных коммуникационных платформ.</w:t>
      </w:r>
    </w:p>
    <w:p w14:paraId="67E005CD"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Требования Единых стандартов качества обслуживания потребителей услуг, утвержденных Приказом Министерства энергетики Российской Федерации №186, исполняются своевременно и в полном объеме, включая требования к офисам обслуживания и обязательному раскрытию информации на официальном сайте Общества.</w:t>
      </w:r>
    </w:p>
    <w:p w14:paraId="184B870E"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Руководящие принципы построения работы с потребителями:</w:t>
      </w:r>
    </w:p>
    <w:p w14:paraId="2488E80C"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 информированность потребителей о компании и услугах;</w:t>
      </w:r>
    </w:p>
    <w:p w14:paraId="333AE489"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 доступность и оперативность заочного и интерактивного сервисов компании;</w:t>
      </w:r>
    </w:p>
    <w:p w14:paraId="755E1CE1"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 прозрачность бизнес-процессов обслуживания потребителей и объективность рассмотрения жалоб потребителей.</w:t>
      </w:r>
    </w:p>
    <w:p w14:paraId="3686DE06"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В целях усовершенствования качества обслуживания потребителей услуг, бизнес-процессов очного и заочного взаимодействия с потребителями, оценки качества клиентского сервиса в Обществе утверждены «Стандарты качества обслуживания потребителей услуг ПАО «Россети Юг», а также утверждена и размещена на официальном сайте Общества Декларация прав потребителя услуг ПАО «Россети Юг».</w:t>
      </w:r>
    </w:p>
    <w:p w14:paraId="6F005070"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На территории присутствия Общества обеспечен перевод системы очного обслуживания в on-line среду, взаимодействие Общества с потребителями услуг преимущественно осуществляется через дистанционные сервисы на базе Портала электросетевых услуг.</w:t>
      </w:r>
    </w:p>
    <w:p w14:paraId="7A1AC4BB"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 xml:space="preserve">По итогам 2024 года ПАО «Россети Юг» принято 332,3 тыс. обращений потребителей, в том числе 51,2 тыс. заявок на оказание услуг, </w:t>
      </w:r>
      <w:r>
        <w:rPr>
          <w:rFonts w:ascii="Times New Roman" w:hAnsi="Times New Roman"/>
          <w:sz w:val="26"/>
          <w:szCs w:val="26"/>
          <w:lang w:eastAsia="en-US"/>
        </w:rPr>
        <w:br w:type="textWrapping" w:clear="all"/>
        <w:t>201 тыс. звонков на телефон горячей линии, а также оказано 70,7 тыс. консультаций.</w:t>
      </w:r>
      <w:r>
        <w:br w:type="page"/>
      </w:r>
    </w:p>
    <w:p w14:paraId="6FFA3770" w14:textId="77777777" w:rsidR="002449C2" w:rsidRDefault="00123961">
      <w:pPr>
        <w:shd w:val="clear" w:color="auto" w:fill="FFFFFF"/>
        <w:tabs>
          <w:tab w:val="left" w:pos="0"/>
        </w:tabs>
        <w:spacing w:after="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 xml:space="preserve">Динамика обращений потребителей </w:t>
      </w:r>
      <w:r>
        <w:rPr>
          <w:rFonts w:ascii="Times New Roman" w:eastAsia="Times New Roman" w:hAnsi="Times New Roman"/>
          <w:b/>
          <w:sz w:val="26"/>
          <w:szCs w:val="26"/>
          <w:lang w:eastAsia="ru-RU"/>
        </w:rPr>
        <w:t xml:space="preserve">ПАО «Россети Юг» </w:t>
      </w:r>
    </w:p>
    <w:p w14:paraId="6D2DA71D" w14:textId="77777777" w:rsidR="002449C2" w:rsidRDefault="00123961">
      <w:pPr>
        <w:shd w:val="clear" w:color="auto" w:fill="FFFFFF"/>
        <w:tabs>
          <w:tab w:val="left" w:pos="1080"/>
          <w:tab w:val="left" w:pos="1320"/>
        </w:tabs>
        <w:spacing w:after="0" w:line="240" w:lineRule="auto"/>
        <w:jc w:val="center"/>
        <w:rPr>
          <w:rFonts w:ascii="Times New Roman" w:eastAsia="Times New Roman" w:hAnsi="Times New Roman"/>
          <w:sz w:val="26"/>
          <w:szCs w:val="26"/>
          <w:lang w:eastAsia="ru-RU"/>
        </w:rPr>
      </w:pPr>
      <w:r>
        <w:rPr>
          <w:noProof/>
          <w:lang w:eastAsia="ru-RU"/>
        </w:rPr>
        <w:drawing>
          <wp:inline distT="0" distB="0" distL="0" distR="0" wp14:anchorId="350AE164" wp14:editId="7D7578A4">
            <wp:extent cx="5919470" cy="1499870"/>
            <wp:effectExtent l="0" t="0" r="0" b="0"/>
            <wp:docPr id="46" name="_x005F_x0000_i4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_x005F_x0000_i4427"/>
                    <pic:cNvPicPr>
                      <a:picLocks noChangeAspect="1" noChangeArrowheads="1"/>
                    </pic:cNvPicPr>
                  </pic:nvPicPr>
                  <pic:blipFill>
                    <a:blip r:embed="rId73"/>
                    <a:stretch>
                      <a:fillRect/>
                    </a:stretch>
                  </pic:blipFill>
                  <pic:spPr bwMode="auto">
                    <a:xfrm>
                      <a:off x="0" y="0"/>
                      <a:ext cx="5919470" cy="1499870"/>
                    </a:xfrm>
                    <a:prstGeom prst="rect">
                      <a:avLst/>
                    </a:prstGeom>
                    <a:noFill/>
                  </pic:spPr>
                </pic:pic>
              </a:graphicData>
            </a:graphic>
          </wp:inline>
        </w:drawing>
      </w:r>
    </w:p>
    <w:p w14:paraId="0B71053D" w14:textId="77777777" w:rsidR="002449C2" w:rsidRDefault="002449C2">
      <w:pPr>
        <w:shd w:val="clear" w:color="auto" w:fill="FFFFFF"/>
        <w:tabs>
          <w:tab w:val="left" w:pos="1080"/>
          <w:tab w:val="left" w:pos="1320"/>
        </w:tabs>
        <w:spacing w:after="0" w:line="240" w:lineRule="auto"/>
        <w:ind w:firstLine="709"/>
        <w:jc w:val="center"/>
        <w:rPr>
          <w:rFonts w:ascii="Times New Roman" w:eastAsia="Times New Roman" w:hAnsi="Times New Roman"/>
          <w:sz w:val="26"/>
          <w:szCs w:val="26"/>
          <w:lang w:eastAsia="ru-RU"/>
        </w:rPr>
      </w:pPr>
    </w:p>
    <w:p w14:paraId="09E2B8D3"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 xml:space="preserve">Из 332,3 тыс. обращений, поступивших в ПАО «Россети Юг» 8,7 являются жалобами, что составляет 2,6% от общего количества обращений. </w:t>
      </w:r>
    </w:p>
    <w:p w14:paraId="59D92AF3"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 xml:space="preserve">По итогам 2024 года Обществом принято 55,9 тыс. обращения в электронной форме, что составляет 21,5% от общего числа принятых обращений. </w:t>
      </w:r>
    </w:p>
    <w:p w14:paraId="7B51A43C" w14:textId="77777777" w:rsidR="002449C2" w:rsidRDefault="002449C2">
      <w:pPr>
        <w:shd w:val="clear" w:color="auto" w:fill="FFFFFF"/>
        <w:spacing w:after="0" w:line="240" w:lineRule="auto"/>
        <w:ind w:firstLine="709"/>
        <w:jc w:val="both"/>
        <w:rPr>
          <w:rFonts w:ascii="Times New Roman" w:hAnsi="Times New Roman"/>
          <w:sz w:val="26"/>
          <w:szCs w:val="26"/>
        </w:rPr>
      </w:pPr>
    </w:p>
    <w:tbl>
      <w:tblPr>
        <w:tblW w:w="9310" w:type="dxa"/>
        <w:tblLayout w:type="fixed"/>
        <w:tblLook w:val="04A0" w:firstRow="1" w:lastRow="0" w:firstColumn="1" w:lastColumn="0" w:noHBand="0" w:noVBand="1"/>
      </w:tblPr>
      <w:tblGrid>
        <w:gridCol w:w="2825"/>
        <w:gridCol w:w="1181"/>
        <w:gridCol w:w="1230"/>
        <w:gridCol w:w="1281"/>
        <w:gridCol w:w="1270"/>
        <w:gridCol w:w="1523"/>
      </w:tblGrid>
      <w:tr w:rsidR="002449C2" w14:paraId="29CF487A" w14:textId="77777777">
        <w:trPr>
          <w:trHeight w:val="380"/>
        </w:trPr>
        <w:tc>
          <w:tcPr>
            <w:tcW w:w="9309" w:type="dxa"/>
            <w:gridSpan w:val="6"/>
            <w:tcBorders>
              <w:top w:val="single" w:sz="8" w:space="0" w:color="000000"/>
              <w:left w:val="single" w:sz="8" w:space="0" w:color="000000"/>
              <w:bottom w:val="single" w:sz="8" w:space="0" w:color="000000"/>
              <w:right w:val="single" w:sz="8" w:space="0" w:color="000000"/>
            </w:tcBorders>
            <w:vAlign w:val="bottom"/>
          </w:tcPr>
          <w:p w14:paraId="06168A96" w14:textId="77777777" w:rsidR="002449C2" w:rsidRDefault="00123961">
            <w:pPr>
              <w:shd w:val="clear" w:color="auto" w:fill="FFFFFF"/>
              <w:spacing w:after="0" w:line="240" w:lineRule="auto"/>
              <w:jc w:val="center"/>
              <w:rPr>
                <w:rFonts w:ascii="Times New Roman" w:eastAsia="Times New Roman" w:hAnsi="Times New Roman"/>
                <w:b/>
                <w:bCs/>
                <w:color w:val="000000"/>
                <w:sz w:val="24"/>
                <w:szCs w:val="26"/>
                <w:lang w:eastAsia="ru-RU"/>
              </w:rPr>
            </w:pPr>
            <w:r>
              <w:rPr>
                <w:rFonts w:ascii="Times New Roman" w:eastAsia="Times New Roman" w:hAnsi="Times New Roman"/>
                <w:b/>
                <w:bCs/>
                <w:color w:val="000000"/>
                <w:sz w:val="24"/>
                <w:szCs w:val="26"/>
                <w:lang w:eastAsia="ru-RU"/>
              </w:rPr>
              <w:t>Взаимодействие с потребителями</w:t>
            </w:r>
          </w:p>
        </w:tc>
      </w:tr>
      <w:tr w:rsidR="002449C2" w14:paraId="4FED3F44" w14:textId="77777777">
        <w:trPr>
          <w:trHeight w:val="380"/>
        </w:trPr>
        <w:tc>
          <w:tcPr>
            <w:tcW w:w="2824" w:type="dxa"/>
            <w:vMerge w:val="restart"/>
            <w:tcBorders>
              <w:left w:val="single" w:sz="8" w:space="0" w:color="000000"/>
              <w:bottom w:val="single" w:sz="8" w:space="0" w:color="000000"/>
              <w:right w:val="single" w:sz="8" w:space="0" w:color="000000"/>
            </w:tcBorders>
            <w:vAlign w:val="bottom"/>
          </w:tcPr>
          <w:p w14:paraId="101C3BB4" w14:textId="77777777" w:rsidR="002449C2" w:rsidRDefault="00123961">
            <w:pPr>
              <w:shd w:val="clear" w:color="auto" w:fill="FFFFFF"/>
              <w:spacing w:after="0" w:line="240" w:lineRule="auto"/>
              <w:jc w:val="center"/>
              <w:rPr>
                <w:rFonts w:ascii="Times New Roman" w:eastAsia="Times New Roman" w:hAnsi="Times New Roman"/>
                <w:b/>
                <w:bCs/>
                <w:color w:val="000000"/>
                <w:sz w:val="24"/>
                <w:szCs w:val="26"/>
                <w:lang w:eastAsia="ru-RU"/>
              </w:rPr>
            </w:pPr>
            <w:r>
              <w:rPr>
                <w:rFonts w:ascii="Times New Roman" w:eastAsia="Times New Roman" w:hAnsi="Times New Roman"/>
                <w:b/>
                <w:bCs/>
                <w:color w:val="000000"/>
                <w:sz w:val="24"/>
                <w:szCs w:val="26"/>
                <w:lang w:eastAsia="ru-RU"/>
              </w:rPr>
              <w:t>Показатели</w:t>
            </w:r>
          </w:p>
        </w:tc>
        <w:tc>
          <w:tcPr>
            <w:tcW w:w="1181" w:type="dxa"/>
            <w:vMerge w:val="restart"/>
            <w:tcBorders>
              <w:left w:val="single" w:sz="8" w:space="0" w:color="000000"/>
              <w:bottom w:val="single" w:sz="8" w:space="0" w:color="000000"/>
              <w:right w:val="single" w:sz="8" w:space="0" w:color="000000"/>
            </w:tcBorders>
            <w:vAlign w:val="bottom"/>
          </w:tcPr>
          <w:p w14:paraId="262B1187" w14:textId="77777777" w:rsidR="002449C2" w:rsidRDefault="00123961">
            <w:pPr>
              <w:shd w:val="clear" w:color="auto" w:fill="FFFFFF"/>
              <w:spacing w:after="0" w:line="240" w:lineRule="auto"/>
              <w:jc w:val="center"/>
              <w:rPr>
                <w:rFonts w:ascii="Times New Roman" w:eastAsia="Times New Roman" w:hAnsi="Times New Roman"/>
                <w:b/>
                <w:bCs/>
                <w:color w:val="000000"/>
                <w:sz w:val="24"/>
                <w:szCs w:val="26"/>
                <w:lang w:eastAsia="ru-RU"/>
              </w:rPr>
            </w:pPr>
            <w:r>
              <w:rPr>
                <w:rFonts w:ascii="Times New Roman" w:eastAsia="Times New Roman" w:hAnsi="Times New Roman"/>
                <w:b/>
                <w:bCs/>
                <w:color w:val="000000"/>
                <w:sz w:val="24"/>
                <w:szCs w:val="26"/>
                <w:lang w:eastAsia="ru-RU"/>
              </w:rPr>
              <w:t>Ед. изм.</w:t>
            </w:r>
          </w:p>
        </w:tc>
        <w:tc>
          <w:tcPr>
            <w:tcW w:w="5304" w:type="dxa"/>
            <w:gridSpan w:val="4"/>
            <w:tcBorders>
              <w:top w:val="single" w:sz="8" w:space="0" w:color="000000"/>
              <w:bottom w:val="single" w:sz="8" w:space="0" w:color="000000"/>
              <w:right w:val="single" w:sz="8" w:space="0" w:color="000000"/>
            </w:tcBorders>
            <w:vAlign w:val="bottom"/>
          </w:tcPr>
          <w:p w14:paraId="5D4C372A" w14:textId="77777777" w:rsidR="002449C2" w:rsidRDefault="00123961">
            <w:pPr>
              <w:shd w:val="clear" w:color="auto" w:fill="FFFFFF"/>
              <w:spacing w:after="0" w:line="240" w:lineRule="auto"/>
              <w:jc w:val="center"/>
              <w:rPr>
                <w:rFonts w:ascii="Times New Roman" w:eastAsia="Times New Roman" w:hAnsi="Times New Roman"/>
                <w:b/>
                <w:bCs/>
                <w:color w:val="000000"/>
                <w:sz w:val="24"/>
                <w:szCs w:val="26"/>
                <w:lang w:eastAsia="ru-RU"/>
              </w:rPr>
            </w:pPr>
            <w:r>
              <w:rPr>
                <w:rFonts w:ascii="Times New Roman" w:eastAsia="Times New Roman" w:hAnsi="Times New Roman"/>
                <w:b/>
                <w:bCs/>
                <w:color w:val="000000"/>
                <w:sz w:val="24"/>
                <w:szCs w:val="26"/>
                <w:lang w:eastAsia="ru-RU"/>
              </w:rPr>
              <w:t>Период</w:t>
            </w:r>
          </w:p>
        </w:tc>
      </w:tr>
      <w:tr w:rsidR="002449C2" w14:paraId="1C4A4636" w14:textId="77777777">
        <w:trPr>
          <w:trHeight w:val="69"/>
        </w:trPr>
        <w:tc>
          <w:tcPr>
            <w:tcW w:w="2824" w:type="dxa"/>
            <w:vMerge/>
            <w:tcBorders>
              <w:left w:val="single" w:sz="8" w:space="0" w:color="000000"/>
              <w:bottom w:val="single" w:sz="8" w:space="0" w:color="000000"/>
              <w:right w:val="single" w:sz="8" w:space="0" w:color="000000"/>
            </w:tcBorders>
            <w:vAlign w:val="center"/>
          </w:tcPr>
          <w:p w14:paraId="5BA0FAF4" w14:textId="77777777" w:rsidR="002449C2" w:rsidRDefault="002449C2">
            <w:pPr>
              <w:shd w:val="clear" w:color="auto" w:fill="FFFFFF"/>
              <w:spacing w:after="0" w:line="240" w:lineRule="auto"/>
              <w:rPr>
                <w:rFonts w:ascii="Times New Roman" w:eastAsia="Times New Roman" w:hAnsi="Times New Roman"/>
                <w:b/>
                <w:bCs/>
                <w:color w:val="000000"/>
                <w:sz w:val="24"/>
                <w:szCs w:val="26"/>
                <w:lang w:eastAsia="ru-RU"/>
              </w:rPr>
            </w:pPr>
          </w:p>
        </w:tc>
        <w:tc>
          <w:tcPr>
            <w:tcW w:w="1181" w:type="dxa"/>
            <w:vMerge/>
            <w:tcBorders>
              <w:left w:val="single" w:sz="8" w:space="0" w:color="000000"/>
              <w:bottom w:val="single" w:sz="8" w:space="0" w:color="000000"/>
              <w:right w:val="single" w:sz="8" w:space="0" w:color="000000"/>
            </w:tcBorders>
            <w:vAlign w:val="center"/>
          </w:tcPr>
          <w:p w14:paraId="49C84805" w14:textId="77777777" w:rsidR="002449C2" w:rsidRDefault="002449C2">
            <w:pPr>
              <w:shd w:val="clear" w:color="auto" w:fill="FFFFFF"/>
              <w:spacing w:after="0" w:line="240" w:lineRule="auto"/>
              <w:rPr>
                <w:rFonts w:ascii="Times New Roman" w:eastAsia="Times New Roman" w:hAnsi="Times New Roman"/>
                <w:b/>
                <w:bCs/>
                <w:color w:val="000000"/>
                <w:sz w:val="24"/>
                <w:szCs w:val="26"/>
                <w:lang w:eastAsia="ru-RU"/>
              </w:rPr>
            </w:pPr>
          </w:p>
        </w:tc>
        <w:tc>
          <w:tcPr>
            <w:tcW w:w="1230" w:type="dxa"/>
            <w:tcBorders>
              <w:bottom w:val="single" w:sz="8" w:space="0" w:color="000000"/>
              <w:right w:val="single" w:sz="8" w:space="0" w:color="000000"/>
            </w:tcBorders>
            <w:vAlign w:val="bottom"/>
          </w:tcPr>
          <w:p w14:paraId="237FB871" w14:textId="77777777" w:rsidR="002449C2" w:rsidRDefault="00123961">
            <w:pPr>
              <w:shd w:val="clear" w:color="auto" w:fill="FFFFFF"/>
              <w:spacing w:after="0" w:line="240" w:lineRule="auto"/>
              <w:jc w:val="center"/>
              <w:rPr>
                <w:rFonts w:ascii="Times New Roman" w:eastAsia="Times New Roman" w:hAnsi="Times New Roman"/>
                <w:b/>
                <w:bCs/>
                <w:color w:val="000000"/>
                <w:sz w:val="24"/>
                <w:szCs w:val="26"/>
                <w:lang w:eastAsia="ru-RU"/>
              </w:rPr>
            </w:pPr>
            <w:r>
              <w:rPr>
                <w:rFonts w:ascii="Times New Roman" w:eastAsia="Times New Roman" w:hAnsi="Times New Roman"/>
                <w:b/>
                <w:bCs/>
                <w:color w:val="000000"/>
                <w:sz w:val="24"/>
                <w:szCs w:val="26"/>
                <w:lang w:eastAsia="ru-RU"/>
              </w:rPr>
              <w:t>2022 год</w:t>
            </w:r>
          </w:p>
        </w:tc>
        <w:tc>
          <w:tcPr>
            <w:tcW w:w="1281" w:type="dxa"/>
            <w:tcBorders>
              <w:bottom w:val="single" w:sz="8" w:space="0" w:color="000000"/>
              <w:right w:val="single" w:sz="8" w:space="0" w:color="000000"/>
            </w:tcBorders>
            <w:vAlign w:val="bottom"/>
          </w:tcPr>
          <w:p w14:paraId="75D38B9B" w14:textId="77777777" w:rsidR="002449C2" w:rsidRDefault="00123961">
            <w:pPr>
              <w:shd w:val="clear" w:color="auto" w:fill="FFFFFF"/>
              <w:spacing w:after="0" w:line="240" w:lineRule="auto"/>
              <w:jc w:val="center"/>
              <w:rPr>
                <w:rFonts w:ascii="Times New Roman" w:eastAsia="Times New Roman" w:hAnsi="Times New Roman"/>
                <w:b/>
                <w:bCs/>
                <w:color w:val="000000"/>
                <w:sz w:val="24"/>
                <w:szCs w:val="26"/>
                <w:lang w:eastAsia="ru-RU"/>
              </w:rPr>
            </w:pPr>
            <w:r>
              <w:rPr>
                <w:rFonts w:ascii="Times New Roman" w:eastAsia="Times New Roman" w:hAnsi="Times New Roman"/>
                <w:b/>
                <w:bCs/>
                <w:color w:val="000000"/>
                <w:sz w:val="24"/>
                <w:szCs w:val="26"/>
                <w:lang w:eastAsia="ru-RU"/>
              </w:rPr>
              <w:t>2023 год</w:t>
            </w:r>
          </w:p>
        </w:tc>
        <w:tc>
          <w:tcPr>
            <w:tcW w:w="1270" w:type="dxa"/>
            <w:tcBorders>
              <w:bottom w:val="single" w:sz="8" w:space="0" w:color="000000"/>
              <w:right w:val="single" w:sz="8" w:space="0" w:color="000000"/>
            </w:tcBorders>
            <w:vAlign w:val="bottom"/>
          </w:tcPr>
          <w:p w14:paraId="4F9FC13A" w14:textId="77777777" w:rsidR="002449C2" w:rsidRDefault="00123961">
            <w:pPr>
              <w:shd w:val="clear" w:color="auto" w:fill="FFFFFF"/>
              <w:spacing w:after="0" w:line="240" w:lineRule="auto"/>
              <w:jc w:val="center"/>
              <w:rPr>
                <w:rFonts w:ascii="Times New Roman" w:eastAsia="Times New Roman" w:hAnsi="Times New Roman"/>
                <w:b/>
                <w:bCs/>
                <w:color w:val="000000"/>
                <w:sz w:val="24"/>
                <w:szCs w:val="26"/>
                <w:lang w:eastAsia="ru-RU"/>
              </w:rPr>
            </w:pPr>
            <w:r>
              <w:rPr>
                <w:rFonts w:ascii="Times New Roman" w:eastAsia="Times New Roman" w:hAnsi="Times New Roman"/>
                <w:b/>
                <w:bCs/>
                <w:color w:val="000000"/>
                <w:sz w:val="24"/>
                <w:szCs w:val="26"/>
                <w:lang w:eastAsia="ru-RU"/>
              </w:rPr>
              <w:t>2024 год</w:t>
            </w:r>
          </w:p>
        </w:tc>
        <w:tc>
          <w:tcPr>
            <w:tcW w:w="1523" w:type="dxa"/>
            <w:tcBorders>
              <w:bottom w:val="single" w:sz="8" w:space="0" w:color="000000"/>
              <w:right w:val="single" w:sz="8" w:space="0" w:color="000000"/>
            </w:tcBorders>
            <w:vAlign w:val="bottom"/>
          </w:tcPr>
          <w:p w14:paraId="3EC4BB17" w14:textId="77777777" w:rsidR="002449C2" w:rsidRDefault="00123961">
            <w:pPr>
              <w:shd w:val="clear" w:color="auto" w:fill="FFFFFF"/>
              <w:spacing w:after="0" w:line="240" w:lineRule="auto"/>
              <w:jc w:val="center"/>
              <w:rPr>
                <w:rFonts w:ascii="Times New Roman" w:eastAsia="Times New Roman" w:hAnsi="Times New Roman"/>
                <w:b/>
                <w:bCs/>
                <w:color w:val="000000"/>
                <w:sz w:val="24"/>
                <w:szCs w:val="26"/>
                <w:lang w:eastAsia="ru-RU"/>
              </w:rPr>
            </w:pPr>
            <w:r>
              <w:rPr>
                <w:rFonts w:ascii="Times New Roman" w:eastAsia="Times New Roman" w:hAnsi="Times New Roman"/>
                <w:b/>
                <w:bCs/>
                <w:color w:val="000000"/>
                <w:sz w:val="24"/>
                <w:szCs w:val="26"/>
                <w:lang w:eastAsia="ru-RU"/>
              </w:rPr>
              <w:t>Прирост %</w:t>
            </w:r>
          </w:p>
        </w:tc>
      </w:tr>
      <w:tr w:rsidR="002449C2" w14:paraId="494BC234" w14:textId="77777777">
        <w:trPr>
          <w:trHeight w:val="367"/>
        </w:trPr>
        <w:tc>
          <w:tcPr>
            <w:tcW w:w="2824" w:type="dxa"/>
            <w:tcBorders>
              <w:left w:val="single" w:sz="8" w:space="0" w:color="000000"/>
              <w:bottom w:val="single" w:sz="8" w:space="0" w:color="000000"/>
              <w:right w:val="single" w:sz="8" w:space="0" w:color="000000"/>
            </w:tcBorders>
            <w:vAlign w:val="bottom"/>
          </w:tcPr>
          <w:p w14:paraId="68744BD3" w14:textId="77777777" w:rsidR="002449C2" w:rsidRDefault="00123961">
            <w:pPr>
              <w:shd w:val="clear" w:color="auto" w:fill="FFFFFF"/>
              <w:spacing w:after="0" w:line="240" w:lineRule="auto"/>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Общее количество обращений</w:t>
            </w:r>
          </w:p>
        </w:tc>
        <w:tc>
          <w:tcPr>
            <w:tcW w:w="1181" w:type="dxa"/>
            <w:tcBorders>
              <w:bottom w:val="single" w:sz="8" w:space="0" w:color="000000"/>
              <w:right w:val="single" w:sz="8" w:space="0" w:color="000000"/>
            </w:tcBorders>
            <w:vAlign w:val="center"/>
          </w:tcPr>
          <w:p w14:paraId="508DBF0F"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тыс. шт.</w:t>
            </w:r>
          </w:p>
        </w:tc>
        <w:tc>
          <w:tcPr>
            <w:tcW w:w="1230" w:type="dxa"/>
            <w:tcBorders>
              <w:bottom w:val="single" w:sz="8" w:space="0" w:color="000000"/>
              <w:right w:val="single" w:sz="8" w:space="0" w:color="000000"/>
            </w:tcBorders>
            <w:vAlign w:val="center"/>
          </w:tcPr>
          <w:p w14:paraId="68E78162"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327,2</w:t>
            </w:r>
          </w:p>
        </w:tc>
        <w:tc>
          <w:tcPr>
            <w:tcW w:w="1281" w:type="dxa"/>
            <w:tcBorders>
              <w:bottom w:val="single" w:sz="8" w:space="0" w:color="000000"/>
              <w:right w:val="single" w:sz="8" w:space="0" w:color="000000"/>
            </w:tcBorders>
            <w:vAlign w:val="center"/>
          </w:tcPr>
          <w:p w14:paraId="145B6BC3"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293,2</w:t>
            </w:r>
          </w:p>
        </w:tc>
        <w:tc>
          <w:tcPr>
            <w:tcW w:w="1270" w:type="dxa"/>
            <w:tcBorders>
              <w:bottom w:val="single" w:sz="8" w:space="0" w:color="000000"/>
              <w:right w:val="single" w:sz="8" w:space="0" w:color="000000"/>
            </w:tcBorders>
            <w:vAlign w:val="center"/>
          </w:tcPr>
          <w:p w14:paraId="1241E58B"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332,3</w:t>
            </w:r>
          </w:p>
        </w:tc>
        <w:tc>
          <w:tcPr>
            <w:tcW w:w="1523" w:type="dxa"/>
            <w:tcBorders>
              <w:bottom w:val="single" w:sz="8" w:space="0" w:color="000000"/>
              <w:right w:val="single" w:sz="8" w:space="0" w:color="000000"/>
            </w:tcBorders>
            <w:vAlign w:val="center"/>
          </w:tcPr>
          <w:p w14:paraId="050FC6D6"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12,47%</w:t>
            </w:r>
          </w:p>
        </w:tc>
      </w:tr>
      <w:tr w:rsidR="002449C2" w14:paraId="785418FC" w14:textId="77777777">
        <w:trPr>
          <w:trHeight w:val="93"/>
        </w:trPr>
        <w:tc>
          <w:tcPr>
            <w:tcW w:w="2824" w:type="dxa"/>
            <w:tcBorders>
              <w:left w:val="single" w:sz="8" w:space="0" w:color="000000"/>
              <w:bottom w:val="single" w:sz="8" w:space="0" w:color="000000"/>
              <w:right w:val="single" w:sz="8" w:space="0" w:color="000000"/>
            </w:tcBorders>
            <w:vAlign w:val="bottom"/>
          </w:tcPr>
          <w:p w14:paraId="7A662326" w14:textId="77777777" w:rsidR="002449C2" w:rsidRDefault="00123961">
            <w:pPr>
              <w:shd w:val="clear" w:color="auto" w:fill="FFFFFF"/>
              <w:spacing w:after="0" w:line="240" w:lineRule="auto"/>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Доля обращений по цифровым каналам</w:t>
            </w:r>
          </w:p>
        </w:tc>
        <w:tc>
          <w:tcPr>
            <w:tcW w:w="1181" w:type="dxa"/>
            <w:tcBorders>
              <w:bottom w:val="single" w:sz="8" w:space="0" w:color="000000"/>
              <w:right w:val="single" w:sz="8" w:space="0" w:color="000000"/>
            </w:tcBorders>
            <w:vAlign w:val="center"/>
          </w:tcPr>
          <w:p w14:paraId="3B5F55FA"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w:t>
            </w:r>
          </w:p>
        </w:tc>
        <w:tc>
          <w:tcPr>
            <w:tcW w:w="1230" w:type="dxa"/>
            <w:tcBorders>
              <w:bottom w:val="single" w:sz="8" w:space="0" w:color="000000"/>
              <w:right w:val="single" w:sz="8" w:space="0" w:color="000000"/>
            </w:tcBorders>
            <w:vAlign w:val="center"/>
          </w:tcPr>
          <w:p w14:paraId="53722452"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35,05%</w:t>
            </w:r>
          </w:p>
        </w:tc>
        <w:tc>
          <w:tcPr>
            <w:tcW w:w="1281" w:type="dxa"/>
            <w:tcBorders>
              <w:bottom w:val="single" w:sz="8" w:space="0" w:color="000000"/>
              <w:right w:val="single" w:sz="8" w:space="0" w:color="000000"/>
            </w:tcBorders>
            <w:vAlign w:val="center"/>
          </w:tcPr>
          <w:p w14:paraId="5CE84916"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18,95%</w:t>
            </w:r>
          </w:p>
        </w:tc>
        <w:tc>
          <w:tcPr>
            <w:tcW w:w="1270" w:type="dxa"/>
            <w:tcBorders>
              <w:bottom w:val="single" w:sz="8" w:space="0" w:color="000000"/>
              <w:right w:val="single" w:sz="8" w:space="0" w:color="000000"/>
            </w:tcBorders>
            <w:vAlign w:val="center"/>
          </w:tcPr>
          <w:p w14:paraId="5648AF07"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21,5%</w:t>
            </w:r>
          </w:p>
        </w:tc>
        <w:tc>
          <w:tcPr>
            <w:tcW w:w="1523" w:type="dxa"/>
            <w:tcBorders>
              <w:bottom w:val="single" w:sz="8" w:space="0" w:color="000000"/>
              <w:right w:val="single" w:sz="8" w:space="0" w:color="000000"/>
            </w:tcBorders>
            <w:vAlign w:val="center"/>
          </w:tcPr>
          <w:p w14:paraId="3D6F77CF"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w:t>
            </w:r>
          </w:p>
        </w:tc>
      </w:tr>
      <w:tr w:rsidR="002449C2" w14:paraId="379C91B6" w14:textId="77777777">
        <w:trPr>
          <w:trHeight w:val="199"/>
        </w:trPr>
        <w:tc>
          <w:tcPr>
            <w:tcW w:w="2824" w:type="dxa"/>
            <w:tcBorders>
              <w:left w:val="single" w:sz="8" w:space="0" w:color="000000"/>
              <w:bottom w:val="single" w:sz="8" w:space="0" w:color="000000"/>
              <w:right w:val="single" w:sz="8" w:space="0" w:color="000000"/>
            </w:tcBorders>
            <w:vAlign w:val="bottom"/>
          </w:tcPr>
          <w:p w14:paraId="4D4F851D" w14:textId="77777777" w:rsidR="002449C2" w:rsidRDefault="00123961">
            <w:pPr>
              <w:shd w:val="clear" w:color="auto" w:fill="FFFFFF"/>
              <w:spacing w:after="0" w:line="240" w:lineRule="auto"/>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Доля обращений на ненадлежащее качество услуг</w:t>
            </w:r>
          </w:p>
        </w:tc>
        <w:tc>
          <w:tcPr>
            <w:tcW w:w="1181" w:type="dxa"/>
            <w:tcBorders>
              <w:bottom w:val="single" w:sz="8" w:space="0" w:color="000000"/>
              <w:right w:val="single" w:sz="8" w:space="0" w:color="000000"/>
            </w:tcBorders>
            <w:vAlign w:val="center"/>
          </w:tcPr>
          <w:p w14:paraId="7EB29641"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w:t>
            </w:r>
          </w:p>
        </w:tc>
        <w:tc>
          <w:tcPr>
            <w:tcW w:w="1230" w:type="dxa"/>
            <w:tcBorders>
              <w:bottom w:val="single" w:sz="8" w:space="0" w:color="000000"/>
              <w:right w:val="single" w:sz="8" w:space="0" w:color="000000"/>
            </w:tcBorders>
            <w:vAlign w:val="center"/>
          </w:tcPr>
          <w:p w14:paraId="243B2AF5"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1,72%</w:t>
            </w:r>
          </w:p>
        </w:tc>
        <w:tc>
          <w:tcPr>
            <w:tcW w:w="1281" w:type="dxa"/>
            <w:tcBorders>
              <w:bottom w:val="single" w:sz="8" w:space="0" w:color="000000"/>
              <w:right w:val="single" w:sz="8" w:space="0" w:color="000000"/>
            </w:tcBorders>
            <w:vAlign w:val="center"/>
          </w:tcPr>
          <w:p w14:paraId="0CEBCFD9"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2,8</w:t>
            </w:r>
            <w:r>
              <w:rPr>
                <w:rFonts w:ascii="Times New Roman" w:eastAsia="Times New Roman" w:hAnsi="Times New Roman"/>
                <w:color w:val="000000"/>
                <w:sz w:val="24"/>
                <w:szCs w:val="26"/>
                <w:lang w:val="en-US" w:eastAsia="ru-RU"/>
              </w:rPr>
              <w:t>4</w:t>
            </w:r>
            <w:r>
              <w:rPr>
                <w:rFonts w:ascii="Times New Roman" w:eastAsia="Times New Roman" w:hAnsi="Times New Roman"/>
                <w:color w:val="000000"/>
                <w:sz w:val="24"/>
                <w:szCs w:val="26"/>
                <w:lang w:eastAsia="ru-RU"/>
              </w:rPr>
              <w:t>%</w:t>
            </w:r>
          </w:p>
        </w:tc>
        <w:tc>
          <w:tcPr>
            <w:tcW w:w="1270" w:type="dxa"/>
            <w:tcBorders>
              <w:bottom w:val="single" w:sz="8" w:space="0" w:color="000000"/>
              <w:right w:val="single" w:sz="8" w:space="0" w:color="000000"/>
            </w:tcBorders>
            <w:vAlign w:val="center"/>
          </w:tcPr>
          <w:p w14:paraId="4D917F50"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2,6%</w:t>
            </w:r>
          </w:p>
        </w:tc>
        <w:tc>
          <w:tcPr>
            <w:tcW w:w="1523" w:type="dxa"/>
            <w:tcBorders>
              <w:bottom w:val="single" w:sz="8" w:space="0" w:color="000000"/>
              <w:right w:val="single" w:sz="8" w:space="0" w:color="000000"/>
            </w:tcBorders>
            <w:vAlign w:val="center"/>
          </w:tcPr>
          <w:p w14:paraId="61CE04D7"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w:t>
            </w:r>
          </w:p>
        </w:tc>
      </w:tr>
    </w:tbl>
    <w:p w14:paraId="0C8EB249" w14:textId="77777777" w:rsidR="002449C2" w:rsidRDefault="002449C2">
      <w:pPr>
        <w:shd w:val="clear" w:color="auto" w:fill="FFFFFF"/>
        <w:spacing w:after="0" w:line="240" w:lineRule="auto"/>
        <w:ind w:firstLine="709"/>
        <w:jc w:val="both"/>
        <w:rPr>
          <w:rFonts w:ascii="Times New Roman" w:hAnsi="Times New Roman"/>
          <w:b/>
          <w:i/>
          <w:sz w:val="26"/>
          <w:szCs w:val="26"/>
          <w:highlight w:val="yellow"/>
          <w:lang w:eastAsia="en-US"/>
        </w:rPr>
      </w:pPr>
    </w:p>
    <w:p w14:paraId="595A52B7" w14:textId="77777777" w:rsidR="002449C2" w:rsidRDefault="00123961">
      <w:pPr>
        <w:shd w:val="clear" w:color="auto" w:fill="FFFFFF"/>
        <w:spacing w:after="0" w:line="240" w:lineRule="auto"/>
        <w:ind w:firstLine="709"/>
        <w:jc w:val="both"/>
        <w:rPr>
          <w:rFonts w:ascii="Times New Roman" w:hAnsi="Times New Roman"/>
          <w:b/>
          <w:i/>
          <w:sz w:val="26"/>
          <w:szCs w:val="26"/>
          <w:highlight w:val="yellow"/>
          <w:lang w:eastAsia="en-US"/>
        </w:rPr>
      </w:pPr>
      <w:r>
        <w:rPr>
          <w:rFonts w:ascii="Times New Roman" w:hAnsi="Times New Roman"/>
          <w:sz w:val="26"/>
          <w:szCs w:val="26"/>
          <w:lang w:eastAsia="en-US"/>
        </w:rPr>
        <w:t>Распределение обращений по каналам поступления приведено в следующей таблице:</w:t>
      </w:r>
    </w:p>
    <w:tbl>
      <w:tblPr>
        <w:tblW w:w="9281" w:type="dxa"/>
        <w:tblInd w:w="-10" w:type="dxa"/>
        <w:tblLayout w:type="fixed"/>
        <w:tblLook w:val="04A0" w:firstRow="1" w:lastRow="0" w:firstColumn="1" w:lastColumn="0" w:noHBand="0" w:noVBand="1"/>
      </w:tblPr>
      <w:tblGrid>
        <w:gridCol w:w="2840"/>
        <w:gridCol w:w="1174"/>
        <w:gridCol w:w="1243"/>
        <w:gridCol w:w="1264"/>
        <w:gridCol w:w="1276"/>
        <w:gridCol w:w="1484"/>
      </w:tblGrid>
      <w:tr w:rsidR="002449C2" w14:paraId="78E61C33" w14:textId="77777777">
        <w:trPr>
          <w:trHeight w:val="188"/>
        </w:trPr>
        <w:tc>
          <w:tcPr>
            <w:tcW w:w="9280" w:type="dxa"/>
            <w:gridSpan w:val="6"/>
            <w:tcBorders>
              <w:top w:val="single" w:sz="8" w:space="0" w:color="000000"/>
              <w:left w:val="single" w:sz="8" w:space="0" w:color="000000"/>
              <w:bottom w:val="single" w:sz="8" w:space="0" w:color="000000"/>
              <w:right w:val="single" w:sz="8" w:space="0" w:color="000000"/>
            </w:tcBorders>
            <w:vAlign w:val="bottom"/>
          </w:tcPr>
          <w:p w14:paraId="79241928" w14:textId="77777777" w:rsidR="002449C2" w:rsidRDefault="00123961">
            <w:pPr>
              <w:shd w:val="clear" w:color="auto" w:fill="FFFFFF"/>
              <w:spacing w:after="0" w:line="240" w:lineRule="auto"/>
              <w:jc w:val="center"/>
              <w:rPr>
                <w:rFonts w:ascii="Times New Roman" w:eastAsia="Times New Roman" w:hAnsi="Times New Roman"/>
                <w:b/>
                <w:bCs/>
                <w:color w:val="000000"/>
                <w:sz w:val="24"/>
                <w:szCs w:val="26"/>
                <w:lang w:eastAsia="ru-RU"/>
              </w:rPr>
            </w:pPr>
            <w:r>
              <w:rPr>
                <w:rFonts w:ascii="Times New Roman" w:eastAsia="Times New Roman" w:hAnsi="Times New Roman"/>
                <w:b/>
                <w:bCs/>
                <w:color w:val="000000"/>
                <w:sz w:val="24"/>
                <w:szCs w:val="26"/>
                <w:lang w:eastAsia="ru-RU"/>
              </w:rPr>
              <w:t>Взаимодействие с потребителями</w:t>
            </w:r>
          </w:p>
        </w:tc>
      </w:tr>
      <w:tr w:rsidR="002449C2" w14:paraId="36E089C5" w14:textId="77777777">
        <w:trPr>
          <w:trHeight w:val="380"/>
        </w:trPr>
        <w:tc>
          <w:tcPr>
            <w:tcW w:w="2839" w:type="dxa"/>
            <w:vMerge w:val="restart"/>
            <w:tcBorders>
              <w:left w:val="single" w:sz="8" w:space="0" w:color="000000"/>
              <w:bottom w:val="single" w:sz="8" w:space="0" w:color="000000"/>
              <w:right w:val="single" w:sz="8" w:space="0" w:color="000000"/>
            </w:tcBorders>
            <w:vAlign w:val="bottom"/>
          </w:tcPr>
          <w:p w14:paraId="2ED4B65B" w14:textId="77777777" w:rsidR="002449C2" w:rsidRDefault="00123961">
            <w:pPr>
              <w:shd w:val="clear" w:color="auto" w:fill="FFFFFF"/>
              <w:spacing w:after="0" w:line="240" w:lineRule="auto"/>
              <w:jc w:val="center"/>
              <w:rPr>
                <w:rFonts w:ascii="Times New Roman" w:eastAsia="Times New Roman" w:hAnsi="Times New Roman"/>
                <w:b/>
                <w:bCs/>
                <w:color w:val="000000"/>
                <w:sz w:val="24"/>
                <w:szCs w:val="26"/>
                <w:lang w:eastAsia="ru-RU"/>
              </w:rPr>
            </w:pPr>
            <w:r>
              <w:rPr>
                <w:rFonts w:ascii="Times New Roman" w:eastAsia="Times New Roman" w:hAnsi="Times New Roman"/>
                <w:b/>
                <w:bCs/>
                <w:color w:val="000000"/>
                <w:sz w:val="24"/>
                <w:szCs w:val="26"/>
                <w:lang w:eastAsia="ru-RU"/>
              </w:rPr>
              <w:t>Показатели</w:t>
            </w:r>
          </w:p>
        </w:tc>
        <w:tc>
          <w:tcPr>
            <w:tcW w:w="1174" w:type="dxa"/>
            <w:vMerge w:val="restart"/>
            <w:tcBorders>
              <w:left w:val="single" w:sz="8" w:space="0" w:color="000000"/>
              <w:bottom w:val="single" w:sz="8" w:space="0" w:color="000000"/>
              <w:right w:val="single" w:sz="8" w:space="0" w:color="000000"/>
            </w:tcBorders>
            <w:vAlign w:val="bottom"/>
          </w:tcPr>
          <w:p w14:paraId="31649534" w14:textId="77777777" w:rsidR="002449C2" w:rsidRDefault="00123961">
            <w:pPr>
              <w:shd w:val="clear" w:color="auto" w:fill="FFFFFF"/>
              <w:spacing w:after="0" w:line="240" w:lineRule="auto"/>
              <w:jc w:val="center"/>
              <w:rPr>
                <w:rFonts w:ascii="Times New Roman" w:eastAsia="Times New Roman" w:hAnsi="Times New Roman"/>
                <w:b/>
                <w:bCs/>
                <w:color w:val="000000"/>
                <w:sz w:val="24"/>
                <w:szCs w:val="26"/>
                <w:lang w:eastAsia="ru-RU"/>
              </w:rPr>
            </w:pPr>
            <w:r>
              <w:rPr>
                <w:rFonts w:ascii="Times New Roman" w:eastAsia="Times New Roman" w:hAnsi="Times New Roman"/>
                <w:b/>
                <w:bCs/>
                <w:color w:val="000000"/>
                <w:sz w:val="24"/>
                <w:szCs w:val="26"/>
                <w:lang w:eastAsia="ru-RU"/>
              </w:rPr>
              <w:t>Ед. изм.</w:t>
            </w:r>
          </w:p>
        </w:tc>
        <w:tc>
          <w:tcPr>
            <w:tcW w:w="5267" w:type="dxa"/>
            <w:gridSpan w:val="4"/>
            <w:tcBorders>
              <w:top w:val="single" w:sz="8" w:space="0" w:color="000000"/>
              <w:bottom w:val="single" w:sz="8" w:space="0" w:color="000000"/>
              <w:right w:val="single" w:sz="8" w:space="0" w:color="000000"/>
            </w:tcBorders>
            <w:vAlign w:val="bottom"/>
          </w:tcPr>
          <w:p w14:paraId="7ABCC50D" w14:textId="77777777" w:rsidR="002449C2" w:rsidRDefault="00123961">
            <w:pPr>
              <w:shd w:val="clear" w:color="auto" w:fill="FFFFFF"/>
              <w:spacing w:after="0" w:line="240" w:lineRule="auto"/>
              <w:jc w:val="center"/>
              <w:rPr>
                <w:rFonts w:ascii="Times New Roman" w:eastAsia="Times New Roman" w:hAnsi="Times New Roman"/>
                <w:b/>
                <w:bCs/>
                <w:color w:val="000000"/>
                <w:sz w:val="24"/>
                <w:szCs w:val="26"/>
                <w:lang w:eastAsia="ru-RU"/>
              </w:rPr>
            </w:pPr>
            <w:r>
              <w:rPr>
                <w:rFonts w:ascii="Times New Roman" w:eastAsia="Times New Roman" w:hAnsi="Times New Roman"/>
                <w:b/>
                <w:bCs/>
                <w:color w:val="000000"/>
                <w:sz w:val="24"/>
                <w:szCs w:val="26"/>
                <w:lang w:eastAsia="ru-RU"/>
              </w:rPr>
              <w:t>Период</w:t>
            </w:r>
          </w:p>
        </w:tc>
      </w:tr>
      <w:tr w:rsidR="002449C2" w14:paraId="686F72F2" w14:textId="77777777">
        <w:trPr>
          <w:trHeight w:val="35"/>
        </w:trPr>
        <w:tc>
          <w:tcPr>
            <w:tcW w:w="2839" w:type="dxa"/>
            <w:vMerge/>
            <w:tcBorders>
              <w:left w:val="single" w:sz="8" w:space="0" w:color="000000"/>
              <w:bottom w:val="single" w:sz="8" w:space="0" w:color="000000"/>
              <w:right w:val="single" w:sz="8" w:space="0" w:color="000000"/>
            </w:tcBorders>
            <w:vAlign w:val="center"/>
          </w:tcPr>
          <w:p w14:paraId="5F1222C1" w14:textId="77777777" w:rsidR="002449C2" w:rsidRDefault="002449C2">
            <w:pPr>
              <w:shd w:val="clear" w:color="auto" w:fill="FFFFFF"/>
              <w:spacing w:after="0" w:line="240" w:lineRule="auto"/>
              <w:rPr>
                <w:rFonts w:ascii="Times New Roman" w:eastAsia="Times New Roman" w:hAnsi="Times New Roman"/>
                <w:b/>
                <w:bCs/>
                <w:color w:val="000000"/>
                <w:sz w:val="24"/>
                <w:szCs w:val="26"/>
                <w:lang w:eastAsia="ru-RU"/>
              </w:rPr>
            </w:pPr>
          </w:p>
        </w:tc>
        <w:tc>
          <w:tcPr>
            <w:tcW w:w="1174" w:type="dxa"/>
            <w:vMerge/>
            <w:tcBorders>
              <w:left w:val="single" w:sz="8" w:space="0" w:color="000000"/>
              <w:bottom w:val="single" w:sz="8" w:space="0" w:color="000000"/>
              <w:right w:val="single" w:sz="8" w:space="0" w:color="000000"/>
            </w:tcBorders>
            <w:vAlign w:val="center"/>
          </w:tcPr>
          <w:p w14:paraId="55CC3E4C" w14:textId="77777777" w:rsidR="002449C2" w:rsidRDefault="002449C2">
            <w:pPr>
              <w:shd w:val="clear" w:color="auto" w:fill="FFFFFF"/>
              <w:spacing w:after="0" w:line="240" w:lineRule="auto"/>
              <w:rPr>
                <w:rFonts w:ascii="Times New Roman" w:eastAsia="Times New Roman" w:hAnsi="Times New Roman"/>
                <w:b/>
                <w:bCs/>
                <w:color w:val="000000"/>
                <w:sz w:val="24"/>
                <w:szCs w:val="26"/>
                <w:lang w:eastAsia="ru-RU"/>
              </w:rPr>
            </w:pPr>
          </w:p>
        </w:tc>
        <w:tc>
          <w:tcPr>
            <w:tcW w:w="1243" w:type="dxa"/>
            <w:tcBorders>
              <w:bottom w:val="single" w:sz="8" w:space="0" w:color="000000"/>
              <w:right w:val="single" w:sz="8" w:space="0" w:color="000000"/>
            </w:tcBorders>
            <w:vAlign w:val="bottom"/>
          </w:tcPr>
          <w:p w14:paraId="177ED0F0" w14:textId="77777777" w:rsidR="002449C2" w:rsidRDefault="00123961">
            <w:pPr>
              <w:shd w:val="clear" w:color="auto" w:fill="FFFFFF"/>
              <w:spacing w:after="0" w:line="240" w:lineRule="auto"/>
              <w:jc w:val="center"/>
              <w:rPr>
                <w:rFonts w:ascii="Times New Roman" w:eastAsia="Times New Roman" w:hAnsi="Times New Roman"/>
                <w:b/>
                <w:bCs/>
                <w:color w:val="000000"/>
                <w:sz w:val="24"/>
                <w:szCs w:val="26"/>
                <w:lang w:eastAsia="ru-RU"/>
              </w:rPr>
            </w:pPr>
            <w:r>
              <w:rPr>
                <w:rFonts w:ascii="Times New Roman" w:eastAsia="Times New Roman" w:hAnsi="Times New Roman"/>
                <w:b/>
                <w:bCs/>
                <w:color w:val="000000"/>
                <w:sz w:val="24"/>
                <w:szCs w:val="26"/>
                <w:lang w:eastAsia="ru-RU"/>
              </w:rPr>
              <w:t>2022 год</w:t>
            </w:r>
          </w:p>
        </w:tc>
        <w:tc>
          <w:tcPr>
            <w:tcW w:w="1264" w:type="dxa"/>
            <w:tcBorders>
              <w:bottom w:val="single" w:sz="8" w:space="0" w:color="000000"/>
              <w:right w:val="single" w:sz="8" w:space="0" w:color="000000"/>
            </w:tcBorders>
            <w:vAlign w:val="bottom"/>
          </w:tcPr>
          <w:p w14:paraId="77224D2B" w14:textId="77777777" w:rsidR="002449C2" w:rsidRDefault="00123961">
            <w:pPr>
              <w:shd w:val="clear" w:color="auto" w:fill="FFFFFF"/>
              <w:spacing w:after="0" w:line="240" w:lineRule="auto"/>
              <w:jc w:val="center"/>
              <w:rPr>
                <w:rFonts w:ascii="Times New Roman" w:eastAsia="Times New Roman" w:hAnsi="Times New Roman"/>
                <w:b/>
                <w:bCs/>
                <w:color w:val="000000"/>
                <w:sz w:val="24"/>
                <w:szCs w:val="26"/>
                <w:lang w:eastAsia="ru-RU"/>
              </w:rPr>
            </w:pPr>
            <w:r>
              <w:rPr>
                <w:rFonts w:ascii="Times New Roman" w:eastAsia="Times New Roman" w:hAnsi="Times New Roman"/>
                <w:b/>
                <w:bCs/>
                <w:color w:val="000000"/>
                <w:sz w:val="24"/>
                <w:szCs w:val="26"/>
                <w:lang w:eastAsia="ru-RU"/>
              </w:rPr>
              <w:t>2023 год</w:t>
            </w:r>
          </w:p>
        </w:tc>
        <w:tc>
          <w:tcPr>
            <w:tcW w:w="1276" w:type="dxa"/>
            <w:tcBorders>
              <w:bottom w:val="single" w:sz="8" w:space="0" w:color="000000"/>
              <w:right w:val="single" w:sz="8" w:space="0" w:color="000000"/>
            </w:tcBorders>
            <w:vAlign w:val="bottom"/>
          </w:tcPr>
          <w:p w14:paraId="79F75D7C" w14:textId="77777777" w:rsidR="002449C2" w:rsidRDefault="00123961">
            <w:pPr>
              <w:shd w:val="clear" w:color="auto" w:fill="FFFFFF"/>
              <w:spacing w:after="0" w:line="240" w:lineRule="auto"/>
              <w:jc w:val="center"/>
              <w:rPr>
                <w:rFonts w:ascii="Times New Roman" w:eastAsia="Times New Roman" w:hAnsi="Times New Roman"/>
                <w:b/>
                <w:bCs/>
                <w:color w:val="000000"/>
                <w:sz w:val="24"/>
                <w:szCs w:val="26"/>
                <w:lang w:eastAsia="ru-RU"/>
              </w:rPr>
            </w:pPr>
            <w:r>
              <w:rPr>
                <w:rFonts w:ascii="Times New Roman" w:eastAsia="Times New Roman" w:hAnsi="Times New Roman"/>
                <w:b/>
                <w:bCs/>
                <w:color w:val="000000"/>
                <w:sz w:val="24"/>
                <w:szCs w:val="26"/>
                <w:lang w:eastAsia="ru-RU"/>
              </w:rPr>
              <w:t>2024 год</w:t>
            </w:r>
          </w:p>
        </w:tc>
        <w:tc>
          <w:tcPr>
            <w:tcW w:w="1484" w:type="dxa"/>
            <w:tcBorders>
              <w:bottom w:val="single" w:sz="8" w:space="0" w:color="000000"/>
              <w:right w:val="single" w:sz="8" w:space="0" w:color="000000"/>
            </w:tcBorders>
            <w:vAlign w:val="bottom"/>
          </w:tcPr>
          <w:p w14:paraId="21CA496C" w14:textId="77777777" w:rsidR="002449C2" w:rsidRDefault="00123961">
            <w:pPr>
              <w:shd w:val="clear" w:color="auto" w:fill="FFFFFF"/>
              <w:spacing w:after="0" w:line="240" w:lineRule="auto"/>
              <w:jc w:val="center"/>
              <w:rPr>
                <w:rFonts w:ascii="Times New Roman" w:eastAsia="Times New Roman" w:hAnsi="Times New Roman"/>
                <w:b/>
                <w:bCs/>
                <w:color w:val="000000"/>
                <w:sz w:val="24"/>
                <w:szCs w:val="26"/>
                <w:lang w:eastAsia="ru-RU"/>
              </w:rPr>
            </w:pPr>
            <w:r>
              <w:rPr>
                <w:rFonts w:ascii="Times New Roman" w:eastAsia="Times New Roman" w:hAnsi="Times New Roman"/>
                <w:b/>
                <w:bCs/>
                <w:color w:val="000000"/>
                <w:sz w:val="24"/>
                <w:szCs w:val="26"/>
                <w:lang w:eastAsia="ru-RU"/>
              </w:rPr>
              <w:t>Прирост %</w:t>
            </w:r>
          </w:p>
        </w:tc>
      </w:tr>
      <w:tr w:rsidR="002449C2" w14:paraId="48442BE0" w14:textId="77777777">
        <w:trPr>
          <w:trHeight w:val="322"/>
        </w:trPr>
        <w:tc>
          <w:tcPr>
            <w:tcW w:w="2839" w:type="dxa"/>
            <w:tcBorders>
              <w:left w:val="single" w:sz="8" w:space="0" w:color="000000"/>
              <w:bottom w:val="single" w:sz="8" w:space="0" w:color="000000"/>
              <w:right w:val="single" w:sz="8" w:space="0" w:color="000000"/>
            </w:tcBorders>
          </w:tcPr>
          <w:p w14:paraId="1699AF65" w14:textId="77777777" w:rsidR="002449C2" w:rsidRDefault="00123961">
            <w:pPr>
              <w:shd w:val="clear" w:color="auto" w:fill="FFFFFF"/>
              <w:spacing w:after="0" w:line="240" w:lineRule="auto"/>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Офисы обслуживания</w:t>
            </w:r>
          </w:p>
        </w:tc>
        <w:tc>
          <w:tcPr>
            <w:tcW w:w="1174" w:type="dxa"/>
            <w:tcBorders>
              <w:bottom w:val="single" w:sz="8" w:space="0" w:color="000000"/>
              <w:right w:val="single" w:sz="8" w:space="0" w:color="000000"/>
            </w:tcBorders>
            <w:vAlign w:val="center"/>
          </w:tcPr>
          <w:p w14:paraId="20EA6460"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тыс. шт.</w:t>
            </w:r>
          </w:p>
        </w:tc>
        <w:tc>
          <w:tcPr>
            <w:tcW w:w="1243" w:type="dxa"/>
            <w:tcBorders>
              <w:bottom w:val="single" w:sz="8" w:space="0" w:color="000000"/>
              <w:right w:val="single" w:sz="8" w:space="0" w:color="000000"/>
            </w:tcBorders>
            <w:vAlign w:val="center"/>
          </w:tcPr>
          <w:p w14:paraId="5B197092"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0,00</w:t>
            </w:r>
          </w:p>
        </w:tc>
        <w:tc>
          <w:tcPr>
            <w:tcW w:w="1264" w:type="dxa"/>
            <w:tcBorders>
              <w:bottom w:val="single" w:sz="8" w:space="0" w:color="000000"/>
              <w:right w:val="single" w:sz="8" w:space="0" w:color="000000"/>
            </w:tcBorders>
            <w:vAlign w:val="center"/>
          </w:tcPr>
          <w:p w14:paraId="7A0065A1"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10,65</w:t>
            </w:r>
          </w:p>
        </w:tc>
        <w:tc>
          <w:tcPr>
            <w:tcW w:w="1276" w:type="dxa"/>
            <w:tcBorders>
              <w:bottom w:val="single" w:sz="8" w:space="0" w:color="000000"/>
              <w:right w:val="single" w:sz="8" w:space="0" w:color="000000"/>
            </w:tcBorders>
            <w:vAlign w:val="center"/>
          </w:tcPr>
          <w:p w14:paraId="7C47D476"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7,5</w:t>
            </w:r>
          </w:p>
        </w:tc>
        <w:tc>
          <w:tcPr>
            <w:tcW w:w="1484" w:type="dxa"/>
            <w:tcBorders>
              <w:bottom w:val="single" w:sz="8" w:space="0" w:color="000000"/>
              <w:right w:val="single" w:sz="8" w:space="0" w:color="000000"/>
            </w:tcBorders>
            <w:vAlign w:val="center"/>
          </w:tcPr>
          <w:p w14:paraId="6AAEA02F"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-3,15</w:t>
            </w:r>
          </w:p>
        </w:tc>
      </w:tr>
      <w:tr w:rsidR="002449C2" w14:paraId="3283C1EE" w14:textId="77777777">
        <w:trPr>
          <w:trHeight w:val="322"/>
        </w:trPr>
        <w:tc>
          <w:tcPr>
            <w:tcW w:w="2839" w:type="dxa"/>
            <w:tcBorders>
              <w:left w:val="single" w:sz="8" w:space="0" w:color="000000"/>
              <w:bottom w:val="single" w:sz="8" w:space="0" w:color="000000"/>
              <w:right w:val="single" w:sz="8" w:space="0" w:color="000000"/>
            </w:tcBorders>
          </w:tcPr>
          <w:p w14:paraId="7A54136D" w14:textId="77777777" w:rsidR="002449C2" w:rsidRDefault="00123961">
            <w:pPr>
              <w:shd w:val="clear" w:color="auto" w:fill="FFFFFF"/>
              <w:spacing w:after="0" w:line="240" w:lineRule="auto"/>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Контактный центр</w:t>
            </w:r>
          </w:p>
        </w:tc>
        <w:tc>
          <w:tcPr>
            <w:tcW w:w="1174" w:type="dxa"/>
            <w:tcBorders>
              <w:bottom w:val="single" w:sz="8" w:space="0" w:color="000000"/>
              <w:right w:val="single" w:sz="8" w:space="0" w:color="000000"/>
            </w:tcBorders>
            <w:vAlign w:val="center"/>
          </w:tcPr>
          <w:p w14:paraId="067A41C0"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тыс. шт.</w:t>
            </w:r>
          </w:p>
        </w:tc>
        <w:tc>
          <w:tcPr>
            <w:tcW w:w="1243" w:type="dxa"/>
            <w:tcBorders>
              <w:bottom w:val="single" w:sz="8" w:space="0" w:color="000000"/>
              <w:right w:val="single" w:sz="8" w:space="0" w:color="000000"/>
            </w:tcBorders>
            <w:vAlign w:val="center"/>
          </w:tcPr>
          <w:p w14:paraId="1B390DB0"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166,10</w:t>
            </w:r>
          </w:p>
        </w:tc>
        <w:tc>
          <w:tcPr>
            <w:tcW w:w="1264" w:type="dxa"/>
            <w:tcBorders>
              <w:bottom w:val="single" w:sz="8" w:space="0" w:color="000000"/>
              <w:right w:val="single" w:sz="8" w:space="0" w:color="000000"/>
            </w:tcBorders>
            <w:vAlign w:val="center"/>
          </w:tcPr>
          <w:p w14:paraId="76CECF7B"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165,56</w:t>
            </w:r>
          </w:p>
        </w:tc>
        <w:tc>
          <w:tcPr>
            <w:tcW w:w="1276" w:type="dxa"/>
            <w:tcBorders>
              <w:bottom w:val="single" w:sz="8" w:space="0" w:color="000000"/>
              <w:right w:val="single" w:sz="8" w:space="0" w:color="000000"/>
            </w:tcBorders>
            <w:vAlign w:val="center"/>
          </w:tcPr>
          <w:p w14:paraId="76FAAAE0"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201</w:t>
            </w:r>
          </w:p>
        </w:tc>
        <w:tc>
          <w:tcPr>
            <w:tcW w:w="1484" w:type="dxa"/>
            <w:tcBorders>
              <w:bottom w:val="single" w:sz="8" w:space="0" w:color="000000"/>
              <w:right w:val="single" w:sz="8" w:space="0" w:color="000000"/>
            </w:tcBorders>
            <w:vAlign w:val="center"/>
          </w:tcPr>
          <w:p w14:paraId="097A43B2"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35,4</w:t>
            </w:r>
          </w:p>
        </w:tc>
      </w:tr>
      <w:tr w:rsidR="002449C2" w14:paraId="33195407" w14:textId="77777777">
        <w:trPr>
          <w:trHeight w:val="188"/>
        </w:trPr>
        <w:tc>
          <w:tcPr>
            <w:tcW w:w="2839" w:type="dxa"/>
            <w:tcBorders>
              <w:left w:val="single" w:sz="8" w:space="0" w:color="000000"/>
              <w:bottom w:val="single" w:sz="8" w:space="0" w:color="000000"/>
              <w:right w:val="single" w:sz="8" w:space="0" w:color="000000"/>
            </w:tcBorders>
          </w:tcPr>
          <w:p w14:paraId="03B39F22" w14:textId="77777777" w:rsidR="002449C2" w:rsidRDefault="00123961">
            <w:pPr>
              <w:shd w:val="clear" w:color="auto" w:fill="FFFFFF"/>
              <w:spacing w:after="0" w:line="240" w:lineRule="auto"/>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Почта</w:t>
            </w:r>
          </w:p>
        </w:tc>
        <w:tc>
          <w:tcPr>
            <w:tcW w:w="1174" w:type="dxa"/>
            <w:tcBorders>
              <w:bottom w:val="single" w:sz="8" w:space="0" w:color="000000"/>
              <w:right w:val="single" w:sz="8" w:space="0" w:color="000000"/>
            </w:tcBorders>
            <w:vAlign w:val="center"/>
          </w:tcPr>
          <w:p w14:paraId="1CEC7C66"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тыс. шт.</w:t>
            </w:r>
          </w:p>
        </w:tc>
        <w:tc>
          <w:tcPr>
            <w:tcW w:w="1243" w:type="dxa"/>
            <w:tcBorders>
              <w:bottom w:val="single" w:sz="8" w:space="0" w:color="000000"/>
              <w:right w:val="single" w:sz="8" w:space="0" w:color="000000"/>
            </w:tcBorders>
            <w:vAlign w:val="center"/>
          </w:tcPr>
          <w:p w14:paraId="376D0C81"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46,45</w:t>
            </w:r>
          </w:p>
        </w:tc>
        <w:tc>
          <w:tcPr>
            <w:tcW w:w="1264" w:type="dxa"/>
            <w:tcBorders>
              <w:bottom w:val="single" w:sz="8" w:space="0" w:color="000000"/>
              <w:right w:val="single" w:sz="8" w:space="0" w:color="000000"/>
            </w:tcBorders>
            <w:vAlign w:val="center"/>
          </w:tcPr>
          <w:p w14:paraId="6D857439"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62,63</w:t>
            </w:r>
          </w:p>
        </w:tc>
        <w:tc>
          <w:tcPr>
            <w:tcW w:w="1276" w:type="dxa"/>
            <w:tcBorders>
              <w:bottom w:val="single" w:sz="8" w:space="0" w:color="000000"/>
              <w:right w:val="single" w:sz="8" w:space="0" w:color="000000"/>
            </w:tcBorders>
            <w:vAlign w:val="center"/>
          </w:tcPr>
          <w:p w14:paraId="33C893DC"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52,4</w:t>
            </w:r>
          </w:p>
        </w:tc>
        <w:tc>
          <w:tcPr>
            <w:tcW w:w="1484" w:type="dxa"/>
            <w:tcBorders>
              <w:bottom w:val="single" w:sz="8" w:space="0" w:color="000000"/>
              <w:right w:val="single" w:sz="8" w:space="0" w:color="000000"/>
            </w:tcBorders>
            <w:vAlign w:val="center"/>
          </w:tcPr>
          <w:p w14:paraId="30DD4127"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-10,23</w:t>
            </w:r>
          </w:p>
        </w:tc>
      </w:tr>
      <w:tr w:rsidR="002449C2" w14:paraId="55CBD89F" w14:textId="77777777">
        <w:trPr>
          <w:trHeight w:val="264"/>
        </w:trPr>
        <w:tc>
          <w:tcPr>
            <w:tcW w:w="2839" w:type="dxa"/>
            <w:tcBorders>
              <w:left w:val="single" w:sz="8" w:space="0" w:color="000000"/>
              <w:bottom w:val="single" w:sz="8" w:space="0" w:color="000000"/>
              <w:right w:val="single" w:sz="8" w:space="0" w:color="000000"/>
            </w:tcBorders>
          </w:tcPr>
          <w:p w14:paraId="6DB968BB" w14:textId="77777777" w:rsidR="002449C2" w:rsidRDefault="00123961">
            <w:pPr>
              <w:shd w:val="clear" w:color="auto" w:fill="FFFFFF"/>
              <w:spacing w:after="0" w:line="240" w:lineRule="auto"/>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Интерактивные сервисы</w:t>
            </w:r>
          </w:p>
        </w:tc>
        <w:tc>
          <w:tcPr>
            <w:tcW w:w="1174" w:type="dxa"/>
            <w:tcBorders>
              <w:bottom w:val="single" w:sz="8" w:space="0" w:color="000000"/>
              <w:right w:val="single" w:sz="8" w:space="0" w:color="000000"/>
            </w:tcBorders>
            <w:vAlign w:val="center"/>
          </w:tcPr>
          <w:p w14:paraId="7CF3C61D"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тыс. шт.</w:t>
            </w:r>
          </w:p>
        </w:tc>
        <w:tc>
          <w:tcPr>
            <w:tcW w:w="1243" w:type="dxa"/>
            <w:tcBorders>
              <w:bottom w:val="single" w:sz="8" w:space="0" w:color="000000"/>
              <w:right w:val="single" w:sz="8" w:space="0" w:color="000000"/>
            </w:tcBorders>
            <w:vAlign w:val="center"/>
          </w:tcPr>
          <w:p w14:paraId="2F04543A"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40,18</w:t>
            </w:r>
          </w:p>
        </w:tc>
        <w:tc>
          <w:tcPr>
            <w:tcW w:w="1264" w:type="dxa"/>
            <w:tcBorders>
              <w:bottom w:val="single" w:sz="8" w:space="0" w:color="000000"/>
              <w:right w:val="single" w:sz="8" w:space="0" w:color="000000"/>
            </w:tcBorders>
            <w:vAlign w:val="center"/>
          </w:tcPr>
          <w:p w14:paraId="541FFB21"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36,34</w:t>
            </w:r>
          </w:p>
        </w:tc>
        <w:tc>
          <w:tcPr>
            <w:tcW w:w="1276" w:type="dxa"/>
            <w:tcBorders>
              <w:bottom w:val="single" w:sz="8" w:space="0" w:color="000000"/>
              <w:right w:val="single" w:sz="8" w:space="0" w:color="000000"/>
            </w:tcBorders>
            <w:vAlign w:val="center"/>
          </w:tcPr>
          <w:p w14:paraId="69F1F475"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38,03</w:t>
            </w:r>
          </w:p>
        </w:tc>
        <w:tc>
          <w:tcPr>
            <w:tcW w:w="1484" w:type="dxa"/>
            <w:tcBorders>
              <w:bottom w:val="single" w:sz="8" w:space="0" w:color="000000"/>
              <w:right w:val="single" w:sz="8" w:space="0" w:color="000000"/>
            </w:tcBorders>
            <w:vAlign w:val="center"/>
          </w:tcPr>
          <w:p w14:paraId="023C13AF"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1,69</w:t>
            </w:r>
          </w:p>
        </w:tc>
      </w:tr>
      <w:tr w:rsidR="002449C2" w14:paraId="093D6FF4" w14:textId="77777777">
        <w:trPr>
          <w:trHeight w:val="322"/>
        </w:trPr>
        <w:tc>
          <w:tcPr>
            <w:tcW w:w="2839" w:type="dxa"/>
            <w:tcBorders>
              <w:left w:val="single" w:sz="8" w:space="0" w:color="000000"/>
              <w:bottom w:val="single" w:sz="8" w:space="0" w:color="000000"/>
              <w:right w:val="single" w:sz="8" w:space="0" w:color="000000"/>
            </w:tcBorders>
          </w:tcPr>
          <w:p w14:paraId="08422083" w14:textId="77777777" w:rsidR="002449C2" w:rsidRDefault="00123961">
            <w:pPr>
              <w:shd w:val="clear" w:color="auto" w:fill="FFFFFF"/>
              <w:spacing w:after="0" w:line="240" w:lineRule="auto"/>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Социальные сети и мессенджеры</w:t>
            </w:r>
          </w:p>
        </w:tc>
        <w:tc>
          <w:tcPr>
            <w:tcW w:w="1174" w:type="dxa"/>
            <w:tcBorders>
              <w:bottom w:val="single" w:sz="8" w:space="0" w:color="000000"/>
              <w:right w:val="single" w:sz="8" w:space="0" w:color="000000"/>
            </w:tcBorders>
            <w:vAlign w:val="center"/>
          </w:tcPr>
          <w:p w14:paraId="6BE5F669"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тыс. шт.</w:t>
            </w:r>
          </w:p>
        </w:tc>
        <w:tc>
          <w:tcPr>
            <w:tcW w:w="1243" w:type="dxa"/>
            <w:tcBorders>
              <w:bottom w:val="single" w:sz="8" w:space="0" w:color="000000"/>
              <w:right w:val="single" w:sz="8" w:space="0" w:color="000000"/>
            </w:tcBorders>
            <w:vAlign w:val="center"/>
          </w:tcPr>
          <w:p w14:paraId="702B1C84"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0,00</w:t>
            </w:r>
          </w:p>
        </w:tc>
        <w:tc>
          <w:tcPr>
            <w:tcW w:w="1264" w:type="dxa"/>
            <w:tcBorders>
              <w:bottom w:val="single" w:sz="8" w:space="0" w:color="000000"/>
              <w:right w:val="single" w:sz="8" w:space="0" w:color="000000"/>
            </w:tcBorders>
            <w:vAlign w:val="center"/>
          </w:tcPr>
          <w:p w14:paraId="40F1F641"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0,33</w:t>
            </w:r>
          </w:p>
        </w:tc>
        <w:tc>
          <w:tcPr>
            <w:tcW w:w="1276" w:type="dxa"/>
            <w:tcBorders>
              <w:bottom w:val="single" w:sz="8" w:space="0" w:color="000000"/>
              <w:right w:val="single" w:sz="8" w:space="0" w:color="000000"/>
            </w:tcBorders>
            <w:vAlign w:val="center"/>
          </w:tcPr>
          <w:p w14:paraId="1D80F0A9"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1,242</w:t>
            </w:r>
          </w:p>
        </w:tc>
        <w:tc>
          <w:tcPr>
            <w:tcW w:w="1484" w:type="dxa"/>
            <w:tcBorders>
              <w:bottom w:val="single" w:sz="8" w:space="0" w:color="000000"/>
              <w:right w:val="single" w:sz="8" w:space="0" w:color="000000"/>
            </w:tcBorders>
            <w:vAlign w:val="center"/>
          </w:tcPr>
          <w:p w14:paraId="769D3D16"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0,912</w:t>
            </w:r>
          </w:p>
        </w:tc>
      </w:tr>
      <w:tr w:rsidR="002449C2" w14:paraId="7F7D83D3" w14:textId="77777777">
        <w:trPr>
          <w:trHeight w:val="188"/>
        </w:trPr>
        <w:tc>
          <w:tcPr>
            <w:tcW w:w="2839" w:type="dxa"/>
            <w:tcBorders>
              <w:left w:val="single" w:sz="8" w:space="0" w:color="000000"/>
              <w:bottom w:val="single" w:sz="4" w:space="0" w:color="000000"/>
              <w:right w:val="single" w:sz="8" w:space="0" w:color="000000"/>
            </w:tcBorders>
          </w:tcPr>
          <w:p w14:paraId="14FC99F7" w14:textId="77777777" w:rsidR="002449C2" w:rsidRDefault="00123961">
            <w:pPr>
              <w:shd w:val="clear" w:color="auto" w:fill="FFFFFF"/>
              <w:spacing w:after="0" w:line="240" w:lineRule="auto"/>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Прочее</w:t>
            </w:r>
          </w:p>
        </w:tc>
        <w:tc>
          <w:tcPr>
            <w:tcW w:w="1174" w:type="dxa"/>
            <w:tcBorders>
              <w:bottom w:val="single" w:sz="4" w:space="0" w:color="000000"/>
              <w:right w:val="single" w:sz="8" w:space="0" w:color="000000"/>
            </w:tcBorders>
            <w:vAlign w:val="center"/>
          </w:tcPr>
          <w:p w14:paraId="39AB66A8"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тыс. шт.</w:t>
            </w:r>
          </w:p>
        </w:tc>
        <w:tc>
          <w:tcPr>
            <w:tcW w:w="1243" w:type="dxa"/>
            <w:tcBorders>
              <w:bottom w:val="single" w:sz="4" w:space="0" w:color="000000"/>
              <w:right w:val="single" w:sz="8" w:space="0" w:color="000000"/>
            </w:tcBorders>
            <w:vAlign w:val="center"/>
          </w:tcPr>
          <w:p w14:paraId="7F8E1145"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74,50</w:t>
            </w:r>
          </w:p>
        </w:tc>
        <w:tc>
          <w:tcPr>
            <w:tcW w:w="1264" w:type="dxa"/>
            <w:tcBorders>
              <w:bottom w:val="single" w:sz="4" w:space="0" w:color="000000"/>
              <w:right w:val="single" w:sz="8" w:space="0" w:color="000000"/>
            </w:tcBorders>
            <w:vAlign w:val="center"/>
          </w:tcPr>
          <w:p w14:paraId="083986E5"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19,97</w:t>
            </w:r>
          </w:p>
        </w:tc>
        <w:tc>
          <w:tcPr>
            <w:tcW w:w="1276" w:type="dxa"/>
            <w:tcBorders>
              <w:bottom w:val="single" w:sz="4" w:space="0" w:color="000000"/>
              <w:right w:val="single" w:sz="8" w:space="0" w:color="000000"/>
            </w:tcBorders>
            <w:vAlign w:val="center"/>
          </w:tcPr>
          <w:p w14:paraId="21F8B85D"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32,1</w:t>
            </w:r>
          </w:p>
        </w:tc>
        <w:tc>
          <w:tcPr>
            <w:tcW w:w="1484" w:type="dxa"/>
            <w:tcBorders>
              <w:bottom w:val="single" w:sz="4" w:space="0" w:color="000000"/>
              <w:right w:val="single" w:sz="8" w:space="0" w:color="000000"/>
            </w:tcBorders>
            <w:vAlign w:val="center"/>
          </w:tcPr>
          <w:p w14:paraId="5DC591F6" w14:textId="77777777" w:rsidR="002449C2" w:rsidRDefault="00123961">
            <w:pPr>
              <w:shd w:val="clear" w:color="auto" w:fill="FFFFFF"/>
              <w:spacing w:after="0" w:line="240" w:lineRule="auto"/>
              <w:jc w:val="center"/>
              <w:rPr>
                <w:rFonts w:ascii="Times New Roman" w:eastAsia="Times New Roman" w:hAnsi="Times New Roman"/>
                <w:color w:val="000000"/>
                <w:sz w:val="24"/>
                <w:szCs w:val="26"/>
                <w:lang w:eastAsia="ru-RU"/>
              </w:rPr>
            </w:pPr>
            <w:r>
              <w:rPr>
                <w:rFonts w:ascii="Times New Roman" w:eastAsia="Times New Roman" w:hAnsi="Times New Roman"/>
                <w:color w:val="000000"/>
                <w:sz w:val="24"/>
                <w:szCs w:val="26"/>
                <w:lang w:eastAsia="ru-RU"/>
              </w:rPr>
              <w:t>-12,13</w:t>
            </w:r>
          </w:p>
        </w:tc>
      </w:tr>
    </w:tbl>
    <w:p w14:paraId="0D37205B" w14:textId="77777777" w:rsidR="002449C2" w:rsidRDefault="00123961">
      <w:pPr>
        <w:shd w:val="clear" w:color="auto" w:fill="FFFFFF"/>
        <w:spacing w:after="0" w:line="240" w:lineRule="auto"/>
        <w:ind w:firstLine="709"/>
        <w:jc w:val="both"/>
        <w:rPr>
          <w:rFonts w:ascii="Times New Roman" w:hAnsi="Times New Roman"/>
          <w:b/>
          <w:i/>
          <w:sz w:val="26"/>
          <w:szCs w:val="26"/>
          <w:lang w:eastAsia="en-US"/>
        </w:rPr>
      </w:pPr>
      <w:r>
        <w:br w:type="page"/>
      </w:r>
    </w:p>
    <w:p w14:paraId="16E0E95A" w14:textId="77777777" w:rsidR="002449C2" w:rsidRDefault="00123961">
      <w:pPr>
        <w:shd w:val="clear" w:color="auto" w:fill="FFFFFF"/>
        <w:tabs>
          <w:tab w:val="left" w:pos="0"/>
        </w:tabs>
        <w:spacing w:after="12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Заочное обслуживание посредством телефонной связи</w:t>
      </w:r>
    </w:p>
    <w:p w14:paraId="4D64CE34" w14:textId="77777777" w:rsidR="002449C2" w:rsidRDefault="00123961">
      <w:pPr>
        <w:widowControl w:val="0"/>
        <w:shd w:val="clear" w:color="auto" w:fill="FFFFFF"/>
        <w:tabs>
          <w:tab w:val="left" w:pos="1080"/>
          <w:tab w:val="left" w:pos="1320"/>
        </w:tabs>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2024 году продолжает функционировать заочное обслуживание потребителей услуг посредством телефонной связи в соответствии с требованиями Положения о горячей линии энергетиков «Светлая линия 220». </w:t>
      </w:r>
    </w:p>
    <w:p w14:paraId="2F4776AF" w14:textId="77777777" w:rsidR="002449C2" w:rsidRDefault="00123961">
      <w:pPr>
        <w:widowControl w:val="0"/>
        <w:shd w:val="clear" w:color="auto" w:fill="FFFFFF"/>
        <w:tabs>
          <w:tab w:val="left" w:pos="1080"/>
          <w:tab w:val="left" w:pos="1320"/>
        </w:tabs>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Прием звонков на горячую линию энергетиков «Светлая линия 220» с использованием единого федерального телефонного номера 8-800-220-0-220 и короткого 220 осуществляется круглосуточно без выходных и перерывов в формате 24х7х365. </w:t>
      </w:r>
    </w:p>
    <w:p w14:paraId="63A0F096" w14:textId="77777777" w:rsidR="002449C2" w:rsidRDefault="00123961">
      <w:pPr>
        <w:widowControl w:val="0"/>
        <w:shd w:val="clear" w:color="auto" w:fill="FFFFFF"/>
        <w:tabs>
          <w:tab w:val="left" w:pos="1080"/>
          <w:tab w:val="left" w:pos="1320"/>
        </w:tabs>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ПАО «Россети Юг» принято решение об исключении со 02.07.2024 услуги «Обработка голосовых входящих вызовов оператором» из состава услуг, предоставляемых АО «Россети Цифра» по Ростовской области. Звонки по территории обслуживания ростовского филиала осуществляется созданным Контакт центром филиала ПАО «Россети Юг» - «Ростовэнерго». </w:t>
      </w:r>
    </w:p>
    <w:p w14:paraId="303AA29B" w14:textId="77777777" w:rsidR="002449C2" w:rsidRDefault="00123961">
      <w:pPr>
        <w:widowControl w:val="0"/>
        <w:shd w:val="clear" w:color="auto" w:fill="FFFFFF"/>
        <w:tabs>
          <w:tab w:val="left" w:pos="1080"/>
          <w:tab w:val="left" w:pos="1320"/>
        </w:tabs>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Операторы осуществляют прием и регистрацию входящих вызовов, предоставление консультаций потребителям услуг в соответствии с требованиями «Стандартов качества обслуживания потребителей услуг» по вопросам нарушения электроснабжения, оказания услуг по передаче и учету электрической энергии, технологического присоединения, дополнительных сервисов и по другим вопросам деятельности компании. </w:t>
      </w:r>
    </w:p>
    <w:p w14:paraId="547CCE4D" w14:textId="77777777" w:rsidR="002449C2" w:rsidRDefault="00123961">
      <w:pPr>
        <w:shd w:val="clear" w:color="auto" w:fill="FFFFFF"/>
        <w:spacing w:after="160" w:line="259" w:lineRule="auto"/>
        <w:ind w:firstLine="567"/>
        <w:contextualSpacing/>
        <w:jc w:val="both"/>
        <w:rPr>
          <w:rFonts w:ascii="Times New Roman" w:hAnsi="Times New Roman"/>
          <w:sz w:val="26"/>
          <w:szCs w:val="26"/>
          <w:lang w:eastAsia="en-US"/>
        </w:rPr>
      </w:pPr>
      <w:r>
        <w:rPr>
          <w:rFonts w:ascii="Times New Roman" w:hAnsi="Times New Roman"/>
          <w:sz w:val="26"/>
          <w:szCs w:val="26"/>
          <w:lang w:eastAsia="en-US"/>
        </w:rPr>
        <w:t>В 2024 году по вопросам деятельности Общества на горячую линию поступило 255 447 звонков, что на 25% больше, чем в 2023 году. Основная тематика поступивших звонков – отключение электрической энергии.</w:t>
      </w:r>
    </w:p>
    <w:p w14:paraId="53035070" w14:textId="77777777" w:rsidR="002449C2" w:rsidRDefault="00123961">
      <w:pPr>
        <w:shd w:val="clear" w:color="auto" w:fill="FFFFFF"/>
        <w:spacing w:after="0" w:line="240" w:lineRule="auto"/>
        <w:ind w:firstLine="709"/>
        <w:jc w:val="both"/>
        <w:rPr>
          <w:rFonts w:ascii="Times New Roman" w:hAnsi="Times New Roman"/>
          <w:spacing w:val="20"/>
          <w:sz w:val="26"/>
          <w:szCs w:val="26"/>
          <w:lang w:eastAsia="en-US"/>
        </w:rPr>
      </w:pPr>
      <w:r>
        <w:rPr>
          <w:rFonts w:ascii="Times New Roman" w:hAnsi="Times New Roman"/>
          <w:spacing w:val="20"/>
          <w:sz w:val="26"/>
          <w:szCs w:val="26"/>
          <w:lang w:eastAsia="en-US"/>
        </w:rPr>
        <w:t>Единый контакт-центр компаний Группы «Россети» позволил решить задачи по минимизации потерянных вызовов, формированию единого формата общения операторов, а также поддержанию комфортных и удобных условий для клиентов.</w:t>
      </w:r>
    </w:p>
    <w:p w14:paraId="4131CB2E" w14:textId="77777777" w:rsidR="002449C2" w:rsidRDefault="002449C2">
      <w:pPr>
        <w:shd w:val="clear" w:color="auto" w:fill="FFFFFF"/>
        <w:tabs>
          <w:tab w:val="left" w:pos="0"/>
        </w:tabs>
        <w:spacing w:before="120" w:after="120" w:line="240" w:lineRule="auto"/>
        <w:ind w:firstLine="567"/>
        <w:jc w:val="center"/>
        <w:rPr>
          <w:rFonts w:ascii="Times New Roman" w:eastAsia="Times New Roman" w:hAnsi="Times New Roman"/>
          <w:b/>
          <w:color w:val="1D1B11"/>
          <w:sz w:val="26"/>
          <w:szCs w:val="26"/>
          <w:lang w:eastAsia="ru-RU"/>
        </w:rPr>
      </w:pPr>
    </w:p>
    <w:p w14:paraId="2E4C6C2B" w14:textId="77777777" w:rsidR="002449C2" w:rsidRDefault="00123961">
      <w:pPr>
        <w:shd w:val="clear" w:color="auto" w:fill="FFFFFF"/>
        <w:tabs>
          <w:tab w:val="left" w:pos="0"/>
        </w:tabs>
        <w:spacing w:before="120" w:after="12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Заочное интерактивное обслуживание через сеть «Интернет».</w:t>
      </w:r>
    </w:p>
    <w:p w14:paraId="44DE79E6" w14:textId="77777777" w:rsidR="002449C2" w:rsidRDefault="002449C2">
      <w:pPr>
        <w:shd w:val="clear" w:color="auto" w:fill="FFFFFF"/>
        <w:spacing w:after="0" w:line="240" w:lineRule="auto"/>
        <w:ind w:firstLine="709"/>
        <w:jc w:val="both"/>
        <w:rPr>
          <w:rFonts w:ascii="Times New Roman" w:hAnsi="Times New Roman"/>
          <w:sz w:val="26"/>
          <w:szCs w:val="26"/>
          <w:lang w:eastAsia="en-US"/>
        </w:rPr>
      </w:pPr>
    </w:p>
    <w:p w14:paraId="25F742F3"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ПАО «Россети Юг» заботится о доступности услуг для всех потребителей, экономя их время, расширяя инструменты обратной связи и активного диалога, активно развивая интерактивное обслуживание.</w:t>
      </w:r>
    </w:p>
    <w:p w14:paraId="19D02851"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Интерактивное обслуживание потребителей услуг организовано на базе раздела «Потребителям» страницы филиала на корпоративном сайте ПАО «Россети Юг» (https://rosseti-yug.ru).</w:t>
      </w:r>
    </w:p>
    <w:p w14:paraId="61A75C34"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В данном разделе потребителям доступна следующая информация и сервисы:</w:t>
      </w:r>
    </w:p>
    <w:p w14:paraId="6C891A3E" w14:textId="77777777" w:rsidR="002449C2" w:rsidRDefault="00123961">
      <w:pPr>
        <w:numPr>
          <w:ilvl w:val="0"/>
          <w:numId w:val="26"/>
        </w:numPr>
        <w:shd w:val="clear" w:color="auto" w:fill="FFFFFF"/>
        <w:spacing w:after="0" w:line="240" w:lineRule="auto"/>
        <w:ind w:left="0" w:firstLine="709"/>
        <w:jc w:val="both"/>
        <w:rPr>
          <w:rFonts w:ascii="Times New Roman" w:hAnsi="Times New Roman"/>
          <w:bCs/>
          <w:sz w:val="26"/>
          <w:szCs w:val="26"/>
          <w:lang w:eastAsia="en-US"/>
        </w:rPr>
      </w:pPr>
      <w:r>
        <w:rPr>
          <w:rFonts w:ascii="Times New Roman" w:hAnsi="Times New Roman"/>
          <w:bCs/>
          <w:sz w:val="26"/>
          <w:szCs w:val="26"/>
          <w:lang w:eastAsia="en-US"/>
        </w:rPr>
        <w:t xml:space="preserve">Техническое состояние сетей и наличие объема свободной мощности для технологического присоединения; </w:t>
      </w:r>
    </w:p>
    <w:p w14:paraId="62C0B72E" w14:textId="77777777" w:rsidR="002449C2" w:rsidRDefault="00123961">
      <w:pPr>
        <w:numPr>
          <w:ilvl w:val="0"/>
          <w:numId w:val="26"/>
        </w:numPr>
        <w:shd w:val="clear" w:color="auto" w:fill="FFFFFF"/>
        <w:spacing w:after="0" w:line="240" w:lineRule="auto"/>
        <w:ind w:left="0" w:firstLine="709"/>
        <w:jc w:val="both"/>
        <w:rPr>
          <w:rFonts w:ascii="Times New Roman" w:hAnsi="Times New Roman"/>
          <w:bCs/>
          <w:sz w:val="26"/>
          <w:szCs w:val="26"/>
          <w:lang w:eastAsia="en-US"/>
        </w:rPr>
      </w:pPr>
      <w:r>
        <w:rPr>
          <w:rFonts w:ascii="Times New Roman" w:hAnsi="Times New Roman"/>
          <w:bCs/>
          <w:sz w:val="26"/>
          <w:szCs w:val="26"/>
          <w:lang w:eastAsia="en-US"/>
        </w:rPr>
        <w:t>Контактная информация по всем офисам и центрам обслуживания потребителей;</w:t>
      </w:r>
    </w:p>
    <w:p w14:paraId="164046E4" w14:textId="77777777" w:rsidR="002449C2" w:rsidRDefault="00123961">
      <w:pPr>
        <w:numPr>
          <w:ilvl w:val="0"/>
          <w:numId w:val="26"/>
        </w:numPr>
        <w:shd w:val="clear" w:color="auto" w:fill="FFFFFF"/>
        <w:spacing w:after="0" w:line="240" w:lineRule="auto"/>
        <w:ind w:left="0" w:firstLine="709"/>
        <w:jc w:val="both"/>
        <w:rPr>
          <w:rFonts w:ascii="Times New Roman" w:hAnsi="Times New Roman"/>
          <w:bCs/>
          <w:sz w:val="26"/>
          <w:szCs w:val="26"/>
          <w:lang w:eastAsia="en-US"/>
        </w:rPr>
      </w:pPr>
      <w:r>
        <w:rPr>
          <w:rFonts w:ascii="Times New Roman" w:hAnsi="Times New Roman"/>
          <w:bCs/>
          <w:sz w:val="26"/>
          <w:szCs w:val="26"/>
          <w:lang w:eastAsia="en-US"/>
        </w:rPr>
        <w:t>Нормативные документы, типовые формы договоров, тарифы на услуги по передаче электрической энергии;</w:t>
      </w:r>
    </w:p>
    <w:p w14:paraId="3AEC50E0" w14:textId="77777777" w:rsidR="002449C2" w:rsidRDefault="00123961">
      <w:pPr>
        <w:numPr>
          <w:ilvl w:val="0"/>
          <w:numId w:val="26"/>
        </w:numPr>
        <w:shd w:val="clear" w:color="auto" w:fill="FFFFFF"/>
        <w:spacing w:after="0" w:line="240" w:lineRule="auto"/>
        <w:ind w:left="0" w:firstLine="709"/>
        <w:jc w:val="both"/>
        <w:rPr>
          <w:rFonts w:ascii="Times New Roman" w:hAnsi="Times New Roman"/>
          <w:bCs/>
          <w:sz w:val="26"/>
          <w:szCs w:val="26"/>
          <w:lang w:eastAsia="en-US"/>
        </w:rPr>
      </w:pPr>
      <w:r>
        <w:rPr>
          <w:rFonts w:ascii="Times New Roman" w:hAnsi="Times New Roman"/>
          <w:bCs/>
          <w:sz w:val="26"/>
          <w:szCs w:val="26"/>
          <w:lang w:eastAsia="en-US"/>
        </w:rPr>
        <w:t>Нормативные документы, порядок технологического присоединения, тарифы, сроки исполнения обязательств, аннулированных заявках, информация о лицах, имеющих намерение перераспределить максимальную мощность;</w:t>
      </w:r>
    </w:p>
    <w:p w14:paraId="16E7761F" w14:textId="77777777" w:rsidR="002449C2" w:rsidRDefault="00123961">
      <w:pPr>
        <w:numPr>
          <w:ilvl w:val="0"/>
          <w:numId w:val="26"/>
        </w:numPr>
        <w:shd w:val="clear" w:color="auto" w:fill="FFFFFF"/>
        <w:spacing w:after="0" w:line="240" w:lineRule="auto"/>
        <w:ind w:left="0" w:firstLine="709"/>
        <w:jc w:val="both"/>
        <w:rPr>
          <w:rFonts w:ascii="Times New Roman" w:hAnsi="Times New Roman"/>
          <w:bCs/>
          <w:sz w:val="26"/>
          <w:szCs w:val="26"/>
          <w:lang w:eastAsia="en-US"/>
        </w:rPr>
      </w:pPr>
      <w:r>
        <w:rPr>
          <w:rFonts w:ascii="Times New Roman" w:hAnsi="Times New Roman"/>
          <w:bCs/>
          <w:sz w:val="26"/>
          <w:szCs w:val="26"/>
          <w:lang w:eastAsia="en-US"/>
        </w:rPr>
        <w:t>Прейскурант цен, формы заявлений и договоров на дополнительные услуги;</w:t>
      </w:r>
    </w:p>
    <w:p w14:paraId="48AB4772"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bCs/>
          <w:sz w:val="26"/>
          <w:szCs w:val="26"/>
          <w:lang w:val="en-US" w:eastAsia="en-US"/>
        </w:rPr>
        <w:t>C</w:t>
      </w:r>
      <w:r>
        <w:rPr>
          <w:rFonts w:ascii="Times New Roman" w:hAnsi="Times New Roman"/>
          <w:bCs/>
          <w:sz w:val="26"/>
          <w:szCs w:val="26"/>
          <w:lang w:eastAsia="en-US"/>
        </w:rPr>
        <w:t>ервисы обратной связи с потребителями услуг доступны в единой точке доступа, реализованной на базе Портала электросетевых услуг ПАО «Россети» (портал-тп.рф).</w:t>
      </w:r>
      <w:r>
        <w:rPr>
          <w:rFonts w:ascii="Times New Roman" w:hAnsi="Times New Roman"/>
          <w:sz w:val="26"/>
          <w:szCs w:val="26"/>
          <w:lang w:eastAsia="en-US"/>
        </w:rPr>
        <w:t xml:space="preserve"> </w:t>
      </w:r>
    </w:p>
    <w:p w14:paraId="6DE0C57D" w14:textId="77777777" w:rsidR="002449C2" w:rsidRDefault="00123961">
      <w:pPr>
        <w:shd w:val="clear" w:color="auto" w:fill="FFFFFF"/>
        <w:spacing w:after="0" w:line="240" w:lineRule="auto"/>
        <w:ind w:firstLine="709"/>
        <w:jc w:val="both"/>
        <w:rPr>
          <w:rFonts w:ascii="Times New Roman" w:hAnsi="Times New Roman"/>
          <w:bCs/>
          <w:sz w:val="26"/>
          <w:szCs w:val="26"/>
          <w:lang w:eastAsia="en-US"/>
        </w:rPr>
      </w:pPr>
      <w:r>
        <w:rPr>
          <w:rFonts w:ascii="Times New Roman" w:hAnsi="Times New Roman"/>
          <w:bCs/>
          <w:sz w:val="26"/>
          <w:szCs w:val="26"/>
          <w:lang w:eastAsia="en-US"/>
        </w:rPr>
        <w:t>Для зарегистрированных пользователей Портала имеется возможность подать заявки и обращения в электронном виде в выбранную сетевую организацию на:</w:t>
      </w:r>
    </w:p>
    <w:p w14:paraId="63054DE2" w14:textId="77777777" w:rsidR="002449C2" w:rsidRDefault="00123961">
      <w:pPr>
        <w:numPr>
          <w:ilvl w:val="0"/>
          <w:numId w:val="41"/>
        </w:numPr>
        <w:shd w:val="clear" w:color="auto" w:fill="FFFFFF"/>
        <w:spacing w:after="0" w:line="240" w:lineRule="auto"/>
        <w:ind w:left="0" w:firstLine="709"/>
        <w:jc w:val="both"/>
        <w:rPr>
          <w:rFonts w:ascii="Times New Roman" w:hAnsi="Times New Roman"/>
          <w:bCs/>
          <w:sz w:val="26"/>
          <w:szCs w:val="26"/>
          <w:lang w:eastAsia="en-US"/>
        </w:rPr>
      </w:pPr>
      <w:r>
        <w:rPr>
          <w:rFonts w:ascii="Times New Roman" w:hAnsi="Times New Roman"/>
          <w:bCs/>
          <w:sz w:val="26"/>
          <w:szCs w:val="26"/>
          <w:lang w:eastAsia="en-US"/>
        </w:rPr>
        <w:t>технологическое присоединение энергопринимающих устройств;</w:t>
      </w:r>
    </w:p>
    <w:p w14:paraId="5D89D282" w14:textId="77777777" w:rsidR="002449C2" w:rsidRDefault="00123961">
      <w:pPr>
        <w:numPr>
          <w:ilvl w:val="0"/>
          <w:numId w:val="41"/>
        </w:numPr>
        <w:shd w:val="clear" w:color="auto" w:fill="FFFFFF"/>
        <w:spacing w:after="0" w:line="240" w:lineRule="auto"/>
        <w:ind w:left="0" w:firstLine="709"/>
        <w:jc w:val="both"/>
        <w:rPr>
          <w:rFonts w:ascii="Times New Roman" w:hAnsi="Times New Roman"/>
          <w:bCs/>
          <w:sz w:val="26"/>
          <w:szCs w:val="26"/>
          <w:lang w:eastAsia="en-US"/>
        </w:rPr>
      </w:pPr>
      <w:r>
        <w:rPr>
          <w:rFonts w:ascii="Times New Roman" w:hAnsi="Times New Roman"/>
          <w:bCs/>
          <w:sz w:val="26"/>
          <w:szCs w:val="26"/>
          <w:lang w:eastAsia="en-US"/>
        </w:rPr>
        <w:t>установку/замену приборов учета;</w:t>
      </w:r>
    </w:p>
    <w:p w14:paraId="0B5DA54A" w14:textId="77777777" w:rsidR="002449C2" w:rsidRDefault="00123961">
      <w:pPr>
        <w:numPr>
          <w:ilvl w:val="0"/>
          <w:numId w:val="41"/>
        </w:numPr>
        <w:shd w:val="clear" w:color="auto" w:fill="FFFFFF"/>
        <w:spacing w:after="0" w:line="240" w:lineRule="auto"/>
        <w:ind w:left="0" w:firstLine="709"/>
        <w:jc w:val="both"/>
        <w:rPr>
          <w:rFonts w:ascii="Times New Roman" w:hAnsi="Times New Roman"/>
          <w:bCs/>
          <w:sz w:val="26"/>
          <w:szCs w:val="26"/>
          <w:lang w:eastAsia="en-US"/>
        </w:rPr>
      </w:pPr>
      <w:r>
        <w:rPr>
          <w:rFonts w:ascii="Times New Roman" w:hAnsi="Times New Roman"/>
          <w:bCs/>
          <w:sz w:val="26"/>
          <w:szCs w:val="26"/>
          <w:lang w:eastAsia="en-US"/>
        </w:rPr>
        <w:t>перераспределение мощности, восстановление документов ТП;</w:t>
      </w:r>
    </w:p>
    <w:p w14:paraId="229AB61E" w14:textId="77777777" w:rsidR="002449C2" w:rsidRDefault="00123961">
      <w:pPr>
        <w:numPr>
          <w:ilvl w:val="0"/>
          <w:numId w:val="41"/>
        </w:numPr>
        <w:shd w:val="clear" w:color="auto" w:fill="FFFFFF"/>
        <w:spacing w:after="0" w:line="240" w:lineRule="auto"/>
        <w:ind w:left="0" w:firstLine="709"/>
        <w:jc w:val="both"/>
        <w:rPr>
          <w:rFonts w:ascii="Times New Roman" w:hAnsi="Times New Roman"/>
          <w:bCs/>
          <w:sz w:val="26"/>
          <w:szCs w:val="26"/>
          <w:lang w:eastAsia="en-US"/>
        </w:rPr>
      </w:pPr>
      <w:r>
        <w:rPr>
          <w:rFonts w:ascii="Times New Roman" w:hAnsi="Times New Roman"/>
          <w:bCs/>
          <w:sz w:val="26"/>
          <w:szCs w:val="26"/>
          <w:lang w:eastAsia="en-US"/>
        </w:rPr>
        <w:t>дополнительные услуги.</w:t>
      </w:r>
    </w:p>
    <w:p w14:paraId="24495326" w14:textId="77777777" w:rsidR="002449C2" w:rsidRDefault="00123961">
      <w:pPr>
        <w:shd w:val="clear" w:color="auto" w:fill="FFFFFF"/>
        <w:spacing w:after="0" w:line="240" w:lineRule="auto"/>
        <w:ind w:firstLine="709"/>
        <w:jc w:val="both"/>
        <w:rPr>
          <w:rFonts w:ascii="Times New Roman" w:hAnsi="Times New Roman"/>
          <w:bCs/>
          <w:sz w:val="26"/>
          <w:szCs w:val="26"/>
          <w:lang w:eastAsia="en-US"/>
        </w:rPr>
      </w:pPr>
      <w:r>
        <w:rPr>
          <w:rFonts w:ascii="Times New Roman" w:hAnsi="Times New Roman"/>
          <w:bCs/>
          <w:sz w:val="26"/>
          <w:szCs w:val="26"/>
          <w:lang w:eastAsia="en-US"/>
        </w:rPr>
        <w:t>С помощью Портала потребителю предоставлена возможность:</w:t>
      </w:r>
    </w:p>
    <w:p w14:paraId="2C079FC3" w14:textId="77777777" w:rsidR="002449C2" w:rsidRDefault="00123961">
      <w:pPr>
        <w:numPr>
          <w:ilvl w:val="0"/>
          <w:numId w:val="27"/>
        </w:numPr>
        <w:shd w:val="clear" w:color="auto" w:fill="FFFFFF"/>
        <w:spacing w:after="0" w:line="240" w:lineRule="auto"/>
        <w:ind w:left="0" w:firstLine="709"/>
        <w:jc w:val="both"/>
        <w:rPr>
          <w:rFonts w:ascii="Times New Roman" w:hAnsi="Times New Roman"/>
          <w:bCs/>
          <w:sz w:val="26"/>
          <w:szCs w:val="26"/>
          <w:lang w:eastAsia="en-US"/>
        </w:rPr>
      </w:pPr>
      <w:r>
        <w:rPr>
          <w:rFonts w:ascii="Times New Roman" w:hAnsi="Times New Roman"/>
          <w:bCs/>
          <w:sz w:val="26"/>
          <w:szCs w:val="26"/>
          <w:lang w:eastAsia="en-US"/>
        </w:rPr>
        <w:t>произвести расчет стоимости услуг необходимой мощности подключаемых устройств;</w:t>
      </w:r>
    </w:p>
    <w:p w14:paraId="3B88D634" w14:textId="77777777" w:rsidR="002449C2" w:rsidRDefault="00123961">
      <w:pPr>
        <w:numPr>
          <w:ilvl w:val="0"/>
          <w:numId w:val="27"/>
        </w:numPr>
        <w:shd w:val="clear" w:color="auto" w:fill="FFFFFF"/>
        <w:spacing w:after="0" w:line="240" w:lineRule="auto"/>
        <w:ind w:left="0" w:firstLine="709"/>
        <w:jc w:val="both"/>
        <w:rPr>
          <w:rFonts w:ascii="Times New Roman" w:hAnsi="Times New Roman"/>
          <w:bCs/>
          <w:sz w:val="26"/>
          <w:szCs w:val="26"/>
          <w:lang w:eastAsia="en-US"/>
        </w:rPr>
      </w:pPr>
      <w:r>
        <w:rPr>
          <w:rFonts w:ascii="Times New Roman" w:hAnsi="Times New Roman"/>
          <w:bCs/>
          <w:sz w:val="26"/>
          <w:szCs w:val="26"/>
          <w:lang w:eastAsia="en-US"/>
        </w:rPr>
        <w:t>найти точку подключения на интерактивной карте;</w:t>
      </w:r>
    </w:p>
    <w:p w14:paraId="0B8E64FB" w14:textId="77777777" w:rsidR="002449C2" w:rsidRDefault="00123961">
      <w:pPr>
        <w:numPr>
          <w:ilvl w:val="0"/>
          <w:numId w:val="27"/>
        </w:numPr>
        <w:shd w:val="clear" w:color="auto" w:fill="FFFFFF"/>
        <w:spacing w:after="0" w:line="240" w:lineRule="auto"/>
        <w:ind w:left="0" w:firstLine="709"/>
        <w:jc w:val="both"/>
        <w:rPr>
          <w:rFonts w:ascii="Times New Roman" w:hAnsi="Times New Roman"/>
          <w:bCs/>
          <w:sz w:val="26"/>
          <w:szCs w:val="26"/>
          <w:lang w:eastAsia="en-US"/>
        </w:rPr>
      </w:pPr>
      <w:r>
        <w:rPr>
          <w:rFonts w:ascii="Times New Roman" w:hAnsi="Times New Roman"/>
          <w:bCs/>
          <w:sz w:val="26"/>
          <w:szCs w:val="26"/>
          <w:lang w:eastAsia="en-US"/>
        </w:rPr>
        <w:t xml:space="preserve">оценить качество и доступность технологического присоединения к электрическим </w:t>
      </w:r>
      <w:proofErr w:type="gramStart"/>
      <w:r>
        <w:rPr>
          <w:rFonts w:ascii="Times New Roman" w:hAnsi="Times New Roman"/>
          <w:bCs/>
          <w:sz w:val="26"/>
          <w:szCs w:val="26"/>
          <w:lang w:eastAsia="en-US"/>
        </w:rPr>
        <w:t>сетям  и</w:t>
      </w:r>
      <w:proofErr w:type="gramEnd"/>
      <w:r>
        <w:rPr>
          <w:rFonts w:ascii="Times New Roman" w:hAnsi="Times New Roman"/>
          <w:bCs/>
          <w:sz w:val="26"/>
          <w:szCs w:val="26"/>
          <w:lang w:eastAsia="en-US"/>
        </w:rPr>
        <w:t xml:space="preserve"> др.</w:t>
      </w:r>
    </w:p>
    <w:p w14:paraId="70C4ADB9" w14:textId="77777777" w:rsidR="002449C2" w:rsidRDefault="00123961">
      <w:pPr>
        <w:numPr>
          <w:ilvl w:val="0"/>
          <w:numId w:val="27"/>
        </w:numPr>
        <w:shd w:val="clear" w:color="auto" w:fill="FFFFFF"/>
        <w:spacing w:after="160" w:line="259" w:lineRule="auto"/>
        <w:ind w:left="0" w:firstLine="709"/>
        <w:contextualSpacing/>
        <w:rPr>
          <w:rFonts w:ascii="Times New Roman" w:hAnsi="Times New Roman"/>
          <w:bCs/>
          <w:sz w:val="26"/>
          <w:szCs w:val="26"/>
          <w:lang w:eastAsia="en-US"/>
        </w:rPr>
      </w:pPr>
      <w:r>
        <w:rPr>
          <w:rFonts w:ascii="Times New Roman" w:hAnsi="Times New Roman"/>
          <w:bCs/>
          <w:sz w:val="26"/>
          <w:szCs w:val="26"/>
          <w:lang w:eastAsia="en-US"/>
        </w:rPr>
        <w:t>направить жалобу или обращение.</w:t>
      </w:r>
    </w:p>
    <w:p w14:paraId="4449896B"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Для удобства потребителей также функционирует мобильное приложение и есть возможность подать заявку на технологическое присоединение через портал Госуслуг.</w:t>
      </w:r>
    </w:p>
    <w:p w14:paraId="5429A769" w14:textId="77777777" w:rsidR="002449C2" w:rsidRDefault="00123961">
      <w:pPr>
        <w:shd w:val="clear" w:color="auto" w:fill="FFFFFF"/>
        <w:spacing w:after="0" w:line="240" w:lineRule="auto"/>
        <w:ind w:firstLine="709"/>
        <w:jc w:val="both"/>
        <w:rPr>
          <w:rFonts w:ascii="Times New Roman" w:hAnsi="Times New Roman"/>
          <w:bCs/>
          <w:sz w:val="26"/>
          <w:szCs w:val="26"/>
          <w:lang w:eastAsia="en-US"/>
        </w:rPr>
      </w:pPr>
      <w:r>
        <w:rPr>
          <w:rFonts w:ascii="Times New Roman" w:hAnsi="Times New Roman"/>
          <w:bCs/>
          <w:sz w:val="26"/>
          <w:szCs w:val="26"/>
          <w:lang w:eastAsia="en-US"/>
        </w:rPr>
        <w:t>Кроме того, обеспечено интерактивное обслуживание потребителей на следующих интернет-площадках:</w:t>
      </w:r>
    </w:p>
    <w:p w14:paraId="5D08434E" w14:textId="77777777" w:rsidR="002449C2" w:rsidRDefault="00123961">
      <w:pPr>
        <w:numPr>
          <w:ilvl w:val="0"/>
          <w:numId w:val="26"/>
        </w:numPr>
        <w:shd w:val="clear" w:color="auto" w:fill="FFFFFF"/>
        <w:spacing w:after="0" w:line="240" w:lineRule="auto"/>
        <w:ind w:firstLine="709"/>
        <w:jc w:val="both"/>
        <w:rPr>
          <w:rFonts w:ascii="Times New Roman" w:hAnsi="Times New Roman"/>
          <w:bCs/>
          <w:sz w:val="26"/>
          <w:szCs w:val="26"/>
          <w:lang w:eastAsia="en-US"/>
        </w:rPr>
      </w:pPr>
      <w:r>
        <w:rPr>
          <w:rFonts w:ascii="Times New Roman" w:hAnsi="Times New Roman"/>
          <w:bCs/>
          <w:sz w:val="26"/>
          <w:szCs w:val="26"/>
          <w:lang w:eastAsia="en-US"/>
        </w:rPr>
        <w:t>Запись на День потребителя (https://dp.rosseti-yug.ru/);</w:t>
      </w:r>
    </w:p>
    <w:p w14:paraId="210AF136" w14:textId="77777777" w:rsidR="002449C2" w:rsidRDefault="00123961">
      <w:pPr>
        <w:numPr>
          <w:ilvl w:val="0"/>
          <w:numId w:val="26"/>
        </w:num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bCs/>
          <w:sz w:val="26"/>
          <w:szCs w:val="26"/>
          <w:lang w:eastAsia="en-US"/>
        </w:rPr>
        <w:t>Портал обратной связи «Светлая страна» (</w:t>
      </w:r>
      <w:proofErr w:type="gramStart"/>
      <w:r>
        <w:rPr>
          <w:rFonts w:ascii="Times New Roman" w:hAnsi="Times New Roman"/>
          <w:bCs/>
          <w:sz w:val="26"/>
          <w:szCs w:val="26"/>
          <w:lang w:eastAsia="en-US"/>
        </w:rPr>
        <w:t>светлаястрана.рф</w:t>
      </w:r>
      <w:proofErr w:type="gramEnd"/>
      <w:r>
        <w:rPr>
          <w:rFonts w:ascii="Times New Roman" w:hAnsi="Times New Roman"/>
          <w:bCs/>
          <w:sz w:val="26"/>
          <w:szCs w:val="26"/>
          <w:lang w:eastAsia="en-US"/>
        </w:rPr>
        <w:t>).</w:t>
      </w:r>
    </w:p>
    <w:p w14:paraId="3BD47158"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 xml:space="preserve">С помощью Портала «Светлая страна» потребители могут оставить сообщения о таких проблемах как: </w:t>
      </w:r>
    </w:p>
    <w:p w14:paraId="600D16CE" w14:textId="77777777" w:rsidR="002449C2" w:rsidRDefault="00123961">
      <w:pPr>
        <w:numPr>
          <w:ilvl w:val="0"/>
          <w:numId w:val="15"/>
        </w:numPr>
        <w:shd w:val="clear" w:color="auto" w:fill="FFFFFF"/>
        <w:spacing w:after="0" w:line="240" w:lineRule="auto"/>
        <w:ind w:hanging="1429"/>
        <w:contextualSpacing/>
        <w:jc w:val="both"/>
        <w:rPr>
          <w:rFonts w:ascii="Times New Roman" w:hAnsi="Times New Roman"/>
          <w:sz w:val="26"/>
          <w:szCs w:val="26"/>
          <w:lang w:eastAsia="en-US"/>
        </w:rPr>
      </w:pPr>
      <w:r>
        <w:rPr>
          <w:rFonts w:ascii="Times New Roman" w:hAnsi="Times New Roman"/>
          <w:sz w:val="26"/>
          <w:szCs w:val="26"/>
          <w:lang w:eastAsia="en-US"/>
        </w:rPr>
        <w:t>отключение электроэнергии;</w:t>
      </w:r>
    </w:p>
    <w:p w14:paraId="7130D4DE" w14:textId="77777777" w:rsidR="002449C2" w:rsidRDefault="00123961">
      <w:pPr>
        <w:numPr>
          <w:ilvl w:val="0"/>
          <w:numId w:val="15"/>
        </w:numPr>
        <w:shd w:val="clear" w:color="auto" w:fill="FFFFFF"/>
        <w:spacing w:after="0" w:line="240" w:lineRule="auto"/>
        <w:ind w:hanging="1429"/>
        <w:contextualSpacing/>
        <w:jc w:val="both"/>
        <w:rPr>
          <w:rFonts w:ascii="Times New Roman" w:hAnsi="Times New Roman"/>
          <w:sz w:val="26"/>
          <w:szCs w:val="26"/>
          <w:lang w:eastAsia="en-US"/>
        </w:rPr>
      </w:pPr>
      <w:r>
        <w:rPr>
          <w:rFonts w:ascii="Times New Roman" w:hAnsi="Times New Roman"/>
          <w:sz w:val="26"/>
          <w:szCs w:val="26"/>
          <w:lang w:eastAsia="en-US"/>
        </w:rPr>
        <w:t>колебания напряжения / низкое напряжение;</w:t>
      </w:r>
    </w:p>
    <w:p w14:paraId="79634866" w14:textId="77777777" w:rsidR="002449C2" w:rsidRDefault="00123961">
      <w:pPr>
        <w:numPr>
          <w:ilvl w:val="0"/>
          <w:numId w:val="15"/>
        </w:numPr>
        <w:shd w:val="clear" w:color="auto" w:fill="FFFFFF"/>
        <w:spacing w:after="0" w:line="240" w:lineRule="auto"/>
        <w:ind w:hanging="1429"/>
        <w:contextualSpacing/>
        <w:jc w:val="both"/>
        <w:rPr>
          <w:rFonts w:ascii="Times New Roman" w:hAnsi="Times New Roman"/>
          <w:sz w:val="26"/>
          <w:szCs w:val="26"/>
          <w:lang w:eastAsia="en-US"/>
        </w:rPr>
      </w:pPr>
      <w:r>
        <w:rPr>
          <w:rFonts w:ascii="Times New Roman" w:hAnsi="Times New Roman"/>
          <w:sz w:val="26"/>
          <w:szCs w:val="26"/>
          <w:lang w:eastAsia="en-US"/>
        </w:rPr>
        <w:t>дефекты электрооборудования.</w:t>
      </w:r>
    </w:p>
    <w:p w14:paraId="70DD65B7"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Срок ответа на сообщение составляет 8 рабочих дней с момента публикации сообщения. Проблема будет устранена, либо будет предоставлен конкретный срок ее решения.</w:t>
      </w:r>
    </w:p>
    <w:p w14:paraId="789416A3" w14:textId="77777777" w:rsidR="002449C2" w:rsidRDefault="002449C2">
      <w:pPr>
        <w:shd w:val="clear" w:color="auto" w:fill="FFFFFF"/>
        <w:tabs>
          <w:tab w:val="left" w:pos="0"/>
        </w:tabs>
        <w:spacing w:after="0" w:line="240" w:lineRule="auto"/>
        <w:ind w:firstLine="567"/>
        <w:jc w:val="center"/>
        <w:rPr>
          <w:rFonts w:ascii="Times New Roman" w:eastAsia="Times New Roman" w:hAnsi="Times New Roman"/>
          <w:b/>
          <w:color w:val="1D1B11"/>
          <w:sz w:val="26"/>
          <w:szCs w:val="26"/>
          <w:lang w:eastAsia="ru-RU"/>
        </w:rPr>
      </w:pPr>
    </w:p>
    <w:p w14:paraId="6435607A" w14:textId="77777777" w:rsidR="002449C2" w:rsidRDefault="00123961">
      <w:pPr>
        <w:shd w:val="clear" w:color="auto" w:fill="FFFFFF"/>
        <w:tabs>
          <w:tab w:val="left" w:pos="0"/>
        </w:tabs>
        <w:spacing w:after="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Оценка уровня удовлетворенности потребителей качеством услуг</w:t>
      </w:r>
    </w:p>
    <w:p w14:paraId="6EC30C7F" w14:textId="77777777" w:rsidR="002449C2" w:rsidRDefault="00123961">
      <w:pPr>
        <w:shd w:val="clear" w:color="auto" w:fill="FFFFFF"/>
        <w:tabs>
          <w:tab w:val="left" w:pos="0"/>
        </w:tabs>
        <w:spacing w:after="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 xml:space="preserve"> и обслуживания.</w:t>
      </w:r>
    </w:p>
    <w:p w14:paraId="4BC35EB8"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color w:val="767171"/>
          <w:sz w:val="26"/>
          <w:szCs w:val="26"/>
          <w:lang w:eastAsia="ru-RU"/>
        </w:rPr>
      </w:pPr>
      <w:r>
        <w:rPr>
          <w:rFonts w:ascii="Times New Roman" w:eastAsia="Times New Roman" w:hAnsi="Times New Roman"/>
          <w:color w:val="767171"/>
          <w:sz w:val="26"/>
          <w:szCs w:val="26"/>
          <w:lang w:eastAsia="ru-RU"/>
        </w:rPr>
        <w:t>GRI 416-1</w:t>
      </w:r>
    </w:p>
    <w:p w14:paraId="211598FB"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Для изучения мнения потребителей услуг о качестве предоставляемых услуг на регулярной основе проводится анкетирование потребителей услуг. В 2024 году опрошено 468 респондента.</w:t>
      </w:r>
    </w:p>
    <w:p w14:paraId="549A8A62" w14:textId="77777777" w:rsidR="002449C2" w:rsidRDefault="00123961">
      <w:pPr>
        <w:shd w:val="clear" w:color="auto" w:fill="FFFFFF"/>
        <w:tabs>
          <w:tab w:val="left" w:pos="567"/>
        </w:tabs>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 xml:space="preserve">В ходе опроса респонденты оценивали степень соответствия предлагаемых услуг их ожиданиям, общее качество обслуживания, доступность процедуры технологического присоединения. </w:t>
      </w:r>
    </w:p>
    <w:p w14:paraId="47BBAA17" w14:textId="77777777" w:rsidR="002449C2" w:rsidRDefault="00123961">
      <w:pPr>
        <w:shd w:val="clear" w:color="auto" w:fill="FFFFFF"/>
        <w:tabs>
          <w:tab w:val="left" w:pos="567"/>
        </w:tabs>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Полученные статистические данные говорят о том, что потребители в целом положительно оценивают уровень обслуживания клиентов и удовлетворены качеством оказываемых услуг в филиалах ПАО «Россети Юг».</w:t>
      </w:r>
    </w:p>
    <w:p w14:paraId="0579220E" w14:textId="77777777" w:rsidR="002449C2" w:rsidRDefault="00123961">
      <w:pPr>
        <w:shd w:val="clear" w:color="auto" w:fill="FFFFFF"/>
        <w:tabs>
          <w:tab w:val="left" w:pos="0"/>
        </w:tabs>
        <w:spacing w:before="120" w:after="120" w:line="240" w:lineRule="auto"/>
        <w:ind w:firstLine="567"/>
        <w:jc w:val="center"/>
        <w:rPr>
          <w:rFonts w:ascii="Times New Roman" w:eastAsia="Times New Roman" w:hAnsi="Times New Roman"/>
          <w:b/>
          <w:color w:val="1D1B11"/>
          <w:sz w:val="26"/>
          <w:szCs w:val="26"/>
          <w:highlight w:val="green"/>
          <w:lang w:eastAsia="ru-RU"/>
        </w:rPr>
      </w:pPr>
      <w:r>
        <w:br w:type="page"/>
      </w:r>
    </w:p>
    <w:p w14:paraId="131C2391" w14:textId="77777777" w:rsidR="002449C2" w:rsidRDefault="00123961">
      <w:pPr>
        <w:shd w:val="clear" w:color="auto" w:fill="FFFFFF"/>
        <w:tabs>
          <w:tab w:val="left" w:pos="0"/>
        </w:tabs>
        <w:spacing w:after="12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Мероприятия, проводимые ПАО «Россети Юг» по улучшению клиентской работы</w:t>
      </w:r>
    </w:p>
    <w:p w14:paraId="398D3928" w14:textId="77777777" w:rsidR="002449C2" w:rsidRDefault="00123961">
      <w:pPr>
        <w:numPr>
          <w:ilvl w:val="0"/>
          <w:numId w:val="42"/>
        </w:numPr>
        <w:shd w:val="clear" w:color="auto" w:fill="FFFFFF"/>
        <w:tabs>
          <w:tab w:val="left" w:pos="567"/>
          <w:tab w:val="left" w:pos="851"/>
        </w:tabs>
        <w:spacing w:after="0" w:line="240" w:lineRule="auto"/>
        <w:ind w:left="0" w:firstLine="567"/>
        <w:contextualSpacing/>
        <w:jc w:val="both"/>
        <w:rPr>
          <w:rFonts w:ascii="Times New Roman" w:hAnsi="Times New Roman"/>
          <w:sz w:val="26"/>
          <w:szCs w:val="26"/>
          <w:lang w:eastAsia="en-US"/>
        </w:rPr>
      </w:pPr>
      <w:r>
        <w:rPr>
          <w:rFonts w:ascii="Times New Roman" w:hAnsi="Times New Roman"/>
          <w:sz w:val="26"/>
          <w:szCs w:val="26"/>
          <w:lang w:eastAsia="en-US"/>
        </w:rPr>
        <w:t>утверждены и введены в действие Требования по обработке обращений (жалоб) в корпоративном программном комплексе Общества, а также памятка делового этикета для работников офисов обслуживания потребителей услуг и работников подразделений, осуществляющих непосредственное взаимодействие с потребителями при оказании услуг</w:t>
      </w:r>
    </w:p>
    <w:p w14:paraId="79D6984E" w14:textId="77777777" w:rsidR="002449C2" w:rsidRDefault="00123961">
      <w:pPr>
        <w:numPr>
          <w:ilvl w:val="0"/>
          <w:numId w:val="42"/>
        </w:numPr>
        <w:shd w:val="clear" w:color="auto" w:fill="FFFFFF"/>
        <w:tabs>
          <w:tab w:val="left" w:pos="567"/>
          <w:tab w:val="left" w:pos="851"/>
        </w:tabs>
        <w:spacing w:after="0" w:line="240" w:lineRule="auto"/>
        <w:ind w:left="0" w:firstLine="567"/>
        <w:contextualSpacing/>
        <w:jc w:val="both"/>
        <w:rPr>
          <w:rFonts w:ascii="Times New Roman" w:hAnsi="Times New Roman"/>
          <w:sz w:val="26"/>
          <w:szCs w:val="26"/>
          <w:lang w:eastAsia="en-US"/>
        </w:rPr>
      </w:pPr>
      <w:r>
        <w:rPr>
          <w:rFonts w:ascii="Times New Roman" w:hAnsi="Times New Roman"/>
          <w:sz w:val="26"/>
          <w:szCs w:val="26"/>
          <w:lang w:eastAsia="en-US"/>
        </w:rPr>
        <w:t>обновлен раздел «Потребителям» на официальном сайте ПАО «Россети Юг»;</w:t>
      </w:r>
    </w:p>
    <w:p w14:paraId="389DF44E" w14:textId="77777777" w:rsidR="002449C2" w:rsidRDefault="00123961">
      <w:pPr>
        <w:numPr>
          <w:ilvl w:val="0"/>
          <w:numId w:val="42"/>
        </w:numPr>
        <w:shd w:val="clear" w:color="auto" w:fill="FFFFFF"/>
        <w:tabs>
          <w:tab w:val="left" w:pos="567"/>
          <w:tab w:val="left" w:pos="851"/>
        </w:tabs>
        <w:spacing w:after="0" w:line="240" w:lineRule="auto"/>
        <w:ind w:left="0" w:firstLine="567"/>
        <w:contextualSpacing/>
        <w:jc w:val="both"/>
        <w:rPr>
          <w:rFonts w:ascii="Times New Roman" w:hAnsi="Times New Roman"/>
          <w:sz w:val="26"/>
          <w:szCs w:val="26"/>
          <w:lang w:eastAsia="en-US"/>
        </w:rPr>
      </w:pPr>
      <w:r>
        <w:rPr>
          <w:rFonts w:ascii="Times New Roman" w:hAnsi="Times New Roman"/>
          <w:sz w:val="26"/>
          <w:szCs w:val="26"/>
          <w:lang w:eastAsia="en-US"/>
        </w:rPr>
        <w:t>утверждена и внедрена Программа обучения работников, задействованных в обслуживании потребителей по направлению взаимодействия с клиентами, продаж услуг и развитию дополнительных сервисов;</w:t>
      </w:r>
    </w:p>
    <w:p w14:paraId="1EB21381" w14:textId="77777777" w:rsidR="002449C2" w:rsidRDefault="00123961">
      <w:pPr>
        <w:numPr>
          <w:ilvl w:val="0"/>
          <w:numId w:val="42"/>
        </w:numPr>
        <w:shd w:val="clear" w:color="auto" w:fill="FFFFFF"/>
        <w:tabs>
          <w:tab w:val="left" w:pos="567"/>
          <w:tab w:val="left" w:pos="851"/>
        </w:tabs>
        <w:spacing w:after="0" w:line="240" w:lineRule="auto"/>
        <w:ind w:left="0" w:firstLine="567"/>
        <w:contextualSpacing/>
        <w:jc w:val="both"/>
        <w:rPr>
          <w:rFonts w:ascii="Times New Roman" w:hAnsi="Times New Roman"/>
          <w:sz w:val="26"/>
          <w:szCs w:val="26"/>
          <w:lang w:eastAsia="en-US"/>
        </w:rPr>
      </w:pPr>
      <w:r>
        <w:rPr>
          <w:rFonts w:ascii="Times New Roman" w:hAnsi="Times New Roman"/>
          <w:sz w:val="26"/>
          <w:szCs w:val="26"/>
          <w:lang w:eastAsia="en-US"/>
        </w:rPr>
        <w:t>проведены семинары-совещания с потенциальными и действующими клиентами в регионах присутствия с целью повышения информированности об услугах и сервисах;</w:t>
      </w:r>
    </w:p>
    <w:p w14:paraId="30A2F410" w14:textId="77777777" w:rsidR="002449C2" w:rsidRDefault="00123961">
      <w:pPr>
        <w:numPr>
          <w:ilvl w:val="0"/>
          <w:numId w:val="42"/>
        </w:numPr>
        <w:shd w:val="clear" w:color="auto" w:fill="FFFFFF"/>
        <w:tabs>
          <w:tab w:val="left" w:pos="567"/>
          <w:tab w:val="left" w:pos="851"/>
        </w:tabs>
        <w:spacing w:after="0" w:line="240" w:lineRule="auto"/>
        <w:ind w:left="0" w:firstLine="567"/>
        <w:contextualSpacing/>
        <w:jc w:val="both"/>
        <w:rPr>
          <w:rFonts w:ascii="Times New Roman" w:hAnsi="Times New Roman"/>
          <w:sz w:val="26"/>
          <w:szCs w:val="26"/>
          <w:lang w:eastAsia="en-US"/>
        </w:rPr>
      </w:pPr>
      <w:r>
        <w:rPr>
          <w:rFonts w:ascii="Times New Roman" w:hAnsi="Times New Roman"/>
          <w:sz w:val="26"/>
          <w:szCs w:val="26"/>
          <w:lang w:eastAsia="en-US"/>
        </w:rPr>
        <w:t>силами филиалов проведено анкетирование потребителей услуг в части изучения удовлетворенности качеством оказываемых услуг;</w:t>
      </w:r>
    </w:p>
    <w:p w14:paraId="7679C620" w14:textId="77777777" w:rsidR="002449C2" w:rsidRDefault="00123961">
      <w:pPr>
        <w:numPr>
          <w:ilvl w:val="0"/>
          <w:numId w:val="42"/>
        </w:numPr>
        <w:shd w:val="clear" w:color="auto" w:fill="FFFFFF"/>
        <w:tabs>
          <w:tab w:val="left" w:pos="851"/>
        </w:tabs>
        <w:spacing w:after="0" w:line="240" w:lineRule="auto"/>
        <w:ind w:left="0" w:firstLine="567"/>
        <w:contextualSpacing/>
        <w:jc w:val="both"/>
        <w:rPr>
          <w:rFonts w:ascii="Times New Roman" w:hAnsi="Times New Roman"/>
          <w:sz w:val="26"/>
          <w:szCs w:val="26"/>
          <w:lang w:eastAsia="en-US"/>
        </w:rPr>
      </w:pPr>
      <w:r>
        <w:rPr>
          <w:rFonts w:ascii="Times New Roman" w:hAnsi="Times New Roman"/>
          <w:sz w:val="26"/>
          <w:szCs w:val="26"/>
          <w:lang w:eastAsia="en-US"/>
        </w:rPr>
        <w:t>организовано взаимодействие с центрами управления регионами АНО «Диалог Регионы» на территории присутствия Общества;</w:t>
      </w:r>
    </w:p>
    <w:p w14:paraId="38B2C24C" w14:textId="77777777" w:rsidR="002449C2" w:rsidRDefault="00123961">
      <w:pPr>
        <w:numPr>
          <w:ilvl w:val="0"/>
          <w:numId w:val="42"/>
        </w:numPr>
        <w:shd w:val="clear" w:color="auto" w:fill="FFFFFF"/>
        <w:tabs>
          <w:tab w:val="left" w:pos="851"/>
        </w:tabs>
        <w:spacing w:after="0" w:line="240" w:lineRule="auto"/>
        <w:ind w:left="0" w:firstLine="567"/>
        <w:contextualSpacing/>
        <w:jc w:val="both"/>
        <w:rPr>
          <w:rFonts w:ascii="Times New Roman" w:hAnsi="Times New Roman"/>
          <w:sz w:val="26"/>
          <w:szCs w:val="26"/>
          <w:lang w:eastAsia="en-US"/>
        </w:rPr>
      </w:pPr>
      <w:r>
        <w:rPr>
          <w:rFonts w:ascii="Times New Roman" w:hAnsi="Times New Roman"/>
          <w:sz w:val="26"/>
          <w:szCs w:val="26"/>
          <w:lang w:eastAsia="en-US"/>
        </w:rPr>
        <w:t>на официальном сайте компании обновлен проект «День потребителя», разработан и реализован веб-интерфейс анкеты потребителя;</w:t>
      </w:r>
    </w:p>
    <w:p w14:paraId="3CD49D13" w14:textId="77777777" w:rsidR="002449C2" w:rsidRDefault="00123961">
      <w:pPr>
        <w:numPr>
          <w:ilvl w:val="0"/>
          <w:numId w:val="42"/>
        </w:numPr>
        <w:shd w:val="clear" w:color="auto" w:fill="FFFFFF"/>
        <w:tabs>
          <w:tab w:val="left" w:pos="851"/>
        </w:tabs>
        <w:spacing w:after="0" w:line="240" w:lineRule="auto"/>
        <w:ind w:left="0" w:firstLine="567"/>
        <w:contextualSpacing/>
        <w:jc w:val="both"/>
        <w:rPr>
          <w:rFonts w:ascii="Times New Roman" w:hAnsi="Times New Roman"/>
          <w:sz w:val="26"/>
          <w:szCs w:val="26"/>
          <w:lang w:eastAsia="en-US"/>
        </w:rPr>
      </w:pPr>
      <w:r>
        <w:rPr>
          <w:rFonts w:ascii="Times New Roman" w:hAnsi="Times New Roman"/>
          <w:sz w:val="26"/>
          <w:szCs w:val="26"/>
          <w:lang w:eastAsia="en-US"/>
        </w:rPr>
        <w:t xml:space="preserve">пересмотрены сценарии обработки входящих и исходящих вызовов посредством горячей линии энергетиков «Светлая линия 220» Единого контактного центра; </w:t>
      </w:r>
    </w:p>
    <w:p w14:paraId="439AB5F9" w14:textId="77777777" w:rsidR="002449C2" w:rsidRDefault="00123961">
      <w:pPr>
        <w:numPr>
          <w:ilvl w:val="0"/>
          <w:numId w:val="42"/>
        </w:numPr>
        <w:shd w:val="clear" w:color="auto" w:fill="FFFFFF"/>
        <w:tabs>
          <w:tab w:val="left" w:pos="851"/>
        </w:tabs>
        <w:spacing w:after="0" w:line="240" w:lineRule="auto"/>
        <w:ind w:left="0" w:firstLine="567"/>
        <w:contextualSpacing/>
        <w:jc w:val="both"/>
        <w:rPr>
          <w:rFonts w:ascii="Times New Roman" w:hAnsi="Times New Roman"/>
          <w:sz w:val="26"/>
          <w:szCs w:val="26"/>
          <w:lang w:eastAsia="en-US"/>
        </w:rPr>
      </w:pPr>
      <w:r>
        <w:rPr>
          <w:rFonts w:ascii="Times New Roman" w:hAnsi="Times New Roman"/>
          <w:sz w:val="26"/>
          <w:szCs w:val="26"/>
          <w:lang w:eastAsia="en-US"/>
        </w:rPr>
        <w:t>заключен договор с АО «Россети Цифра» на предоставление услуг короткого номера 220 горячей линии энергетиков «Светлая линия 220» на территории эксплуатационной ответственности Общества, а также услуги «Интеллектуальный номер 8-800 и маршрутизация вызовов».</w:t>
      </w:r>
    </w:p>
    <w:p w14:paraId="2143E3A8" w14:textId="77777777" w:rsidR="002449C2" w:rsidRDefault="00123961">
      <w:pPr>
        <w:numPr>
          <w:ilvl w:val="0"/>
          <w:numId w:val="42"/>
        </w:numPr>
        <w:shd w:val="clear" w:color="auto" w:fill="FFFFFF"/>
        <w:spacing w:after="0" w:line="240" w:lineRule="auto"/>
        <w:ind w:left="0" w:firstLine="567"/>
        <w:contextualSpacing/>
        <w:jc w:val="both"/>
        <w:rPr>
          <w:rFonts w:ascii="Times New Roman" w:hAnsi="Times New Roman"/>
          <w:sz w:val="26"/>
          <w:szCs w:val="26"/>
          <w:lang w:eastAsia="en-US"/>
        </w:rPr>
      </w:pPr>
      <w:r>
        <w:rPr>
          <w:rFonts w:ascii="Times New Roman" w:hAnsi="Times New Roman"/>
          <w:sz w:val="26"/>
          <w:szCs w:val="26"/>
          <w:lang w:eastAsia="en-US"/>
        </w:rPr>
        <w:t>заключен договор возмездного оказания услуг с АО «Россети Цифра» на оказание услуг по обработке вызовов с использованием цифровых роботизированных технологий (услуга «Нейросетевой агент»), «Мониторинг качества обслуживания потребителей услуг горячей линии «Светлая линия 220», «Проведение исследований/опросов/анкетирования».</w:t>
      </w:r>
    </w:p>
    <w:p w14:paraId="44816179" w14:textId="77777777" w:rsidR="002449C2" w:rsidRDefault="002449C2">
      <w:pPr>
        <w:shd w:val="clear" w:color="auto" w:fill="FFFFFF"/>
        <w:tabs>
          <w:tab w:val="left" w:pos="993"/>
        </w:tabs>
        <w:spacing w:before="120" w:after="120" w:line="240" w:lineRule="auto"/>
        <w:contextualSpacing/>
        <w:jc w:val="center"/>
        <w:rPr>
          <w:rFonts w:ascii="Times New Roman" w:hAnsi="Times New Roman"/>
          <w:b/>
          <w:color w:val="000000"/>
          <w:sz w:val="26"/>
          <w:szCs w:val="26"/>
        </w:rPr>
      </w:pPr>
    </w:p>
    <w:p w14:paraId="328536B3" w14:textId="77777777" w:rsidR="002449C2" w:rsidRDefault="00123961">
      <w:pPr>
        <w:shd w:val="clear" w:color="auto" w:fill="FFFFFF"/>
        <w:tabs>
          <w:tab w:val="left" w:pos="993"/>
        </w:tabs>
        <w:spacing w:before="120" w:after="120" w:line="240" w:lineRule="auto"/>
        <w:contextualSpacing/>
        <w:rPr>
          <w:rFonts w:ascii="Times New Roman" w:hAnsi="Times New Roman"/>
          <w:i/>
          <w:sz w:val="26"/>
          <w:szCs w:val="26"/>
          <w:lang w:eastAsia="en-US"/>
        </w:rPr>
      </w:pPr>
      <w:r>
        <w:rPr>
          <w:rFonts w:ascii="Times New Roman" w:hAnsi="Times New Roman"/>
          <w:i/>
          <w:sz w:val="26"/>
          <w:szCs w:val="26"/>
          <w:lang w:eastAsia="en-US"/>
        </w:rPr>
        <w:t>Основными задачами по улучшению клиентской работы являются:</w:t>
      </w:r>
    </w:p>
    <w:p w14:paraId="3B903F67" w14:textId="77777777" w:rsidR="002449C2" w:rsidRDefault="00123961">
      <w:pPr>
        <w:numPr>
          <w:ilvl w:val="0"/>
          <w:numId w:val="43"/>
        </w:numPr>
        <w:shd w:val="clear" w:color="auto" w:fill="FFFFFF"/>
        <w:tabs>
          <w:tab w:val="left" w:pos="567"/>
        </w:tabs>
        <w:spacing w:after="0" w:line="240" w:lineRule="auto"/>
        <w:ind w:left="0" w:firstLine="283"/>
        <w:contextualSpacing/>
        <w:jc w:val="both"/>
        <w:rPr>
          <w:rFonts w:ascii="Times New Roman" w:hAnsi="Times New Roman"/>
          <w:sz w:val="26"/>
          <w:szCs w:val="26"/>
          <w:lang w:eastAsia="en-US"/>
        </w:rPr>
      </w:pPr>
      <w:r>
        <w:rPr>
          <w:rFonts w:ascii="Times New Roman" w:hAnsi="Times New Roman"/>
          <w:sz w:val="26"/>
          <w:szCs w:val="26"/>
          <w:lang w:eastAsia="en-US"/>
        </w:rPr>
        <w:t>Совершенствование роботизированных технологий (нейросетевого агента) для обработки входящих звонков;</w:t>
      </w:r>
    </w:p>
    <w:p w14:paraId="27DD2C1C" w14:textId="77777777" w:rsidR="002449C2" w:rsidRDefault="00123961">
      <w:pPr>
        <w:numPr>
          <w:ilvl w:val="0"/>
          <w:numId w:val="43"/>
        </w:numPr>
        <w:shd w:val="clear" w:color="auto" w:fill="FFFFFF"/>
        <w:tabs>
          <w:tab w:val="left" w:pos="567"/>
        </w:tabs>
        <w:spacing w:after="0" w:line="240" w:lineRule="auto"/>
        <w:ind w:left="0" w:firstLine="283"/>
        <w:contextualSpacing/>
        <w:jc w:val="both"/>
        <w:rPr>
          <w:rFonts w:ascii="Times New Roman" w:hAnsi="Times New Roman"/>
          <w:sz w:val="26"/>
          <w:szCs w:val="26"/>
          <w:lang w:eastAsia="en-US"/>
        </w:rPr>
      </w:pPr>
      <w:r>
        <w:rPr>
          <w:rFonts w:ascii="Times New Roman" w:hAnsi="Times New Roman"/>
          <w:sz w:val="26"/>
          <w:szCs w:val="26"/>
          <w:lang w:eastAsia="en-US"/>
        </w:rPr>
        <w:t>Обеспечение мониторинга показателей качества обслуживания потребителей услуг горячей линии;</w:t>
      </w:r>
    </w:p>
    <w:p w14:paraId="6AF1F1E8" w14:textId="77777777" w:rsidR="002449C2" w:rsidRDefault="00123961">
      <w:pPr>
        <w:numPr>
          <w:ilvl w:val="0"/>
          <w:numId w:val="43"/>
        </w:numPr>
        <w:shd w:val="clear" w:color="auto" w:fill="FFFFFF"/>
        <w:tabs>
          <w:tab w:val="left" w:pos="567"/>
        </w:tabs>
        <w:spacing w:after="0" w:line="240" w:lineRule="auto"/>
        <w:ind w:left="0" w:firstLine="283"/>
        <w:contextualSpacing/>
        <w:jc w:val="both"/>
        <w:rPr>
          <w:rFonts w:ascii="Times New Roman" w:hAnsi="Times New Roman"/>
          <w:sz w:val="26"/>
          <w:szCs w:val="26"/>
          <w:lang w:eastAsia="en-US"/>
        </w:rPr>
      </w:pPr>
      <w:r>
        <w:rPr>
          <w:rFonts w:ascii="Times New Roman" w:hAnsi="Times New Roman"/>
          <w:sz w:val="26"/>
          <w:szCs w:val="26"/>
          <w:lang w:eastAsia="en-US"/>
        </w:rPr>
        <w:t>Обеспечение проведения посредством горячей линии энергетиков «Светлая линия 220» исследований, опросов, анкетирования потребителей услуг.</w:t>
      </w:r>
    </w:p>
    <w:p w14:paraId="5EDA32E9" w14:textId="77777777" w:rsidR="002449C2" w:rsidRDefault="00123961">
      <w:pPr>
        <w:tabs>
          <w:tab w:val="left" w:pos="567"/>
        </w:tabs>
        <w:spacing w:after="0" w:line="240" w:lineRule="auto"/>
        <w:ind w:firstLine="709"/>
        <w:jc w:val="both"/>
        <w:rPr>
          <w:rFonts w:ascii="Times New Roman" w:eastAsia="Times New Roman" w:hAnsi="Times New Roman"/>
          <w:color w:val="767171"/>
          <w:sz w:val="26"/>
          <w:szCs w:val="26"/>
          <w:lang w:eastAsia="ru-RU"/>
        </w:rPr>
      </w:pPr>
      <w:r>
        <w:rPr>
          <w:noProof/>
          <w:lang w:eastAsia="ru-RU"/>
        </w:rPr>
        <w:drawing>
          <wp:inline distT="0" distB="0" distL="0" distR="0" wp14:anchorId="1EA21814" wp14:editId="4B826B57">
            <wp:extent cx="1523365" cy="525780"/>
            <wp:effectExtent l="0" t="0" r="0" b="0"/>
            <wp:docPr id="47" name="_x005F_x0000_i4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_x005F_x0000_i4428"/>
                    <pic:cNvPicPr>
                      <a:picLocks noChangeAspect="1" noChangeArrowheads="1"/>
                    </pic:cNvPicPr>
                  </pic:nvPicPr>
                  <pic:blipFill>
                    <a:blip r:embed="rId33">
                      <a:extLst>
                        <a:ext uri="{96DAC541-7B7A-43D3-8B79-37D633B846F1}">
                          <asvg:svgBlip xmlns:asvg="http://schemas.microsoft.com/office/drawing/2016/SVG/main" xmlns:w10="urn:schemas-microsoft-com:office:word" xmlns:w="http://schemas.openxmlformats.org/wordprocessingml/2006/main" xmlns:v="urn:schemas-microsoft-com:vml" xmlns:o="urn:schemas-microsoft-com:office:office" xmlns="" r:embed="rId74"/>
                        </a:ext>
                      </a:extLst>
                    </a:blip>
                    <a:stretch>
                      <a:fillRect/>
                    </a:stretch>
                  </pic:blipFill>
                  <pic:spPr bwMode="auto">
                    <a:xfrm>
                      <a:off x="0" y="0"/>
                      <a:ext cx="1523365" cy="525780"/>
                    </a:xfrm>
                    <a:prstGeom prst="rect">
                      <a:avLst/>
                    </a:prstGeom>
                    <a:noFill/>
                  </pic:spPr>
                </pic:pic>
              </a:graphicData>
            </a:graphic>
          </wp:inline>
        </w:drawing>
      </w:r>
      <w:r>
        <w:rPr>
          <w:rFonts w:ascii="Times New Roman" w:eastAsia="Times New Roman" w:hAnsi="Times New Roman"/>
          <w:color w:val="767171"/>
          <w:sz w:val="26"/>
          <w:szCs w:val="26"/>
          <w:lang w:eastAsia="ru-RU"/>
        </w:rPr>
        <w:t xml:space="preserve"> GRI 3-3</w:t>
      </w:r>
    </w:p>
    <w:p w14:paraId="73E0088E"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58" w:name="_Toc195174928"/>
      <w:bookmarkStart w:id="59" w:name="_Toc196143020"/>
      <w:r>
        <w:rPr>
          <w:rFonts w:ascii="Times New Roman" w:eastAsia="Times New Roman" w:hAnsi="Times New Roman"/>
          <w:caps/>
          <w:color w:val="632423"/>
          <w:spacing w:val="15"/>
          <w:sz w:val="24"/>
          <w:szCs w:val="24"/>
          <w:lang w:eastAsia="en-US" w:bidi="en-US"/>
        </w:rPr>
        <w:t>Инвестиционная деятельность</w:t>
      </w:r>
      <w:bookmarkEnd w:id="58"/>
      <w:bookmarkEnd w:id="59"/>
    </w:p>
    <w:p w14:paraId="74B52FB6" w14:textId="77777777" w:rsidR="002449C2" w:rsidRDefault="00123961">
      <w:pPr>
        <w:spacing w:after="0" w:line="240" w:lineRule="auto"/>
        <w:ind w:firstLine="709"/>
        <w:jc w:val="both"/>
        <w:rPr>
          <w:rFonts w:ascii="Cambria" w:eastAsia="Times New Roman" w:hAnsi="Cambria"/>
          <w:sz w:val="26"/>
          <w:szCs w:val="26"/>
          <w:lang w:eastAsia="ru-RU"/>
        </w:rPr>
      </w:pPr>
      <w:r>
        <w:rPr>
          <w:rFonts w:ascii="Times New Roman" w:eastAsia="Times New Roman" w:hAnsi="Times New Roman"/>
          <w:sz w:val="26"/>
          <w:szCs w:val="26"/>
          <w:lang w:eastAsia="ru-RU"/>
        </w:rPr>
        <w:t>Инвестиционная деятельность является одним из ключевых направлений общей стратегии развития Компании и призвана обеспечить рост формирования операционной прибыли.</w:t>
      </w:r>
    </w:p>
    <w:p w14:paraId="65F44A55" w14:textId="77777777" w:rsidR="002449C2" w:rsidRDefault="00123961">
      <w:pPr>
        <w:shd w:val="clear" w:color="auto" w:fill="FFFFFF"/>
        <w:tabs>
          <w:tab w:val="left" w:pos="0"/>
        </w:tabs>
        <w:spacing w:before="120" w:after="12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Показатели по инвестиционной деятельности</w:t>
      </w:r>
    </w:p>
    <w:p w14:paraId="67D48A66"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Итоговый проект изменений, вносимых в инвестиционную программу ПАО «Россети Юг» на 2024 год, утвержден приказом Министерства энергетики Российской Федерации от 23.12.2024 № 38@ «Об утверждении инвестиционной программы ПАО «Россети Юг» на 2024 – 2028 годы и изменений, вносимых в инвестиционную программу ПАО «Россети Юг», утвержденную приказом Минэнерго России от 08.12.2023 № 13@». Инвестиционная деятельность направлена на повышение надежности и улучшение работы электросетевого комплекса, снижение потерь в электрических сетях.</w:t>
      </w:r>
    </w:p>
    <w:p w14:paraId="5FCE5DFE" w14:textId="77777777" w:rsidR="002449C2" w:rsidRDefault="002449C2">
      <w:pPr>
        <w:shd w:val="clear" w:color="auto" w:fill="FFFFFF"/>
        <w:spacing w:after="0" w:line="240" w:lineRule="auto"/>
        <w:ind w:firstLine="709"/>
        <w:jc w:val="both"/>
        <w:rPr>
          <w:rFonts w:ascii="Times New Roman" w:eastAsia="Times New Roman" w:hAnsi="Times New Roman"/>
          <w:sz w:val="26"/>
          <w:szCs w:val="26"/>
          <w:lang w:eastAsia="ru-RU"/>
        </w:rPr>
      </w:pPr>
    </w:p>
    <w:tbl>
      <w:tblPr>
        <w:tblW w:w="9455" w:type="dxa"/>
        <w:tblInd w:w="109" w:type="dxa"/>
        <w:tblLayout w:type="fixed"/>
        <w:tblLook w:val="04A0" w:firstRow="1" w:lastRow="0" w:firstColumn="1" w:lastColumn="0" w:noHBand="0" w:noVBand="1"/>
      </w:tblPr>
      <w:tblGrid>
        <w:gridCol w:w="2367"/>
        <w:gridCol w:w="1188"/>
        <w:gridCol w:w="1198"/>
        <w:gridCol w:w="1441"/>
        <w:gridCol w:w="1446"/>
        <w:gridCol w:w="1815"/>
      </w:tblGrid>
      <w:tr w:rsidR="002449C2" w14:paraId="090C8546" w14:textId="77777777">
        <w:trPr>
          <w:trHeight w:val="297"/>
        </w:trPr>
        <w:tc>
          <w:tcPr>
            <w:tcW w:w="2366" w:type="dxa"/>
            <w:vMerge w:val="restart"/>
            <w:tcBorders>
              <w:top w:val="single" w:sz="4" w:space="0" w:color="000000"/>
              <w:left w:val="single" w:sz="4" w:space="0" w:color="000000"/>
              <w:bottom w:val="single" w:sz="4" w:space="0" w:color="000000"/>
              <w:right w:val="single" w:sz="4" w:space="0" w:color="000000"/>
            </w:tcBorders>
            <w:vAlign w:val="center"/>
          </w:tcPr>
          <w:p w14:paraId="0AF8CB8B"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Показатели</w:t>
            </w:r>
          </w:p>
        </w:tc>
        <w:tc>
          <w:tcPr>
            <w:tcW w:w="1188" w:type="dxa"/>
            <w:vMerge w:val="restart"/>
            <w:tcBorders>
              <w:top w:val="single" w:sz="4" w:space="0" w:color="000000"/>
              <w:left w:val="single" w:sz="4" w:space="0" w:color="000000"/>
              <w:bottom w:val="single" w:sz="4" w:space="0" w:color="000000"/>
              <w:right w:val="single" w:sz="4" w:space="0" w:color="000000"/>
            </w:tcBorders>
            <w:vAlign w:val="center"/>
          </w:tcPr>
          <w:p w14:paraId="05A5470D"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Ед.изм.</w:t>
            </w:r>
          </w:p>
        </w:tc>
        <w:tc>
          <w:tcPr>
            <w:tcW w:w="5900" w:type="dxa"/>
            <w:gridSpan w:val="4"/>
            <w:tcBorders>
              <w:top w:val="single" w:sz="4" w:space="0" w:color="000000"/>
              <w:bottom w:val="single" w:sz="4" w:space="0" w:color="000000"/>
              <w:right w:val="single" w:sz="4" w:space="0" w:color="000000"/>
            </w:tcBorders>
            <w:vAlign w:val="bottom"/>
          </w:tcPr>
          <w:p w14:paraId="30A37000"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Период</w:t>
            </w:r>
          </w:p>
        </w:tc>
      </w:tr>
      <w:tr w:rsidR="002449C2" w14:paraId="7190F102" w14:textId="77777777">
        <w:trPr>
          <w:trHeight w:val="440"/>
        </w:trPr>
        <w:tc>
          <w:tcPr>
            <w:tcW w:w="2366" w:type="dxa"/>
            <w:vMerge/>
            <w:tcBorders>
              <w:top w:val="single" w:sz="4" w:space="0" w:color="000000"/>
              <w:left w:val="single" w:sz="4" w:space="0" w:color="000000"/>
              <w:bottom w:val="single" w:sz="4" w:space="0" w:color="000000"/>
              <w:right w:val="single" w:sz="4" w:space="0" w:color="000000"/>
            </w:tcBorders>
            <w:vAlign w:val="center"/>
          </w:tcPr>
          <w:p w14:paraId="406176AB" w14:textId="77777777" w:rsidR="002449C2" w:rsidRDefault="002449C2">
            <w:pPr>
              <w:shd w:val="clear" w:color="auto" w:fill="FFFFFF"/>
              <w:spacing w:after="0" w:line="240" w:lineRule="auto"/>
              <w:rPr>
                <w:rFonts w:ascii="Times New Roman" w:eastAsia="Times New Roman" w:hAnsi="Times New Roman"/>
                <w:b/>
                <w:bCs/>
                <w:color w:val="000000"/>
                <w:sz w:val="20"/>
                <w:szCs w:val="20"/>
                <w:lang w:eastAsia="ru-RU"/>
              </w:rPr>
            </w:pPr>
          </w:p>
        </w:tc>
        <w:tc>
          <w:tcPr>
            <w:tcW w:w="1188" w:type="dxa"/>
            <w:vMerge/>
            <w:tcBorders>
              <w:top w:val="single" w:sz="4" w:space="0" w:color="000000"/>
              <w:left w:val="single" w:sz="4" w:space="0" w:color="000000"/>
              <w:bottom w:val="single" w:sz="4" w:space="0" w:color="000000"/>
              <w:right w:val="single" w:sz="4" w:space="0" w:color="000000"/>
            </w:tcBorders>
            <w:vAlign w:val="center"/>
          </w:tcPr>
          <w:p w14:paraId="76124659" w14:textId="77777777" w:rsidR="002449C2" w:rsidRDefault="002449C2">
            <w:pPr>
              <w:shd w:val="clear" w:color="auto" w:fill="FFFFFF"/>
              <w:spacing w:after="0" w:line="240" w:lineRule="auto"/>
              <w:rPr>
                <w:rFonts w:ascii="Times New Roman" w:eastAsia="Times New Roman" w:hAnsi="Times New Roman"/>
                <w:b/>
                <w:bCs/>
                <w:color w:val="000000"/>
                <w:sz w:val="20"/>
                <w:szCs w:val="20"/>
                <w:lang w:eastAsia="ru-RU"/>
              </w:rPr>
            </w:pPr>
          </w:p>
        </w:tc>
        <w:tc>
          <w:tcPr>
            <w:tcW w:w="1198" w:type="dxa"/>
            <w:tcBorders>
              <w:bottom w:val="single" w:sz="4" w:space="0" w:color="000000"/>
              <w:right w:val="single" w:sz="4" w:space="0" w:color="000000"/>
            </w:tcBorders>
            <w:vAlign w:val="center"/>
          </w:tcPr>
          <w:p w14:paraId="3621C86E"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2022 год факт</w:t>
            </w:r>
          </w:p>
        </w:tc>
        <w:tc>
          <w:tcPr>
            <w:tcW w:w="1441" w:type="dxa"/>
            <w:tcBorders>
              <w:bottom w:val="single" w:sz="4" w:space="0" w:color="000000"/>
              <w:right w:val="single" w:sz="4" w:space="0" w:color="000000"/>
            </w:tcBorders>
            <w:vAlign w:val="center"/>
          </w:tcPr>
          <w:p w14:paraId="491306CB"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2023 год факт</w:t>
            </w:r>
          </w:p>
        </w:tc>
        <w:tc>
          <w:tcPr>
            <w:tcW w:w="1446" w:type="dxa"/>
            <w:tcBorders>
              <w:bottom w:val="single" w:sz="4" w:space="0" w:color="000000"/>
              <w:right w:val="single" w:sz="4" w:space="0" w:color="000000"/>
            </w:tcBorders>
            <w:vAlign w:val="center"/>
          </w:tcPr>
          <w:p w14:paraId="79F8639F"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2024 год факт</w:t>
            </w:r>
          </w:p>
        </w:tc>
        <w:tc>
          <w:tcPr>
            <w:tcW w:w="1815" w:type="dxa"/>
            <w:tcBorders>
              <w:top w:val="single" w:sz="4" w:space="0" w:color="000000"/>
              <w:bottom w:val="single" w:sz="4" w:space="0" w:color="000000"/>
              <w:right w:val="single" w:sz="4" w:space="0" w:color="000000"/>
            </w:tcBorders>
            <w:vAlign w:val="center"/>
          </w:tcPr>
          <w:p w14:paraId="4912CEB6"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Изменение 2024/2023, %</w:t>
            </w:r>
          </w:p>
        </w:tc>
      </w:tr>
      <w:tr w:rsidR="002449C2" w14:paraId="44306094" w14:textId="77777777">
        <w:trPr>
          <w:trHeight w:val="220"/>
        </w:trPr>
        <w:tc>
          <w:tcPr>
            <w:tcW w:w="2366" w:type="dxa"/>
            <w:tcBorders>
              <w:left w:val="single" w:sz="4" w:space="0" w:color="000000"/>
              <w:bottom w:val="single" w:sz="4" w:space="0" w:color="000000"/>
              <w:right w:val="single" w:sz="4" w:space="0" w:color="000000"/>
            </w:tcBorders>
            <w:vAlign w:val="center"/>
          </w:tcPr>
          <w:p w14:paraId="607AD236"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w:t>
            </w:r>
          </w:p>
        </w:tc>
        <w:tc>
          <w:tcPr>
            <w:tcW w:w="1188" w:type="dxa"/>
            <w:tcBorders>
              <w:bottom w:val="single" w:sz="4" w:space="0" w:color="000000"/>
              <w:right w:val="single" w:sz="4" w:space="0" w:color="000000"/>
            </w:tcBorders>
            <w:vAlign w:val="center"/>
          </w:tcPr>
          <w:p w14:paraId="62DF3E74"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w:t>
            </w:r>
          </w:p>
        </w:tc>
        <w:tc>
          <w:tcPr>
            <w:tcW w:w="1198" w:type="dxa"/>
            <w:tcBorders>
              <w:bottom w:val="single" w:sz="4" w:space="0" w:color="000000"/>
              <w:right w:val="single" w:sz="4" w:space="0" w:color="000000"/>
            </w:tcBorders>
            <w:vAlign w:val="center"/>
          </w:tcPr>
          <w:p w14:paraId="296BC401"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w:t>
            </w:r>
          </w:p>
        </w:tc>
        <w:tc>
          <w:tcPr>
            <w:tcW w:w="1441" w:type="dxa"/>
            <w:tcBorders>
              <w:bottom w:val="single" w:sz="4" w:space="0" w:color="000000"/>
              <w:right w:val="single" w:sz="4" w:space="0" w:color="000000"/>
            </w:tcBorders>
            <w:vAlign w:val="center"/>
          </w:tcPr>
          <w:p w14:paraId="264B285E"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w:t>
            </w:r>
          </w:p>
        </w:tc>
        <w:tc>
          <w:tcPr>
            <w:tcW w:w="1446" w:type="dxa"/>
            <w:tcBorders>
              <w:bottom w:val="single" w:sz="4" w:space="0" w:color="000000"/>
              <w:right w:val="single" w:sz="4" w:space="0" w:color="000000"/>
            </w:tcBorders>
            <w:vAlign w:val="center"/>
          </w:tcPr>
          <w:p w14:paraId="2C5854FF"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w:t>
            </w:r>
          </w:p>
        </w:tc>
        <w:tc>
          <w:tcPr>
            <w:tcW w:w="1815" w:type="dxa"/>
            <w:tcBorders>
              <w:top w:val="single" w:sz="4" w:space="0" w:color="000000"/>
              <w:bottom w:val="single" w:sz="4" w:space="0" w:color="000000"/>
              <w:right w:val="single" w:sz="4" w:space="0" w:color="000000"/>
            </w:tcBorders>
            <w:vAlign w:val="center"/>
          </w:tcPr>
          <w:p w14:paraId="53C192FA"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w:t>
            </w:r>
          </w:p>
        </w:tc>
      </w:tr>
      <w:tr w:rsidR="002449C2" w14:paraId="0B8C2DEE" w14:textId="77777777">
        <w:trPr>
          <w:trHeight w:val="220"/>
        </w:trPr>
        <w:tc>
          <w:tcPr>
            <w:tcW w:w="9454" w:type="dxa"/>
            <w:gridSpan w:val="6"/>
            <w:tcBorders>
              <w:top w:val="single" w:sz="4" w:space="0" w:color="000000"/>
              <w:left w:val="single" w:sz="4" w:space="0" w:color="000000"/>
              <w:bottom w:val="single" w:sz="4" w:space="0" w:color="000000"/>
              <w:right w:val="single" w:sz="4" w:space="0" w:color="000000"/>
            </w:tcBorders>
            <w:vAlign w:val="bottom"/>
          </w:tcPr>
          <w:p w14:paraId="0EF5ECDA"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Показатели по инвестиционной деятельности</w:t>
            </w:r>
          </w:p>
        </w:tc>
      </w:tr>
      <w:tr w:rsidR="002449C2" w14:paraId="4D8AC7D2" w14:textId="77777777">
        <w:trPr>
          <w:trHeight w:val="220"/>
        </w:trPr>
        <w:tc>
          <w:tcPr>
            <w:tcW w:w="9454" w:type="dxa"/>
            <w:gridSpan w:val="6"/>
            <w:tcBorders>
              <w:top w:val="single" w:sz="4" w:space="0" w:color="000000"/>
              <w:left w:val="single" w:sz="4" w:space="0" w:color="000000"/>
              <w:bottom w:val="single" w:sz="4" w:space="0" w:color="000000"/>
              <w:right w:val="single" w:sz="4" w:space="0" w:color="000000"/>
            </w:tcBorders>
            <w:vAlign w:val="bottom"/>
          </w:tcPr>
          <w:p w14:paraId="1BCAC8EC"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Исполнение инвестиционной программы</w:t>
            </w:r>
          </w:p>
        </w:tc>
      </w:tr>
      <w:tr w:rsidR="002449C2" w14:paraId="41B07A71" w14:textId="77777777">
        <w:trPr>
          <w:trHeight w:val="375"/>
        </w:trPr>
        <w:tc>
          <w:tcPr>
            <w:tcW w:w="2366" w:type="dxa"/>
            <w:tcBorders>
              <w:left w:val="single" w:sz="4" w:space="0" w:color="000000"/>
              <w:bottom w:val="single" w:sz="4" w:space="0" w:color="000000"/>
              <w:right w:val="single" w:sz="4" w:space="0" w:color="000000"/>
            </w:tcBorders>
            <w:vAlign w:val="center"/>
          </w:tcPr>
          <w:p w14:paraId="6020A512" w14:textId="77777777" w:rsidR="002449C2" w:rsidRDefault="00123961">
            <w:pPr>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Объем финансирования</w:t>
            </w:r>
          </w:p>
        </w:tc>
        <w:tc>
          <w:tcPr>
            <w:tcW w:w="1188" w:type="dxa"/>
            <w:tcBorders>
              <w:bottom w:val="single" w:sz="4" w:space="0" w:color="000000"/>
              <w:right w:val="single" w:sz="4" w:space="0" w:color="000000"/>
            </w:tcBorders>
            <w:vAlign w:val="center"/>
          </w:tcPr>
          <w:p w14:paraId="5F697EF3" w14:textId="77777777" w:rsidR="002449C2" w:rsidRDefault="00123961">
            <w:pPr>
              <w:shd w:val="clear" w:color="auto" w:fill="FFFFFF"/>
              <w:spacing w:after="0" w:line="252" w:lineRule="auto"/>
              <w:ind w:left="319"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млн руб.</w:t>
            </w:r>
          </w:p>
          <w:p w14:paraId="6D382131" w14:textId="77777777" w:rsidR="002449C2" w:rsidRDefault="00123961">
            <w:pPr>
              <w:shd w:val="clear" w:color="auto" w:fill="FFFFFF"/>
              <w:spacing w:after="0" w:line="252" w:lineRule="auto"/>
              <w:ind w:left="319"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с НДС</w:t>
            </w:r>
          </w:p>
        </w:tc>
        <w:tc>
          <w:tcPr>
            <w:tcW w:w="1198" w:type="dxa"/>
            <w:tcBorders>
              <w:top w:val="single" w:sz="4" w:space="0" w:color="000000"/>
              <w:left w:val="single" w:sz="4" w:space="0" w:color="000000"/>
              <w:bottom w:val="single" w:sz="4" w:space="0" w:color="000000"/>
              <w:right w:val="single" w:sz="4" w:space="0" w:color="000000"/>
            </w:tcBorders>
            <w:vAlign w:val="center"/>
          </w:tcPr>
          <w:p w14:paraId="1D5E4ABE" w14:textId="77777777" w:rsidR="002449C2" w:rsidRDefault="00123961">
            <w:pPr>
              <w:shd w:val="clear" w:color="auto" w:fill="FFFFFF"/>
              <w:tabs>
                <w:tab w:val="left" w:pos="9356"/>
              </w:tabs>
              <w:spacing w:after="0" w:line="252" w:lineRule="auto"/>
              <w:ind w:left="426" w:right="-143" w:hanging="426"/>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         4 813</w:t>
            </w:r>
          </w:p>
        </w:tc>
        <w:tc>
          <w:tcPr>
            <w:tcW w:w="1441" w:type="dxa"/>
            <w:tcBorders>
              <w:top w:val="single" w:sz="4" w:space="0" w:color="000000"/>
              <w:bottom w:val="single" w:sz="4" w:space="0" w:color="000000"/>
              <w:right w:val="single" w:sz="4" w:space="0" w:color="000000"/>
            </w:tcBorders>
            <w:vAlign w:val="center"/>
          </w:tcPr>
          <w:p w14:paraId="45660AE7" w14:textId="77777777" w:rsidR="002449C2" w:rsidRDefault="00123961">
            <w:pPr>
              <w:shd w:val="clear" w:color="auto" w:fill="FFFFFF"/>
              <w:tabs>
                <w:tab w:val="left" w:pos="9356"/>
              </w:tabs>
              <w:spacing w:after="0" w:line="252" w:lineRule="auto"/>
              <w:ind w:left="426" w:right="-143" w:hanging="426"/>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         5 417</w:t>
            </w:r>
          </w:p>
        </w:tc>
        <w:tc>
          <w:tcPr>
            <w:tcW w:w="1446" w:type="dxa"/>
            <w:tcBorders>
              <w:top w:val="single" w:sz="4" w:space="0" w:color="000000"/>
              <w:bottom w:val="single" w:sz="4" w:space="0" w:color="000000"/>
              <w:right w:val="single" w:sz="4" w:space="0" w:color="000000"/>
            </w:tcBorders>
            <w:vAlign w:val="center"/>
          </w:tcPr>
          <w:p w14:paraId="76BD1C60" w14:textId="77777777" w:rsidR="002449C2" w:rsidRDefault="00123961">
            <w:pPr>
              <w:shd w:val="clear" w:color="auto" w:fill="FFFFFF"/>
              <w:tabs>
                <w:tab w:val="left" w:pos="9356"/>
              </w:tabs>
              <w:spacing w:after="0" w:line="252" w:lineRule="auto"/>
              <w:ind w:left="426" w:right="-143" w:hanging="426"/>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         6 569</w:t>
            </w:r>
          </w:p>
        </w:tc>
        <w:tc>
          <w:tcPr>
            <w:tcW w:w="1815" w:type="dxa"/>
            <w:tcBorders>
              <w:top w:val="single" w:sz="4" w:space="0" w:color="000000"/>
              <w:bottom w:val="single" w:sz="4" w:space="0" w:color="000000"/>
              <w:right w:val="single" w:sz="4" w:space="0" w:color="000000"/>
            </w:tcBorders>
            <w:vAlign w:val="center"/>
          </w:tcPr>
          <w:p w14:paraId="4FF6949F" w14:textId="77777777" w:rsidR="002449C2" w:rsidRDefault="00123961">
            <w:pPr>
              <w:shd w:val="clear" w:color="auto" w:fill="FFFFFF"/>
              <w:tabs>
                <w:tab w:val="left" w:pos="9356"/>
              </w:tabs>
              <w:spacing w:after="0" w:line="252" w:lineRule="auto"/>
              <w:ind w:left="426" w:right="-143" w:hanging="426"/>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121%</w:t>
            </w:r>
          </w:p>
        </w:tc>
      </w:tr>
      <w:tr w:rsidR="002449C2" w14:paraId="7D3AF25D" w14:textId="77777777">
        <w:trPr>
          <w:cantSplit/>
          <w:trHeight w:val="440"/>
        </w:trPr>
        <w:tc>
          <w:tcPr>
            <w:tcW w:w="2366" w:type="dxa"/>
            <w:tcBorders>
              <w:left w:val="single" w:sz="4" w:space="0" w:color="000000"/>
              <w:bottom w:val="single" w:sz="4" w:space="0" w:color="000000"/>
              <w:right w:val="single" w:sz="4" w:space="0" w:color="000000"/>
            </w:tcBorders>
            <w:vAlign w:val="center"/>
          </w:tcPr>
          <w:p w14:paraId="2A56235C" w14:textId="77777777" w:rsidR="002449C2" w:rsidRDefault="00123961">
            <w:pPr>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Объем освоения капитальных вложений</w:t>
            </w:r>
          </w:p>
        </w:tc>
        <w:tc>
          <w:tcPr>
            <w:tcW w:w="1188" w:type="dxa"/>
            <w:tcBorders>
              <w:bottom w:val="single" w:sz="4" w:space="0" w:color="000000"/>
              <w:right w:val="single" w:sz="4" w:space="0" w:color="000000"/>
            </w:tcBorders>
            <w:vAlign w:val="center"/>
          </w:tcPr>
          <w:p w14:paraId="45973FE3" w14:textId="77777777" w:rsidR="002449C2" w:rsidRDefault="00123961">
            <w:pPr>
              <w:shd w:val="clear" w:color="auto" w:fill="FFFFFF"/>
              <w:spacing w:after="0" w:line="252" w:lineRule="auto"/>
              <w:ind w:left="319"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млн руб.</w:t>
            </w:r>
          </w:p>
          <w:p w14:paraId="567ABB89" w14:textId="77777777" w:rsidR="002449C2" w:rsidRDefault="00123961">
            <w:pPr>
              <w:shd w:val="clear" w:color="auto" w:fill="FFFFFF"/>
              <w:spacing w:after="0" w:line="252" w:lineRule="auto"/>
              <w:ind w:left="319"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без НДС</w:t>
            </w:r>
          </w:p>
        </w:tc>
        <w:tc>
          <w:tcPr>
            <w:tcW w:w="1198" w:type="dxa"/>
            <w:tcBorders>
              <w:left w:val="single" w:sz="4" w:space="0" w:color="000000"/>
              <w:bottom w:val="single" w:sz="4" w:space="0" w:color="000000"/>
              <w:right w:val="single" w:sz="4" w:space="0" w:color="000000"/>
            </w:tcBorders>
            <w:vAlign w:val="center"/>
          </w:tcPr>
          <w:p w14:paraId="3D7948F7" w14:textId="77777777" w:rsidR="002449C2" w:rsidRDefault="00123961">
            <w:pPr>
              <w:shd w:val="clear" w:color="auto" w:fill="FFFFFF"/>
              <w:tabs>
                <w:tab w:val="left" w:pos="9356"/>
              </w:tabs>
              <w:spacing w:after="0" w:line="252" w:lineRule="auto"/>
              <w:ind w:left="426" w:right="-143" w:hanging="426"/>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         4 050</w:t>
            </w:r>
          </w:p>
        </w:tc>
        <w:tc>
          <w:tcPr>
            <w:tcW w:w="1441" w:type="dxa"/>
            <w:tcBorders>
              <w:bottom w:val="single" w:sz="4" w:space="0" w:color="000000"/>
              <w:right w:val="single" w:sz="4" w:space="0" w:color="000000"/>
            </w:tcBorders>
            <w:vAlign w:val="center"/>
          </w:tcPr>
          <w:p w14:paraId="70F10F88" w14:textId="77777777" w:rsidR="002449C2" w:rsidRDefault="00123961">
            <w:pPr>
              <w:shd w:val="clear" w:color="auto" w:fill="FFFFFF"/>
              <w:tabs>
                <w:tab w:val="left" w:pos="9356"/>
              </w:tabs>
              <w:spacing w:after="0" w:line="252" w:lineRule="auto"/>
              <w:ind w:left="426" w:right="-143" w:hanging="426"/>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         3 445</w:t>
            </w:r>
          </w:p>
        </w:tc>
        <w:tc>
          <w:tcPr>
            <w:tcW w:w="1446" w:type="dxa"/>
            <w:tcBorders>
              <w:bottom w:val="single" w:sz="4" w:space="0" w:color="000000"/>
              <w:right w:val="single" w:sz="4" w:space="0" w:color="000000"/>
            </w:tcBorders>
            <w:vAlign w:val="center"/>
          </w:tcPr>
          <w:p w14:paraId="6AEDD282" w14:textId="77777777" w:rsidR="002449C2" w:rsidRDefault="00123961">
            <w:pPr>
              <w:shd w:val="clear" w:color="auto" w:fill="FFFFFF"/>
              <w:tabs>
                <w:tab w:val="left" w:pos="9356"/>
              </w:tabs>
              <w:spacing w:after="0" w:line="252" w:lineRule="auto"/>
              <w:ind w:left="426" w:right="-143" w:hanging="426"/>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         5 214</w:t>
            </w:r>
          </w:p>
        </w:tc>
        <w:tc>
          <w:tcPr>
            <w:tcW w:w="1815" w:type="dxa"/>
            <w:tcBorders>
              <w:bottom w:val="single" w:sz="4" w:space="0" w:color="000000"/>
              <w:right w:val="single" w:sz="4" w:space="0" w:color="000000"/>
            </w:tcBorders>
            <w:vAlign w:val="center"/>
          </w:tcPr>
          <w:p w14:paraId="40B1BA0A" w14:textId="77777777" w:rsidR="002449C2" w:rsidRDefault="00123961">
            <w:pPr>
              <w:shd w:val="clear" w:color="auto" w:fill="FFFFFF"/>
              <w:tabs>
                <w:tab w:val="left" w:pos="9356"/>
              </w:tabs>
              <w:spacing w:after="0" w:line="252" w:lineRule="auto"/>
              <w:ind w:left="426" w:right="-143" w:hanging="426"/>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151%</w:t>
            </w:r>
          </w:p>
        </w:tc>
      </w:tr>
      <w:tr w:rsidR="002449C2" w14:paraId="2264093C" w14:textId="77777777">
        <w:trPr>
          <w:cantSplit/>
          <w:trHeight w:val="389"/>
        </w:trPr>
        <w:tc>
          <w:tcPr>
            <w:tcW w:w="2366" w:type="dxa"/>
            <w:tcBorders>
              <w:left w:val="single" w:sz="4" w:space="0" w:color="000000"/>
              <w:bottom w:val="single" w:sz="4" w:space="0" w:color="000000"/>
              <w:right w:val="single" w:sz="4" w:space="0" w:color="000000"/>
            </w:tcBorders>
            <w:vAlign w:val="center"/>
          </w:tcPr>
          <w:p w14:paraId="5970C6BB" w14:textId="77777777" w:rsidR="002449C2" w:rsidRDefault="00123961">
            <w:pPr>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Ввод в состав основных средств</w:t>
            </w:r>
          </w:p>
        </w:tc>
        <w:tc>
          <w:tcPr>
            <w:tcW w:w="1188" w:type="dxa"/>
            <w:tcBorders>
              <w:bottom w:val="single" w:sz="4" w:space="0" w:color="000000"/>
              <w:right w:val="single" w:sz="4" w:space="0" w:color="000000"/>
            </w:tcBorders>
          </w:tcPr>
          <w:p w14:paraId="5684D1F8" w14:textId="77777777" w:rsidR="002449C2" w:rsidRDefault="00123961">
            <w:pPr>
              <w:shd w:val="clear" w:color="auto" w:fill="FFFFFF"/>
              <w:spacing w:after="0" w:line="252" w:lineRule="auto"/>
              <w:ind w:left="319"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млн руб.</w:t>
            </w:r>
          </w:p>
          <w:p w14:paraId="4077EF5C" w14:textId="77777777" w:rsidR="002449C2" w:rsidRDefault="00123961">
            <w:pPr>
              <w:shd w:val="clear" w:color="auto" w:fill="FFFFFF"/>
              <w:spacing w:after="0" w:line="252" w:lineRule="auto"/>
              <w:ind w:left="319"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без НДС</w:t>
            </w:r>
          </w:p>
        </w:tc>
        <w:tc>
          <w:tcPr>
            <w:tcW w:w="1198" w:type="dxa"/>
            <w:tcBorders>
              <w:left w:val="single" w:sz="4" w:space="0" w:color="000000"/>
              <w:bottom w:val="single" w:sz="4" w:space="0" w:color="000000"/>
              <w:right w:val="single" w:sz="4" w:space="0" w:color="000000"/>
            </w:tcBorders>
            <w:vAlign w:val="center"/>
          </w:tcPr>
          <w:p w14:paraId="54267536" w14:textId="77777777" w:rsidR="002449C2" w:rsidRDefault="00123961">
            <w:pPr>
              <w:shd w:val="clear" w:color="auto" w:fill="FFFFFF"/>
              <w:tabs>
                <w:tab w:val="left" w:pos="9356"/>
              </w:tabs>
              <w:spacing w:after="0" w:line="252" w:lineRule="auto"/>
              <w:ind w:left="426" w:right="-143" w:hanging="426"/>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         3 417</w:t>
            </w:r>
          </w:p>
        </w:tc>
        <w:tc>
          <w:tcPr>
            <w:tcW w:w="1441" w:type="dxa"/>
            <w:tcBorders>
              <w:bottom w:val="single" w:sz="4" w:space="0" w:color="000000"/>
              <w:right w:val="single" w:sz="4" w:space="0" w:color="000000"/>
            </w:tcBorders>
            <w:vAlign w:val="center"/>
          </w:tcPr>
          <w:p w14:paraId="626B7BD2" w14:textId="77777777" w:rsidR="002449C2" w:rsidRDefault="00123961">
            <w:pPr>
              <w:shd w:val="clear" w:color="auto" w:fill="FFFFFF"/>
              <w:tabs>
                <w:tab w:val="left" w:pos="9356"/>
              </w:tabs>
              <w:spacing w:after="0" w:line="252" w:lineRule="auto"/>
              <w:ind w:left="426" w:right="-143" w:hanging="426"/>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         3 523</w:t>
            </w:r>
          </w:p>
        </w:tc>
        <w:tc>
          <w:tcPr>
            <w:tcW w:w="1446" w:type="dxa"/>
            <w:tcBorders>
              <w:bottom w:val="single" w:sz="4" w:space="0" w:color="000000"/>
              <w:right w:val="single" w:sz="4" w:space="0" w:color="000000"/>
            </w:tcBorders>
            <w:vAlign w:val="center"/>
          </w:tcPr>
          <w:p w14:paraId="507A1402" w14:textId="77777777" w:rsidR="002449C2" w:rsidRDefault="00123961">
            <w:pPr>
              <w:shd w:val="clear" w:color="auto" w:fill="FFFFFF"/>
              <w:tabs>
                <w:tab w:val="left" w:pos="9356"/>
              </w:tabs>
              <w:spacing w:after="0" w:line="252" w:lineRule="auto"/>
              <w:ind w:left="426" w:right="-143" w:hanging="426"/>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         4 878</w:t>
            </w:r>
          </w:p>
        </w:tc>
        <w:tc>
          <w:tcPr>
            <w:tcW w:w="1815" w:type="dxa"/>
            <w:tcBorders>
              <w:bottom w:val="single" w:sz="4" w:space="0" w:color="000000"/>
              <w:right w:val="single" w:sz="4" w:space="0" w:color="000000"/>
            </w:tcBorders>
            <w:vAlign w:val="center"/>
          </w:tcPr>
          <w:p w14:paraId="765E8011" w14:textId="77777777" w:rsidR="002449C2" w:rsidRDefault="00123961">
            <w:pPr>
              <w:shd w:val="clear" w:color="auto" w:fill="FFFFFF"/>
              <w:tabs>
                <w:tab w:val="left" w:pos="9356"/>
              </w:tabs>
              <w:spacing w:after="0" w:line="252" w:lineRule="auto"/>
              <w:ind w:left="426" w:right="-143" w:hanging="426"/>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138%</w:t>
            </w:r>
          </w:p>
        </w:tc>
      </w:tr>
      <w:tr w:rsidR="002449C2" w14:paraId="6FF981BF" w14:textId="77777777">
        <w:trPr>
          <w:cantSplit/>
          <w:trHeight w:val="661"/>
        </w:trPr>
        <w:tc>
          <w:tcPr>
            <w:tcW w:w="2366" w:type="dxa"/>
            <w:tcBorders>
              <w:left w:val="single" w:sz="4" w:space="0" w:color="000000"/>
              <w:bottom w:val="single" w:sz="4" w:space="0" w:color="000000"/>
              <w:right w:val="single" w:sz="4" w:space="0" w:color="000000"/>
            </w:tcBorders>
            <w:vAlign w:val="center"/>
          </w:tcPr>
          <w:p w14:paraId="72C2FC6A" w14:textId="77777777" w:rsidR="002449C2" w:rsidRDefault="00123961">
            <w:pPr>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Ввод в состав основных средств трансформаторной  мощности</w:t>
            </w:r>
          </w:p>
        </w:tc>
        <w:tc>
          <w:tcPr>
            <w:tcW w:w="1188" w:type="dxa"/>
            <w:tcBorders>
              <w:bottom w:val="single" w:sz="4" w:space="0" w:color="000000"/>
              <w:right w:val="single" w:sz="4" w:space="0" w:color="000000"/>
            </w:tcBorders>
            <w:vAlign w:val="center"/>
          </w:tcPr>
          <w:p w14:paraId="3D5A627F"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МВА</w:t>
            </w:r>
          </w:p>
        </w:tc>
        <w:tc>
          <w:tcPr>
            <w:tcW w:w="1198" w:type="dxa"/>
            <w:tcBorders>
              <w:left w:val="single" w:sz="4" w:space="0" w:color="000000"/>
              <w:bottom w:val="single" w:sz="4" w:space="0" w:color="000000"/>
              <w:right w:val="single" w:sz="4" w:space="0" w:color="000000"/>
            </w:tcBorders>
            <w:vAlign w:val="center"/>
          </w:tcPr>
          <w:p w14:paraId="4F8182DE" w14:textId="77777777" w:rsidR="002449C2" w:rsidRDefault="00123961">
            <w:pPr>
              <w:shd w:val="clear" w:color="auto" w:fill="FFFFFF"/>
              <w:tabs>
                <w:tab w:val="left" w:pos="9356"/>
              </w:tabs>
              <w:spacing w:after="0" w:line="252" w:lineRule="auto"/>
              <w:ind w:left="426" w:right="-143" w:hanging="426"/>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            325</w:t>
            </w:r>
          </w:p>
        </w:tc>
        <w:tc>
          <w:tcPr>
            <w:tcW w:w="1441" w:type="dxa"/>
            <w:tcBorders>
              <w:bottom w:val="single" w:sz="4" w:space="0" w:color="000000"/>
              <w:right w:val="single" w:sz="4" w:space="0" w:color="000000"/>
            </w:tcBorders>
            <w:vAlign w:val="center"/>
          </w:tcPr>
          <w:p w14:paraId="36866B98" w14:textId="77777777" w:rsidR="002449C2" w:rsidRDefault="00123961">
            <w:pPr>
              <w:shd w:val="clear" w:color="auto" w:fill="FFFFFF"/>
              <w:tabs>
                <w:tab w:val="left" w:pos="9356"/>
              </w:tabs>
              <w:spacing w:after="0" w:line="252" w:lineRule="auto"/>
              <w:ind w:left="426" w:right="-143" w:hanging="426"/>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            115</w:t>
            </w:r>
          </w:p>
        </w:tc>
        <w:tc>
          <w:tcPr>
            <w:tcW w:w="1446" w:type="dxa"/>
            <w:tcBorders>
              <w:bottom w:val="single" w:sz="4" w:space="0" w:color="000000"/>
              <w:right w:val="single" w:sz="4" w:space="0" w:color="000000"/>
            </w:tcBorders>
            <w:vAlign w:val="center"/>
          </w:tcPr>
          <w:p w14:paraId="5DDA841A" w14:textId="77777777" w:rsidR="002449C2" w:rsidRDefault="00123961">
            <w:pPr>
              <w:shd w:val="clear" w:color="auto" w:fill="FFFFFF"/>
              <w:tabs>
                <w:tab w:val="left" w:pos="9356"/>
              </w:tabs>
              <w:spacing w:after="0" w:line="252" w:lineRule="auto"/>
              <w:ind w:left="426" w:right="-143" w:hanging="426"/>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            269</w:t>
            </w:r>
          </w:p>
        </w:tc>
        <w:tc>
          <w:tcPr>
            <w:tcW w:w="1815" w:type="dxa"/>
            <w:tcBorders>
              <w:bottom w:val="single" w:sz="4" w:space="0" w:color="000000"/>
              <w:right w:val="single" w:sz="4" w:space="0" w:color="000000"/>
            </w:tcBorders>
            <w:vAlign w:val="center"/>
          </w:tcPr>
          <w:p w14:paraId="230ACA24" w14:textId="77777777" w:rsidR="002449C2" w:rsidRDefault="00123961">
            <w:pPr>
              <w:shd w:val="clear" w:color="auto" w:fill="FFFFFF"/>
              <w:tabs>
                <w:tab w:val="left" w:pos="9356"/>
              </w:tabs>
              <w:spacing w:after="0" w:line="252" w:lineRule="auto"/>
              <w:ind w:left="426" w:right="-143" w:hanging="426"/>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234%</w:t>
            </w:r>
          </w:p>
        </w:tc>
      </w:tr>
      <w:tr w:rsidR="002449C2" w14:paraId="29FBB4C2" w14:textId="77777777">
        <w:trPr>
          <w:cantSplit/>
          <w:trHeight w:val="440"/>
        </w:trPr>
        <w:tc>
          <w:tcPr>
            <w:tcW w:w="2366" w:type="dxa"/>
            <w:tcBorders>
              <w:left w:val="single" w:sz="4" w:space="0" w:color="000000"/>
              <w:bottom w:val="single" w:sz="4" w:space="0" w:color="000000"/>
              <w:right w:val="single" w:sz="4" w:space="0" w:color="000000"/>
            </w:tcBorders>
            <w:vAlign w:val="center"/>
          </w:tcPr>
          <w:p w14:paraId="51F35ED7" w14:textId="77777777" w:rsidR="002449C2" w:rsidRDefault="00123961">
            <w:pPr>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Ввод в состав основных средств линий электропередачи</w:t>
            </w:r>
          </w:p>
        </w:tc>
        <w:tc>
          <w:tcPr>
            <w:tcW w:w="1188" w:type="dxa"/>
            <w:tcBorders>
              <w:bottom w:val="single" w:sz="4" w:space="0" w:color="000000"/>
              <w:right w:val="single" w:sz="4" w:space="0" w:color="000000"/>
            </w:tcBorders>
            <w:vAlign w:val="center"/>
          </w:tcPr>
          <w:p w14:paraId="008A5206"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км</w:t>
            </w:r>
          </w:p>
        </w:tc>
        <w:tc>
          <w:tcPr>
            <w:tcW w:w="1198" w:type="dxa"/>
            <w:tcBorders>
              <w:left w:val="single" w:sz="4" w:space="0" w:color="000000"/>
              <w:bottom w:val="single" w:sz="4" w:space="0" w:color="000000"/>
              <w:right w:val="single" w:sz="4" w:space="0" w:color="000000"/>
            </w:tcBorders>
            <w:vAlign w:val="center"/>
          </w:tcPr>
          <w:p w14:paraId="55796394" w14:textId="77777777" w:rsidR="002449C2" w:rsidRDefault="00123961">
            <w:pPr>
              <w:shd w:val="clear" w:color="auto" w:fill="FFFFFF"/>
              <w:tabs>
                <w:tab w:val="left" w:pos="9356"/>
              </w:tabs>
              <w:spacing w:after="0" w:line="252" w:lineRule="auto"/>
              <w:ind w:left="426" w:right="-143" w:hanging="426"/>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            594</w:t>
            </w:r>
          </w:p>
        </w:tc>
        <w:tc>
          <w:tcPr>
            <w:tcW w:w="1441" w:type="dxa"/>
            <w:tcBorders>
              <w:bottom w:val="single" w:sz="4" w:space="0" w:color="000000"/>
              <w:right w:val="single" w:sz="4" w:space="0" w:color="000000"/>
            </w:tcBorders>
            <w:vAlign w:val="center"/>
          </w:tcPr>
          <w:p w14:paraId="2CEE15D6" w14:textId="77777777" w:rsidR="002449C2" w:rsidRDefault="00123961">
            <w:pPr>
              <w:shd w:val="clear" w:color="auto" w:fill="FFFFFF"/>
              <w:tabs>
                <w:tab w:val="left" w:pos="9356"/>
              </w:tabs>
              <w:spacing w:after="0" w:line="252" w:lineRule="auto"/>
              <w:ind w:left="426" w:right="-143" w:hanging="426"/>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            681</w:t>
            </w:r>
          </w:p>
        </w:tc>
        <w:tc>
          <w:tcPr>
            <w:tcW w:w="1446" w:type="dxa"/>
            <w:tcBorders>
              <w:bottom w:val="single" w:sz="4" w:space="0" w:color="000000"/>
              <w:right w:val="single" w:sz="4" w:space="0" w:color="000000"/>
            </w:tcBorders>
            <w:vAlign w:val="center"/>
          </w:tcPr>
          <w:p w14:paraId="44C8755A" w14:textId="77777777" w:rsidR="002449C2" w:rsidRDefault="00123961">
            <w:pPr>
              <w:shd w:val="clear" w:color="auto" w:fill="FFFFFF"/>
              <w:tabs>
                <w:tab w:val="left" w:pos="9356"/>
              </w:tabs>
              <w:spacing w:after="0" w:line="252" w:lineRule="auto"/>
              <w:ind w:left="426" w:right="-143" w:hanging="426"/>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         1 391</w:t>
            </w:r>
          </w:p>
        </w:tc>
        <w:tc>
          <w:tcPr>
            <w:tcW w:w="1815" w:type="dxa"/>
            <w:tcBorders>
              <w:bottom w:val="single" w:sz="4" w:space="0" w:color="000000"/>
              <w:right w:val="single" w:sz="4" w:space="0" w:color="000000"/>
            </w:tcBorders>
            <w:vAlign w:val="center"/>
          </w:tcPr>
          <w:p w14:paraId="594AE9E4" w14:textId="77777777" w:rsidR="002449C2" w:rsidRDefault="00123961">
            <w:pPr>
              <w:shd w:val="clear" w:color="auto" w:fill="FFFFFF"/>
              <w:tabs>
                <w:tab w:val="left" w:pos="9356"/>
              </w:tabs>
              <w:spacing w:after="0" w:line="252" w:lineRule="auto"/>
              <w:ind w:left="426" w:right="-143" w:hanging="426"/>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204%</w:t>
            </w:r>
          </w:p>
        </w:tc>
      </w:tr>
      <w:tr w:rsidR="002449C2" w14:paraId="46FA3AF4" w14:textId="77777777">
        <w:trPr>
          <w:trHeight w:val="220"/>
        </w:trPr>
        <w:tc>
          <w:tcPr>
            <w:tcW w:w="9454" w:type="dxa"/>
            <w:gridSpan w:val="6"/>
            <w:tcBorders>
              <w:top w:val="single" w:sz="4" w:space="0" w:color="000000"/>
              <w:left w:val="single" w:sz="4" w:space="0" w:color="000000"/>
              <w:bottom w:val="single" w:sz="4" w:space="0" w:color="000000"/>
              <w:right w:val="single" w:sz="4" w:space="0" w:color="000000"/>
            </w:tcBorders>
            <w:vAlign w:val="bottom"/>
          </w:tcPr>
          <w:p w14:paraId="385243A7" w14:textId="77777777" w:rsidR="002449C2" w:rsidRDefault="00123961">
            <w:pPr>
              <w:shd w:val="clear" w:color="auto" w:fill="FFFFFF"/>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Долгосрочная инвестиционная программа  2024-2028 гг.</w:t>
            </w:r>
          </w:p>
        </w:tc>
      </w:tr>
      <w:tr w:rsidR="002449C2" w14:paraId="7368EB88" w14:textId="77777777">
        <w:trPr>
          <w:cantSplit/>
          <w:trHeight w:val="323"/>
        </w:trPr>
        <w:tc>
          <w:tcPr>
            <w:tcW w:w="2366" w:type="dxa"/>
            <w:tcBorders>
              <w:left w:val="single" w:sz="4" w:space="0" w:color="000000"/>
              <w:bottom w:val="single" w:sz="4" w:space="0" w:color="000000"/>
              <w:right w:val="single" w:sz="4" w:space="0" w:color="000000"/>
            </w:tcBorders>
            <w:vAlign w:val="center"/>
          </w:tcPr>
          <w:p w14:paraId="08B481F4" w14:textId="77777777" w:rsidR="002449C2" w:rsidRDefault="00123961">
            <w:pPr>
              <w:shd w:val="clear" w:color="auto" w:fill="FFFFFF"/>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Период</w:t>
            </w:r>
          </w:p>
        </w:tc>
        <w:tc>
          <w:tcPr>
            <w:tcW w:w="1188" w:type="dxa"/>
            <w:tcBorders>
              <w:bottom w:val="single" w:sz="4" w:space="0" w:color="000000"/>
              <w:right w:val="single" w:sz="4" w:space="0" w:color="000000"/>
            </w:tcBorders>
            <w:vAlign w:val="center"/>
          </w:tcPr>
          <w:p w14:paraId="0FEA22EB"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Ед.изм.</w:t>
            </w:r>
          </w:p>
        </w:tc>
        <w:tc>
          <w:tcPr>
            <w:tcW w:w="1198" w:type="dxa"/>
            <w:tcBorders>
              <w:bottom w:val="single" w:sz="4" w:space="0" w:color="000000"/>
              <w:right w:val="single" w:sz="4" w:space="0" w:color="000000"/>
            </w:tcBorders>
            <w:vAlign w:val="center"/>
          </w:tcPr>
          <w:p w14:paraId="244A4A78" w14:textId="77777777" w:rsidR="002449C2" w:rsidRDefault="00123961">
            <w:pPr>
              <w:shd w:val="clear" w:color="auto" w:fill="FFFFFF"/>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2025</w:t>
            </w:r>
          </w:p>
        </w:tc>
        <w:tc>
          <w:tcPr>
            <w:tcW w:w="1441" w:type="dxa"/>
            <w:tcBorders>
              <w:bottom w:val="single" w:sz="4" w:space="0" w:color="000000"/>
              <w:right w:val="single" w:sz="4" w:space="0" w:color="000000"/>
            </w:tcBorders>
            <w:vAlign w:val="center"/>
          </w:tcPr>
          <w:p w14:paraId="5117A0CE" w14:textId="77777777" w:rsidR="002449C2" w:rsidRDefault="00123961">
            <w:pPr>
              <w:shd w:val="clear" w:color="auto" w:fill="FFFFFF"/>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2026</w:t>
            </w:r>
          </w:p>
        </w:tc>
        <w:tc>
          <w:tcPr>
            <w:tcW w:w="1446" w:type="dxa"/>
            <w:tcBorders>
              <w:bottom w:val="single" w:sz="4" w:space="0" w:color="000000"/>
              <w:right w:val="single" w:sz="4" w:space="0" w:color="000000"/>
            </w:tcBorders>
            <w:vAlign w:val="center"/>
          </w:tcPr>
          <w:p w14:paraId="1280D60E" w14:textId="77777777" w:rsidR="002449C2" w:rsidRDefault="00123961">
            <w:pPr>
              <w:shd w:val="clear" w:color="auto" w:fill="FFFFFF"/>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2027</w:t>
            </w:r>
          </w:p>
        </w:tc>
        <w:tc>
          <w:tcPr>
            <w:tcW w:w="1815" w:type="dxa"/>
            <w:tcBorders>
              <w:bottom w:val="single" w:sz="4" w:space="0" w:color="000000"/>
              <w:right w:val="single" w:sz="4" w:space="0" w:color="000000"/>
            </w:tcBorders>
            <w:vAlign w:val="center"/>
          </w:tcPr>
          <w:p w14:paraId="73A09B0B" w14:textId="77777777" w:rsidR="002449C2" w:rsidRDefault="00123961">
            <w:pPr>
              <w:shd w:val="clear" w:color="auto" w:fill="FFFFFF"/>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2028</w:t>
            </w:r>
          </w:p>
        </w:tc>
      </w:tr>
      <w:tr w:rsidR="002449C2" w14:paraId="48122F73" w14:textId="77777777">
        <w:trPr>
          <w:cantSplit/>
          <w:trHeight w:val="323"/>
        </w:trPr>
        <w:tc>
          <w:tcPr>
            <w:tcW w:w="2366" w:type="dxa"/>
            <w:tcBorders>
              <w:left w:val="single" w:sz="4" w:space="0" w:color="000000"/>
              <w:bottom w:val="single" w:sz="4" w:space="0" w:color="000000"/>
              <w:right w:val="single" w:sz="4" w:space="0" w:color="000000"/>
            </w:tcBorders>
            <w:vAlign w:val="center"/>
          </w:tcPr>
          <w:p w14:paraId="1B20A809" w14:textId="77777777" w:rsidR="002449C2" w:rsidRDefault="00123961">
            <w:pPr>
              <w:shd w:val="clear" w:color="auto" w:fill="FFFFFF"/>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Объем финансирования</w:t>
            </w:r>
          </w:p>
        </w:tc>
        <w:tc>
          <w:tcPr>
            <w:tcW w:w="1188" w:type="dxa"/>
            <w:tcBorders>
              <w:bottom w:val="single" w:sz="4" w:space="0" w:color="000000"/>
              <w:right w:val="single" w:sz="4" w:space="0" w:color="000000"/>
            </w:tcBorders>
          </w:tcPr>
          <w:p w14:paraId="4EDB1CD6" w14:textId="77777777" w:rsidR="002449C2" w:rsidRDefault="00123961">
            <w:pPr>
              <w:shd w:val="clear" w:color="auto" w:fill="FFFFFF"/>
              <w:spacing w:after="0" w:line="252" w:lineRule="auto"/>
              <w:ind w:left="319"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млн руб. с</w:t>
            </w:r>
          </w:p>
          <w:p w14:paraId="46EE2717" w14:textId="77777777" w:rsidR="002449C2" w:rsidRDefault="00123961">
            <w:pPr>
              <w:shd w:val="clear" w:color="auto" w:fill="FFFFFF"/>
              <w:spacing w:after="0" w:line="252" w:lineRule="auto"/>
              <w:ind w:left="319"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НДС</w:t>
            </w:r>
          </w:p>
        </w:tc>
        <w:tc>
          <w:tcPr>
            <w:tcW w:w="1198" w:type="dxa"/>
            <w:tcBorders>
              <w:top w:val="single" w:sz="4" w:space="0" w:color="000000"/>
              <w:left w:val="single" w:sz="4" w:space="0" w:color="000000"/>
              <w:bottom w:val="single" w:sz="4" w:space="0" w:color="000000"/>
              <w:right w:val="single" w:sz="4" w:space="0" w:color="000000"/>
            </w:tcBorders>
            <w:vAlign w:val="center"/>
          </w:tcPr>
          <w:p w14:paraId="395E8608" w14:textId="77777777" w:rsidR="002449C2" w:rsidRDefault="00123961">
            <w:pPr>
              <w:shd w:val="clear" w:color="auto" w:fill="FFFFFF"/>
              <w:tabs>
                <w:tab w:val="left" w:pos="9356"/>
              </w:tabs>
              <w:spacing w:after="0" w:line="252" w:lineRule="auto"/>
              <w:ind w:right="-14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7 496</w:t>
            </w:r>
          </w:p>
        </w:tc>
        <w:tc>
          <w:tcPr>
            <w:tcW w:w="1441" w:type="dxa"/>
            <w:tcBorders>
              <w:top w:val="single" w:sz="4" w:space="0" w:color="000000"/>
              <w:bottom w:val="single" w:sz="4" w:space="0" w:color="000000"/>
              <w:right w:val="single" w:sz="4" w:space="0" w:color="000000"/>
            </w:tcBorders>
            <w:vAlign w:val="center"/>
          </w:tcPr>
          <w:p w14:paraId="7A48B13A" w14:textId="77777777" w:rsidR="002449C2" w:rsidRDefault="00123961">
            <w:pPr>
              <w:shd w:val="clear" w:color="auto" w:fill="FFFFFF"/>
              <w:tabs>
                <w:tab w:val="left" w:pos="9356"/>
              </w:tabs>
              <w:spacing w:after="0"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5 883</w:t>
            </w:r>
          </w:p>
        </w:tc>
        <w:tc>
          <w:tcPr>
            <w:tcW w:w="1446" w:type="dxa"/>
            <w:tcBorders>
              <w:top w:val="single" w:sz="4" w:space="0" w:color="000000"/>
              <w:bottom w:val="single" w:sz="4" w:space="0" w:color="000000"/>
              <w:right w:val="single" w:sz="4" w:space="0" w:color="000000"/>
            </w:tcBorders>
            <w:vAlign w:val="center"/>
          </w:tcPr>
          <w:p w14:paraId="51C3F37B" w14:textId="77777777" w:rsidR="002449C2" w:rsidRDefault="00123961">
            <w:pPr>
              <w:shd w:val="clear" w:color="auto" w:fill="FFFFFF"/>
              <w:tabs>
                <w:tab w:val="left" w:pos="9356"/>
              </w:tabs>
              <w:spacing w:after="0" w:line="252" w:lineRule="auto"/>
              <w:ind w:right="-14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4 101</w:t>
            </w:r>
          </w:p>
        </w:tc>
        <w:tc>
          <w:tcPr>
            <w:tcW w:w="1815" w:type="dxa"/>
            <w:tcBorders>
              <w:top w:val="single" w:sz="4" w:space="0" w:color="000000"/>
              <w:bottom w:val="single" w:sz="4" w:space="0" w:color="000000"/>
              <w:right w:val="single" w:sz="4" w:space="0" w:color="000000"/>
            </w:tcBorders>
            <w:vAlign w:val="center"/>
          </w:tcPr>
          <w:p w14:paraId="6560A7CC" w14:textId="77777777" w:rsidR="002449C2" w:rsidRDefault="00123961">
            <w:pPr>
              <w:shd w:val="clear" w:color="auto" w:fill="FFFFFF"/>
              <w:tabs>
                <w:tab w:val="left" w:pos="9356"/>
              </w:tabs>
              <w:spacing w:after="0" w:line="252" w:lineRule="auto"/>
              <w:ind w:right="-14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3 787</w:t>
            </w:r>
          </w:p>
        </w:tc>
      </w:tr>
      <w:tr w:rsidR="002449C2" w14:paraId="0388B22A" w14:textId="77777777">
        <w:trPr>
          <w:trHeight w:val="440"/>
        </w:trPr>
        <w:tc>
          <w:tcPr>
            <w:tcW w:w="2366" w:type="dxa"/>
            <w:tcBorders>
              <w:left w:val="single" w:sz="4" w:space="0" w:color="000000"/>
              <w:bottom w:val="single" w:sz="4" w:space="0" w:color="000000"/>
              <w:right w:val="single" w:sz="4" w:space="0" w:color="000000"/>
            </w:tcBorders>
            <w:vAlign w:val="center"/>
          </w:tcPr>
          <w:p w14:paraId="7CB32FA8" w14:textId="77777777" w:rsidR="002449C2" w:rsidRDefault="00123961">
            <w:pPr>
              <w:shd w:val="clear" w:color="auto" w:fill="FFFFFF"/>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Объем освоения капитальных вложений</w:t>
            </w:r>
          </w:p>
        </w:tc>
        <w:tc>
          <w:tcPr>
            <w:tcW w:w="1188" w:type="dxa"/>
            <w:tcBorders>
              <w:bottom w:val="single" w:sz="4" w:space="0" w:color="000000"/>
              <w:right w:val="single" w:sz="4" w:space="0" w:color="000000"/>
            </w:tcBorders>
          </w:tcPr>
          <w:p w14:paraId="01383AEB" w14:textId="77777777" w:rsidR="002449C2" w:rsidRDefault="00123961">
            <w:pPr>
              <w:shd w:val="clear" w:color="auto" w:fill="FFFFFF"/>
              <w:spacing w:after="0" w:line="252" w:lineRule="auto"/>
              <w:ind w:left="319"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млн руб.</w:t>
            </w:r>
          </w:p>
          <w:p w14:paraId="6538F8A6" w14:textId="77777777" w:rsidR="002449C2" w:rsidRDefault="00123961">
            <w:pPr>
              <w:shd w:val="clear" w:color="auto" w:fill="FFFFFF"/>
              <w:spacing w:after="0" w:line="252" w:lineRule="auto"/>
              <w:ind w:left="319"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без НДС</w:t>
            </w:r>
          </w:p>
        </w:tc>
        <w:tc>
          <w:tcPr>
            <w:tcW w:w="1198" w:type="dxa"/>
            <w:tcBorders>
              <w:left w:val="single" w:sz="4" w:space="0" w:color="000000"/>
              <w:bottom w:val="single" w:sz="4" w:space="0" w:color="000000"/>
              <w:right w:val="single" w:sz="4" w:space="0" w:color="000000"/>
            </w:tcBorders>
            <w:vAlign w:val="center"/>
          </w:tcPr>
          <w:p w14:paraId="55A7E9BF" w14:textId="77777777" w:rsidR="002449C2" w:rsidRDefault="00123961">
            <w:pPr>
              <w:shd w:val="clear" w:color="auto" w:fill="FFFFFF"/>
              <w:tabs>
                <w:tab w:val="left" w:pos="9356"/>
              </w:tabs>
              <w:spacing w:after="0" w:line="252" w:lineRule="auto"/>
              <w:ind w:right="-14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6 646</w:t>
            </w:r>
          </w:p>
        </w:tc>
        <w:tc>
          <w:tcPr>
            <w:tcW w:w="1441" w:type="dxa"/>
            <w:tcBorders>
              <w:bottom w:val="single" w:sz="4" w:space="0" w:color="000000"/>
              <w:right w:val="single" w:sz="4" w:space="0" w:color="000000"/>
            </w:tcBorders>
            <w:vAlign w:val="center"/>
          </w:tcPr>
          <w:p w14:paraId="25BF29D7" w14:textId="77777777" w:rsidR="002449C2" w:rsidRDefault="00123961">
            <w:pPr>
              <w:shd w:val="clear" w:color="auto" w:fill="FFFFFF"/>
              <w:tabs>
                <w:tab w:val="left" w:pos="9356"/>
              </w:tabs>
              <w:spacing w:after="0" w:line="252" w:lineRule="auto"/>
              <w:ind w:right="-14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5 094</w:t>
            </w:r>
          </w:p>
        </w:tc>
        <w:tc>
          <w:tcPr>
            <w:tcW w:w="1446" w:type="dxa"/>
            <w:tcBorders>
              <w:bottom w:val="single" w:sz="4" w:space="0" w:color="000000"/>
              <w:right w:val="single" w:sz="4" w:space="0" w:color="000000"/>
            </w:tcBorders>
            <w:vAlign w:val="center"/>
          </w:tcPr>
          <w:p w14:paraId="31B4F4B3" w14:textId="77777777" w:rsidR="002449C2" w:rsidRDefault="00123961">
            <w:pPr>
              <w:shd w:val="clear" w:color="auto" w:fill="FFFFFF"/>
              <w:tabs>
                <w:tab w:val="left" w:pos="9356"/>
              </w:tabs>
              <w:spacing w:after="0" w:line="252" w:lineRule="auto"/>
              <w:ind w:right="-14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3 138</w:t>
            </w:r>
          </w:p>
        </w:tc>
        <w:tc>
          <w:tcPr>
            <w:tcW w:w="1815" w:type="dxa"/>
            <w:tcBorders>
              <w:bottom w:val="single" w:sz="4" w:space="0" w:color="000000"/>
              <w:right w:val="single" w:sz="4" w:space="0" w:color="000000"/>
            </w:tcBorders>
            <w:vAlign w:val="center"/>
          </w:tcPr>
          <w:p w14:paraId="061C3778" w14:textId="77777777" w:rsidR="002449C2" w:rsidRDefault="00123961">
            <w:pPr>
              <w:shd w:val="clear" w:color="auto" w:fill="FFFFFF"/>
              <w:tabs>
                <w:tab w:val="left" w:pos="9356"/>
              </w:tabs>
              <w:spacing w:after="0" w:line="252" w:lineRule="auto"/>
              <w:ind w:left="426" w:right="8"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2 601</w:t>
            </w:r>
          </w:p>
        </w:tc>
      </w:tr>
      <w:tr w:rsidR="002449C2" w14:paraId="0BEFDBEA" w14:textId="77777777">
        <w:trPr>
          <w:cantSplit/>
          <w:trHeight w:val="539"/>
        </w:trPr>
        <w:tc>
          <w:tcPr>
            <w:tcW w:w="2366" w:type="dxa"/>
            <w:tcBorders>
              <w:left w:val="single" w:sz="4" w:space="0" w:color="000000"/>
              <w:bottom w:val="single" w:sz="4" w:space="0" w:color="000000"/>
              <w:right w:val="single" w:sz="4" w:space="0" w:color="000000"/>
            </w:tcBorders>
            <w:vAlign w:val="center"/>
          </w:tcPr>
          <w:p w14:paraId="2E27B83F" w14:textId="77777777" w:rsidR="002449C2" w:rsidRDefault="00123961">
            <w:pPr>
              <w:shd w:val="clear" w:color="auto" w:fill="FFFFFF"/>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Ввод в состав основных средств</w:t>
            </w:r>
          </w:p>
        </w:tc>
        <w:tc>
          <w:tcPr>
            <w:tcW w:w="1188" w:type="dxa"/>
            <w:tcBorders>
              <w:bottom w:val="single" w:sz="4" w:space="0" w:color="000000"/>
              <w:right w:val="single" w:sz="4" w:space="0" w:color="000000"/>
            </w:tcBorders>
          </w:tcPr>
          <w:p w14:paraId="44D40B33" w14:textId="77777777" w:rsidR="002449C2" w:rsidRDefault="00123961">
            <w:pPr>
              <w:shd w:val="clear" w:color="auto" w:fill="FFFFFF"/>
              <w:spacing w:after="0" w:line="252" w:lineRule="auto"/>
              <w:ind w:left="319"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млн руб.</w:t>
            </w:r>
          </w:p>
          <w:p w14:paraId="15BE73DA" w14:textId="77777777" w:rsidR="002449C2" w:rsidRDefault="00123961">
            <w:pPr>
              <w:shd w:val="clear" w:color="auto" w:fill="FFFFFF"/>
              <w:spacing w:after="0" w:line="252" w:lineRule="auto"/>
              <w:ind w:left="319"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без НДС</w:t>
            </w:r>
          </w:p>
        </w:tc>
        <w:tc>
          <w:tcPr>
            <w:tcW w:w="1198" w:type="dxa"/>
            <w:tcBorders>
              <w:left w:val="single" w:sz="4" w:space="0" w:color="000000"/>
              <w:bottom w:val="single" w:sz="4" w:space="0" w:color="000000"/>
              <w:right w:val="single" w:sz="4" w:space="0" w:color="000000"/>
            </w:tcBorders>
            <w:vAlign w:val="center"/>
          </w:tcPr>
          <w:p w14:paraId="466F413F" w14:textId="77777777" w:rsidR="002449C2" w:rsidRDefault="00123961">
            <w:pPr>
              <w:shd w:val="clear" w:color="auto" w:fill="FFFFFF"/>
              <w:tabs>
                <w:tab w:val="left" w:pos="9356"/>
              </w:tabs>
              <w:spacing w:after="0" w:line="252" w:lineRule="auto"/>
              <w:ind w:right="-14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4 624</w:t>
            </w:r>
          </w:p>
        </w:tc>
        <w:tc>
          <w:tcPr>
            <w:tcW w:w="1441" w:type="dxa"/>
            <w:tcBorders>
              <w:bottom w:val="single" w:sz="4" w:space="0" w:color="000000"/>
              <w:right w:val="single" w:sz="4" w:space="0" w:color="000000"/>
            </w:tcBorders>
            <w:vAlign w:val="center"/>
          </w:tcPr>
          <w:p w14:paraId="3526D991" w14:textId="77777777" w:rsidR="002449C2" w:rsidRDefault="00123961">
            <w:pPr>
              <w:shd w:val="clear" w:color="auto" w:fill="FFFFFF"/>
              <w:tabs>
                <w:tab w:val="left" w:pos="9356"/>
              </w:tabs>
              <w:spacing w:after="0" w:line="252" w:lineRule="auto"/>
              <w:ind w:right="-14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5 663</w:t>
            </w:r>
          </w:p>
        </w:tc>
        <w:tc>
          <w:tcPr>
            <w:tcW w:w="1446" w:type="dxa"/>
            <w:tcBorders>
              <w:bottom w:val="single" w:sz="4" w:space="0" w:color="000000"/>
              <w:right w:val="single" w:sz="4" w:space="0" w:color="000000"/>
            </w:tcBorders>
            <w:vAlign w:val="center"/>
          </w:tcPr>
          <w:p w14:paraId="2E7554B0" w14:textId="77777777" w:rsidR="002449C2" w:rsidRDefault="00123961">
            <w:pPr>
              <w:shd w:val="clear" w:color="auto" w:fill="FFFFFF"/>
              <w:tabs>
                <w:tab w:val="left" w:pos="9356"/>
              </w:tabs>
              <w:spacing w:after="0" w:line="252" w:lineRule="auto"/>
              <w:ind w:right="-14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5 070</w:t>
            </w:r>
          </w:p>
        </w:tc>
        <w:tc>
          <w:tcPr>
            <w:tcW w:w="1815" w:type="dxa"/>
            <w:tcBorders>
              <w:bottom w:val="single" w:sz="4" w:space="0" w:color="000000"/>
              <w:right w:val="single" w:sz="4" w:space="0" w:color="000000"/>
            </w:tcBorders>
            <w:vAlign w:val="center"/>
          </w:tcPr>
          <w:p w14:paraId="663EA293" w14:textId="77777777" w:rsidR="002449C2" w:rsidRDefault="00123961">
            <w:pPr>
              <w:shd w:val="clear" w:color="auto" w:fill="FFFFFF"/>
              <w:tabs>
                <w:tab w:val="left" w:pos="9356"/>
              </w:tabs>
              <w:spacing w:after="0" w:line="252" w:lineRule="auto"/>
              <w:ind w:right="-14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2 712</w:t>
            </w:r>
          </w:p>
        </w:tc>
      </w:tr>
      <w:tr w:rsidR="002449C2" w14:paraId="331AEDB5" w14:textId="77777777">
        <w:trPr>
          <w:cantSplit/>
          <w:trHeight w:val="661"/>
        </w:trPr>
        <w:tc>
          <w:tcPr>
            <w:tcW w:w="2366" w:type="dxa"/>
            <w:tcBorders>
              <w:left w:val="single" w:sz="4" w:space="0" w:color="000000"/>
              <w:bottom w:val="single" w:sz="4" w:space="0" w:color="000000"/>
              <w:right w:val="single" w:sz="4" w:space="0" w:color="000000"/>
            </w:tcBorders>
            <w:vAlign w:val="center"/>
          </w:tcPr>
          <w:p w14:paraId="0BD452D0" w14:textId="77777777" w:rsidR="002449C2" w:rsidRDefault="00123961">
            <w:pPr>
              <w:shd w:val="clear" w:color="auto" w:fill="FFFFFF"/>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Ввод в состав основных средств трансформаторной  мощности, МВА</w:t>
            </w:r>
          </w:p>
        </w:tc>
        <w:tc>
          <w:tcPr>
            <w:tcW w:w="1188" w:type="dxa"/>
            <w:tcBorders>
              <w:bottom w:val="single" w:sz="4" w:space="0" w:color="000000"/>
              <w:right w:val="single" w:sz="4" w:space="0" w:color="000000"/>
            </w:tcBorders>
          </w:tcPr>
          <w:p w14:paraId="6B79AEE1" w14:textId="77777777" w:rsidR="002449C2" w:rsidRDefault="00123961">
            <w:pPr>
              <w:shd w:val="clear" w:color="auto" w:fill="FFFFFF"/>
              <w:spacing w:after="0" w:line="252" w:lineRule="auto"/>
              <w:ind w:right="-165"/>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МВА</w:t>
            </w:r>
          </w:p>
        </w:tc>
        <w:tc>
          <w:tcPr>
            <w:tcW w:w="1198" w:type="dxa"/>
            <w:tcBorders>
              <w:left w:val="single" w:sz="4" w:space="0" w:color="000000"/>
              <w:bottom w:val="single" w:sz="4" w:space="0" w:color="000000"/>
              <w:right w:val="single" w:sz="4" w:space="0" w:color="000000"/>
            </w:tcBorders>
            <w:vAlign w:val="center"/>
          </w:tcPr>
          <w:p w14:paraId="3636EC38" w14:textId="77777777" w:rsidR="002449C2" w:rsidRDefault="00123961">
            <w:pPr>
              <w:shd w:val="clear" w:color="auto" w:fill="FFFFFF"/>
              <w:tabs>
                <w:tab w:val="left" w:pos="9356"/>
              </w:tabs>
              <w:spacing w:after="0" w:line="252" w:lineRule="auto"/>
              <w:ind w:right="-14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98</w:t>
            </w:r>
          </w:p>
        </w:tc>
        <w:tc>
          <w:tcPr>
            <w:tcW w:w="1441" w:type="dxa"/>
            <w:tcBorders>
              <w:bottom w:val="single" w:sz="4" w:space="0" w:color="000000"/>
              <w:right w:val="single" w:sz="4" w:space="0" w:color="000000"/>
            </w:tcBorders>
            <w:vAlign w:val="center"/>
          </w:tcPr>
          <w:p w14:paraId="7410EB32" w14:textId="77777777" w:rsidR="002449C2" w:rsidRDefault="00123961">
            <w:pPr>
              <w:shd w:val="clear" w:color="auto" w:fill="FFFFFF"/>
              <w:tabs>
                <w:tab w:val="left" w:pos="9356"/>
              </w:tabs>
              <w:spacing w:after="0" w:line="252" w:lineRule="auto"/>
              <w:ind w:right="-14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170</w:t>
            </w:r>
          </w:p>
        </w:tc>
        <w:tc>
          <w:tcPr>
            <w:tcW w:w="1446" w:type="dxa"/>
            <w:tcBorders>
              <w:bottom w:val="single" w:sz="4" w:space="0" w:color="000000"/>
              <w:right w:val="single" w:sz="4" w:space="0" w:color="000000"/>
            </w:tcBorders>
            <w:vAlign w:val="center"/>
          </w:tcPr>
          <w:p w14:paraId="481BC89C" w14:textId="77777777" w:rsidR="002449C2" w:rsidRDefault="00123961">
            <w:pPr>
              <w:shd w:val="clear" w:color="auto" w:fill="FFFFFF"/>
              <w:tabs>
                <w:tab w:val="left" w:pos="9356"/>
              </w:tabs>
              <w:spacing w:after="0" w:line="252" w:lineRule="auto"/>
              <w:ind w:right="-14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106</w:t>
            </w:r>
          </w:p>
        </w:tc>
        <w:tc>
          <w:tcPr>
            <w:tcW w:w="1815" w:type="dxa"/>
            <w:tcBorders>
              <w:bottom w:val="single" w:sz="4" w:space="0" w:color="000000"/>
              <w:right w:val="single" w:sz="4" w:space="0" w:color="000000"/>
            </w:tcBorders>
            <w:vAlign w:val="center"/>
          </w:tcPr>
          <w:p w14:paraId="6CEBF4CA" w14:textId="77777777" w:rsidR="002449C2" w:rsidRDefault="00123961">
            <w:pPr>
              <w:shd w:val="clear" w:color="auto" w:fill="FFFFFF"/>
              <w:tabs>
                <w:tab w:val="left" w:pos="9356"/>
              </w:tabs>
              <w:spacing w:after="0" w:line="252" w:lineRule="auto"/>
              <w:ind w:right="-14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66</w:t>
            </w:r>
          </w:p>
        </w:tc>
      </w:tr>
      <w:tr w:rsidR="002449C2" w14:paraId="40C247CA" w14:textId="77777777">
        <w:trPr>
          <w:cantSplit/>
          <w:trHeight w:val="440"/>
        </w:trPr>
        <w:tc>
          <w:tcPr>
            <w:tcW w:w="2366" w:type="dxa"/>
            <w:tcBorders>
              <w:left w:val="single" w:sz="4" w:space="0" w:color="000000"/>
              <w:bottom w:val="single" w:sz="4" w:space="0" w:color="000000"/>
              <w:right w:val="single" w:sz="4" w:space="0" w:color="000000"/>
            </w:tcBorders>
            <w:vAlign w:val="center"/>
          </w:tcPr>
          <w:p w14:paraId="2B1E0A34" w14:textId="77777777" w:rsidR="002449C2" w:rsidRDefault="00123961">
            <w:pPr>
              <w:shd w:val="clear" w:color="auto" w:fill="FFFFFF"/>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Ввод в состав основных средств линий электропередачи</w:t>
            </w:r>
          </w:p>
        </w:tc>
        <w:tc>
          <w:tcPr>
            <w:tcW w:w="1188" w:type="dxa"/>
            <w:tcBorders>
              <w:bottom w:val="single" w:sz="4" w:space="0" w:color="000000"/>
              <w:right w:val="single" w:sz="4" w:space="0" w:color="000000"/>
            </w:tcBorders>
          </w:tcPr>
          <w:p w14:paraId="3A7A3160" w14:textId="77777777" w:rsidR="002449C2" w:rsidRDefault="00123961">
            <w:pPr>
              <w:shd w:val="clear" w:color="auto" w:fill="FFFFFF"/>
              <w:spacing w:after="0" w:line="252" w:lineRule="auto"/>
              <w:ind w:left="319"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км</w:t>
            </w:r>
          </w:p>
        </w:tc>
        <w:tc>
          <w:tcPr>
            <w:tcW w:w="1198" w:type="dxa"/>
            <w:tcBorders>
              <w:left w:val="single" w:sz="4" w:space="0" w:color="000000"/>
              <w:bottom w:val="single" w:sz="4" w:space="0" w:color="000000"/>
              <w:right w:val="single" w:sz="4" w:space="0" w:color="000000"/>
            </w:tcBorders>
            <w:vAlign w:val="center"/>
          </w:tcPr>
          <w:p w14:paraId="7CC50A76" w14:textId="77777777" w:rsidR="002449C2" w:rsidRDefault="00123961">
            <w:pPr>
              <w:shd w:val="clear" w:color="auto" w:fill="FFFFFF"/>
              <w:tabs>
                <w:tab w:val="left" w:pos="9356"/>
              </w:tabs>
              <w:spacing w:after="0" w:line="252" w:lineRule="auto"/>
              <w:ind w:right="-14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526</w:t>
            </w:r>
          </w:p>
        </w:tc>
        <w:tc>
          <w:tcPr>
            <w:tcW w:w="1441" w:type="dxa"/>
            <w:tcBorders>
              <w:bottom w:val="single" w:sz="4" w:space="0" w:color="000000"/>
              <w:right w:val="single" w:sz="4" w:space="0" w:color="000000"/>
            </w:tcBorders>
            <w:vAlign w:val="center"/>
          </w:tcPr>
          <w:p w14:paraId="2E2F41DC" w14:textId="77777777" w:rsidR="002449C2" w:rsidRDefault="00123961">
            <w:pPr>
              <w:shd w:val="clear" w:color="auto" w:fill="FFFFFF"/>
              <w:tabs>
                <w:tab w:val="left" w:pos="9356"/>
              </w:tabs>
              <w:spacing w:after="0" w:line="252" w:lineRule="auto"/>
              <w:ind w:right="-14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472</w:t>
            </w:r>
          </w:p>
        </w:tc>
        <w:tc>
          <w:tcPr>
            <w:tcW w:w="1446" w:type="dxa"/>
            <w:tcBorders>
              <w:bottom w:val="single" w:sz="4" w:space="0" w:color="000000"/>
              <w:right w:val="single" w:sz="4" w:space="0" w:color="000000"/>
            </w:tcBorders>
            <w:vAlign w:val="center"/>
          </w:tcPr>
          <w:p w14:paraId="65FE6B76" w14:textId="77777777" w:rsidR="002449C2" w:rsidRDefault="00123961">
            <w:pPr>
              <w:shd w:val="clear" w:color="auto" w:fill="FFFFFF"/>
              <w:tabs>
                <w:tab w:val="left" w:pos="9356"/>
              </w:tabs>
              <w:spacing w:after="0" w:line="252" w:lineRule="auto"/>
              <w:ind w:right="-14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478</w:t>
            </w:r>
          </w:p>
        </w:tc>
        <w:tc>
          <w:tcPr>
            <w:tcW w:w="1815" w:type="dxa"/>
            <w:tcBorders>
              <w:bottom w:val="single" w:sz="4" w:space="0" w:color="000000"/>
              <w:right w:val="single" w:sz="4" w:space="0" w:color="000000"/>
            </w:tcBorders>
            <w:vAlign w:val="center"/>
          </w:tcPr>
          <w:p w14:paraId="6C6D8633" w14:textId="77777777" w:rsidR="002449C2" w:rsidRDefault="00123961">
            <w:pPr>
              <w:shd w:val="clear" w:color="auto" w:fill="FFFFFF"/>
              <w:tabs>
                <w:tab w:val="left" w:pos="9356"/>
              </w:tabs>
              <w:spacing w:after="0" w:line="252" w:lineRule="auto"/>
              <w:ind w:right="-14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355</w:t>
            </w:r>
          </w:p>
        </w:tc>
      </w:tr>
    </w:tbl>
    <w:p w14:paraId="7848F48F" w14:textId="77777777" w:rsidR="002449C2" w:rsidRDefault="002449C2">
      <w:pPr>
        <w:shd w:val="clear" w:color="auto" w:fill="FFFFFF"/>
        <w:spacing w:after="0" w:line="240" w:lineRule="auto"/>
        <w:ind w:firstLine="709"/>
        <w:jc w:val="both"/>
        <w:rPr>
          <w:rFonts w:ascii="Arial Narrow" w:eastAsia="Times New Roman" w:hAnsi="Arial Narrow"/>
          <w:sz w:val="26"/>
          <w:szCs w:val="26"/>
          <w:lang w:eastAsia="ru-RU"/>
        </w:rPr>
      </w:pPr>
    </w:p>
    <w:p w14:paraId="21DB0C89" w14:textId="77777777" w:rsidR="002449C2" w:rsidRDefault="00123961">
      <w:pPr>
        <w:shd w:val="clear" w:color="auto" w:fill="FFFFFF"/>
        <w:tabs>
          <w:tab w:val="left" w:pos="9356"/>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Объем инвестиций в 2024 году направлен в основном на два вида деятельности, а именно, на финансирование инвестиционных проектов по технологическому присоединению – 4 092 млн руб. с НДС или 62% от общего объема инвестиций и на финансирование инвестиционных проектов по реконструкции, модернизации, техническому перевооружению – 1 395 млн руб. с НДС или 21 % от общего объема финансирования.</w:t>
      </w:r>
    </w:p>
    <w:p w14:paraId="6B7C9D89" w14:textId="77777777" w:rsidR="002449C2" w:rsidRDefault="00123961">
      <w:pPr>
        <w:shd w:val="clear" w:color="auto" w:fill="FFFFFF"/>
        <w:tabs>
          <w:tab w:val="left" w:pos="9356"/>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рамках инвестиционной деятельности по технологическому присоединению основной объем инвестиций был направлен на выполнение мероприятий по договорам на технологическое присоединение льготной категории потребителей с присоединяемой мощностью до 150 кВт. Объем финансирования данных мероприятий в 2024 году составил 2 991,2 млн руб. или 73% от общего объема финансирования по технологическому присоединению.          </w:t>
      </w:r>
    </w:p>
    <w:p w14:paraId="26B492B2" w14:textId="77777777" w:rsidR="002449C2" w:rsidRDefault="00123961">
      <w:pPr>
        <w:shd w:val="clear" w:color="auto" w:fill="FFFFFF"/>
        <w:tabs>
          <w:tab w:val="left" w:pos="9356"/>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рамках инвестиционной деятельности по реконструкции, модернизации, техническому перевооружению основной объем пришелся на финансирование мероприятий по развитию и модернизации учета электрической энергии (мощности), а именно, 645 млн руб. или 46 % от общего объема финансирования ТПиР.</w:t>
      </w:r>
    </w:p>
    <w:p w14:paraId="786C8F4D" w14:textId="77777777" w:rsidR="002449C2" w:rsidRDefault="00123961">
      <w:pPr>
        <w:shd w:val="clear" w:color="auto" w:fill="FFFFFF"/>
        <w:tabs>
          <w:tab w:val="left" w:pos="9356"/>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целях осуществления контроля за ходом исполнения инвестиционных программ и приоритетных инвестиционных проектов распоряжением от </w:t>
      </w:r>
      <w:r>
        <w:rPr>
          <w:rFonts w:ascii="Times New Roman" w:hAnsi="Times New Roman"/>
          <w:color w:val="000000"/>
          <w:sz w:val="26"/>
          <w:szCs w:val="26"/>
        </w:rPr>
        <w:t xml:space="preserve">28.06.2024 №349р </w:t>
      </w:r>
      <w:r>
        <w:rPr>
          <w:rFonts w:ascii="Times New Roman" w:eastAsia="Times New Roman" w:hAnsi="Times New Roman"/>
          <w:sz w:val="26"/>
          <w:szCs w:val="26"/>
          <w:lang w:eastAsia="ru-RU"/>
        </w:rPr>
        <w:t>«Об утверждении актуализированного перечня приоритетных объектов, реализуемых в ПАО «Россети», ДО ПАО «Россети» и иных подконтрольных организациях ПАО «Россети» утвержден перечень приоритетных объектов ДО ПАО «Россети» на 2024 год.</w:t>
      </w:r>
    </w:p>
    <w:p w14:paraId="77C2789A" w14:textId="77777777" w:rsidR="002449C2" w:rsidRDefault="00123961">
      <w:pPr>
        <w:shd w:val="clear" w:color="auto" w:fill="FFFFFF"/>
        <w:tabs>
          <w:tab w:val="left" w:pos="9356"/>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соответствии с утвержденной инвестиционной программой Общества в 2024 году запланирована реализация 14 приоритетных инвестиционных проектов:</w:t>
      </w:r>
    </w:p>
    <w:p w14:paraId="7A99A10E"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 Реконструкция ВЛ 110 кВ №701 на участке в пролетах опор от №1 до №130.</w:t>
      </w:r>
    </w:p>
    <w:p w14:paraId="72C492B0"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 Реконструкция ВЛ 110 кВ №702 на участке в пролетах опор от №17 до №99.</w:t>
      </w:r>
    </w:p>
    <w:p w14:paraId="7A3C6CD6"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Реализация инвестиционных проектов осуществляется в рамках исполнения распоряжения Правительства Российской Федерации от 11.10.2023 № 2774-р, Программы повышения надежности электросетевого комплекса Астраханской области, согласованной Минэнерго России и утвержденной Губернатором Астраханской области за счет средств неиспользованного взноса в уставный капитал Общества, ранее направленного в целях финансирования объектов энергетической инфраструктуры, чемпионата мира по футболу в 2018 году.</w:t>
      </w:r>
    </w:p>
    <w:p w14:paraId="7B28342A"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В 2023 году заключен договор на выполнение проектно-изыскательских работ, разработаны основные технические решения и проектная документация, утверждена документация по панировке территории, заключен договор с ФАУ «Главгосэкспертиза Росси» на проведение государственной экспертизы проектной документации и результатов инженерных изысканий, проведение проверки достоверности определения сметной стоимости. Плановый срок ввода объекта в эксплуатацию - 4 квартал 2026 года.</w:t>
      </w:r>
    </w:p>
    <w:p w14:paraId="50663B26" w14:textId="77777777" w:rsidR="002449C2" w:rsidRDefault="002449C2">
      <w:pPr>
        <w:pStyle w:val="affffc"/>
        <w:shd w:val="clear" w:color="auto" w:fill="FFFFFF"/>
        <w:rPr>
          <w:rFonts w:ascii="Times New Roman" w:hAnsi="Times New Roman" w:cs="Times New Roman"/>
          <w:szCs w:val="26"/>
          <w:lang w:eastAsia="ru-RU"/>
        </w:rPr>
      </w:pPr>
    </w:p>
    <w:p w14:paraId="7CF7FF70"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 xml:space="preserve">- Реконструкция ПС 110 кВ АС 1 </w:t>
      </w:r>
      <w:proofErr w:type="gramStart"/>
      <w:r>
        <w:rPr>
          <w:rFonts w:ascii="Times New Roman" w:hAnsi="Times New Roman" w:cs="Times New Roman"/>
          <w:szCs w:val="26"/>
          <w:lang w:eastAsia="ru-RU"/>
        </w:rPr>
        <w:t>с заменой трансформаторов</w:t>
      </w:r>
      <w:proofErr w:type="gramEnd"/>
      <w:r>
        <w:rPr>
          <w:rFonts w:ascii="Times New Roman" w:hAnsi="Times New Roman" w:cs="Times New Roman"/>
          <w:szCs w:val="26"/>
          <w:lang w:eastAsia="ru-RU"/>
        </w:rPr>
        <w:t xml:space="preserve"> мощностью 2х10 МВА на трансформаторы мощностью 2х25 МВА.</w:t>
      </w:r>
    </w:p>
    <w:p w14:paraId="510F5556"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 xml:space="preserve">Реализация инвестиционного проекта предусмотрена утвержденной приказом Минэнерго России от 29.11.2024 №2328 Схемой и программой развития электроэнергетических систем России на 2025-2030 годы. </w:t>
      </w:r>
    </w:p>
    <w:p w14:paraId="5449A293"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Реконструкция ПС 110/10 кВ АС1 направлена на разгрузку закрытого центра питания, исключения существующих рисков выхода параметров электроэнергетического режима работы энергосистемы за пределы допустимых значений, а также обеспечения надежности потребителей Аксайского района Ростовской области.</w:t>
      </w:r>
    </w:p>
    <w:p w14:paraId="27EED58B"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В 2024 году в полном объеме разработана проектно-сметная документация, получены положительные заключения ГАУ РО «Государственная экспертиза проектной документации и результатов инженерных изысканий» по оценке соответствия проектной документации и результатов инженерных изысканий установленным требованиям и техническим регламентам, а также проверке достоверности определения сметной стоимости. Плановый срок ввода объекта в эксплуатацию - 4 квартал 2026 года.</w:t>
      </w:r>
    </w:p>
    <w:p w14:paraId="1082FDCE" w14:textId="77777777" w:rsidR="002449C2" w:rsidRDefault="002449C2">
      <w:pPr>
        <w:pStyle w:val="affffc"/>
        <w:shd w:val="clear" w:color="auto" w:fill="FFFFFF"/>
        <w:rPr>
          <w:rFonts w:ascii="Times New Roman" w:hAnsi="Times New Roman" w:cs="Times New Roman"/>
          <w:szCs w:val="26"/>
          <w:lang w:eastAsia="ru-RU"/>
        </w:rPr>
      </w:pPr>
    </w:p>
    <w:p w14:paraId="0C4F862E"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 xml:space="preserve">- Реконструкция ПС 110 кВ Чалтырь-2 </w:t>
      </w:r>
      <w:proofErr w:type="gramStart"/>
      <w:r>
        <w:rPr>
          <w:rFonts w:ascii="Times New Roman" w:hAnsi="Times New Roman" w:cs="Times New Roman"/>
          <w:szCs w:val="26"/>
          <w:lang w:eastAsia="ru-RU"/>
        </w:rPr>
        <w:t>с заменой трансформатора</w:t>
      </w:r>
      <w:proofErr w:type="gramEnd"/>
      <w:r>
        <w:rPr>
          <w:rFonts w:ascii="Times New Roman" w:hAnsi="Times New Roman" w:cs="Times New Roman"/>
          <w:szCs w:val="26"/>
          <w:lang w:eastAsia="ru-RU"/>
        </w:rPr>
        <w:t xml:space="preserve"> в с. Чалтырь Ростовской области (с увеличением трансформаторной мощности на 39 МВА).</w:t>
      </w:r>
    </w:p>
    <w:p w14:paraId="61DB4AFB"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Реализация инвестиционного проекта предусмотрена утвержденной приказом Минэнерго России от 29.11.2024 №2328 Схемой и программой развития электроэнергетических систем России на 2025-2030 годы.</w:t>
      </w:r>
    </w:p>
    <w:p w14:paraId="34D868D5"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Реконструкция ПС 110 кВ Чалтырь-2 направлена на разгрузку закрытого центра питания, исключения существующих рисков выхода параметров электроэнергетического режима работы энергосистемы за пределы допустимых значений, а также обеспечения надежности потребителей Мясниковского района Ростовской области. Плановый срок ввода объекта в эксплуатацию - 4 квартал 2026 года.</w:t>
      </w:r>
    </w:p>
    <w:p w14:paraId="6D3A9190"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 Строительство четырех КЛ 6 кВ от проектируемых линейных ячеек 6 кВ   1-ой и 2-ой секций ПС 110 кВ Р23 для электроснабжения объектов ООО «Специализированный застройщик - 1 «Югстройинвест - Дон» г. Ростов-на-Дону», пр-кт. Шолохова (ориентировочная протяжённость КЛ 19,36 км).</w:t>
      </w:r>
    </w:p>
    <w:p w14:paraId="7AEF2783"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 xml:space="preserve">Реализация инвестиционного проекта осуществляется в целях технологического присоединения объектов жилой застройки ООО «Специализированный застройщик - 1 «Югстройинвест - Дон» общей мощностью 20,8 МВт. </w:t>
      </w:r>
    </w:p>
    <w:p w14:paraId="43CBC380"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В 2024 году утверждена проектно-сметная документация и заключен договор подряда на выполнение строительно-монтажных, электромонтажных и пусконаладочных работ. Плановый срок ввода объекта в эксплуатацию - 4 квартал 2025 года.</w:t>
      </w:r>
    </w:p>
    <w:p w14:paraId="7B17E987"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 xml:space="preserve">- Реконструкция ПС 35/6 кВ Октябрьская </w:t>
      </w:r>
      <w:proofErr w:type="gramStart"/>
      <w:r>
        <w:rPr>
          <w:rFonts w:ascii="Times New Roman" w:hAnsi="Times New Roman" w:cs="Times New Roman"/>
          <w:szCs w:val="26"/>
          <w:lang w:eastAsia="ru-RU"/>
        </w:rPr>
        <w:t>с заменой трансформаторов</w:t>
      </w:r>
      <w:proofErr w:type="gramEnd"/>
      <w:r>
        <w:rPr>
          <w:rFonts w:ascii="Times New Roman" w:hAnsi="Times New Roman" w:cs="Times New Roman"/>
          <w:szCs w:val="26"/>
          <w:lang w:eastAsia="ru-RU"/>
        </w:rPr>
        <w:t xml:space="preserve"> (с увеличением трансформаторной мощности до 20 МВА).</w:t>
      </w:r>
    </w:p>
    <w:p w14:paraId="5F66CCB0"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 xml:space="preserve">- Реконструкция ПС 35/6 кВ Интернациональная </w:t>
      </w:r>
      <w:proofErr w:type="gramStart"/>
      <w:r>
        <w:rPr>
          <w:rFonts w:ascii="Times New Roman" w:hAnsi="Times New Roman" w:cs="Times New Roman"/>
          <w:szCs w:val="26"/>
          <w:lang w:eastAsia="ru-RU"/>
        </w:rPr>
        <w:t>с заменой выключателей</w:t>
      </w:r>
      <w:proofErr w:type="gramEnd"/>
      <w:r>
        <w:rPr>
          <w:rFonts w:ascii="Times New Roman" w:hAnsi="Times New Roman" w:cs="Times New Roman"/>
          <w:szCs w:val="26"/>
          <w:lang w:eastAsia="ru-RU"/>
        </w:rPr>
        <w:t xml:space="preserve"> 10 кВ на вакуумные выключатели (8 выключателей).</w:t>
      </w:r>
    </w:p>
    <w:p w14:paraId="05C76477"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 xml:space="preserve">- Реконструкция ПС 35/6 кВ Трусовская </w:t>
      </w:r>
      <w:proofErr w:type="gramStart"/>
      <w:r>
        <w:rPr>
          <w:rFonts w:ascii="Times New Roman" w:hAnsi="Times New Roman" w:cs="Times New Roman"/>
          <w:szCs w:val="26"/>
          <w:lang w:eastAsia="ru-RU"/>
        </w:rPr>
        <w:t>с заменой трансформаторов</w:t>
      </w:r>
      <w:proofErr w:type="gramEnd"/>
      <w:r>
        <w:rPr>
          <w:rFonts w:ascii="Times New Roman" w:hAnsi="Times New Roman" w:cs="Times New Roman"/>
          <w:szCs w:val="26"/>
          <w:lang w:eastAsia="ru-RU"/>
        </w:rPr>
        <w:t xml:space="preserve"> (с увеличением трансформаторной мощности до 50 МВА).</w:t>
      </w:r>
    </w:p>
    <w:p w14:paraId="4D65EB9E"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 Реконструкция ВЛ 110 кВ 703 (ВЛ 110 кВ Владимировка - Покровка) (ориентировочной протяженностью – 7,5 км).</w:t>
      </w:r>
    </w:p>
    <w:p w14:paraId="5A0CE3B0"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 Реконструкция отпайки на ПС Мумра от ВЛ-110 кВ ЦРП – Баррикадная 1,2 с отпайками (ВЛ-110 кВ №133, №134) в пролете опор 1-234 (ориентировочной протяженностью 52,2 км).</w:t>
      </w:r>
    </w:p>
    <w:p w14:paraId="3B87C83B"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 Реконструкция ВЛ-110 кВ ЦРП – Баррикадная 1,2 с отпайками (ВЛ-110 кВ №133, №134) в пролете опор 95-172 (ориентировочная протяженность 15,6 км).</w:t>
      </w:r>
    </w:p>
    <w:p w14:paraId="63194B7C"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 Реконструкция ВЛ 35 кВ (ВЛ 35 кВ Кировская-Началово) в пролетах опор 1-11, 19-21, 29-31, 34-35, 38-41, 60-61 (ориентировочной протяженностью 1,547 км).</w:t>
      </w:r>
    </w:p>
    <w:p w14:paraId="5C71BBE5"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 Реконструкция объектов распределительной сети 10-6/0,4 кВ: КЛ 6 кВ ф. 604, ф. 605, 625 ПС «Северная» филиала ПАО «Россети Юг» - «Астраханьэнерго» (ориентировочной протяженностью 5,85 км).</w:t>
      </w:r>
    </w:p>
    <w:p w14:paraId="124236F5"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 Реконструкция объектов распределительной сети 10-0,4 кВ: воздушные линии электропередачи в Центральном, Заболдинском, Трусовском, Приволжском РЭС филиала ПАО «Россети Юг» – «Астраханьэнерго» (ориентировочная протяженность 12,81 км).</w:t>
      </w:r>
    </w:p>
    <w:p w14:paraId="114304A9"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Реализация инвестиционных проектов осуществляется в рамках исполнения Программы повышения надежности электросетевого комплекса Астраханской области, согласованной Минэнерго России и утвержденной Губернатором Астраханской области. Реализация осуществляется за счет средств субсидии из федерального бюджета в виде вклада в имущество Общества в размере 4 183,015 млн рублей (утверждено Советом директоров ПАО «Россети Юг» 02.04.2024 (протокол от 02.04.2024 №567/2024).</w:t>
      </w:r>
    </w:p>
    <w:p w14:paraId="53168EF3" w14:textId="77777777" w:rsidR="002449C2" w:rsidRDefault="002449C2">
      <w:pPr>
        <w:pStyle w:val="affffc"/>
        <w:shd w:val="clear" w:color="auto" w:fill="FFFFFF"/>
        <w:rPr>
          <w:rFonts w:ascii="Times New Roman" w:hAnsi="Times New Roman" w:cs="Times New Roman"/>
          <w:szCs w:val="26"/>
          <w:lang w:eastAsia="ru-RU"/>
        </w:rPr>
      </w:pPr>
    </w:p>
    <w:p w14:paraId="2376EC07"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По всем инвестиционным проектам в 2024 году заключены договоры на выполнение проектно-изыскательских работ, разработаны основные технические решения и проектная документация, разработана документация по планировке территории, по объектам распределительной электрической сети 0,4-10 кВ заключены договоры с ФАУ «Главгосэкспертиза России» на проведение государственной экспертизы проектной документации и результатов инженерных изысканий, проведение проверки достоверности определения сметной стоимости.</w:t>
      </w:r>
    </w:p>
    <w:p w14:paraId="244983AA" w14:textId="77777777" w:rsidR="002449C2" w:rsidRDefault="00123961">
      <w:pPr>
        <w:pStyle w:val="affffc"/>
        <w:shd w:val="clear" w:color="auto" w:fill="FFFFFF"/>
        <w:rPr>
          <w:rFonts w:ascii="Times New Roman" w:hAnsi="Times New Roman" w:cs="Times New Roman"/>
          <w:szCs w:val="26"/>
          <w:lang w:eastAsia="ru-RU"/>
        </w:rPr>
      </w:pPr>
      <w:r>
        <w:rPr>
          <w:rFonts w:ascii="Times New Roman" w:hAnsi="Times New Roman" w:cs="Times New Roman"/>
          <w:szCs w:val="26"/>
          <w:lang w:eastAsia="ru-RU"/>
        </w:rPr>
        <w:t>Плановый срок ввода объектов в эксплуатацию - 2025 – 2026 годы.</w:t>
      </w:r>
    </w:p>
    <w:p w14:paraId="334CD04C" w14:textId="77777777" w:rsidR="002449C2" w:rsidRDefault="002449C2">
      <w:pPr>
        <w:shd w:val="clear" w:color="auto" w:fill="FFFFFF"/>
        <w:tabs>
          <w:tab w:val="left" w:pos="9356"/>
        </w:tabs>
        <w:spacing w:after="0" w:line="240" w:lineRule="auto"/>
        <w:rPr>
          <w:rFonts w:ascii="Arial Narrow" w:eastAsia="Times New Roman" w:hAnsi="Arial Narrow"/>
          <w:b/>
          <w:sz w:val="24"/>
          <w:szCs w:val="24"/>
          <w:lang w:eastAsia="ru-RU"/>
        </w:rPr>
      </w:pPr>
    </w:p>
    <w:p w14:paraId="24DFCEA6" w14:textId="77777777" w:rsidR="002449C2" w:rsidRDefault="00123961">
      <w:pPr>
        <w:shd w:val="clear" w:color="auto" w:fill="FFFFFF"/>
        <w:tabs>
          <w:tab w:val="left" w:pos="9356"/>
        </w:tabs>
        <w:spacing w:after="0" w:line="240" w:lineRule="auto"/>
        <w:jc w:val="center"/>
        <w:rPr>
          <w:rFonts w:ascii="Arial Narrow" w:eastAsia="Times New Roman" w:hAnsi="Arial Narrow"/>
          <w:b/>
          <w:sz w:val="24"/>
          <w:szCs w:val="24"/>
          <w:lang w:eastAsia="ru-RU"/>
        </w:rPr>
      </w:pPr>
      <w:r>
        <w:rPr>
          <w:noProof/>
          <w:lang w:eastAsia="ru-RU"/>
        </w:rPr>
        <w:drawing>
          <wp:inline distT="0" distB="0" distL="0" distR="0" wp14:anchorId="655CCBA9" wp14:editId="33FDF12E">
            <wp:extent cx="3962400" cy="2519045"/>
            <wp:effectExtent l="0" t="0" r="0" b="0"/>
            <wp:docPr id="4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19"/>
                    <pic:cNvPicPr>
                      <a:picLocks noChangeAspect="1" noChangeArrowheads="1"/>
                    </pic:cNvPicPr>
                  </pic:nvPicPr>
                  <pic:blipFill>
                    <a:blip r:embed="rId75"/>
                    <a:stretch>
                      <a:fillRect/>
                    </a:stretch>
                  </pic:blipFill>
                  <pic:spPr bwMode="auto">
                    <a:xfrm>
                      <a:off x="0" y="0"/>
                      <a:ext cx="3962400" cy="2519045"/>
                    </a:xfrm>
                    <a:prstGeom prst="rect">
                      <a:avLst/>
                    </a:prstGeom>
                    <a:noFill/>
                  </pic:spPr>
                </pic:pic>
              </a:graphicData>
            </a:graphic>
          </wp:inline>
        </w:drawing>
      </w:r>
    </w:p>
    <w:p w14:paraId="39078461" w14:textId="77777777" w:rsidR="002449C2" w:rsidRDefault="00123961">
      <w:pPr>
        <w:shd w:val="clear" w:color="auto" w:fill="FFFFFF"/>
        <w:tabs>
          <w:tab w:val="left" w:pos="0"/>
        </w:tabs>
        <w:spacing w:before="120" w:after="12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Структура финансирования капитальных вложений, млн руб. с НДС</w:t>
      </w:r>
    </w:p>
    <w:tbl>
      <w:tblPr>
        <w:tblW w:w="9286" w:type="dxa"/>
        <w:tblInd w:w="534" w:type="dxa"/>
        <w:tblLayout w:type="fixed"/>
        <w:tblLook w:val="04A0" w:firstRow="1" w:lastRow="0" w:firstColumn="1" w:lastColumn="0" w:noHBand="0" w:noVBand="1"/>
      </w:tblPr>
      <w:tblGrid>
        <w:gridCol w:w="5007"/>
        <w:gridCol w:w="1423"/>
        <w:gridCol w:w="1428"/>
        <w:gridCol w:w="1428"/>
      </w:tblGrid>
      <w:tr w:rsidR="002449C2" w14:paraId="2EA68AF3" w14:textId="77777777">
        <w:trPr>
          <w:trHeight w:val="572"/>
        </w:trPr>
        <w:tc>
          <w:tcPr>
            <w:tcW w:w="500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6E616A" w14:textId="77777777" w:rsidR="002449C2" w:rsidRDefault="002449C2">
            <w:pPr>
              <w:shd w:val="clear" w:color="auto" w:fill="FFFFFF"/>
              <w:spacing w:after="0" w:line="240" w:lineRule="auto"/>
              <w:jc w:val="center"/>
              <w:rPr>
                <w:rFonts w:ascii="Times New Roman" w:eastAsia="Times New Roman" w:hAnsi="Times New Roman"/>
                <w:b/>
                <w:bCs/>
                <w:lang w:eastAsia="ru-RU"/>
              </w:rPr>
            </w:pPr>
          </w:p>
        </w:tc>
        <w:tc>
          <w:tcPr>
            <w:tcW w:w="142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9C1A17" w14:textId="77777777" w:rsidR="002449C2" w:rsidRDefault="00123961">
            <w:pPr>
              <w:shd w:val="clear" w:color="auto" w:fill="FFFFFF"/>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2022</w:t>
            </w:r>
          </w:p>
        </w:tc>
        <w:tc>
          <w:tcPr>
            <w:tcW w:w="142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A1C47D" w14:textId="77777777" w:rsidR="002449C2" w:rsidRDefault="00123961">
            <w:pPr>
              <w:shd w:val="clear" w:color="auto" w:fill="FFFFFF"/>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2023</w:t>
            </w:r>
          </w:p>
        </w:tc>
        <w:tc>
          <w:tcPr>
            <w:tcW w:w="142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8FBCAF9" w14:textId="77777777" w:rsidR="002449C2" w:rsidRDefault="00123961">
            <w:pPr>
              <w:shd w:val="clear" w:color="auto" w:fill="FFFFFF"/>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2024</w:t>
            </w:r>
          </w:p>
        </w:tc>
      </w:tr>
      <w:tr w:rsidR="002449C2" w14:paraId="6D0AF30C" w14:textId="77777777">
        <w:trPr>
          <w:trHeight w:val="140"/>
        </w:trPr>
        <w:tc>
          <w:tcPr>
            <w:tcW w:w="5006" w:type="dxa"/>
            <w:tcBorders>
              <w:top w:val="single" w:sz="4" w:space="0" w:color="000000"/>
              <w:left w:val="single" w:sz="4" w:space="0" w:color="000000"/>
              <w:bottom w:val="single" w:sz="4" w:space="0" w:color="000000"/>
              <w:right w:val="single" w:sz="4" w:space="0" w:color="000000"/>
            </w:tcBorders>
            <w:shd w:val="clear" w:color="auto" w:fill="FFFFFF"/>
          </w:tcPr>
          <w:p w14:paraId="462D539C" w14:textId="77777777" w:rsidR="002449C2" w:rsidRDefault="00123961">
            <w:pPr>
              <w:shd w:val="clear" w:color="auto" w:fill="FFFFFF"/>
              <w:spacing w:after="0" w:line="240" w:lineRule="auto"/>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Итого</w:t>
            </w:r>
          </w:p>
        </w:tc>
        <w:tc>
          <w:tcPr>
            <w:tcW w:w="1423" w:type="dxa"/>
            <w:tcBorders>
              <w:top w:val="single" w:sz="4" w:space="0" w:color="000000"/>
              <w:bottom w:val="single" w:sz="4" w:space="0" w:color="000000"/>
              <w:right w:val="single" w:sz="4" w:space="0" w:color="000000"/>
            </w:tcBorders>
            <w:shd w:val="clear" w:color="auto" w:fill="FFFFFF"/>
          </w:tcPr>
          <w:p w14:paraId="53ED5E83" w14:textId="77777777" w:rsidR="002449C2" w:rsidRDefault="00123961">
            <w:pPr>
              <w:shd w:val="clear" w:color="auto" w:fill="FFFFFF"/>
              <w:spacing w:after="0"/>
              <w:jc w:val="center"/>
              <w:rPr>
                <w:rFonts w:ascii="Times New Roman" w:hAnsi="Times New Roman"/>
                <w:b/>
                <w:sz w:val="20"/>
                <w:szCs w:val="20"/>
              </w:rPr>
            </w:pPr>
            <w:r>
              <w:rPr>
                <w:rFonts w:ascii="Times New Roman" w:hAnsi="Times New Roman"/>
                <w:b/>
                <w:sz w:val="20"/>
                <w:szCs w:val="20"/>
              </w:rPr>
              <w:t>4 813</w:t>
            </w:r>
          </w:p>
        </w:tc>
        <w:tc>
          <w:tcPr>
            <w:tcW w:w="1428" w:type="dxa"/>
            <w:tcBorders>
              <w:top w:val="single" w:sz="4" w:space="0" w:color="000000"/>
              <w:left w:val="single" w:sz="4" w:space="0" w:color="000000"/>
              <w:bottom w:val="single" w:sz="4" w:space="0" w:color="000000"/>
              <w:right w:val="single" w:sz="4" w:space="0" w:color="000000"/>
            </w:tcBorders>
            <w:shd w:val="clear" w:color="auto" w:fill="FFFFFF"/>
          </w:tcPr>
          <w:p w14:paraId="544FB56F" w14:textId="77777777" w:rsidR="002449C2" w:rsidRDefault="00123961">
            <w:pPr>
              <w:shd w:val="clear" w:color="auto" w:fill="FFFFFF"/>
              <w:spacing w:after="0"/>
              <w:jc w:val="center"/>
              <w:rPr>
                <w:rFonts w:ascii="Times New Roman" w:hAnsi="Times New Roman"/>
                <w:b/>
                <w:sz w:val="20"/>
                <w:szCs w:val="20"/>
              </w:rPr>
            </w:pPr>
            <w:r>
              <w:rPr>
                <w:rFonts w:ascii="Times New Roman" w:hAnsi="Times New Roman"/>
                <w:b/>
                <w:sz w:val="20"/>
                <w:szCs w:val="20"/>
              </w:rPr>
              <w:t>5 417</w:t>
            </w:r>
          </w:p>
        </w:tc>
        <w:tc>
          <w:tcPr>
            <w:tcW w:w="1428" w:type="dxa"/>
            <w:tcBorders>
              <w:top w:val="single" w:sz="4" w:space="0" w:color="000000"/>
              <w:left w:val="single" w:sz="4" w:space="0" w:color="000000"/>
              <w:bottom w:val="single" w:sz="4" w:space="0" w:color="000000"/>
              <w:right w:val="single" w:sz="4" w:space="0" w:color="000000"/>
            </w:tcBorders>
            <w:shd w:val="clear" w:color="auto" w:fill="FFFFFF"/>
          </w:tcPr>
          <w:p w14:paraId="10F0481B" w14:textId="77777777" w:rsidR="002449C2" w:rsidRDefault="00123961">
            <w:pPr>
              <w:shd w:val="clear" w:color="auto" w:fill="FFFFFF"/>
              <w:spacing w:after="0"/>
              <w:jc w:val="center"/>
              <w:rPr>
                <w:rFonts w:ascii="Times New Roman" w:hAnsi="Times New Roman"/>
                <w:b/>
                <w:sz w:val="20"/>
                <w:szCs w:val="20"/>
              </w:rPr>
            </w:pPr>
            <w:r>
              <w:rPr>
                <w:rFonts w:ascii="Times New Roman" w:hAnsi="Times New Roman"/>
                <w:b/>
                <w:sz w:val="20"/>
                <w:szCs w:val="20"/>
              </w:rPr>
              <w:t>6 569</w:t>
            </w:r>
          </w:p>
        </w:tc>
      </w:tr>
      <w:tr w:rsidR="002449C2" w14:paraId="78EF0819" w14:textId="77777777">
        <w:trPr>
          <w:trHeight w:val="352"/>
        </w:trPr>
        <w:tc>
          <w:tcPr>
            <w:tcW w:w="5006" w:type="dxa"/>
            <w:tcBorders>
              <w:left w:val="single" w:sz="4" w:space="0" w:color="000000"/>
              <w:bottom w:val="single" w:sz="4" w:space="0" w:color="000000"/>
              <w:right w:val="single" w:sz="4" w:space="0" w:color="000000"/>
            </w:tcBorders>
            <w:shd w:val="clear" w:color="auto" w:fill="FFFFFF"/>
            <w:vAlign w:val="center"/>
          </w:tcPr>
          <w:p w14:paraId="581AF8E3" w14:textId="77777777" w:rsidR="002449C2" w:rsidRDefault="00123961">
            <w:pPr>
              <w:shd w:val="clear" w:color="auto" w:fill="FFFFFF"/>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Технологическое присоединение</w:t>
            </w:r>
          </w:p>
        </w:tc>
        <w:tc>
          <w:tcPr>
            <w:tcW w:w="1423" w:type="dxa"/>
            <w:tcBorders>
              <w:bottom w:val="single" w:sz="4" w:space="0" w:color="000000"/>
              <w:right w:val="single" w:sz="4" w:space="0" w:color="000000"/>
            </w:tcBorders>
            <w:shd w:val="clear" w:color="auto" w:fill="FFFFFF"/>
          </w:tcPr>
          <w:p w14:paraId="1DCAFB1A"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2 130</w:t>
            </w:r>
          </w:p>
        </w:tc>
        <w:tc>
          <w:tcPr>
            <w:tcW w:w="1428" w:type="dxa"/>
            <w:tcBorders>
              <w:left w:val="single" w:sz="4" w:space="0" w:color="000000"/>
              <w:bottom w:val="single" w:sz="4" w:space="0" w:color="000000"/>
              <w:right w:val="single" w:sz="4" w:space="0" w:color="000000"/>
            </w:tcBorders>
            <w:shd w:val="clear" w:color="auto" w:fill="FFFFFF"/>
          </w:tcPr>
          <w:p w14:paraId="0F0FD7BC"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3 431</w:t>
            </w:r>
          </w:p>
        </w:tc>
        <w:tc>
          <w:tcPr>
            <w:tcW w:w="1428" w:type="dxa"/>
            <w:tcBorders>
              <w:left w:val="single" w:sz="4" w:space="0" w:color="000000"/>
              <w:bottom w:val="single" w:sz="4" w:space="0" w:color="000000"/>
              <w:right w:val="single" w:sz="4" w:space="0" w:color="000000"/>
            </w:tcBorders>
            <w:shd w:val="clear" w:color="auto" w:fill="FFFFFF"/>
          </w:tcPr>
          <w:p w14:paraId="6DD3FF1E"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4 092</w:t>
            </w:r>
          </w:p>
        </w:tc>
      </w:tr>
      <w:tr w:rsidR="002449C2" w14:paraId="18253EBF" w14:textId="77777777">
        <w:trPr>
          <w:trHeight w:val="363"/>
        </w:trPr>
        <w:tc>
          <w:tcPr>
            <w:tcW w:w="5006" w:type="dxa"/>
            <w:tcBorders>
              <w:left w:val="single" w:sz="4" w:space="0" w:color="000000"/>
              <w:bottom w:val="single" w:sz="4" w:space="0" w:color="000000"/>
              <w:right w:val="single" w:sz="4" w:space="0" w:color="000000"/>
            </w:tcBorders>
            <w:shd w:val="clear" w:color="auto" w:fill="FFFFFF"/>
            <w:vAlign w:val="center"/>
          </w:tcPr>
          <w:p w14:paraId="05169DFF" w14:textId="77777777" w:rsidR="002449C2" w:rsidRDefault="00123961">
            <w:pPr>
              <w:shd w:val="clear" w:color="auto" w:fill="FFFFFF"/>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Реконструкция, модернизация, техническое перевооружение</w:t>
            </w:r>
          </w:p>
        </w:tc>
        <w:tc>
          <w:tcPr>
            <w:tcW w:w="1423" w:type="dxa"/>
            <w:tcBorders>
              <w:bottom w:val="single" w:sz="4" w:space="0" w:color="000000"/>
              <w:right w:val="single" w:sz="4" w:space="0" w:color="000000"/>
            </w:tcBorders>
            <w:shd w:val="clear" w:color="auto" w:fill="FFFFFF"/>
          </w:tcPr>
          <w:p w14:paraId="4FB7FD4D"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2 630</w:t>
            </w:r>
          </w:p>
        </w:tc>
        <w:tc>
          <w:tcPr>
            <w:tcW w:w="1428" w:type="dxa"/>
            <w:tcBorders>
              <w:left w:val="single" w:sz="4" w:space="0" w:color="000000"/>
              <w:bottom w:val="single" w:sz="4" w:space="0" w:color="000000"/>
              <w:right w:val="single" w:sz="4" w:space="0" w:color="000000"/>
            </w:tcBorders>
            <w:shd w:val="clear" w:color="auto" w:fill="FFFFFF"/>
          </w:tcPr>
          <w:p w14:paraId="607D5F9E"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1 658</w:t>
            </w:r>
          </w:p>
        </w:tc>
        <w:tc>
          <w:tcPr>
            <w:tcW w:w="1428" w:type="dxa"/>
            <w:tcBorders>
              <w:left w:val="single" w:sz="4" w:space="0" w:color="000000"/>
              <w:bottom w:val="single" w:sz="4" w:space="0" w:color="000000"/>
              <w:right w:val="single" w:sz="4" w:space="0" w:color="000000"/>
            </w:tcBorders>
            <w:shd w:val="clear" w:color="auto" w:fill="FFFFFF"/>
          </w:tcPr>
          <w:p w14:paraId="44CA18C6"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1 395</w:t>
            </w:r>
          </w:p>
        </w:tc>
      </w:tr>
      <w:tr w:rsidR="002449C2" w14:paraId="3F4A362B" w14:textId="77777777">
        <w:trPr>
          <w:trHeight w:val="688"/>
        </w:trPr>
        <w:tc>
          <w:tcPr>
            <w:tcW w:w="5006" w:type="dxa"/>
            <w:tcBorders>
              <w:left w:val="single" w:sz="4" w:space="0" w:color="000000"/>
              <w:bottom w:val="single" w:sz="4" w:space="0" w:color="000000"/>
              <w:right w:val="single" w:sz="4" w:space="0" w:color="000000"/>
            </w:tcBorders>
            <w:shd w:val="clear" w:color="auto" w:fill="FFFFFF"/>
            <w:vAlign w:val="center"/>
          </w:tcPr>
          <w:p w14:paraId="67E4DE8E" w14:textId="77777777" w:rsidR="002449C2" w:rsidRDefault="00123961">
            <w:pPr>
              <w:shd w:val="clear" w:color="auto" w:fill="FFFFFF"/>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Инвестиционные проекты, реализация которых обуславливается схемами и программами перспективного развития электроэнергетики</w:t>
            </w:r>
          </w:p>
        </w:tc>
        <w:tc>
          <w:tcPr>
            <w:tcW w:w="1423" w:type="dxa"/>
            <w:tcBorders>
              <w:bottom w:val="single" w:sz="4" w:space="0" w:color="000000"/>
              <w:right w:val="single" w:sz="4" w:space="0" w:color="000000"/>
            </w:tcBorders>
            <w:shd w:val="clear" w:color="auto" w:fill="FFFFFF"/>
          </w:tcPr>
          <w:p w14:paraId="523ADE21"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2</w:t>
            </w:r>
          </w:p>
        </w:tc>
        <w:tc>
          <w:tcPr>
            <w:tcW w:w="1428" w:type="dxa"/>
            <w:tcBorders>
              <w:left w:val="single" w:sz="4" w:space="0" w:color="000000"/>
              <w:bottom w:val="single" w:sz="4" w:space="0" w:color="000000"/>
              <w:right w:val="single" w:sz="4" w:space="0" w:color="000000"/>
            </w:tcBorders>
            <w:shd w:val="clear" w:color="auto" w:fill="FFFFFF"/>
          </w:tcPr>
          <w:p w14:paraId="37686B16"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w:t>
            </w:r>
          </w:p>
        </w:tc>
        <w:tc>
          <w:tcPr>
            <w:tcW w:w="1428" w:type="dxa"/>
            <w:tcBorders>
              <w:left w:val="single" w:sz="4" w:space="0" w:color="000000"/>
              <w:bottom w:val="single" w:sz="4" w:space="0" w:color="000000"/>
              <w:right w:val="single" w:sz="4" w:space="0" w:color="000000"/>
            </w:tcBorders>
            <w:shd w:val="clear" w:color="auto" w:fill="FFFFFF"/>
          </w:tcPr>
          <w:p w14:paraId="3BE0EF54"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72</w:t>
            </w:r>
          </w:p>
        </w:tc>
      </w:tr>
      <w:tr w:rsidR="002449C2" w14:paraId="1B1F24B8" w14:textId="77777777">
        <w:trPr>
          <w:trHeight w:val="365"/>
        </w:trPr>
        <w:tc>
          <w:tcPr>
            <w:tcW w:w="5006" w:type="dxa"/>
            <w:tcBorders>
              <w:left w:val="single" w:sz="4" w:space="0" w:color="000000"/>
              <w:bottom w:val="single" w:sz="4" w:space="0" w:color="000000"/>
              <w:right w:val="single" w:sz="4" w:space="0" w:color="000000"/>
            </w:tcBorders>
            <w:shd w:val="clear" w:color="auto" w:fill="FFFFFF"/>
            <w:vAlign w:val="center"/>
          </w:tcPr>
          <w:p w14:paraId="1D0CE27F" w14:textId="77777777" w:rsidR="002449C2" w:rsidRDefault="00123961">
            <w:pPr>
              <w:shd w:val="clear" w:color="auto" w:fill="FFFFFF"/>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Прочее новое строительство объектов электросетевого хозяйства</w:t>
            </w:r>
          </w:p>
        </w:tc>
        <w:tc>
          <w:tcPr>
            <w:tcW w:w="1423" w:type="dxa"/>
            <w:tcBorders>
              <w:bottom w:val="single" w:sz="4" w:space="0" w:color="000000"/>
              <w:right w:val="single" w:sz="4" w:space="0" w:color="000000"/>
            </w:tcBorders>
            <w:shd w:val="clear" w:color="auto" w:fill="FFFFFF"/>
          </w:tcPr>
          <w:p w14:paraId="1259D192"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w:t>
            </w:r>
          </w:p>
        </w:tc>
        <w:tc>
          <w:tcPr>
            <w:tcW w:w="1428" w:type="dxa"/>
            <w:tcBorders>
              <w:left w:val="single" w:sz="4" w:space="0" w:color="000000"/>
              <w:bottom w:val="single" w:sz="4" w:space="0" w:color="000000"/>
              <w:right w:val="single" w:sz="4" w:space="0" w:color="000000"/>
            </w:tcBorders>
            <w:shd w:val="clear" w:color="auto" w:fill="FFFFFF"/>
          </w:tcPr>
          <w:p w14:paraId="1AC980B1"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w:t>
            </w:r>
          </w:p>
        </w:tc>
        <w:tc>
          <w:tcPr>
            <w:tcW w:w="1428" w:type="dxa"/>
            <w:tcBorders>
              <w:left w:val="single" w:sz="4" w:space="0" w:color="000000"/>
              <w:bottom w:val="single" w:sz="4" w:space="0" w:color="000000"/>
              <w:right w:val="single" w:sz="4" w:space="0" w:color="000000"/>
            </w:tcBorders>
            <w:shd w:val="clear" w:color="auto" w:fill="FFFFFF"/>
          </w:tcPr>
          <w:p w14:paraId="3F5AD80C"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0</w:t>
            </w:r>
          </w:p>
        </w:tc>
      </w:tr>
      <w:tr w:rsidR="002449C2" w14:paraId="67C31B14" w14:textId="77777777">
        <w:trPr>
          <w:trHeight w:val="560"/>
        </w:trPr>
        <w:tc>
          <w:tcPr>
            <w:tcW w:w="5006" w:type="dxa"/>
            <w:tcBorders>
              <w:left w:val="single" w:sz="4" w:space="0" w:color="000000"/>
              <w:bottom w:val="single" w:sz="4" w:space="0" w:color="000000"/>
              <w:right w:val="single" w:sz="4" w:space="0" w:color="000000"/>
            </w:tcBorders>
            <w:shd w:val="clear" w:color="auto" w:fill="FFFFFF"/>
            <w:vAlign w:val="center"/>
          </w:tcPr>
          <w:p w14:paraId="14D070F3" w14:textId="77777777" w:rsidR="002449C2" w:rsidRDefault="00123961">
            <w:pPr>
              <w:shd w:val="clear" w:color="auto" w:fill="FFFFFF"/>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Покупка земельных участков для целей реализации инвестиционных проектов</w:t>
            </w:r>
          </w:p>
        </w:tc>
        <w:tc>
          <w:tcPr>
            <w:tcW w:w="1423" w:type="dxa"/>
            <w:tcBorders>
              <w:bottom w:val="single" w:sz="4" w:space="0" w:color="000000"/>
              <w:right w:val="single" w:sz="4" w:space="0" w:color="000000"/>
            </w:tcBorders>
            <w:shd w:val="clear" w:color="auto" w:fill="FFFFFF"/>
          </w:tcPr>
          <w:p w14:paraId="1B89E668"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w:t>
            </w:r>
          </w:p>
        </w:tc>
        <w:tc>
          <w:tcPr>
            <w:tcW w:w="1428" w:type="dxa"/>
            <w:tcBorders>
              <w:left w:val="single" w:sz="4" w:space="0" w:color="000000"/>
              <w:bottom w:val="single" w:sz="4" w:space="0" w:color="000000"/>
              <w:right w:val="single" w:sz="4" w:space="0" w:color="000000"/>
            </w:tcBorders>
            <w:shd w:val="clear" w:color="auto" w:fill="FFFFFF"/>
          </w:tcPr>
          <w:p w14:paraId="1458EC3D"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w:t>
            </w:r>
          </w:p>
        </w:tc>
        <w:tc>
          <w:tcPr>
            <w:tcW w:w="1428" w:type="dxa"/>
            <w:tcBorders>
              <w:left w:val="single" w:sz="4" w:space="0" w:color="000000"/>
              <w:bottom w:val="single" w:sz="4" w:space="0" w:color="000000"/>
              <w:right w:val="single" w:sz="4" w:space="0" w:color="000000"/>
            </w:tcBorders>
            <w:shd w:val="clear" w:color="auto" w:fill="FFFFFF"/>
          </w:tcPr>
          <w:p w14:paraId="326BAC70"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w:t>
            </w:r>
          </w:p>
        </w:tc>
      </w:tr>
      <w:tr w:rsidR="002449C2" w14:paraId="3BD21608" w14:textId="77777777">
        <w:trPr>
          <w:trHeight w:val="140"/>
        </w:trPr>
        <w:tc>
          <w:tcPr>
            <w:tcW w:w="5006" w:type="dxa"/>
            <w:tcBorders>
              <w:left w:val="single" w:sz="4" w:space="0" w:color="000000"/>
              <w:bottom w:val="single" w:sz="4" w:space="0" w:color="000000"/>
              <w:right w:val="single" w:sz="4" w:space="0" w:color="000000"/>
            </w:tcBorders>
            <w:shd w:val="clear" w:color="auto" w:fill="FFFFFF"/>
            <w:vAlign w:val="center"/>
          </w:tcPr>
          <w:p w14:paraId="42F2B8AA" w14:textId="77777777" w:rsidR="002449C2" w:rsidRDefault="00123961">
            <w:pPr>
              <w:shd w:val="clear" w:color="auto" w:fill="FFFFFF"/>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Прочие инвестиционные проекты</w:t>
            </w:r>
          </w:p>
        </w:tc>
        <w:tc>
          <w:tcPr>
            <w:tcW w:w="1423" w:type="dxa"/>
            <w:tcBorders>
              <w:bottom w:val="single" w:sz="4" w:space="0" w:color="000000"/>
              <w:right w:val="single" w:sz="4" w:space="0" w:color="000000"/>
            </w:tcBorders>
            <w:shd w:val="clear" w:color="auto" w:fill="FFFFFF"/>
          </w:tcPr>
          <w:p w14:paraId="74A328E6"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51</w:t>
            </w:r>
          </w:p>
        </w:tc>
        <w:tc>
          <w:tcPr>
            <w:tcW w:w="1428" w:type="dxa"/>
            <w:tcBorders>
              <w:left w:val="single" w:sz="4" w:space="0" w:color="000000"/>
              <w:bottom w:val="single" w:sz="4" w:space="0" w:color="000000"/>
              <w:right w:val="single" w:sz="4" w:space="0" w:color="000000"/>
            </w:tcBorders>
            <w:shd w:val="clear" w:color="auto" w:fill="FFFFFF"/>
          </w:tcPr>
          <w:p w14:paraId="3264E2E9"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327</w:t>
            </w:r>
          </w:p>
        </w:tc>
        <w:tc>
          <w:tcPr>
            <w:tcW w:w="1428" w:type="dxa"/>
            <w:tcBorders>
              <w:left w:val="single" w:sz="4" w:space="0" w:color="000000"/>
              <w:bottom w:val="single" w:sz="4" w:space="0" w:color="000000"/>
              <w:right w:val="single" w:sz="4" w:space="0" w:color="000000"/>
            </w:tcBorders>
            <w:shd w:val="clear" w:color="auto" w:fill="FFFFFF"/>
          </w:tcPr>
          <w:p w14:paraId="6361D916"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1 011</w:t>
            </w:r>
          </w:p>
        </w:tc>
      </w:tr>
    </w:tbl>
    <w:p w14:paraId="05A4001C" w14:textId="77777777" w:rsidR="002449C2" w:rsidRDefault="002449C2">
      <w:pPr>
        <w:shd w:val="clear" w:color="auto" w:fill="FFFFFF"/>
        <w:tabs>
          <w:tab w:val="left" w:pos="0"/>
        </w:tabs>
        <w:spacing w:before="120" w:after="120" w:line="240" w:lineRule="auto"/>
        <w:ind w:firstLine="567"/>
        <w:jc w:val="center"/>
        <w:rPr>
          <w:rFonts w:ascii="Times New Roman" w:eastAsia="Times New Roman" w:hAnsi="Times New Roman"/>
          <w:b/>
          <w:color w:val="1D1B11"/>
          <w:sz w:val="26"/>
          <w:szCs w:val="26"/>
          <w:lang w:eastAsia="ru-RU"/>
        </w:rPr>
      </w:pPr>
    </w:p>
    <w:p w14:paraId="7FA4E56B" w14:textId="77777777" w:rsidR="002449C2" w:rsidRDefault="00123961">
      <w:pPr>
        <w:shd w:val="clear" w:color="auto" w:fill="FFFFFF"/>
        <w:spacing w:after="0" w:line="240" w:lineRule="auto"/>
        <w:jc w:val="both"/>
        <w:rPr>
          <w:rFonts w:ascii="Times New Roman" w:hAnsi="Times New Roman"/>
          <w:sz w:val="26"/>
          <w:szCs w:val="26"/>
          <w:lang w:eastAsia="en-US"/>
        </w:rPr>
      </w:pPr>
      <w:r>
        <w:rPr>
          <w:rFonts w:ascii="Times New Roman" w:hAnsi="Times New Roman"/>
          <w:sz w:val="26"/>
          <w:szCs w:val="26"/>
          <w:lang w:eastAsia="en-US"/>
        </w:rPr>
        <w:t>Объем финансирования инвестиционной программы по источникам за 2024 год выглядит следующим образом:</w:t>
      </w:r>
    </w:p>
    <w:p w14:paraId="7402435D" w14:textId="77777777" w:rsidR="002449C2" w:rsidRDefault="00123961">
      <w:pPr>
        <w:numPr>
          <w:ilvl w:val="0"/>
          <w:numId w:val="6"/>
        </w:numPr>
        <w:shd w:val="clear" w:color="auto" w:fill="FFFFFF"/>
        <w:spacing w:after="0" w:line="240" w:lineRule="auto"/>
        <w:ind w:hanging="928"/>
        <w:jc w:val="both"/>
        <w:rPr>
          <w:rFonts w:ascii="Times New Roman" w:hAnsi="Times New Roman"/>
          <w:sz w:val="26"/>
          <w:szCs w:val="26"/>
          <w:lang w:eastAsia="en-US"/>
        </w:rPr>
      </w:pPr>
      <w:r>
        <w:rPr>
          <w:rFonts w:ascii="Times New Roman" w:hAnsi="Times New Roman"/>
          <w:sz w:val="26"/>
          <w:szCs w:val="26"/>
          <w:lang w:eastAsia="en-US"/>
        </w:rPr>
        <w:t xml:space="preserve"> Средства, по регулируемым государством тарифам – 3 989</w:t>
      </w:r>
      <w:r>
        <w:rPr>
          <w:rFonts w:ascii="Times New Roman" w:eastAsia="Times New Roman" w:hAnsi="Times New Roman"/>
          <w:sz w:val="26"/>
          <w:szCs w:val="26"/>
          <w:lang w:eastAsia="ru-RU"/>
        </w:rPr>
        <w:t xml:space="preserve"> </w:t>
      </w:r>
      <w:r>
        <w:rPr>
          <w:rFonts w:ascii="Times New Roman" w:hAnsi="Times New Roman"/>
          <w:sz w:val="26"/>
          <w:szCs w:val="26"/>
          <w:lang w:eastAsia="en-US"/>
        </w:rPr>
        <w:t xml:space="preserve">млн руб. с НДС; </w:t>
      </w:r>
    </w:p>
    <w:p w14:paraId="15DF2C9E" w14:textId="77777777" w:rsidR="002449C2" w:rsidRDefault="00123961">
      <w:pPr>
        <w:numPr>
          <w:ilvl w:val="0"/>
          <w:numId w:val="6"/>
        </w:numPr>
        <w:shd w:val="clear" w:color="auto" w:fill="FFFFFF"/>
        <w:spacing w:after="0" w:line="240" w:lineRule="auto"/>
        <w:ind w:hanging="928"/>
        <w:jc w:val="both"/>
        <w:rPr>
          <w:rFonts w:ascii="Times New Roman" w:hAnsi="Times New Roman"/>
          <w:sz w:val="26"/>
          <w:szCs w:val="26"/>
          <w:lang w:eastAsia="en-US"/>
        </w:rPr>
      </w:pPr>
      <w:r>
        <w:rPr>
          <w:rFonts w:ascii="Times New Roman" w:hAnsi="Times New Roman"/>
          <w:sz w:val="26"/>
          <w:szCs w:val="26"/>
          <w:lang w:eastAsia="en-US"/>
        </w:rPr>
        <w:t xml:space="preserve"> Иные источники финансирования – 2 580 млн руб. с НДС.</w:t>
      </w:r>
    </w:p>
    <w:p w14:paraId="2DBF572E" w14:textId="77777777" w:rsidR="002449C2" w:rsidRDefault="002449C2">
      <w:pPr>
        <w:shd w:val="clear" w:color="auto" w:fill="FFFFFF"/>
        <w:spacing w:after="0" w:line="240" w:lineRule="auto"/>
        <w:ind w:firstLine="708"/>
        <w:jc w:val="both"/>
        <w:rPr>
          <w:rFonts w:ascii="Arial Narrow" w:eastAsia="Times New Roman" w:hAnsi="Arial Narrow"/>
          <w:b/>
          <w:sz w:val="24"/>
          <w:szCs w:val="24"/>
          <w:lang w:eastAsia="ru-RU"/>
        </w:rPr>
      </w:pPr>
    </w:p>
    <w:p w14:paraId="208058E1" w14:textId="77777777" w:rsidR="002449C2" w:rsidRDefault="00123961">
      <w:pPr>
        <w:shd w:val="clear" w:color="auto" w:fill="FFFFFF"/>
        <w:spacing w:after="0" w:line="240" w:lineRule="auto"/>
        <w:jc w:val="center"/>
        <w:rPr>
          <w:rFonts w:ascii="Arial Narrow" w:eastAsia="Times New Roman" w:hAnsi="Arial Narrow"/>
          <w:b/>
          <w:sz w:val="24"/>
          <w:szCs w:val="24"/>
          <w:lang w:eastAsia="ru-RU"/>
        </w:rPr>
      </w:pPr>
      <w:r>
        <w:rPr>
          <w:noProof/>
          <w:lang w:eastAsia="ru-RU"/>
        </w:rPr>
        <w:drawing>
          <wp:inline distT="0" distB="0" distL="0" distR="0" wp14:anchorId="301A42EF" wp14:editId="7A86A0C4">
            <wp:extent cx="4006850" cy="2424430"/>
            <wp:effectExtent l="0" t="0" r="0" b="0"/>
            <wp:docPr id="49" name="_x005F_x0000_s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_x005F_x0000_s4382"/>
                    <pic:cNvPicPr>
                      <a:picLocks noChangeAspect="1" noChangeArrowheads="1"/>
                    </pic:cNvPicPr>
                  </pic:nvPicPr>
                  <pic:blipFill>
                    <a:blip r:embed="rId76"/>
                    <a:stretch>
                      <a:fillRect/>
                    </a:stretch>
                  </pic:blipFill>
                  <pic:spPr bwMode="auto">
                    <a:xfrm>
                      <a:off x="0" y="0"/>
                      <a:ext cx="4006850" cy="2424430"/>
                    </a:xfrm>
                    <a:prstGeom prst="rect">
                      <a:avLst/>
                    </a:prstGeom>
                    <a:noFill/>
                  </pic:spPr>
                </pic:pic>
              </a:graphicData>
            </a:graphic>
          </wp:inline>
        </w:drawing>
      </w:r>
    </w:p>
    <w:p w14:paraId="76DE690E" w14:textId="77777777" w:rsidR="002449C2" w:rsidRDefault="002449C2">
      <w:pPr>
        <w:shd w:val="clear" w:color="auto" w:fill="FFFFFF"/>
        <w:spacing w:after="0" w:line="240" w:lineRule="auto"/>
        <w:jc w:val="center"/>
        <w:rPr>
          <w:rFonts w:ascii="Arial Narrow" w:eastAsia="Times New Roman" w:hAnsi="Arial Narrow"/>
          <w:b/>
          <w:sz w:val="24"/>
          <w:szCs w:val="24"/>
          <w:lang w:eastAsia="ru-RU"/>
        </w:rPr>
      </w:pPr>
    </w:p>
    <w:p w14:paraId="4D713C90" w14:textId="77777777" w:rsidR="002449C2" w:rsidRDefault="00123961">
      <w:pPr>
        <w:shd w:val="clear" w:color="auto" w:fill="FFFFFF"/>
        <w:spacing w:before="120" w:after="120" w:line="240" w:lineRule="auto"/>
        <w:ind w:firstLine="709"/>
        <w:jc w:val="center"/>
        <w:rPr>
          <w:rFonts w:ascii="Times New Roman" w:hAnsi="Times New Roman"/>
          <w:b/>
          <w:bCs/>
          <w:color w:val="0070C0"/>
          <w:sz w:val="26"/>
          <w:szCs w:val="26"/>
        </w:rPr>
      </w:pPr>
      <w:r>
        <w:rPr>
          <w:rFonts w:ascii="Times New Roman" w:eastAsia="Times New Roman" w:hAnsi="Times New Roman"/>
          <w:b/>
          <w:sz w:val="26"/>
          <w:szCs w:val="26"/>
          <w:lang w:eastAsia="ru-RU"/>
        </w:rPr>
        <w:t>Долгосрочная инвестиционная программа</w:t>
      </w:r>
    </w:p>
    <w:p w14:paraId="0C2D5188"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Инвестиционная программа ПАО «Россети Юг» на 2025-2028 годы утверждена приказом Минэнерго России от 23.12.2024 № 38@ «Об утверждении инвестиционной программы ПАО «Россети Юг» на 2024 – 2028 годы и изменений, вносимых в инвестиционную программу ПАО «Россети Юг», утвержденную приказом Минэнерго России от 08.12.2023 № 13@».</w:t>
      </w:r>
    </w:p>
    <w:p w14:paraId="419D937E" w14:textId="77777777" w:rsidR="002449C2" w:rsidRDefault="002449C2">
      <w:pPr>
        <w:shd w:val="clear" w:color="auto" w:fill="FFFFFF"/>
        <w:spacing w:after="0" w:line="240" w:lineRule="auto"/>
        <w:ind w:firstLine="709"/>
        <w:jc w:val="both"/>
        <w:rPr>
          <w:rFonts w:ascii="Times New Roman" w:hAnsi="Times New Roman"/>
          <w:sz w:val="26"/>
          <w:szCs w:val="26"/>
          <w:lang w:eastAsia="en-US"/>
        </w:rPr>
      </w:pPr>
    </w:p>
    <w:tbl>
      <w:tblPr>
        <w:tblW w:w="9428" w:type="dxa"/>
        <w:tblInd w:w="109" w:type="dxa"/>
        <w:tblLayout w:type="fixed"/>
        <w:tblLook w:val="04A0" w:firstRow="1" w:lastRow="0" w:firstColumn="1" w:lastColumn="0" w:noHBand="0" w:noVBand="1"/>
      </w:tblPr>
      <w:tblGrid>
        <w:gridCol w:w="2868"/>
        <w:gridCol w:w="1053"/>
        <w:gridCol w:w="1373"/>
        <w:gridCol w:w="1382"/>
        <w:gridCol w:w="1374"/>
        <w:gridCol w:w="1378"/>
      </w:tblGrid>
      <w:tr w:rsidR="002449C2" w14:paraId="61544FDF" w14:textId="77777777">
        <w:trPr>
          <w:trHeight w:val="363"/>
          <w:tblHeader/>
        </w:trPr>
        <w:tc>
          <w:tcPr>
            <w:tcW w:w="2867" w:type="dxa"/>
            <w:tcBorders>
              <w:top w:val="single" w:sz="4" w:space="0" w:color="000000"/>
              <w:left w:val="single" w:sz="4" w:space="0" w:color="000000"/>
              <w:bottom w:val="single" w:sz="4" w:space="0" w:color="000000"/>
              <w:right w:val="single" w:sz="4" w:space="0" w:color="000000"/>
            </w:tcBorders>
            <w:vAlign w:val="bottom"/>
          </w:tcPr>
          <w:p w14:paraId="55300E61" w14:textId="77777777" w:rsidR="002449C2" w:rsidRDefault="00123961">
            <w:pPr>
              <w:shd w:val="clear" w:color="auto" w:fill="FFFFFF"/>
              <w:spacing w:after="0" w:line="240" w:lineRule="auto"/>
              <w:rPr>
                <w:rFonts w:ascii="Times New Roman" w:eastAsia="Times New Roman" w:hAnsi="Times New Roman"/>
                <w:b/>
                <w:bCs/>
                <w:color w:val="000000"/>
                <w:lang w:eastAsia="ru-RU"/>
              </w:rPr>
            </w:pPr>
            <w:r>
              <w:rPr>
                <w:rFonts w:ascii="Times New Roman" w:eastAsia="Times New Roman" w:hAnsi="Times New Roman"/>
                <w:b/>
                <w:bCs/>
                <w:color w:val="000000"/>
                <w:lang w:eastAsia="ru-RU"/>
              </w:rPr>
              <w:t>Показатели</w:t>
            </w:r>
          </w:p>
        </w:tc>
        <w:tc>
          <w:tcPr>
            <w:tcW w:w="1053" w:type="dxa"/>
            <w:tcBorders>
              <w:top w:val="single" w:sz="4" w:space="0" w:color="000000"/>
              <w:bottom w:val="single" w:sz="4" w:space="0" w:color="000000"/>
              <w:right w:val="single" w:sz="4" w:space="0" w:color="000000"/>
            </w:tcBorders>
            <w:vAlign w:val="bottom"/>
          </w:tcPr>
          <w:p w14:paraId="2FA495A0" w14:textId="77777777" w:rsidR="002449C2" w:rsidRDefault="00123961">
            <w:pPr>
              <w:shd w:val="clear" w:color="auto" w:fill="FFFFFF"/>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ед.изм.</w:t>
            </w:r>
          </w:p>
        </w:tc>
        <w:tc>
          <w:tcPr>
            <w:tcW w:w="1373" w:type="dxa"/>
            <w:tcBorders>
              <w:top w:val="single" w:sz="4" w:space="0" w:color="000000"/>
              <w:bottom w:val="single" w:sz="4" w:space="0" w:color="000000"/>
              <w:right w:val="single" w:sz="4" w:space="0" w:color="000000"/>
            </w:tcBorders>
            <w:vAlign w:val="bottom"/>
          </w:tcPr>
          <w:p w14:paraId="580CF4AA" w14:textId="77777777" w:rsidR="002449C2" w:rsidRDefault="00123961">
            <w:pPr>
              <w:shd w:val="clear" w:color="auto" w:fill="FFFFFF"/>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2025</w:t>
            </w:r>
          </w:p>
        </w:tc>
        <w:tc>
          <w:tcPr>
            <w:tcW w:w="1382" w:type="dxa"/>
            <w:tcBorders>
              <w:top w:val="single" w:sz="4" w:space="0" w:color="000000"/>
              <w:bottom w:val="single" w:sz="4" w:space="0" w:color="000000"/>
              <w:right w:val="single" w:sz="4" w:space="0" w:color="000000"/>
            </w:tcBorders>
            <w:vAlign w:val="bottom"/>
          </w:tcPr>
          <w:p w14:paraId="0412F9EC" w14:textId="77777777" w:rsidR="002449C2" w:rsidRDefault="00123961">
            <w:pPr>
              <w:shd w:val="clear" w:color="auto" w:fill="FFFFFF"/>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2026</w:t>
            </w:r>
          </w:p>
        </w:tc>
        <w:tc>
          <w:tcPr>
            <w:tcW w:w="1374" w:type="dxa"/>
            <w:tcBorders>
              <w:top w:val="single" w:sz="4" w:space="0" w:color="000000"/>
              <w:bottom w:val="single" w:sz="4" w:space="0" w:color="000000"/>
              <w:right w:val="single" w:sz="4" w:space="0" w:color="000000"/>
            </w:tcBorders>
            <w:vAlign w:val="bottom"/>
          </w:tcPr>
          <w:p w14:paraId="670A963E" w14:textId="77777777" w:rsidR="002449C2" w:rsidRDefault="00123961">
            <w:pPr>
              <w:shd w:val="clear" w:color="auto" w:fill="FFFFFF"/>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2027</w:t>
            </w:r>
          </w:p>
        </w:tc>
        <w:tc>
          <w:tcPr>
            <w:tcW w:w="1378" w:type="dxa"/>
            <w:tcBorders>
              <w:top w:val="single" w:sz="4" w:space="0" w:color="000000"/>
              <w:bottom w:val="single" w:sz="4" w:space="0" w:color="000000"/>
              <w:right w:val="single" w:sz="4" w:space="0" w:color="000000"/>
            </w:tcBorders>
            <w:vAlign w:val="bottom"/>
          </w:tcPr>
          <w:p w14:paraId="1C32BB9E" w14:textId="77777777" w:rsidR="002449C2" w:rsidRDefault="00123961">
            <w:pPr>
              <w:shd w:val="clear" w:color="auto" w:fill="FFFFFF"/>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2028</w:t>
            </w:r>
          </w:p>
        </w:tc>
      </w:tr>
      <w:tr w:rsidR="002449C2" w14:paraId="22B74C31" w14:textId="77777777">
        <w:trPr>
          <w:trHeight w:val="363"/>
        </w:trPr>
        <w:tc>
          <w:tcPr>
            <w:tcW w:w="2867" w:type="dxa"/>
            <w:tcBorders>
              <w:left w:val="single" w:sz="4" w:space="0" w:color="000000"/>
              <w:bottom w:val="single" w:sz="4" w:space="0" w:color="000000"/>
              <w:right w:val="single" w:sz="4" w:space="0" w:color="000000"/>
            </w:tcBorders>
            <w:vAlign w:val="center"/>
          </w:tcPr>
          <w:p w14:paraId="7A89160B" w14:textId="77777777" w:rsidR="002449C2" w:rsidRDefault="00123961">
            <w:pPr>
              <w:shd w:val="clear" w:color="auto" w:fill="FFFFFF"/>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Объем финансирования</w:t>
            </w:r>
          </w:p>
        </w:tc>
        <w:tc>
          <w:tcPr>
            <w:tcW w:w="1053" w:type="dxa"/>
            <w:tcBorders>
              <w:top w:val="single" w:sz="4" w:space="0" w:color="000000"/>
              <w:bottom w:val="single" w:sz="4" w:space="0" w:color="000000"/>
            </w:tcBorders>
            <w:vAlign w:val="center"/>
          </w:tcPr>
          <w:p w14:paraId="781FA3BF"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млн руб.</w:t>
            </w:r>
          </w:p>
        </w:tc>
        <w:tc>
          <w:tcPr>
            <w:tcW w:w="1373" w:type="dxa"/>
            <w:tcBorders>
              <w:top w:val="single" w:sz="4" w:space="0" w:color="000000"/>
              <w:left w:val="single" w:sz="4" w:space="0" w:color="000000"/>
              <w:bottom w:val="single" w:sz="4" w:space="0" w:color="000000"/>
              <w:right w:val="single" w:sz="4" w:space="0" w:color="000000"/>
            </w:tcBorders>
            <w:vAlign w:val="center"/>
          </w:tcPr>
          <w:p w14:paraId="70D9CB0C"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7 496</w:t>
            </w:r>
          </w:p>
        </w:tc>
        <w:tc>
          <w:tcPr>
            <w:tcW w:w="1382" w:type="dxa"/>
            <w:tcBorders>
              <w:top w:val="single" w:sz="4" w:space="0" w:color="000000"/>
              <w:left w:val="single" w:sz="4" w:space="0" w:color="000000"/>
              <w:bottom w:val="single" w:sz="4" w:space="0" w:color="000000"/>
              <w:right w:val="single" w:sz="4" w:space="0" w:color="000000"/>
            </w:tcBorders>
            <w:vAlign w:val="center"/>
          </w:tcPr>
          <w:p w14:paraId="6E4F8484"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5 883</w:t>
            </w:r>
          </w:p>
        </w:tc>
        <w:tc>
          <w:tcPr>
            <w:tcW w:w="1374" w:type="dxa"/>
            <w:tcBorders>
              <w:top w:val="single" w:sz="4" w:space="0" w:color="000000"/>
              <w:left w:val="single" w:sz="4" w:space="0" w:color="000000"/>
              <w:bottom w:val="single" w:sz="4" w:space="0" w:color="000000"/>
              <w:right w:val="single" w:sz="4" w:space="0" w:color="000000"/>
            </w:tcBorders>
            <w:vAlign w:val="center"/>
          </w:tcPr>
          <w:p w14:paraId="7B9BB136"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4 101</w:t>
            </w:r>
          </w:p>
        </w:tc>
        <w:tc>
          <w:tcPr>
            <w:tcW w:w="1378" w:type="dxa"/>
            <w:tcBorders>
              <w:top w:val="single" w:sz="4" w:space="0" w:color="000000"/>
              <w:left w:val="single" w:sz="4" w:space="0" w:color="000000"/>
              <w:bottom w:val="single" w:sz="4" w:space="0" w:color="000000"/>
              <w:right w:val="single" w:sz="4" w:space="0" w:color="000000"/>
            </w:tcBorders>
            <w:vAlign w:val="center"/>
          </w:tcPr>
          <w:p w14:paraId="1EEA6F29"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3 787</w:t>
            </w:r>
          </w:p>
        </w:tc>
      </w:tr>
      <w:tr w:rsidR="002449C2" w14:paraId="6FD894D1" w14:textId="77777777">
        <w:trPr>
          <w:trHeight w:val="561"/>
        </w:trPr>
        <w:tc>
          <w:tcPr>
            <w:tcW w:w="2867" w:type="dxa"/>
            <w:tcBorders>
              <w:left w:val="single" w:sz="4" w:space="0" w:color="000000"/>
              <w:bottom w:val="single" w:sz="4" w:space="0" w:color="000000"/>
              <w:right w:val="single" w:sz="4" w:space="0" w:color="000000"/>
            </w:tcBorders>
            <w:vAlign w:val="center"/>
          </w:tcPr>
          <w:p w14:paraId="6CF2B489" w14:textId="77777777" w:rsidR="002449C2" w:rsidRDefault="00123961">
            <w:pPr>
              <w:shd w:val="clear" w:color="auto" w:fill="FFFFFF"/>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Объем освоения капитальных вложений</w:t>
            </w:r>
          </w:p>
        </w:tc>
        <w:tc>
          <w:tcPr>
            <w:tcW w:w="1053" w:type="dxa"/>
            <w:tcBorders>
              <w:top w:val="single" w:sz="4" w:space="0" w:color="000000"/>
              <w:bottom w:val="single" w:sz="4" w:space="0" w:color="000000"/>
              <w:right w:val="single" w:sz="4" w:space="0" w:color="000000"/>
            </w:tcBorders>
            <w:vAlign w:val="center"/>
          </w:tcPr>
          <w:p w14:paraId="3604E993"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млн руб.</w:t>
            </w:r>
          </w:p>
        </w:tc>
        <w:tc>
          <w:tcPr>
            <w:tcW w:w="1373" w:type="dxa"/>
            <w:tcBorders>
              <w:left w:val="single" w:sz="4" w:space="0" w:color="000000"/>
              <w:bottom w:val="single" w:sz="4" w:space="0" w:color="000000"/>
              <w:right w:val="single" w:sz="4" w:space="0" w:color="000000"/>
            </w:tcBorders>
            <w:vAlign w:val="center"/>
          </w:tcPr>
          <w:p w14:paraId="75818557"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6 646</w:t>
            </w:r>
          </w:p>
        </w:tc>
        <w:tc>
          <w:tcPr>
            <w:tcW w:w="1382" w:type="dxa"/>
            <w:tcBorders>
              <w:bottom w:val="single" w:sz="4" w:space="0" w:color="000000"/>
              <w:right w:val="single" w:sz="4" w:space="0" w:color="000000"/>
            </w:tcBorders>
            <w:vAlign w:val="center"/>
          </w:tcPr>
          <w:p w14:paraId="04E54BC0"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5 094</w:t>
            </w:r>
          </w:p>
        </w:tc>
        <w:tc>
          <w:tcPr>
            <w:tcW w:w="1374" w:type="dxa"/>
            <w:tcBorders>
              <w:bottom w:val="single" w:sz="4" w:space="0" w:color="000000"/>
              <w:right w:val="single" w:sz="4" w:space="0" w:color="000000"/>
            </w:tcBorders>
            <w:vAlign w:val="center"/>
          </w:tcPr>
          <w:p w14:paraId="6B97C303"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3 138</w:t>
            </w:r>
          </w:p>
        </w:tc>
        <w:tc>
          <w:tcPr>
            <w:tcW w:w="1378" w:type="dxa"/>
            <w:tcBorders>
              <w:bottom w:val="single" w:sz="4" w:space="0" w:color="000000"/>
              <w:right w:val="single" w:sz="4" w:space="0" w:color="000000"/>
            </w:tcBorders>
            <w:vAlign w:val="center"/>
          </w:tcPr>
          <w:p w14:paraId="3821481F"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2 601</w:t>
            </w:r>
          </w:p>
        </w:tc>
      </w:tr>
      <w:tr w:rsidR="002449C2" w14:paraId="1F229D1E" w14:textId="77777777">
        <w:trPr>
          <w:trHeight w:val="561"/>
        </w:trPr>
        <w:tc>
          <w:tcPr>
            <w:tcW w:w="2867" w:type="dxa"/>
            <w:tcBorders>
              <w:left w:val="single" w:sz="4" w:space="0" w:color="000000"/>
              <w:bottom w:val="single" w:sz="4" w:space="0" w:color="000000"/>
              <w:right w:val="single" w:sz="4" w:space="0" w:color="000000"/>
            </w:tcBorders>
            <w:vAlign w:val="center"/>
          </w:tcPr>
          <w:p w14:paraId="62D201AC" w14:textId="77777777" w:rsidR="002449C2" w:rsidRDefault="00123961">
            <w:pPr>
              <w:shd w:val="clear" w:color="auto" w:fill="FFFFFF"/>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Ввод в состав основных средств</w:t>
            </w:r>
          </w:p>
        </w:tc>
        <w:tc>
          <w:tcPr>
            <w:tcW w:w="1053" w:type="dxa"/>
            <w:tcBorders>
              <w:top w:val="single" w:sz="4" w:space="0" w:color="000000"/>
              <w:bottom w:val="single" w:sz="4" w:space="0" w:color="000000"/>
              <w:right w:val="single" w:sz="4" w:space="0" w:color="000000"/>
            </w:tcBorders>
            <w:vAlign w:val="center"/>
          </w:tcPr>
          <w:p w14:paraId="2D97051E"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млн руб.</w:t>
            </w:r>
          </w:p>
        </w:tc>
        <w:tc>
          <w:tcPr>
            <w:tcW w:w="1373" w:type="dxa"/>
            <w:tcBorders>
              <w:left w:val="single" w:sz="4" w:space="0" w:color="000000"/>
              <w:bottom w:val="single" w:sz="4" w:space="0" w:color="000000"/>
              <w:right w:val="single" w:sz="4" w:space="0" w:color="000000"/>
            </w:tcBorders>
            <w:vAlign w:val="center"/>
          </w:tcPr>
          <w:p w14:paraId="15AC1D61"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4 624</w:t>
            </w:r>
          </w:p>
        </w:tc>
        <w:tc>
          <w:tcPr>
            <w:tcW w:w="1382" w:type="dxa"/>
            <w:tcBorders>
              <w:bottom w:val="single" w:sz="4" w:space="0" w:color="000000"/>
              <w:right w:val="single" w:sz="4" w:space="0" w:color="000000"/>
            </w:tcBorders>
            <w:vAlign w:val="center"/>
          </w:tcPr>
          <w:p w14:paraId="06EFBEAD"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5 663</w:t>
            </w:r>
          </w:p>
        </w:tc>
        <w:tc>
          <w:tcPr>
            <w:tcW w:w="1374" w:type="dxa"/>
            <w:tcBorders>
              <w:bottom w:val="single" w:sz="4" w:space="0" w:color="000000"/>
              <w:right w:val="single" w:sz="4" w:space="0" w:color="000000"/>
            </w:tcBorders>
            <w:vAlign w:val="center"/>
          </w:tcPr>
          <w:p w14:paraId="36729B4F"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5 070</w:t>
            </w:r>
          </w:p>
        </w:tc>
        <w:tc>
          <w:tcPr>
            <w:tcW w:w="1378" w:type="dxa"/>
            <w:tcBorders>
              <w:bottom w:val="single" w:sz="4" w:space="0" w:color="000000"/>
              <w:right w:val="single" w:sz="4" w:space="0" w:color="000000"/>
            </w:tcBorders>
            <w:vAlign w:val="center"/>
          </w:tcPr>
          <w:p w14:paraId="65BD02D5"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2 712</w:t>
            </w:r>
          </w:p>
        </w:tc>
      </w:tr>
      <w:tr w:rsidR="002449C2" w14:paraId="1E756952" w14:textId="77777777">
        <w:trPr>
          <w:trHeight w:val="842"/>
        </w:trPr>
        <w:tc>
          <w:tcPr>
            <w:tcW w:w="2867" w:type="dxa"/>
            <w:tcBorders>
              <w:left w:val="single" w:sz="4" w:space="0" w:color="000000"/>
              <w:bottom w:val="single" w:sz="4" w:space="0" w:color="000000"/>
              <w:right w:val="single" w:sz="4" w:space="0" w:color="000000"/>
            </w:tcBorders>
            <w:vAlign w:val="center"/>
          </w:tcPr>
          <w:p w14:paraId="0DF2456B" w14:textId="77777777" w:rsidR="002449C2" w:rsidRDefault="00123961">
            <w:pPr>
              <w:shd w:val="clear" w:color="auto" w:fill="FFFFFF"/>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Ввод в состав основных средств трансформаторной  мощности, МВА</w:t>
            </w:r>
          </w:p>
        </w:tc>
        <w:tc>
          <w:tcPr>
            <w:tcW w:w="1053" w:type="dxa"/>
            <w:tcBorders>
              <w:top w:val="single" w:sz="4" w:space="0" w:color="000000"/>
              <w:bottom w:val="single" w:sz="4" w:space="0" w:color="000000"/>
              <w:right w:val="single" w:sz="4" w:space="0" w:color="000000"/>
            </w:tcBorders>
            <w:vAlign w:val="center"/>
          </w:tcPr>
          <w:p w14:paraId="225DD238"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МВА</w:t>
            </w:r>
          </w:p>
        </w:tc>
        <w:tc>
          <w:tcPr>
            <w:tcW w:w="1373" w:type="dxa"/>
            <w:tcBorders>
              <w:left w:val="single" w:sz="4" w:space="0" w:color="000000"/>
              <w:bottom w:val="single" w:sz="4" w:space="0" w:color="000000"/>
              <w:right w:val="single" w:sz="4" w:space="0" w:color="000000"/>
            </w:tcBorders>
            <w:vAlign w:val="center"/>
          </w:tcPr>
          <w:p w14:paraId="0456789A"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98</w:t>
            </w:r>
          </w:p>
        </w:tc>
        <w:tc>
          <w:tcPr>
            <w:tcW w:w="1382" w:type="dxa"/>
            <w:tcBorders>
              <w:bottom w:val="single" w:sz="4" w:space="0" w:color="000000"/>
              <w:right w:val="single" w:sz="4" w:space="0" w:color="000000"/>
            </w:tcBorders>
            <w:vAlign w:val="center"/>
          </w:tcPr>
          <w:p w14:paraId="045D5FA6"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170</w:t>
            </w:r>
          </w:p>
        </w:tc>
        <w:tc>
          <w:tcPr>
            <w:tcW w:w="1374" w:type="dxa"/>
            <w:tcBorders>
              <w:bottom w:val="single" w:sz="4" w:space="0" w:color="000000"/>
              <w:right w:val="single" w:sz="4" w:space="0" w:color="000000"/>
            </w:tcBorders>
            <w:vAlign w:val="center"/>
          </w:tcPr>
          <w:p w14:paraId="0D2B2386"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106</w:t>
            </w:r>
          </w:p>
        </w:tc>
        <w:tc>
          <w:tcPr>
            <w:tcW w:w="1378" w:type="dxa"/>
            <w:tcBorders>
              <w:bottom w:val="single" w:sz="4" w:space="0" w:color="000000"/>
              <w:right w:val="single" w:sz="4" w:space="0" w:color="000000"/>
            </w:tcBorders>
            <w:vAlign w:val="center"/>
          </w:tcPr>
          <w:p w14:paraId="4AFE7258"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66</w:t>
            </w:r>
          </w:p>
        </w:tc>
      </w:tr>
      <w:tr w:rsidR="002449C2" w14:paraId="1A3CFD3B" w14:textId="77777777">
        <w:trPr>
          <w:trHeight w:val="842"/>
        </w:trPr>
        <w:tc>
          <w:tcPr>
            <w:tcW w:w="2867" w:type="dxa"/>
            <w:tcBorders>
              <w:left w:val="single" w:sz="4" w:space="0" w:color="000000"/>
              <w:bottom w:val="single" w:sz="4" w:space="0" w:color="000000"/>
              <w:right w:val="single" w:sz="4" w:space="0" w:color="000000"/>
            </w:tcBorders>
            <w:vAlign w:val="center"/>
          </w:tcPr>
          <w:p w14:paraId="19562FFB" w14:textId="77777777" w:rsidR="002449C2" w:rsidRDefault="00123961">
            <w:pPr>
              <w:shd w:val="clear" w:color="auto" w:fill="FFFFFF"/>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Ввод в состав основных средств линий электропередачи</w:t>
            </w:r>
          </w:p>
        </w:tc>
        <w:tc>
          <w:tcPr>
            <w:tcW w:w="1053" w:type="dxa"/>
            <w:tcBorders>
              <w:top w:val="single" w:sz="4" w:space="0" w:color="000000"/>
              <w:bottom w:val="single" w:sz="4" w:space="0" w:color="000000"/>
              <w:right w:val="single" w:sz="4" w:space="0" w:color="000000"/>
            </w:tcBorders>
            <w:vAlign w:val="center"/>
          </w:tcPr>
          <w:p w14:paraId="1A7B64B6"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км</w:t>
            </w:r>
          </w:p>
        </w:tc>
        <w:tc>
          <w:tcPr>
            <w:tcW w:w="1373" w:type="dxa"/>
            <w:tcBorders>
              <w:left w:val="single" w:sz="4" w:space="0" w:color="000000"/>
              <w:bottom w:val="single" w:sz="4" w:space="0" w:color="000000"/>
              <w:right w:val="single" w:sz="4" w:space="0" w:color="000000"/>
            </w:tcBorders>
            <w:vAlign w:val="center"/>
          </w:tcPr>
          <w:p w14:paraId="0AD35A42"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526</w:t>
            </w:r>
          </w:p>
        </w:tc>
        <w:tc>
          <w:tcPr>
            <w:tcW w:w="1382" w:type="dxa"/>
            <w:tcBorders>
              <w:bottom w:val="single" w:sz="4" w:space="0" w:color="000000"/>
              <w:right w:val="single" w:sz="4" w:space="0" w:color="000000"/>
            </w:tcBorders>
            <w:vAlign w:val="center"/>
          </w:tcPr>
          <w:p w14:paraId="693A5C08"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472</w:t>
            </w:r>
          </w:p>
        </w:tc>
        <w:tc>
          <w:tcPr>
            <w:tcW w:w="1374" w:type="dxa"/>
            <w:tcBorders>
              <w:bottom w:val="single" w:sz="4" w:space="0" w:color="000000"/>
              <w:right w:val="single" w:sz="4" w:space="0" w:color="000000"/>
            </w:tcBorders>
            <w:vAlign w:val="center"/>
          </w:tcPr>
          <w:p w14:paraId="7EE998BC"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478</w:t>
            </w:r>
          </w:p>
        </w:tc>
        <w:tc>
          <w:tcPr>
            <w:tcW w:w="1378" w:type="dxa"/>
            <w:tcBorders>
              <w:bottom w:val="single" w:sz="4" w:space="0" w:color="000000"/>
              <w:right w:val="single" w:sz="4" w:space="0" w:color="000000"/>
            </w:tcBorders>
            <w:vAlign w:val="center"/>
          </w:tcPr>
          <w:p w14:paraId="629571D6"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355</w:t>
            </w:r>
          </w:p>
        </w:tc>
      </w:tr>
    </w:tbl>
    <w:p w14:paraId="30CB75C9" w14:textId="77777777" w:rsidR="002449C2" w:rsidRDefault="00123961">
      <w:pPr>
        <w:shd w:val="clear" w:color="auto" w:fill="FFFFFF"/>
        <w:tabs>
          <w:tab w:val="left" w:pos="0"/>
        </w:tabs>
        <w:spacing w:before="120" w:after="12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 xml:space="preserve">Параметры инвестиционной деятельности в соответствии с долгосрочной инвестиционной программой </w:t>
      </w:r>
    </w:p>
    <w:p w14:paraId="08726016" w14:textId="77777777" w:rsidR="002449C2" w:rsidRDefault="00123961">
      <w:pPr>
        <w:shd w:val="clear" w:color="auto" w:fill="FFFFFF"/>
        <w:spacing w:before="120" w:after="120" w:line="240" w:lineRule="auto"/>
        <w:jc w:val="center"/>
        <w:rPr>
          <w:rFonts w:ascii="Times New Roman" w:hAnsi="Times New Roman"/>
          <w:b/>
        </w:rPr>
      </w:pPr>
      <w:r>
        <w:rPr>
          <w:rFonts w:ascii="Times New Roman" w:hAnsi="Times New Roman"/>
          <w:b/>
        </w:rPr>
        <w:t>Динамика объемов финансирования на период 2025 – 2028 годы, млн руб. с НДС.</w:t>
      </w:r>
    </w:p>
    <w:tbl>
      <w:tblPr>
        <w:tblW w:w="8881" w:type="dxa"/>
        <w:tblInd w:w="675" w:type="dxa"/>
        <w:tblLayout w:type="fixed"/>
        <w:tblLook w:val="04A0" w:firstRow="1" w:lastRow="0" w:firstColumn="1" w:lastColumn="0" w:noHBand="0" w:noVBand="1"/>
      </w:tblPr>
      <w:tblGrid>
        <w:gridCol w:w="708"/>
        <w:gridCol w:w="1824"/>
        <w:gridCol w:w="1813"/>
        <w:gridCol w:w="1418"/>
        <w:gridCol w:w="1563"/>
        <w:gridCol w:w="1555"/>
      </w:tblGrid>
      <w:tr w:rsidR="002449C2" w14:paraId="2BE472A6" w14:textId="77777777">
        <w:trPr>
          <w:trHeight w:val="300"/>
        </w:trPr>
        <w:tc>
          <w:tcPr>
            <w:tcW w:w="707"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26DCEB15" w14:textId="77777777" w:rsidR="002449C2" w:rsidRDefault="002449C2">
            <w:pPr>
              <w:shd w:val="clear" w:color="auto" w:fill="FFFFFF"/>
              <w:spacing w:after="0" w:line="240" w:lineRule="auto"/>
              <w:rPr>
                <w:rFonts w:ascii="Times New Roman" w:eastAsia="Times New Roman" w:hAnsi="Times New Roman"/>
                <w:sz w:val="20"/>
                <w:szCs w:val="20"/>
                <w:lang w:eastAsia="ru-RU"/>
              </w:rPr>
            </w:pPr>
          </w:p>
        </w:tc>
        <w:tc>
          <w:tcPr>
            <w:tcW w:w="1824"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4335C39" w14:textId="77777777" w:rsidR="002449C2" w:rsidRDefault="00123961">
            <w:pPr>
              <w:shd w:val="clear" w:color="auto" w:fill="FFFFFF"/>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Астраханьэнерго</w:t>
            </w:r>
          </w:p>
        </w:tc>
        <w:tc>
          <w:tcPr>
            <w:tcW w:w="1813"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165B725" w14:textId="77777777" w:rsidR="002449C2" w:rsidRDefault="00123961">
            <w:pPr>
              <w:shd w:val="clear" w:color="auto" w:fill="FFFFFF"/>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Волгоградэнерго</w:t>
            </w:r>
          </w:p>
        </w:tc>
        <w:tc>
          <w:tcPr>
            <w:tcW w:w="141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762FE85F" w14:textId="77777777" w:rsidR="002449C2" w:rsidRDefault="00123961">
            <w:pPr>
              <w:shd w:val="clear" w:color="auto" w:fill="FFFFFF"/>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Калмэнерго</w:t>
            </w:r>
          </w:p>
        </w:tc>
        <w:tc>
          <w:tcPr>
            <w:tcW w:w="1563"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26F26DDD" w14:textId="77777777" w:rsidR="002449C2" w:rsidRDefault="00123961">
            <w:pPr>
              <w:shd w:val="clear" w:color="auto" w:fill="FFFFFF"/>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Ростовэнерго</w:t>
            </w:r>
          </w:p>
        </w:tc>
        <w:tc>
          <w:tcPr>
            <w:tcW w:w="1555"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D6D79BF" w14:textId="77777777" w:rsidR="002449C2" w:rsidRDefault="00123961">
            <w:pPr>
              <w:shd w:val="clear" w:color="auto" w:fill="FFFFFF"/>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Россети Юг</w:t>
            </w:r>
          </w:p>
        </w:tc>
      </w:tr>
      <w:tr w:rsidR="002449C2" w14:paraId="01DACC6A" w14:textId="77777777">
        <w:trPr>
          <w:trHeight w:val="300"/>
        </w:trPr>
        <w:tc>
          <w:tcPr>
            <w:tcW w:w="707" w:type="dxa"/>
            <w:tcBorders>
              <w:left w:val="single" w:sz="4" w:space="0" w:color="000000"/>
              <w:bottom w:val="single" w:sz="4" w:space="0" w:color="000000"/>
              <w:right w:val="single" w:sz="4" w:space="0" w:color="000000"/>
            </w:tcBorders>
            <w:shd w:val="clear" w:color="000000" w:fill="FFFFFF"/>
            <w:vAlign w:val="center"/>
          </w:tcPr>
          <w:p w14:paraId="760F111C" w14:textId="77777777" w:rsidR="002449C2" w:rsidRDefault="00123961">
            <w:pPr>
              <w:shd w:val="clear" w:color="auto" w:fill="FFFFFF"/>
              <w:spacing w:after="0" w:line="240" w:lineRule="auto"/>
              <w:jc w:val="center"/>
              <w:rPr>
                <w:rFonts w:ascii="Times New Roman" w:hAnsi="Times New Roman"/>
                <w:sz w:val="20"/>
              </w:rPr>
            </w:pPr>
            <w:r>
              <w:rPr>
                <w:rFonts w:ascii="Times New Roman" w:hAnsi="Times New Roman"/>
                <w:sz w:val="20"/>
              </w:rPr>
              <w:t>2025</w:t>
            </w:r>
          </w:p>
        </w:tc>
        <w:tc>
          <w:tcPr>
            <w:tcW w:w="1824" w:type="dxa"/>
            <w:tcBorders>
              <w:left w:val="single" w:sz="4" w:space="0" w:color="000000"/>
              <w:bottom w:val="single" w:sz="4" w:space="0" w:color="000000"/>
              <w:right w:val="single" w:sz="4" w:space="0" w:color="000000"/>
            </w:tcBorders>
            <w:vAlign w:val="center"/>
          </w:tcPr>
          <w:p w14:paraId="3B1051F6"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hAnsi="Times New Roman"/>
                <w:sz w:val="20"/>
                <w:szCs w:val="20"/>
              </w:rPr>
              <w:t>3 046</w:t>
            </w:r>
          </w:p>
        </w:tc>
        <w:tc>
          <w:tcPr>
            <w:tcW w:w="1813" w:type="dxa"/>
            <w:tcBorders>
              <w:bottom w:val="single" w:sz="4" w:space="0" w:color="000000"/>
              <w:right w:val="single" w:sz="4" w:space="0" w:color="000000"/>
            </w:tcBorders>
            <w:vAlign w:val="center"/>
          </w:tcPr>
          <w:p w14:paraId="7C252EB1"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1 240</w:t>
            </w:r>
          </w:p>
        </w:tc>
        <w:tc>
          <w:tcPr>
            <w:tcW w:w="1418" w:type="dxa"/>
            <w:tcBorders>
              <w:bottom w:val="single" w:sz="4" w:space="0" w:color="000000"/>
              <w:right w:val="single" w:sz="4" w:space="0" w:color="000000"/>
            </w:tcBorders>
            <w:vAlign w:val="center"/>
          </w:tcPr>
          <w:p w14:paraId="397D44D2"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190</w:t>
            </w:r>
          </w:p>
        </w:tc>
        <w:tc>
          <w:tcPr>
            <w:tcW w:w="1563" w:type="dxa"/>
            <w:tcBorders>
              <w:bottom w:val="single" w:sz="4" w:space="0" w:color="000000"/>
              <w:right w:val="single" w:sz="4" w:space="0" w:color="000000"/>
            </w:tcBorders>
            <w:vAlign w:val="center"/>
          </w:tcPr>
          <w:p w14:paraId="15C60455"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3 021</w:t>
            </w:r>
          </w:p>
        </w:tc>
        <w:tc>
          <w:tcPr>
            <w:tcW w:w="1555" w:type="dxa"/>
            <w:tcBorders>
              <w:bottom w:val="single" w:sz="4" w:space="0" w:color="000000"/>
              <w:right w:val="single" w:sz="4" w:space="0" w:color="000000"/>
            </w:tcBorders>
            <w:vAlign w:val="center"/>
          </w:tcPr>
          <w:p w14:paraId="68A0F4C3"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7 496</w:t>
            </w:r>
          </w:p>
        </w:tc>
      </w:tr>
      <w:tr w:rsidR="002449C2" w14:paraId="2EE505AA" w14:textId="77777777">
        <w:trPr>
          <w:trHeight w:val="300"/>
        </w:trPr>
        <w:tc>
          <w:tcPr>
            <w:tcW w:w="707" w:type="dxa"/>
            <w:tcBorders>
              <w:left w:val="single" w:sz="4" w:space="0" w:color="000000"/>
              <w:bottom w:val="single" w:sz="4" w:space="0" w:color="000000"/>
              <w:right w:val="single" w:sz="4" w:space="0" w:color="000000"/>
            </w:tcBorders>
            <w:shd w:val="clear" w:color="000000" w:fill="FFFFFF"/>
            <w:vAlign w:val="center"/>
          </w:tcPr>
          <w:p w14:paraId="41E09D61" w14:textId="77777777" w:rsidR="002449C2" w:rsidRDefault="00123961">
            <w:pPr>
              <w:shd w:val="clear" w:color="auto" w:fill="FFFFFF"/>
              <w:spacing w:after="0" w:line="240" w:lineRule="auto"/>
              <w:jc w:val="center"/>
              <w:rPr>
                <w:rFonts w:ascii="Times New Roman" w:hAnsi="Times New Roman"/>
                <w:sz w:val="20"/>
              </w:rPr>
            </w:pPr>
            <w:r>
              <w:rPr>
                <w:rFonts w:ascii="Times New Roman" w:hAnsi="Times New Roman"/>
                <w:sz w:val="20"/>
              </w:rPr>
              <w:t>2026</w:t>
            </w:r>
          </w:p>
        </w:tc>
        <w:tc>
          <w:tcPr>
            <w:tcW w:w="1824" w:type="dxa"/>
            <w:tcBorders>
              <w:left w:val="single" w:sz="4" w:space="0" w:color="000000"/>
              <w:bottom w:val="single" w:sz="4" w:space="0" w:color="000000"/>
              <w:right w:val="single" w:sz="4" w:space="0" w:color="000000"/>
            </w:tcBorders>
            <w:vAlign w:val="center"/>
          </w:tcPr>
          <w:p w14:paraId="610265C9"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2 979</w:t>
            </w:r>
          </w:p>
        </w:tc>
        <w:tc>
          <w:tcPr>
            <w:tcW w:w="1813" w:type="dxa"/>
            <w:tcBorders>
              <w:bottom w:val="single" w:sz="4" w:space="0" w:color="000000"/>
              <w:right w:val="single" w:sz="4" w:space="0" w:color="000000"/>
            </w:tcBorders>
            <w:vAlign w:val="center"/>
          </w:tcPr>
          <w:p w14:paraId="3407AECE"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560</w:t>
            </w:r>
          </w:p>
        </w:tc>
        <w:tc>
          <w:tcPr>
            <w:tcW w:w="1418" w:type="dxa"/>
            <w:tcBorders>
              <w:bottom w:val="single" w:sz="4" w:space="0" w:color="000000"/>
              <w:right w:val="single" w:sz="4" w:space="0" w:color="000000"/>
            </w:tcBorders>
            <w:vAlign w:val="center"/>
          </w:tcPr>
          <w:p w14:paraId="25C9E60F"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125</w:t>
            </w:r>
          </w:p>
        </w:tc>
        <w:tc>
          <w:tcPr>
            <w:tcW w:w="1563" w:type="dxa"/>
            <w:tcBorders>
              <w:bottom w:val="single" w:sz="4" w:space="0" w:color="000000"/>
              <w:right w:val="single" w:sz="4" w:space="0" w:color="000000"/>
            </w:tcBorders>
            <w:vAlign w:val="center"/>
          </w:tcPr>
          <w:p w14:paraId="4D8BA364"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2 220</w:t>
            </w:r>
          </w:p>
        </w:tc>
        <w:tc>
          <w:tcPr>
            <w:tcW w:w="1555" w:type="dxa"/>
            <w:tcBorders>
              <w:bottom w:val="single" w:sz="4" w:space="0" w:color="000000"/>
              <w:right w:val="single" w:sz="4" w:space="0" w:color="000000"/>
            </w:tcBorders>
            <w:vAlign w:val="center"/>
          </w:tcPr>
          <w:p w14:paraId="01081A49"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5 883</w:t>
            </w:r>
          </w:p>
        </w:tc>
      </w:tr>
      <w:tr w:rsidR="002449C2" w14:paraId="7AC8D96B" w14:textId="77777777">
        <w:trPr>
          <w:trHeight w:val="300"/>
        </w:trPr>
        <w:tc>
          <w:tcPr>
            <w:tcW w:w="707" w:type="dxa"/>
            <w:tcBorders>
              <w:left w:val="single" w:sz="4" w:space="0" w:color="000000"/>
              <w:bottom w:val="single" w:sz="4" w:space="0" w:color="000000"/>
              <w:right w:val="single" w:sz="4" w:space="0" w:color="000000"/>
            </w:tcBorders>
            <w:shd w:val="clear" w:color="000000" w:fill="FFFFFF"/>
            <w:vAlign w:val="center"/>
          </w:tcPr>
          <w:p w14:paraId="23170581" w14:textId="77777777" w:rsidR="002449C2" w:rsidRDefault="00123961">
            <w:pPr>
              <w:shd w:val="clear" w:color="auto" w:fill="FFFFFF"/>
              <w:spacing w:after="0" w:line="240" w:lineRule="auto"/>
              <w:jc w:val="center"/>
              <w:rPr>
                <w:rFonts w:ascii="Times New Roman" w:hAnsi="Times New Roman"/>
                <w:sz w:val="20"/>
              </w:rPr>
            </w:pPr>
            <w:r>
              <w:rPr>
                <w:rFonts w:ascii="Times New Roman" w:hAnsi="Times New Roman"/>
                <w:sz w:val="20"/>
              </w:rPr>
              <w:t>2027</w:t>
            </w:r>
          </w:p>
        </w:tc>
        <w:tc>
          <w:tcPr>
            <w:tcW w:w="1824" w:type="dxa"/>
            <w:tcBorders>
              <w:left w:val="single" w:sz="4" w:space="0" w:color="000000"/>
              <w:bottom w:val="single" w:sz="4" w:space="0" w:color="000000"/>
              <w:right w:val="single" w:sz="4" w:space="0" w:color="000000"/>
            </w:tcBorders>
            <w:vAlign w:val="center"/>
          </w:tcPr>
          <w:p w14:paraId="453AF46D"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921</w:t>
            </w:r>
          </w:p>
        </w:tc>
        <w:tc>
          <w:tcPr>
            <w:tcW w:w="1813" w:type="dxa"/>
            <w:tcBorders>
              <w:bottom w:val="single" w:sz="4" w:space="0" w:color="000000"/>
              <w:right w:val="single" w:sz="4" w:space="0" w:color="000000"/>
            </w:tcBorders>
            <w:vAlign w:val="center"/>
          </w:tcPr>
          <w:p w14:paraId="01BFD188"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731</w:t>
            </w:r>
          </w:p>
        </w:tc>
        <w:tc>
          <w:tcPr>
            <w:tcW w:w="1418" w:type="dxa"/>
            <w:tcBorders>
              <w:bottom w:val="single" w:sz="4" w:space="0" w:color="000000"/>
              <w:right w:val="single" w:sz="4" w:space="0" w:color="000000"/>
            </w:tcBorders>
            <w:vAlign w:val="center"/>
          </w:tcPr>
          <w:p w14:paraId="36D5F49F"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125</w:t>
            </w:r>
          </w:p>
        </w:tc>
        <w:tc>
          <w:tcPr>
            <w:tcW w:w="1563" w:type="dxa"/>
            <w:tcBorders>
              <w:bottom w:val="single" w:sz="4" w:space="0" w:color="000000"/>
              <w:right w:val="single" w:sz="4" w:space="0" w:color="000000"/>
            </w:tcBorders>
            <w:vAlign w:val="center"/>
          </w:tcPr>
          <w:p w14:paraId="491643AB"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2 324</w:t>
            </w:r>
          </w:p>
        </w:tc>
        <w:tc>
          <w:tcPr>
            <w:tcW w:w="1555" w:type="dxa"/>
            <w:tcBorders>
              <w:bottom w:val="single" w:sz="4" w:space="0" w:color="000000"/>
              <w:right w:val="single" w:sz="4" w:space="0" w:color="000000"/>
            </w:tcBorders>
            <w:vAlign w:val="center"/>
          </w:tcPr>
          <w:p w14:paraId="762EC1AC"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4 101</w:t>
            </w:r>
          </w:p>
        </w:tc>
      </w:tr>
      <w:tr w:rsidR="002449C2" w14:paraId="05DA6399" w14:textId="77777777">
        <w:trPr>
          <w:trHeight w:val="300"/>
        </w:trPr>
        <w:tc>
          <w:tcPr>
            <w:tcW w:w="707" w:type="dxa"/>
            <w:tcBorders>
              <w:left w:val="single" w:sz="4" w:space="0" w:color="000000"/>
              <w:bottom w:val="single" w:sz="4" w:space="0" w:color="000000"/>
              <w:right w:val="single" w:sz="4" w:space="0" w:color="000000"/>
            </w:tcBorders>
            <w:shd w:val="clear" w:color="000000" w:fill="FFFFFF"/>
            <w:vAlign w:val="center"/>
          </w:tcPr>
          <w:p w14:paraId="0649DA7B" w14:textId="77777777" w:rsidR="002449C2" w:rsidRDefault="00123961">
            <w:pPr>
              <w:shd w:val="clear" w:color="auto" w:fill="FFFFFF"/>
              <w:spacing w:after="0" w:line="240" w:lineRule="auto"/>
              <w:jc w:val="center"/>
              <w:rPr>
                <w:rFonts w:ascii="Times New Roman" w:hAnsi="Times New Roman"/>
                <w:sz w:val="20"/>
              </w:rPr>
            </w:pPr>
            <w:r>
              <w:rPr>
                <w:rFonts w:ascii="Times New Roman" w:hAnsi="Times New Roman"/>
                <w:sz w:val="20"/>
              </w:rPr>
              <w:t>2028</w:t>
            </w:r>
          </w:p>
        </w:tc>
        <w:tc>
          <w:tcPr>
            <w:tcW w:w="1824" w:type="dxa"/>
            <w:tcBorders>
              <w:left w:val="single" w:sz="4" w:space="0" w:color="000000"/>
              <w:bottom w:val="single" w:sz="4" w:space="0" w:color="000000"/>
              <w:right w:val="single" w:sz="4" w:space="0" w:color="000000"/>
            </w:tcBorders>
            <w:vAlign w:val="center"/>
          </w:tcPr>
          <w:p w14:paraId="5A4F56DB"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921</w:t>
            </w:r>
          </w:p>
        </w:tc>
        <w:tc>
          <w:tcPr>
            <w:tcW w:w="1813" w:type="dxa"/>
            <w:tcBorders>
              <w:bottom w:val="single" w:sz="4" w:space="0" w:color="000000"/>
              <w:right w:val="single" w:sz="4" w:space="0" w:color="000000"/>
            </w:tcBorders>
            <w:vAlign w:val="center"/>
          </w:tcPr>
          <w:p w14:paraId="30C3F5E9"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731</w:t>
            </w:r>
          </w:p>
        </w:tc>
        <w:tc>
          <w:tcPr>
            <w:tcW w:w="1418" w:type="dxa"/>
            <w:tcBorders>
              <w:bottom w:val="single" w:sz="4" w:space="0" w:color="000000"/>
              <w:right w:val="single" w:sz="4" w:space="0" w:color="000000"/>
            </w:tcBorders>
            <w:vAlign w:val="center"/>
          </w:tcPr>
          <w:p w14:paraId="68BDCA20"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125</w:t>
            </w:r>
          </w:p>
        </w:tc>
        <w:tc>
          <w:tcPr>
            <w:tcW w:w="1563" w:type="dxa"/>
            <w:tcBorders>
              <w:bottom w:val="single" w:sz="4" w:space="0" w:color="000000"/>
              <w:right w:val="single" w:sz="4" w:space="0" w:color="000000"/>
            </w:tcBorders>
            <w:vAlign w:val="center"/>
          </w:tcPr>
          <w:p w14:paraId="54002FB3"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2 010</w:t>
            </w:r>
          </w:p>
        </w:tc>
        <w:tc>
          <w:tcPr>
            <w:tcW w:w="1555" w:type="dxa"/>
            <w:tcBorders>
              <w:bottom w:val="single" w:sz="4" w:space="0" w:color="000000"/>
              <w:right w:val="single" w:sz="4" w:space="0" w:color="000000"/>
            </w:tcBorders>
            <w:vAlign w:val="center"/>
          </w:tcPr>
          <w:p w14:paraId="2632CC75"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3 787</w:t>
            </w:r>
          </w:p>
        </w:tc>
      </w:tr>
    </w:tbl>
    <w:p w14:paraId="262B95D0" w14:textId="77777777" w:rsidR="002449C2" w:rsidRDefault="002449C2">
      <w:pPr>
        <w:shd w:val="clear" w:color="auto" w:fill="FFFFFF"/>
        <w:spacing w:after="0" w:line="240" w:lineRule="auto"/>
        <w:jc w:val="center"/>
        <w:rPr>
          <w:rFonts w:ascii="Times New Roman" w:hAnsi="Times New Roman"/>
          <w:sz w:val="20"/>
        </w:rPr>
      </w:pPr>
    </w:p>
    <w:p w14:paraId="711F0D00" w14:textId="77777777" w:rsidR="002449C2" w:rsidRDefault="00123961">
      <w:pPr>
        <w:shd w:val="clear" w:color="auto" w:fill="FFFFFF"/>
        <w:spacing w:after="0" w:line="240" w:lineRule="auto"/>
        <w:jc w:val="center"/>
        <w:rPr>
          <w:rFonts w:ascii="Times New Roman" w:hAnsi="Times New Roman"/>
          <w:b/>
        </w:rPr>
      </w:pPr>
      <w:r>
        <w:rPr>
          <w:rFonts w:ascii="Times New Roman" w:hAnsi="Times New Roman"/>
          <w:b/>
        </w:rPr>
        <w:t>Динамика ввода линий электропередач на период 2025 – 2028 годы, км.</w:t>
      </w:r>
    </w:p>
    <w:p w14:paraId="4F429AEE" w14:textId="77777777" w:rsidR="002449C2" w:rsidRDefault="002449C2">
      <w:pPr>
        <w:shd w:val="clear" w:color="auto" w:fill="FFFFFF"/>
        <w:spacing w:after="0" w:line="240" w:lineRule="auto"/>
        <w:jc w:val="center"/>
        <w:rPr>
          <w:rFonts w:ascii="Times New Roman" w:hAnsi="Times New Roman"/>
          <w:b/>
        </w:rPr>
      </w:pPr>
    </w:p>
    <w:tbl>
      <w:tblPr>
        <w:tblW w:w="8881" w:type="dxa"/>
        <w:tblInd w:w="675" w:type="dxa"/>
        <w:tblLayout w:type="fixed"/>
        <w:tblLook w:val="04A0" w:firstRow="1" w:lastRow="0" w:firstColumn="1" w:lastColumn="0" w:noHBand="0" w:noVBand="1"/>
      </w:tblPr>
      <w:tblGrid>
        <w:gridCol w:w="708"/>
        <w:gridCol w:w="1824"/>
        <w:gridCol w:w="1813"/>
        <w:gridCol w:w="1418"/>
        <w:gridCol w:w="1563"/>
        <w:gridCol w:w="1555"/>
      </w:tblGrid>
      <w:tr w:rsidR="002449C2" w14:paraId="69349618" w14:textId="77777777">
        <w:trPr>
          <w:trHeight w:val="300"/>
          <w:tblHeader/>
        </w:trPr>
        <w:tc>
          <w:tcPr>
            <w:tcW w:w="707" w:type="dxa"/>
            <w:tcBorders>
              <w:top w:val="single" w:sz="4" w:space="0" w:color="000000"/>
              <w:left w:val="single" w:sz="4" w:space="0" w:color="000000"/>
              <w:bottom w:val="single" w:sz="4" w:space="0" w:color="000000"/>
              <w:right w:val="single" w:sz="4" w:space="0" w:color="000000"/>
            </w:tcBorders>
            <w:vAlign w:val="bottom"/>
          </w:tcPr>
          <w:p w14:paraId="493E85E3" w14:textId="77777777" w:rsidR="002449C2" w:rsidRDefault="002449C2">
            <w:pPr>
              <w:shd w:val="clear" w:color="auto" w:fill="FFFFFF"/>
              <w:spacing w:after="0" w:line="240" w:lineRule="auto"/>
              <w:jc w:val="center"/>
              <w:rPr>
                <w:rFonts w:ascii="Times New Roman" w:hAnsi="Times New Roman"/>
              </w:rPr>
            </w:pPr>
          </w:p>
        </w:tc>
        <w:tc>
          <w:tcPr>
            <w:tcW w:w="1824" w:type="dxa"/>
            <w:tcBorders>
              <w:top w:val="single" w:sz="4" w:space="0" w:color="000000"/>
              <w:left w:val="single" w:sz="4" w:space="0" w:color="000000"/>
              <w:bottom w:val="single" w:sz="4" w:space="0" w:color="000000"/>
              <w:right w:val="single" w:sz="4" w:space="0" w:color="000000"/>
            </w:tcBorders>
            <w:vAlign w:val="bottom"/>
          </w:tcPr>
          <w:p w14:paraId="7EA31EBE"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Астраханьэнерго</w:t>
            </w:r>
          </w:p>
        </w:tc>
        <w:tc>
          <w:tcPr>
            <w:tcW w:w="1813" w:type="dxa"/>
            <w:tcBorders>
              <w:top w:val="single" w:sz="4" w:space="0" w:color="000000"/>
              <w:left w:val="single" w:sz="4" w:space="0" w:color="000000"/>
              <w:bottom w:val="single" w:sz="4" w:space="0" w:color="000000"/>
              <w:right w:val="single" w:sz="4" w:space="0" w:color="000000"/>
            </w:tcBorders>
            <w:vAlign w:val="bottom"/>
          </w:tcPr>
          <w:p w14:paraId="52DF5197"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Волгоградэнерго</w:t>
            </w:r>
          </w:p>
        </w:tc>
        <w:tc>
          <w:tcPr>
            <w:tcW w:w="1418" w:type="dxa"/>
            <w:tcBorders>
              <w:top w:val="single" w:sz="4" w:space="0" w:color="000000"/>
              <w:left w:val="single" w:sz="4" w:space="0" w:color="000000"/>
              <w:bottom w:val="single" w:sz="4" w:space="0" w:color="000000"/>
              <w:right w:val="single" w:sz="4" w:space="0" w:color="000000"/>
            </w:tcBorders>
            <w:vAlign w:val="bottom"/>
          </w:tcPr>
          <w:p w14:paraId="5C49DD5A"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Калмэнерго</w:t>
            </w:r>
          </w:p>
        </w:tc>
        <w:tc>
          <w:tcPr>
            <w:tcW w:w="1563" w:type="dxa"/>
            <w:tcBorders>
              <w:top w:val="single" w:sz="4" w:space="0" w:color="000000"/>
              <w:left w:val="single" w:sz="4" w:space="0" w:color="000000"/>
              <w:bottom w:val="single" w:sz="4" w:space="0" w:color="000000"/>
              <w:right w:val="single" w:sz="4" w:space="0" w:color="000000"/>
            </w:tcBorders>
            <w:vAlign w:val="bottom"/>
          </w:tcPr>
          <w:p w14:paraId="18BDBB30"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Ростовэнерго</w:t>
            </w:r>
          </w:p>
        </w:tc>
        <w:tc>
          <w:tcPr>
            <w:tcW w:w="1555" w:type="dxa"/>
            <w:tcBorders>
              <w:top w:val="single" w:sz="4" w:space="0" w:color="000000"/>
              <w:left w:val="single" w:sz="4" w:space="0" w:color="000000"/>
              <w:bottom w:val="single" w:sz="4" w:space="0" w:color="000000"/>
              <w:right w:val="single" w:sz="4" w:space="0" w:color="000000"/>
            </w:tcBorders>
            <w:vAlign w:val="bottom"/>
          </w:tcPr>
          <w:p w14:paraId="41C2CCB8"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Россети Юг</w:t>
            </w:r>
          </w:p>
        </w:tc>
      </w:tr>
      <w:tr w:rsidR="002449C2" w14:paraId="0BE34E00" w14:textId="77777777">
        <w:trPr>
          <w:trHeight w:val="300"/>
          <w:tblHeader/>
        </w:trPr>
        <w:tc>
          <w:tcPr>
            <w:tcW w:w="707" w:type="dxa"/>
            <w:tcBorders>
              <w:left w:val="single" w:sz="4" w:space="0" w:color="000000"/>
              <w:bottom w:val="single" w:sz="4" w:space="0" w:color="000000"/>
              <w:right w:val="single" w:sz="4" w:space="0" w:color="000000"/>
            </w:tcBorders>
            <w:vAlign w:val="center"/>
          </w:tcPr>
          <w:p w14:paraId="216EFC19" w14:textId="77777777" w:rsidR="002449C2" w:rsidRDefault="00123961">
            <w:pPr>
              <w:shd w:val="clear" w:color="auto" w:fill="FFFFFF"/>
              <w:spacing w:after="0" w:line="240" w:lineRule="auto"/>
              <w:jc w:val="center"/>
              <w:rPr>
                <w:rFonts w:ascii="Times New Roman" w:hAnsi="Times New Roman"/>
                <w:sz w:val="20"/>
              </w:rPr>
            </w:pPr>
            <w:r>
              <w:rPr>
                <w:rFonts w:ascii="Times New Roman" w:hAnsi="Times New Roman"/>
                <w:sz w:val="20"/>
              </w:rPr>
              <w:t>2025</w:t>
            </w:r>
          </w:p>
        </w:tc>
        <w:tc>
          <w:tcPr>
            <w:tcW w:w="1824" w:type="dxa"/>
            <w:tcBorders>
              <w:top w:val="single" w:sz="4" w:space="0" w:color="000000"/>
              <w:left w:val="single" w:sz="4" w:space="0" w:color="000000"/>
              <w:bottom w:val="single" w:sz="4" w:space="0" w:color="000000"/>
              <w:right w:val="single" w:sz="4" w:space="0" w:color="000000"/>
            </w:tcBorders>
            <w:vAlign w:val="center"/>
          </w:tcPr>
          <w:p w14:paraId="39CA1BB5"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hAnsi="Times New Roman"/>
                <w:sz w:val="20"/>
                <w:szCs w:val="20"/>
              </w:rPr>
              <w:t>145</w:t>
            </w:r>
          </w:p>
        </w:tc>
        <w:tc>
          <w:tcPr>
            <w:tcW w:w="1813" w:type="dxa"/>
            <w:tcBorders>
              <w:top w:val="single" w:sz="4" w:space="0" w:color="000000"/>
              <w:bottom w:val="single" w:sz="4" w:space="0" w:color="000000"/>
              <w:right w:val="single" w:sz="4" w:space="0" w:color="000000"/>
            </w:tcBorders>
            <w:vAlign w:val="center"/>
          </w:tcPr>
          <w:p w14:paraId="1995B351"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112</w:t>
            </w:r>
          </w:p>
        </w:tc>
        <w:tc>
          <w:tcPr>
            <w:tcW w:w="1418" w:type="dxa"/>
            <w:tcBorders>
              <w:top w:val="single" w:sz="4" w:space="0" w:color="000000"/>
              <w:bottom w:val="single" w:sz="4" w:space="0" w:color="000000"/>
              <w:right w:val="single" w:sz="4" w:space="0" w:color="000000"/>
            </w:tcBorders>
            <w:vAlign w:val="center"/>
          </w:tcPr>
          <w:p w14:paraId="1F0CE59F"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52</w:t>
            </w:r>
          </w:p>
        </w:tc>
        <w:tc>
          <w:tcPr>
            <w:tcW w:w="1563" w:type="dxa"/>
            <w:tcBorders>
              <w:top w:val="single" w:sz="4" w:space="0" w:color="000000"/>
              <w:bottom w:val="single" w:sz="4" w:space="0" w:color="000000"/>
              <w:right w:val="single" w:sz="4" w:space="0" w:color="000000"/>
            </w:tcBorders>
            <w:vAlign w:val="center"/>
          </w:tcPr>
          <w:p w14:paraId="4CD1CB45"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216</w:t>
            </w:r>
          </w:p>
        </w:tc>
        <w:tc>
          <w:tcPr>
            <w:tcW w:w="1555" w:type="dxa"/>
            <w:tcBorders>
              <w:top w:val="single" w:sz="4" w:space="0" w:color="000000"/>
              <w:bottom w:val="single" w:sz="4" w:space="0" w:color="000000"/>
              <w:right w:val="single" w:sz="4" w:space="0" w:color="000000"/>
            </w:tcBorders>
            <w:vAlign w:val="center"/>
          </w:tcPr>
          <w:p w14:paraId="276FECFC"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526</w:t>
            </w:r>
          </w:p>
        </w:tc>
      </w:tr>
      <w:tr w:rsidR="002449C2" w14:paraId="775D6336" w14:textId="77777777">
        <w:trPr>
          <w:trHeight w:val="300"/>
          <w:tblHeader/>
        </w:trPr>
        <w:tc>
          <w:tcPr>
            <w:tcW w:w="707" w:type="dxa"/>
            <w:tcBorders>
              <w:left w:val="single" w:sz="4" w:space="0" w:color="000000"/>
              <w:bottom w:val="single" w:sz="4" w:space="0" w:color="000000"/>
              <w:right w:val="single" w:sz="4" w:space="0" w:color="000000"/>
            </w:tcBorders>
            <w:vAlign w:val="center"/>
          </w:tcPr>
          <w:p w14:paraId="2A34104C" w14:textId="77777777" w:rsidR="002449C2" w:rsidRDefault="00123961">
            <w:pPr>
              <w:shd w:val="clear" w:color="auto" w:fill="FFFFFF"/>
              <w:spacing w:after="0" w:line="240" w:lineRule="auto"/>
              <w:jc w:val="center"/>
              <w:rPr>
                <w:rFonts w:ascii="Times New Roman" w:hAnsi="Times New Roman"/>
                <w:sz w:val="20"/>
              </w:rPr>
            </w:pPr>
            <w:r>
              <w:rPr>
                <w:rFonts w:ascii="Times New Roman" w:hAnsi="Times New Roman"/>
                <w:sz w:val="20"/>
              </w:rPr>
              <w:t>2026</w:t>
            </w:r>
          </w:p>
        </w:tc>
        <w:tc>
          <w:tcPr>
            <w:tcW w:w="1824" w:type="dxa"/>
            <w:tcBorders>
              <w:left w:val="single" w:sz="4" w:space="0" w:color="000000"/>
              <w:bottom w:val="single" w:sz="4" w:space="0" w:color="000000"/>
              <w:right w:val="single" w:sz="4" w:space="0" w:color="000000"/>
            </w:tcBorders>
            <w:vAlign w:val="center"/>
          </w:tcPr>
          <w:p w14:paraId="2A61F33A"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181</w:t>
            </w:r>
          </w:p>
        </w:tc>
        <w:tc>
          <w:tcPr>
            <w:tcW w:w="1813" w:type="dxa"/>
            <w:tcBorders>
              <w:bottom w:val="single" w:sz="4" w:space="0" w:color="000000"/>
              <w:right w:val="single" w:sz="4" w:space="0" w:color="000000"/>
            </w:tcBorders>
            <w:vAlign w:val="center"/>
          </w:tcPr>
          <w:p w14:paraId="0ABCB3B8"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55</w:t>
            </w:r>
          </w:p>
        </w:tc>
        <w:tc>
          <w:tcPr>
            <w:tcW w:w="1418" w:type="dxa"/>
            <w:tcBorders>
              <w:bottom w:val="single" w:sz="4" w:space="0" w:color="000000"/>
              <w:right w:val="single" w:sz="4" w:space="0" w:color="000000"/>
            </w:tcBorders>
            <w:vAlign w:val="center"/>
          </w:tcPr>
          <w:p w14:paraId="04473D70"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44</w:t>
            </w:r>
          </w:p>
        </w:tc>
        <w:tc>
          <w:tcPr>
            <w:tcW w:w="1563" w:type="dxa"/>
            <w:tcBorders>
              <w:bottom w:val="single" w:sz="4" w:space="0" w:color="000000"/>
              <w:right w:val="single" w:sz="4" w:space="0" w:color="000000"/>
            </w:tcBorders>
            <w:vAlign w:val="center"/>
          </w:tcPr>
          <w:p w14:paraId="3C0CAFE1"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192</w:t>
            </w:r>
          </w:p>
        </w:tc>
        <w:tc>
          <w:tcPr>
            <w:tcW w:w="1555" w:type="dxa"/>
            <w:tcBorders>
              <w:bottom w:val="single" w:sz="4" w:space="0" w:color="000000"/>
              <w:right w:val="single" w:sz="4" w:space="0" w:color="000000"/>
            </w:tcBorders>
            <w:vAlign w:val="center"/>
          </w:tcPr>
          <w:p w14:paraId="4DC41B6F"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472</w:t>
            </w:r>
          </w:p>
        </w:tc>
      </w:tr>
      <w:tr w:rsidR="002449C2" w14:paraId="24D76527" w14:textId="77777777">
        <w:trPr>
          <w:trHeight w:val="300"/>
          <w:tblHeader/>
        </w:trPr>
        <w:tc>
          <w:tcPr>
            <w:tcW w:w="707" w:type="dxa"/>
            <w:tcBorders>
              <w:left w:val="single" w:sz="4" w:space="0" w:color="000000"/>
              <w:bottom w:val="single" w:sz="4" w:space="0" w:color="000000"/>
              <w:right w:val="single" w:sz="4" w:space="0" w:color="000000"/>
            </w:tcBorders>
            <w:vAlign w:val="center"/>
          </w:tcPr>
          <w:p w14:paraId="54B4126A" w14:textId="77777777" w:rsidR="002449C2" w:rsidRDefault="00123961">
            <w:pPr>
              <w:shd w:val="clear" w:color="auto" w:fill="FFFFFF"/>
              <w:spacing w:after="0" w:line="240" w:lineRule="auto"/>
              <w:jc w:val="center"/>
              <w:rPr>
                <w:rFonts w:ascii="Times New Roman" w:hAnsi="Times New Roman"/>
                <w:sz w:val="20"/>
              </w:rPr>
            </w:pPr>
            <w:r>
              <w:rPr>
                <w:rFonts w:ascii="Times New Roman" w:hAnsi="Times New Roman"/>
                <w:sz w:val="20"/>
              </w:rPr>
              <w:t>2027</w:t>
            </w:r>
          </w:p>
        </w:tc>
        <w:tc>
          <w:tcPr>
            <w:tcW w:w="1824" w:type="dxa"/>
            <w:tcBorders>
              <w:left w:val="single" w:sz="4" w:space="0" w:color="000000"/>
              <w:bottom w:val="single" w:sz="4" w:space="0" w:color="000000"/>
              <w:right w:val="single" w:sz="4" w:space="0" w:color="000000"/>
            </w:tcBorders>
            <w:vAlign w:val="center"/>
          </w:tcPr>
          <w:p w14:paraId="1B3359D5"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189</w:t>
            </w:r>
          </w:p>
        </w:tc>
        <w:tc>
          <w:tcPr>
            <w:tcW w:w="1813" w:type="dxa"/>
            <w:tcBorders>
              <w:bottom w:val="single" w:sz="4" w:space="0" w:color="000000"/>
              <w:right w:val="single" w:sz="4" w:space="0" w:color="000000"/>
            </w:tcBorders>
            <w:vAlign w:val="center"/>
          </w:tcPr>
          <w:p w14:paraId="1C09F462"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90</w:t>
            </w:r>
          </w:p>
        </w:tc>
        <w:tc>
          <w:tcPr>
            <w:tcW w:w="1418" w:type="dxa"/>
            <w:tcBorders>
              <w:bottom w:val="single" w:sz="4" w:space="0" w:color="000000"/>
              <w:right w:val="single" w:sz="4" w:space="0" w:color="000000"/>
            </w:tcBorders>
            <w:vAlign w:val="center"/>
          </w:tcPr>
          <w:p w14:paraId="44F10953"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44</w:t>
            </w:r>
          </w:p>
        </w:tc>
        <w:tc>
          <w:tcPr>
            <w:tcW w:w="1563" w:type="dxa"/>
            <w:tcBorders>
              <w:bottom w:val="single" w:sz="4" w:space="0" w:color="000000"/>
              <w:right w:val="single" w:sz="4" w:space="0" w:color="000000"/>
            </w:tcBorders>
            <w:vAlign w:val="center"/>
          </w:tcPr>
          <w:p w14:paraId="6DFF980E"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156</w:t>
            </w:r>
          </w:p>
        </w:tc>
        <w:tc>
          <w:tcPr>
            <w:tcW w:w="1555" w:type="dxa"/>
            <w:tcBorders>
              <w:bottom w:val="single" w:sz="4" w:space="0" w:color="000000"/>
              <w:right w:val="single" w:sz="4" w:space="0" w:color="000000"/>
            </w:tcBorders>
            <w:vAlign w:val="center"/>
          </w:tcPr>
          <w:p w14:paraId="0179484D"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478</w:t>
            </w:r>
          </w:p>
        </w:tc>
      </w:tr>
      <w:tr w:rsidR="002449C2" w14:paraId="46B9FA8B" w14:textId="77777777">
        <w:trPr>
          <w:trHeight w:val="300"/>
          <w:tblHeader/>
        </w:trPr>
        <w:tc>
          <w:tcPr>
            <w:tcW w:w="707" w:type="dxa"/>
            <w:tcBorders>
              <w:left w:val="single" w:sz="4" w:space="0" w:color="000000"/>
              <w:bottom w:val="single" w:sz="4" w:space="0" w:color="000000"/>
              <w:right w:val="single" w:sz="4" w:space="0" w:color="000000"/>
            </w:tcBorders>
            <w:vAlign w:val="center"/>
          </w:tcPr>
          <w:p w14:paraId="76503EF7" w14:textId="77777777" w:rsidR="002449C2" w:rsidRDefault="00123961">
            <w:pPr>
              <w:shd w:val="clear" w:color="auto" w:fill="FFFFFF"/>
              <w:spacing w:after="0" w:line="240" w:lineRule="auto"/>
              <w:jc w:val="center"/>
              <w:rPr>
                <w:rFonts w:ascii="Times New Roman" w:hAnsi="Times New Roman"/>
                <w:sz w:val="20"/>
              </w:rPr>
            </w:pPr>
            <w:r>
              <w:rPr>
                <w:rFonts w:ascii="Times New Roman" w:hAnsi="Times New Roman"/>
                <w:sz w:val="20"/>
              </w:rPr>
              <w:t>2028</w:t>
            </w:r>
          </w:p>
        </w:tc>
        <w:tc>
          <w:tcPr>
            <w:tcW w:w="1824" w:type="dxa"/>
            <w:tcBorders>
              <w:left w:val="single" w:sz="4" w:space="0" w:color="000000"/>
              <w:bottom w:val="single" w:sz="4" w:space="0" w:color="000000"/>
              <w:right w:val="single" w:sz="4" w:space="0" w:color="000000"/>
            </w:tcBorders>
            <w:vAlign w:val="center"/>
          </w:tcPr>
          <w:p w14:paraId="7F8C7F1A"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112</w:t>
            </w:r>
          </w:p>
        </w:tc>
        <w:tc>
          <w:tcPr>
            <w:tcW w:w="1813" w:type="dxa"/>
            <w:tcBorders>
              <w:bottom w:val="single" w:sz="4" w:space="0" w:color="000000"/>
              <w:right w:val="single" w:sz="4" w:space="0" w:color="000000"/>
            </w:tcBorders>
            <w:vAlign w:val="center"/>
          </w:tcPr>
          <w:p w14:paraId="4BF50A4C"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60</w:t>
            </w:r>
          </w:p>
        </w:tc>
        <w:tc>
          <w:tcPr>
            <w:tcW w:w="1418" w:type="dxa"/>
            <w:tcBorders>
              <w:bottom w:val="single" w:sz="4" w:space="0" w:color="000000"/>
              <w:right w:val="single" w:sz="4" w:space="0" w:color="000000"/>
            </w:tcBorders>
            <w:vAlign w:val="center"/>
          </w:tcPr>
          <w:p w14:paraId="1298D736"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44</w:t>
            </w:r>
          </w:p>
        </w:tc>
        <w:tc>
          <w:tcPr>
            <w:tcW w:w="1563" w:type="dxa"/>
            <w:tcBorders>
              <w:bottom w:val="single" w:sz="4" w:space="0" w:color="000000"/>
              <w:right w:val="single" w:sz="4" w:space="0" w:color="000000"/>
            </w:tcBorders>
            <w:vAlign w:val="center"/>
          </w:tcPr>
          <w:p w14:paraId="0C84DEAE"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139</w:t>
            </w:r>
          </w:p>
        </w:tc>
        <w:tc>
          <w:tcPr>
            <w:tcW w:w="1555" w:type="dxa"/>
            <w:tcBorders>
              <w:bottom w:val="single" w:sz="4" w:space="0" w:color="000000"/>
              <w:right w:val="single" w:sz="4" w:space="0" w:color="000000"/>
            </w:tcBorders>
            <w:vAlign w:val="center"/>
          </w:tcPr>
          <w:p w14:paraId="605F6531"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355</w:t>
            </w:r>
          </w:p>
        </w:tc>
      </w:tr>
    </w:tbl>
    <w:p w14:paraId="67CD75FE" w14:textId="77777777" w:rsidR="002449C2" w:rsidRDefault="002449C2">
      <w:pPr>
        <w:shd w:val="clear" w:color="auto" w:fill="FFFFFF"/>
        <w:spacing w:after="0" w:line="240" w:lineRule="auto"/>
        <w:jc w:val="center"/>
        <w:rPr>
          <w:rFonts w:ascii="Times New Roman" w:hAnsi="Times New Roman"/>
        </w:rPr>
      </w:pPr>
    </w:p>
    <w:p w14:paraId="503486C3" w14:textId="77777777" w:rsidR="002449C2" w:rsidRDefault="00123961">
      <w:pPr>
        <w:shd w:val="clear" w:color="auto" w:fill="FFFFFF"/>
        <w:spacing w:after="0" w:line="240" w:lineRule="auto"/>
        <w:jc w:val="center"/>
        <w:rPr>
          <w:rFonts w:ascii="Times New Roman" w:hAnsi="Times New Roman"/>
          <w:b/>
        </w:rPr>
      </w:pPr>
      <w:r>
        <w:rPr>
          <w:rFonts w:ascii="Times New Roman" w:hAnsi="Times New Roman"/>
          <w:b/>
        </w:rPr>
        <w:t>Динамика ввода мощности на период 2025 – 2028 годы, МВА.</w:t>
      </w:r>
    </w:p>
    <w:p w14:paraId="0A22B97D" w14:textId="77777777" w:rsidR="002449C2" w:rsidRDefault="002449C2">
      <w:pPr>
        <w:shd w:val="clear" w:color="auto" w:fill="FFFFFF"/>
        <w:spacing w:after="0" w:line="240" w:lineRule="auto"/>
        <w:jc w:val="center"/>
        <w:rPr>
          <w:rFonts w:ascii="Times New Roman" w:hAnsi="Times New Roman"/>
          <w:b/>
        </w:rPr>
      </w:pPr>
    </w:p>
    <w:tbl>
      <w:tblPr>
        <w:tblW w:w="8881" w:type="dxa"/>
        <w:tblInd w:w="675" w:type="dxa"/>
        <w:tblLayout w:type="fixed"/>
        <w:tblLook w:val="04A0" w:firstRow="1" w:lastRow="0" w:firstColumn="1" w:lastColumn="0" w:noHBand="0" w:noVBand="1"/>
      </w:tblPr>
      <w:tblGrid>
        <w:gridCol w:w="708"/>
        <w:gridCol w:w="1824"/>
        <w:gridCol w:w="1813"/>
        <w:gridCol w:w="1418"/>
        <w:gridCol w:w="1563"/>
        <w:gridCol w:w="1555"/>
      </w:tblGrid>
      <w:tr w:rsidR="002449C2" w14:paraId="7DFFAC6D" w14:textId="77777777">
        <w:trPr>
          <w:trHeight w:val="300"/>
        </w:trPr>
        <w:tc>
          <w:tcPr>
            <w:tcW w:w="707"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7132B14C" w14:textId="77777777" w:rsidR="002449C2" w:rsidRDefault="002449C2">
            <w:pPr>
              <w:shd w:val="clear" w:color="auto" w:fill="FFFFFF"/>
              <w:spacing w:after="0" w:line="240" w:lineRule="auto"/>
              <w:jc w:val="center"/>
              <w:rPr>
                <w:rFonts w:ascii="Times New Roman" w:hAnsi="Times New Roman"/>
              </w:rPr>
            </w:pPr>
          </w:p>
        </w:tc>
        <w:tc>
          <w:tcPr>
            <w:tcW w:w="1824"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0C895FD"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Астраханьэнерго</w:t>
            </w:r>
          </w:p>
        </w:tc>
        <w:tc>
          <w:tcPr>
            <w:tcW w:w="1813"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A2EDB9B"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Волгоградэнерго</w:t>
            </w:r>
          </w:p>
        </w:tc>
        <w:tc>
          <w:tcPr>
            <w:tcW w:w="141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22ABBB34"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Калмэнерго</w:t>
            </w:r>
          </w:p>
        </w:tc>
        <w:tc>
          <w:tcPr>
            <w:tcW w:w="1563"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13970F7"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Ростовэнерго</w:t>
            </w:r>
          </w:p>
        </w:tc>
        <w:tc>
          <w:tcPr>
            <w:tcW w:w="1555"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3AF7A9E"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Россети Юг</w:t>
            </w:r>
          </w:p>
        </w:tc>
      </w:tr>
      <w:tr w:rsidR="002449C2" w14:paraId="30D8E278" w14:textId="77777777">
        <w:trPr>
          <w:trHeight w:val="300"/>
        </w:trPr>
        <w:tc>
          <w:tcPr>
            <w:tcW w:w="70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486D82B" w14:textId="77777777" w:rsidR="002449C2" w:rsidRDefault="00123961">
            <w:pPr>
              <w:shd w:val="clear" w:color="auto" w:fill="FFFFFF"/>
              <w:spacing w:after="0" w:line="240" w:lineRule="auto"/>
              <w:jc w:val="center"/>
              <w:rPr>
                <w:rFonts w:ascii="Times New Roman" w:hAnsi="Times New Roman"/>
                <w:sz w:val="20"/>
              </w:rPr>
            </w:pPr>
            <w:r>
              <w:rPr>
                <w:rFonts w:ascii="Times New Roman" w:hAnsi="Times New Roman"/>
                <w:sz w:val="20"/>
              </w:rPr>
              <w:t>2025</w:t>
            </w:r>
          </w:p>
        </w:tc>
        <w:tc>
          <w:tcPr>
            <w:tcW w:w="1824" w:type="dxa"/>
            <w:tcBorders>
              <w:top w:val="single" w:sz="4" w:space="0" w:color="000000"/>
              <w:left w:val="single" w:sz="4" w:space="0" w:color="000000"/>
              <w:bottom w:val="single" w:sz="4" w:space="0" w:color="000000"/>
              <w:right w:val="single" w:sz="4" w:space="0" w:color="000000"/>
            </w:tcBorders>
            <w:vAlign w:val="center"/>
          </w:tcPr>
          <w:p w14:paraId="541FCC27"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hAnsi="Times New Roman"/>
                <w:sz w:val="20"/>
                <w:szCs w:val="20"/>
              </w:rPr>
              <w:t>49</w:t>
            </w:r>
          </w:p>
        </w:tc>
        <w:tc>
          <w:tcPr>
            <w:tcW w:w="1813" w:type="dxa"/>
            <w:tcBorders>
              <w:top w:val="single" w:sz="4" w:space="0" w:color="000000"/>
              <w:bottom w:val="single" w:sz="4" w:space="0" w:color="000000"/>
              <w:right w:val="single" w:sz="4" w:space="0" w:color="000000"/>
            </w:tcBorders>
            <w:vAlign w:val="center"/>
          </w:tcPr>
          <w:p w14:paraId="62E7C889"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9</w:t>
            </w:r>
          </w:p>
        </w:tc>
        <w:tc>
          <w:tcPr>
            <w:tcW w:w="1418" w:type="dxa"/>
            <w:tcBorders>
              <w:top w:val="single" w:sz="4" w:space="0" w:color="000000"/>
              <w:bottom w:val="single" w:sz="4" w:space="0" w:color="000000"/>
              <w:right w:val="single" w:sz="4" w:space="0" w:color="000000"/>
            </w:tcBorders>
            <w:vAlign w:val="center"/>
          </w:tcPr>
          <w:p w14:paraId="71051DD6"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w:t>
            </w:r>
          </w:p>
        </w:tc>
        <w:tc>
          <w:tcPr>
            <w:tcW w:w="1563" w:type="dxa"/>
            <w:tcBorders>
              <w:top w:val="single" w:sz="4" w:space="0" w:color="000000"/>
              <w:bottom w:val="single" w:sz="4" w:space="0" w:color="000000"/>
              <w:right w:val="single" w:sz="4" w:space="0" w:color="000000"/>
            </w:tcBorders>
            <w:vAlign w:val="center"/>
          </w:tcPr>
          <w:p w14:paraId="6C56946C"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38</w:t>
            </w:r>
          </w:p>
        </w:tc>
        <w:tc>
          <w:tcPr>
            <w:tcW w:w="1555" w:type="dxa"/>
            <w:tcBorders>
              <w:top w:val="single" w:sz="4" w:space="0" w:color="000000"/>
              <w:bottom w:val="single" w:sz="4" w:space="0" w:color="000000"/>
              <w:right w:val="single" w:sz="4" w:space="0" w:color="000000"/>
            </w:tcBorders>
            <w:vAlign w:val="center"/>
          </w:tcPr>
          <w:p w14:paraId="5088F2D6"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98</w:t>
            </w:r>
          </w:p>
        </w:tc>
      </w:tr>
      <w:tr w:rsidR="002449C2" w14:paraId="49F14671" w14:textId="77777777">
        <w:trPr>
          <w:trHeight w:val="300"/>
        </w:trPr>
        <w:tc>
          <w:tcPr>
            <w:tcW w:w="70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B74F08F" w14:textId="77777777" w:rsidR="002449C2" w:rsidRDefault="00123961">
            <w:pPr>
              <w:shd w:val="clear" w:color="auto" w:fill="FFFFFF"/>
              <w:spacing w:after="0" w:line="240" w:lineRule="auto"/>
              <w:jc w:val="center"/>
              <w:rPr>
                <w:rFonts w:ascii="Times New Roman" w:hAnsi="Times New Roman"/>
                <w:sz w:val="20"/>
              </w:rPr>
            </w:pPr>
            <w:r>
              <w:rPr>
                <w:rFonts w:ascii="Times New Roman" w:hAnsi="Times New Roman"/>
                <w:sz w:val="20"/>
              </w:rPr>
              <w:t>2026</w:t>
            </w:r>
          </w:p>
        </w:tc>
        <w:tc>
          <w:tcPr>
            <w:tcW w:w="1824" w:type="dxa"/>
            <w:tcBorders>
              <w:left w:val="single" w:sz="4" w:space="0" w:color="000000"/>
              <w:bottom w:val="single" w:sz="4" w:space="0" w:color="000000"/>
              <w:right w:val="single" w:sz="4" w:space="0" w:color="000000"/>
            </w:tcBorders>
            <w:vAlign w:val="center"/>
          </w:tcPr>
          <w:p w14:paraId="203D650F"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10</w:t>
            </w:r>
          </w:p>
        </w:tc>
        <w:tc>
          <w:tcPr>
            <w:tcW w:w="1813" w:type="dxa"/>
            <w:tcBorders>
              <w:bottom w:val="single" w:sz="4" w:space="0" w:color="000000"/>
              <w:right w:val="single" w:sz="4" w:space="0" w:color="000000"/>
            </w:tcBorders>
            <w:vAlign w:val="center"/>
          </w:tcPr>
          <w:p w14:paraId="6E5AB262"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3</w:t>
            </w:r>
          </w:p>
        </w:tc>
        <w:tc>
          <w:tcPr>
            <w:tcW w:w="1418" w:type="dxa"/>
            <w:tcBorders>
              <w:bottom w:val="single" w:sz="4" w:space="0" w:color="000000"/>
              <w:right w:val="single" w:sz="4" w:space="0" w:color="000000"/>
            </w:tcBorders>
            <w:vAlign w:val="center"/>
          </w:tcPr>
          <w:p w14:paraId="287A53D0"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w:t>
            </w:r>
          </w:p>
        </w:tc>
        <w:tc>
          <w:tcPr>
            <w:tcW w:w="1563" w:type="dxa"/>
            <w:tcBorders>
              <w:bottom w:val="single" w:sz="4" w:space="0" w:color="000000"/>
              <w:right w:val="single" w:sz="4" w:space="0" w:color="000000"/>
            </w:tcBorders>
            <w:vAlign w:val="center"/>
          </w:tcPr>
          <w:p w14:paraId="77EE0FED"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156</w:t>
            </w:r>
          </w:p>
        </w:tc>
        <w:tc>
          <w:tcPr>
            <w:tcW w:w="1555" w:type="dxa"/>
            <w:tcBorders>
              <w:bottom w:val="single" w:sz="4" w:space="0" w:color="000000"/>
              <w:right w:val="single" w:sz="4" w:space="0" w:color="000000"/>
            </w:tcBorders>
            <w:vAlign w:val="center"/>
          </w:tcPr>
          <w:p w14:paraId="02E5EE3D"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170</w:t>
            </w:r>
          </w:p>
        </w:tc>
      </w:tr>
      <w:tr w:rsidR="002449C2" w14:paraId="7AF23C6F" w14:textId="77777777">
        <w:trPr>
          <w:trHeight w:val="300"/>
        </w:trPr>
        <w:tc>
          <w:tcPr>
            <w:tcW w:w="70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828444E" w14:textId="77777777" w:rsidR="002449C2" w:rsidRDefault="00123961">
            <w:pPr>
              <w:shd w:val="clear" w:color="auto" w:fill="FFFFFF"/>
              <w:spacing w:after="0" w:line="240" w:lineRule="auto"/>
              <w:jc w:val="center"/>
              <w:rPr>
                <w:rFonts w:ascii="Times New Roman" w:hAnsi="Times New Roman"/>
                <w:sz w:val="20"/>
              </w:rPr>
            </w:pPr>
            <w:r>
              <w:rPr>
                <w:rFonts w:ascii="Times New Roman" w:hAnsi="Times New Roman"/>
                <w:sz w:val="20"/>
              </w:rPr>
              <w:t>2027</w:t>
            </w:r>
          </w:p>
        </w:tc>
        <w:tc>
          <w:tcPr>
            <w:tcW w:w="1824" w:type="dxa"/>
            <w:tcBorders>
              <w:left w:val="single" w:sz="4" w:space="0" w:color="000000"/>
              <w:bottom w:val="single" w:sz="4" w:space="0" w:color="000000"/>
              <w:right w:val="single" w:sz="4" w:space="0" w:color="000000"/>
            </w:tcBorders>
            <w:vAlign w:val="center"/>
          </w:tcPr>
          <w:p w14:paraId="4BD13A5A"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82</w:t>
            </w:r>
          </w:p>
        </w:tc>
        <w:tc>
          <w:tcPr>
            <w:tcW w:w="1813" w:type="dxa"/>
            <w:tcBorders>
              <w:bottom w:val="single" w:sz="4" w:space="0" w:color="000000"/>
              <w:right w:val="single" w:sz="4" w:space="0" w:color="000000"/>
            </w:tcBorders>
            <w:vAlign w:val="center"/>
          </w:tcPr>
          <w:p w14:paraId="34B87C9E"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3</w:t>
            </w:r>
          </w:p>
        </w:tc>
        <w:tc>
          <w:tcPr>
            <w:tcW w:w="1418" w:type="dxa"/>
            <w:tcBorders>
              <w:bottom w:val="single" w:sz="4" w:space="0" w:color="000000"/>
              <w:right w:val="single" w:sz="4" w:space="0" w:color="000000"/>
            </w:tcBorders>
            <w:vAlign w:val="center"/>
          </w:tcPr>
          <w:p w14:paraId="24917EC9"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w:t>
            </w:r>
          </w:p>
        </w:tc>
        <w:tc>
          <w:tcPr>
            <w:tcW w:w="1563" w:type="dxa"/>
            <w:tcBorders>
              <w:bottom w:val="single" w:sz="4" w:space="0" w:color="000000"/>
              <w:right w:val="single" w:sz="4" w:space="0" w:color="000000"/>
            </w:tcBorders>
            <w:vAlign w:val="center"/>
          </w:tcPr>
          <w:p w14:paraId="7CB9A022"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20</w:t>
            </w:r>
          </w:p>
        </w:tc>
        <w:tc>
          <w:tcPr>
            <w:tcW w:w="1555" w:type="dxa"/>
            <w:tcBorders>
              <w:bottom w:val="single" w:sz="4" w:space="0" w:color="000000"/>
              <w:right w:val="single" w:sz="4" w:space="0" w:color="000000"/>
            </w:tcBorders>
            <w:vAlign w:val="center"/>
          </w:tcPr>
          <w:p w14:paraId="7841449D"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106</w:t>
            </w:r>
          </w:p>
        </w:tc>
      </w:tr>
      <w:tr w:rsidR="002449C2" w14:paraId="0EA54EA6" w14:textId="77777777">
        <w:trPr>
          <w:trHeight w:val="300"/>
        </w:trPr>
        <w:tc>
          <w:tcPr>
            <w:tcW w:w="70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A0562D7" w14:textId="77777777" w:rsidR="002449C2" w:rsidRDefault="00123961">
            <w:pPr>
              <w:shd w:val="clear" w:color="auto" w:fill="FFFFFF"/>
              <w:spacing w:after="0" w:line="240" w:lineRule="auto"/>
              <w:jc w:val="center"/>
              <w:rPr>
                <w:rFonts w:ascii="Times New Roman" w:hAnsi="Times New Roman"/>
                <w:sz w:val="20"/>
              </w:rPr>
            </w:pPr>
            <w:r>
              <w:rPr>
                <w:rFonts w:ascii="Times New Roman" w:hAnsi="Times New Roman"/>
                <w:sz w:val="20"/>
              </w:rPr>
              <w:t>2028</w:t>
            </w:r>
          </w:p>
        </w:tc>
        <w:tc>
          <w:tcPr>
            <w:tcW w:w="1824" w:type="dxa"/>
            <w:tcBorders>
              <w:left w:val="single" w:sz="4" w:space="0" w:color="000000"/>
              <w:bottom w:val="single" w:sz="4" w:space="0" w:color="000000"/>
              <w:right w:val="single" w:sz="4" w:space="0" w:color="000000"/>
            </w:tcBorders>
            <w:vAlign w:val="center"/>
          </w:tcPr>
          <w:p w14:paraId="7BAD96F6"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11</w:t>
            </w:r>
          </w:p>
        </w:tc>
        <w:tc>
          <w:tcPr>
            <w:tcW w:w="1813" w:type="dxa"/>
            <w:tcBorders>
              <w:bottom w:val="single" w:sz="4" w:space="0" w:color="000000"/>
              <w:right w:val="single" w:sz="4" w:space="0" w:color="000000"/>
            </w:tcBorders>
            <w:vAlign w:val="center"/>
          </w:tcPr>
          <w:p w14:paraId="4D8558CC"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3</w:t>
            </w:r>
          </w:p>
        </w:tc>
        <w:tc>
          <w:tcPr>
            <w:tcW w:w="1418" w:type="dxa"/>
            <w:tcBorders>
              <w:bottom w:val="single" w:sz="4" w:space="0" w:color="000000"/>
              <w:right w:val="single" w:sz="4" w:space="0" w:color="000000"/>
            </w:tcBorders>
            <w:vAlign w:val="center"/>
          </w:tcPr>
          <w:p w14:paraId="0FAC66A6"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1</w:t>
            </w:r>
          </w:p>
        </w:tc>
        <w:tc>
          <w:tcPr>
            <w:tcW w:w="1563" w:type="dxa"/>
            <w:tcBorders>
              <w:bottom w:val="single" w:sz="4" w:space="0" w:color="000000"/>
              <w:right w:val="single" w:sz="4" w:space="0" w:color="000000"/>
            </w:tcBorders>
            <w:vAlign w:val="center"/>
          </w:tcPr>
          <w:p w14:paraId="63EAAE4B"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52</w:t>
            </w:r>
          </w:p>
        </w:tc>
        <w:tc>
          <w:tcPr>
            <w:tcW w:w="1555" w:type="dxa"/>
            <w:tcBorders>
              <w:bottom w:val="single" w:sz="4" w:space="0" w:color="000000"/>
              <w:right w:val="single" w:sz="4" w:space="0" w:color="000000"/>
            </w:tcBorders>
            <w:vAlign w:val="center"/>
          </w:tcPr>
          <w:p w14:paraId="3D2D51BB" w14:textId="77777777" w:rsidR="002449C2" w:rsidRDefault="00123961">
            <w:pPr>
              <w:shd w:val="clear" w:color="auto" w:fill="FFFFFF"/>
              <w:spacing w:after="0"/>
              <w:jc w:val="center"/>
              <w:rPr>
                <w:rFonts w:ascii="Times New Roman" w:hAnsi="Times New Roman"/>
                <w:sz w:val="20"/>
                <w:szCs w:val="20"/>
              </w:rPr>
            </w:pPr>
            <w:r>
              <w:rPr>
                <w:rFonts w:ascii="Times New Roman" w:hAnsi="Times New Roman"/>
                <w:sz w:val="20"/>
                <w:szCs w:val="20"/>
              </w:rPr>
              <w:t>66</w:t>
            </w:r>
          </w:p>
        </w:tc>
      </w:tr>
    </w:tbl>
    <w:p w14:paraId="76C6F65E" w14:textId="77777777" w:rsidR="002449C2" w:rsidRDefault="00123961">
      <w:pPr>
        <w:shd w:val="clear" w:color="auto" w:fill="FFFFFF"/>
        <w:spacing w:after="0" w:line="240" w:lineRule="auto"/>
        <w:jc w:val="center"/>
        <w:rPr>
          <w:rFonts w:ascii="Times New Roman" w:hAnsi="Times New Roman"/>
          <w:b/>
        </w:rPr>
      </w:pPr>
      <w:r>
        <w:rPr>
          <w:rFonts w:ascii="Times New Roman" w:hAnsi="Times New Roman"/>
          <w:b/>
        </w:rPr>
        <w:t>Динамика объемов ввода на период 2025 – 2028 годы, млн руб. без НДС.</w:t>
      </w:r>
    </w:p>
    <w:p w14:paraId="49E6599A" w14:textId="77777777" w:rsidR="002449C2" w:rsidRDefault="002449C2">
      <w:pPr>
        <w:shd w:val="clear" w:color="auto" w:fill="FFFFFF"/>
        <w:spacing w:after="0" w:line="240" w:lineRule="auto"/>
        <w:jc w:val="center"/>
        <w:rPr>
          <w:rFonts w:ascii="Times New Roman" w:hAnsi="Times New Roman"/>
          <w:b/>
        </w:rPr>
      </w:pPr>
    </w:p>
    <w:tbl>
      <w:tblPr>
        <w:tblW w:w="8881" w:type="dxa"/>
        <w:tblInd w:w="675" w:type="dxa"/>
        <w:tblLayout w:type="fixed"/>
        <w:tblLook w:val="04A0" w:firstRow="1" w:lastRow="0" w:firstColumn="1" w:lastColumn="0" w:noHBand="0" w:noVBand="1"/>
      </w:tblPr>
      <w:tblGrid>
        <w:gridCol w:w="708"/>
        <w:gridCol w:w="1824"/>
        <w:gridCol w:w="1813"/>
        <w:gridCol w:w="1418"/>
        <w:gridCol w:w="1563"/>
        <w:gridCol w:w="1555"/>
      </w:tblGrid>
      <w:tr w:rsidR="002449C2" w14:paraId="680CD98C" w14:textId="77777777">
        <w:trPr>
          <w:trHeight w:val="300"/>
        </w:trPr>
        <w:tc>
          <w:tcPr>
            <w:tcW w:w="707" w:type="dxa"/>
            <w:tcBorders>
              <w:top w:val="single" w:sz="4" w:space="0" w:color="000000"/>
              <w:left w:val="single" w:sz="4" w:space="0" w:color="000000"/>
              <w:bottom w:val="single" w:sz="4" w:space="0" w:color="000000"/>
              <w:right w:val="single" w:sz="4" w:space="0" w:color="000000"/>
            </w:tcBorders>
            <w:vAlign w:val="bottom"/>
          </w:tcPr>
          <w:p w14:paraId="250840B0" w14:textId="77777777" w:rsidR="002449C2" w:rsidRDefault="002449C2">
            <w:pPr>
              <w:shd w:val="clear" w:color="auto" w:fill="FFFFFF"/>
              <w:spacing w:after="0" w:line="240" w:lineRule="auto"/>
              <w:jc w:val="center"/>
              <w:rPr>
                <w:rFonts w:ascii="Times New Roman" w:hAnsi="Times New Roman"/>
              </w:rPr>
            </w:pPr>
          </w:p>
        </w:tc>
        <w:tc>
          <w:tcPr>
            <w:tcW w:w="1824" w:type="dxa"/>
            <w:tcBorders>
              <w:top w:val="single" w:sz="4" w:space="0" w:color="000000"/>
              <w:left w:val="single" w:sz="4" w:space="0" w:color="000000"/>
              <w:bottom w:val="single" w:sz="4" w:space="0" w:color="000000"/>
              <w:right w:val="single" w:sz="4" w:space="0" w:color="000000"/>
            </w:tcBorders>
            <w:vAlign w:val="bottom"/>
          </w:tcPr>
          <w:p w14:paraId="48A66E50"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Астраханьэнерго</w:t>
            </w:r>
          </w:p>
        </w:tc>
        <w:tc>
          <w:tcPr>
            <w:tcW w:w="1813" w:type="dxa"/>
            <w:tcBorders>
              <w:top w:val="single" w:sz="4" w:space="0" w:color="000000"/>
              <w:left w:val="single" w:sz="4" w:space="0" w:color="000000"/>
              <w:bottom w:val="single" w:sz="4" w:space="0" w:color="000000"/>
              <w:right w:val="single" w:sz="4" w:space="0" w:color="000000"/>
            </w:tcBorders>
            <w:vAlign w:val="bottom"/>
          </w:tcPr>
          <w:p w14:paraId="33E2CCC1"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Волгоградэнерго</w:t>
            </w:r>
          </w:p>
        </w:tc>
        <w:tc>
          <w:tcPr>
            <w:tcW w:w="1418" w:type="dxa"/>
            <w:tcBorders>
              <w:top w:val="single" w:sz="4" w:space="0" w:color="000000"/>
              <w:left w:val="single" w:sz="4" w:space="0" w:color="000000"/>
              <w:bottom w:val="single" w:sz="4" w:space="0" w:color="000000"/>
              <w:right w:val="single" w:sz="4" w:space="0" w:color="000000"/>
            </w:tcBorders>
            <w:vAlign w:val="bottom"/>
          </w:tcPr>
          <w:p w14:paraId="1ED5CBDA"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Калмэнерго</w:t>
            </w:r>
          </w:p>
        </w:tc>
        <w:tc>
          <w:tcPr>
            <w:tcW w:w="1563" w:type="dxa"/>
            <w:tcBorders>
              <w:top w:val="single" w:sz="4" w:space="0" w:color="000000"/>
              <w:left w:val="single" w:sz="4" w:space="0" w:color="000000"/>
              <w:bottom w:val="single" w:sz="4" w:space="0" w:color="000000"/>
              <w:right w:val="single" w:sz="4" w:space="0" w:color="000000"/>
            </w:tcBorders>
            <w:vAlign w:val="bottom"/>
          </w:tcPr>
          <w:p w14:paraId="0AFA2578"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Ростовэнерго</w:t>
            </w:r>
          </w:p>
        </w:tc>
        <w:tc>
          <w:tcPr>
            <w:tcW w:w="1555" w:type="dxa"/>
            <w:tcBorders>
              <w:top w:val="single" w:sz="4" w:space="0" w:color="000000"/>
              <w:left w:val="single" w:sz="4" w:space="0" w:color="000000"/>
              <w:bottom w:val="single" w:sz="4" w:space="0" w:color="000000"/>
              <w:right w:val="single" w:sz="4" w:space="0" w:color="000000"/>
            </w:tcBorders>
            <w:vAlign w:val="bottom"/>
          </w:tcPr>
          <w:p w14:paraId="397C13B5"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Россети Юг</w:t>
            </w:r>
          </w:p>
        </w:tc>
      </w:tr>
      <w:tr w:rsidR="002449C2" w14:paraId="5ED54CDD" w14:textId="77777777">
        <w:trPr>
          <w:trHeight w:val="241"/>
        </w:trPr>
        <w:tc>
          <w:tcPr>
            <w:tcW w:w="707" w:type="dxa"/>
            <w:tcBorders>
              <w:left w:val="single" w:sz="4" w:space="0" w:color="000000"/>
              <w:bottom w:val="single" w:sz="4" w:space="0" w:color="000000"/>
              <w:right w:val="single" w:sz="4" w:space="0" w:color="000000"/>
            </w:tcBorders>
            <w:vAlign w:val="center"/>
          </w:tcPr>
          <w:p w14:paraId="5002C50C" w14:textId="77777777" w:rsidR="002449C2" w:rsidRDefault="00123961">
            <w:pPr>
              <w:shd w:val="clear" w:color="auto" w:fill="FFFFFF"/>
              <w:spacing w:after="0" w:line="240" w:lineRule="auto"/>
              <w:jc w:val="center"/>
              <w:rPr>
                <w:rFonts w:ascii="Times New Roman" w:hAnsi="Times New Roman"/>
                <w:sz w:val="20"/>
              </w:rPr>
            </w:pPr>
            <w:r>
              <w:rPr>
                <w:rFonts w:ascii="Times New Roman" w:hAnsi="Times New Roman"/>
                <w:sz w:val="20"/>
              </w:rPr>
              <w:t>2025</w:t>
            </w:r>
          </w:p>
        </w:tc>
        <w:tc>
          <w:tcPr>
            <w:tcW w:w="1824" w:type="dxa"/>
            <w:tcBorders>
              <w:top w:val="single" w:sz="4" w:space="0" w:color="000000"/>
              <w:left w:val="single" w:sz="4" w:space="0" w:color="000000"/>
              <w:bottom w:val="single" w:sz="4" w:space="0" w:color="000000"/>
              <w:right w:val="single" w:sz="4" w:space="0" w:color="000000"/>
            </w:tcBorders>
            <w:vAlign w:val="center"/>
          </w:tcPr>
          <w:p w14:paraId="154E3A80" w14:textId="77777777" w:rsidR="002449C2" w:rsidRDefault="00123961">
            <w:pPr>
              <w:shd w:val="clear" w:color="auto" w:fill="FFFFFF"/>
              <w:spacing w:after="0" w:line="240" w:lineRule="auto"/>
              <w:jc w:val="center"/>
              <w:rPr>
                <w:rFonts w:ascii="Times New Roman" w:eastAsia="Times New Roman" w:hAnsi="Times New Roman"/>
                <w:bCs/>
                <w:sz w:val="20"/>
                <w:szCs w:val="20"/>
                <w:lang w:eastAsia="ru-RU"/>
              </w:rPr>
            </w:pPr>
            <w:r>
              <w:rPr>
                <w:rFonts w:ascii="Times New Roman" w:hAnsi="Times New Roman"/>
                <w:bCs/>
                <w:sz w:val="20"/>
                <w:szCs w:val="20"/>
              </w:rPr>
              <w:t>951</w:t>
            </w:r>
          </w:p>
        </w:tc>
        <w:tc>
          <w:tcPr>
            <w:tcW w:w="1813" w:type="dxa"/>
            <w:tcBorders>
              <w:top w:val="single" w:sz="4" w:space="0" w:color="000000"/>
              <w:left w:val="single" w:sz="4" w:space="0" w:color="000000"/>
              <w:bottom w:val="single" w:sz="4" w:space="0" w:color="000000"/>
              <w:right w:val="single" w:sz="4" w:space="0" w:color="000000"/>
            </w:tcBorders>
            <w:vAlign w:val="center"/>
          </w:tcPr>
          <w:p w14:paraId="7526EB82" w14:textId="77777777" w:rsidR="002449C2" w:rsidRDefault="00123961">
            <w:pPr>
              <w:shd w:val="clear" w:color="auto" w:fill="FFFFFF"/>
              <w:spacing w:after="0"/>
              <w:jc w:val="center"/>
              <w:rPr>
                <w:rFonts w:ascii="Times New Roman" w:hAnsi="Times New Roman"/>
                <w:bCs/>
                <w:sz w:val="20"/>
                <w:szCs w:val="20"/>
              </w:rPr>
            </w:pPr>
            <w:r>
              <w:rPr>
                <w:rFonts w:ascii="Times New Roman" w:hAnsi="Times New Roman"/>
                <w:bCs/>
                <w:sz w:val="20"/>
                <w:szCs w:val="20"/>
              </w:rPr>
              <w:t>1 143</w:t>
            </w:r>
          </w:p>
        </w:tc>
        <w:tc>
          <w:tcPr>
            <w:tcW w:w="1418" w:type="dxa"/>
            <w:tcBorders>
              <w:top w:val="single" w:sz="4" w:space="0" w:color="000000"/>
              <w:left w:val="single" w:sz="4" w:space="0" w:color="000000"/>
              <w:bottom w:val="single" w:sz="4" w:space="0" w:color="000000"/>
              <w:right w:val="single" w:sz="4" w:space="0" w:color="000000"/>
            </w:tcBorders>
            <w:vAlign w:val="center"/>
          </w:tcPr>
          <w:p w14:paraId="7125BE1A" w14:textId="77777777" w:rsidR="002449C2" w:rsidRDefault="00123961">
            <w:pPr>
              <w:shd w:val="clear" w:color="auto" w:fill="FFFFFF"/>
              <w:spacing w:after="0"/>
              <w:jc w:val="center"/>
              <w:rPr>
                <w:rFonts w:ascii="Times New Roman" w:hAnsi="Times New Roman"/>
                <w:bCs/>
                <w:sz w:val="20"/>
                <w:szCs w:val="20"/>
              </w:rPr>
            </w:pPr>
            <w:r>
              <w:rPr>
                <w:rFonts w:ascii="Times New Roman" w:hAnsi="Times New Roman"/>
                <w:bCs/>
                <w:sz w:val="20"/>
                <w:szCs w:val="20"/>
              </w:rPr>
              <w:t>137</w:t>
            </w:r>
          </w:p>
        </w:tc>
        <w:tc>
          <w:tcPr>
            <w:tcW w:w="15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AF098" w14:textId="77777777" w:rsidR="002449C2" w:rsidRDefault="00123961">
            <w:pPr>
              <w:shd w:val="clear" w:color="auto" w:fill="FFFFFF"/>
              <w:spacing w:after="0"/>
              <w:jc w:val="center"/>
              <w:rPr>
                <w:rFonts w:ascii="Times New Roman" w:hAnsi="Times New Roman"/>
                <w:bCs/>
                <w:sz w:val="20"/>
                <w:szCs w:val="20"/>
              </w:rPr>
            </w:pPr>
            <w:r>
              <w:rPr>
                <w:rFonts w:ascii="Times New Roman" w:hAnsi="Times New Roman"/>
                <w:bCs/>
                <w:sz w:val="20"/>
                <w:szCs w:val="20"/>
              </w:rPr>
              <w:t>2 394</w:t>
            </w:r>
          </w:p>
        </w:tc>
        <w:tc>
          <w:tcPr>
            <w:tcW w:w="1555" w:type="dxa"/>
            <w:tcBorders>
              <w:top w:val="single" w:sz="4" w:space="0" w:color="000000"/>
              <w:left w:val="single" w:sz="4" w:space="0" w:color="000000"/>
              <w:bottom w:val="single" w:sz="4" w:space="0" w:color="000000"/>
              <w:right w:val="single" w:sz="4" w:space="0" w:color="000000"/>
            </w:tcBorders>
            <w:vAlign w:val="center"/>
          </w:tcPr>
          <w:p w14:paraId="68ECC884" w14:textId="77777777" w:rsidR="002449C2" w:rsidRDefault="00123961">
            <w:pPr>
              <w:shd w:val="clear" w:color="auto" w:fill="FFFFFF"/>
              <w:spacing w:after="0"/>
              <w:jc w:val="center"/>
              <w:rPr>
                <w:rFonts w:ascii="Times New Roman" w:hAnsi="Times New Roman"/>
                <w:bCs/>
                <w:sz w:val="20"/>
                <w:szCs w:val="20"/>
              </w:rPr>
            </w:pPr>
            <w:r>
              <w:rPr>
                <w:rFonts w:ascii="Times New Roman" w:hAnsi="Times New Roman"/>
                <w:bCs/>
                <w:sz w:val="20"/>
                <w:szCs w:val="20"/>
              </w:rPr>
              <w:t>4 624</w:t>
            </w:r>
          </w:p>
        </w:tc>
      </w:tr>
      <w:tr w:rsidR="002449C2" w14:paraId="6483E21B" w14:textId="77777777">
        <w:trPr>
          <w:trHeight w:val="300"/>
        </w:trPr>
        <w:tc>
          <w:tcPr>
            <w:tcW w:w="707" w:type="dxa"/>
            <w:tcBorders>
              <w:left w:val="single" w:sz="4" w:space="0" w:color="000000"/>
              <w:bottom w:val="single" w:sz="4" w:space="0" w:color="000000"/>
              <w:right w:val="single" w:sz="4" w:space="0" w:color="000000"/>
            </w:tcBorders>
            <w:vAlign w:val="center"/>
          </w:tcPr>
          <w:p w14:paraId="37F29D1E" w14:textId="77777777" w:rsidR="002449C2" w:rsidRDefault="00123961">
            <w:pPr>
              <w:shd w:val="clear" w:color="auto" w:fill="FFFFFF"/>
              <w:spacing w:after="0" w:line="240" w:lineRule="auto"/>
              <w:jc w:val="center"/>
              <w:rPr>
                <w:rFonts w:ascii="Times New Roman" w:hAnsi="Times New Roman"/>
                <w:sz w:val="20"/>
              </w:rPr>
            </w:pPr>
            <w:r>
              <w:rPr>
                <w:rFonts w:ascii="Times New Roman" w:hAnsi="Times New Roman"/>
                <w:sz w:val="20"/>
              </w:rPr>
              <w:t>2026</w:t>
            </w:r>
          </w:p>
        </w:tc>
        <w:tc>
          <w:tcPr>
            <w:tcW w:w="1824" w:type="dxa"/>
            <w:tcBorders>
              <w:top w:val="single" w:sz="4" w:space="0" w:color="000000"/>
              <w:left w:val="single" w:sz="4" w:space="0" w:color="000000"/>
              <w:bottom w:val="single" w:sz="4" w:space="0" w:color="000000"/>
              <w:right w:val="single" w:sz="4" w:space="0" w:color="000000"/>
            </w:tcBorders>
            <w:vAlign w:val="center"/>
          </w:tcPr>
          <w:p w14:paraId="718251C6" w14:textId="77777777" w:rsidR="002449C2" w:rsidRDefault="00123961">
            <w:pPr>
              <w:shd w:val="clear" w:color="auto" w:fill="FFFFFF"/>
              <w:spacing w:after="0"/>
              <w:jc w:val="center"/>
              <w:rPr>
                <w:rFonts w:ascii="Times New Roman" w:hAnsi="Times New Roman"/>
                <w:bCs/>
                <w:sz w:val="20"/>
                <w:szCs w:val="20"/>
              </w:rPr>
            </w:pPr>
            <w:r>
              <w:rPr>
                <w:rFonts w:ascii="Times New Roman" w:hAnsi="Times New Roman"/>
                <w:bCs/>
                <w:sz w:val="20"/>
                <w:szCs w:val="20"/>
              </w:rPr>
              <w:t>2 203</w:t>
            </w:r>
          </w:p>
        </w:tc>
        <w:tc>
          <w:tcPr>
            <w:tcW w:w="1813" w:type="dxa"/>
            <w:tcBorders>
              <w:top w:val="single" w:sz="4" w:space="0" w:color="000000"/>
              <w:left w:val="single" w:sz="4" w:space="0" w:color="000000"/>
              <w:bottom w:val="single" w:sz="4" w:space="0" w:color="000000"/>
              <w:right w:val="single" w:sz="4" w:space="0" w:color="000000"/>
            </w:tcBorders>
            <w:vAlign w:val="center"/>
          </w:tcPr>
          <w:p w14:paraId="2F881CE1" w14:textId="77777777" w:rsidR="002449C2" w:rsidRDefault="00123961">
            <w:pPr>
              <w:shd w:val="clear" w:color="auto" w:fill="FFFFFF"/>
              <w:spacing w:after="0"/>
              <w:jc w:val="center"/>
              <w:rPr>
                <w:rFonts w:ascii="Times New Roman" w:hAnsi="Times New Roman"/>
                <w:bCs/>
                <w:sz w:val="20"/>
                <w:szCs w:val="20"/>
              </w:rPr>
            </w:pPr>
            <w:r>
              <w:rPr>
                <w:rFonts w:ascii="Times New Roman" w:hAnsi="Times New Roman"/>
                <w:bCs/>
                <w:sz w:val="20"/>
                <w:szCs w:val="20"/>
              </w:rPr>
              <w:t>420</w:t>
            </w:r>
          </w:p>
        </w:tc>
        <w:tc>
          <w:tcPr>
            <w:tcW w:w="1418" w:type="dxa"/>
            <w:tcBorders>
              <w:top w:val="single" w:sz="4" w:space="0" w:color="000000"/>
              <w:left w:val="single" w:sz="4" w:space="0" w:color="000000"/>
              <w:bottom w:val="single" w:sz="4" w:space="0" w:color="000000"/>
              <w:right w:val="single" w:sz="4" w:space="0" w:color="000000"/>
            </w:tcBorders>
            <w:vAlign w:val="center"/>
          </w:tcPr>
          <w:p w14:paraId="13C8B8A3" w14:textId="77777777" w:rsidR="002449C2" w:rsidRDefault="00123961">
            <w:pPr>
              <w:shd w:val="clear" w:color="auto" w:fill="FFFFFF"/>
              <w:spacing w:after="0"/>
              <w:jc w:val="center"/>
              <w:rPr>
                <w:rFonts w:ascii="Times New Roman" w:hAnsi="Times New Roman"/>
                <w:bCs/>
                <w:sz w:val="20"/>
                <w:szCs w:val="20"/>
              </w:rPr>
            </w:pPr>
            <w:r>
              <w:rPr>
                <w:rFonts w:ascii="Times New Roman" w:hAnsi="Times New Roman"/>
                <w:bCs/>
                <w:sz w:val="20"/>
                <w:szCs w:val="20"/>
              </w:rPr>
              <w:t>104</w:t>
            </w:r>
          </w:p>
        </w:tc>
        <w:tc>
          <w:tcPr>
            <w:tcW w:w="1563" w:type="dxa"/>
            <w:tcBorders>
              <w:top w:val="single" w:sz="4" w:space="0" w:color="000000"/>
              <w:left w:val="single" w:sz="4" w:space="0" w:color="000000"/>
              <w:bottom w:val="single" w:sz="4" w:space="0" w:color="000000"/>
              <w:right w:val="single" w:sz="4" w:space="0" w:color="000000"/>
            </w:tcBorders>
            <w:vAlign w:val="center"/>
          </w:tcPr>
          <w:p w14:paraId="165FF0FA" w14:textId="77777777" w:rsidR="002449C2" w:rsidRDefault="00123961">
            <w:pPr>
              <w:shd w:val="clear" w:color="auto" w:fill="FFFFFF"/>
              <w:spacing w:after="0"/>
              <w:jc w:val="center"/>
              <w:rPr>
                <w:rFonts w:ascii="Times New Roman" w:hAnsi="Times New Roman"/>
                <w:bCs/>
                <w:sz w:val="20"/>
                <w:szCs w:val="20"/>
              </w:rPr>
            </w:pPr>
            <w:r>
              <w:rPr>
                <w:rFonts w:ascii="Times New Roman" w:hAnsi="Times New Roman"/>
                <w:bCs/>
                <w:sz w:val="20"/>
                <w:szCs w:val="20"/>
              </w:rPr>
              <w:t>2 936</w:t>
            </w:r>
          </w:p>
        </w:tc>
        <w:tc>
          <w:tcPr>
            <w:tcW w:w="1555" w:type="dxa"/>
            <w:tcBorders>
              <w:top w:val="single" w:sz="4" w:space="0" w:color="000000"/>
              <w:left w:val="single" w:sz="4" w:space="0" w:color="000000"/>
              <w:bottom w:val="single" w:sz="4" w:space="0" w:color="000000"/>
              <w:right w:val="single" w:sz="4" w:space="0" w:color="000000"/>
            </w:tcBorders>
            <w:vAlign w:val="center"/>
          </w:tcPr>
          <w:p w14:paraId="79AC5D4A" w14:textId="77777777" w:rsidR="002449C2" w:rsidRDefault="00123961">
            <w:pPr>
              <w:shd w:val="clear" w:color="auto" w:fill="FFFFFF"/>
              <w:spacing w:after="0"/>
              <w:jc w:val="center"/>
              <w:rPr>
                <w:rFonts w:ascii="Times New Roman" w:hAnsi="Times New Roman"/>
                <w:bCs/>
                <w:sz w:val="20"/>
                <w:szCs w:val="20"/>
              </w:rPr>
            </w:pPr>
            <w:r>
              <w:rPr>
                <w:rFonts w:ascii="Times New Roman" w:hAnsi="Times New Roman"/>
                <w:bCs/>
                <w:sz w:val="20"/>
                <w:szCs w:val="20"/>
              </w:rPr>
              <w:t>5 663</w:t>
            </w:r>
          </w:p>
        </w:tc>
      </w:tr>
      <w:tr w:rsidR="002449C2" w14:paraId="3CB91672" w14:textId="77777777">
        <w:trPr>
          <w:trHeight w:val="300"/>
        </w:trPr>
        <w:tc>
          <w:tcPr>
            <w:tcW w:w="707" w:type="dxa"/>
            <w:tcBorders>
              <w:left w:val="single" w:sz="4" w:space="0" w:color="000000"/>
              <w:bottom w:val="single" w:sz="4" w:space="0" w:color="000000"/>
              <w:right w:val="single" w:sz="4" w:space="0" w:color="000000"/>
            </w:tcBorders>
            <w:vAlign w:val="center"/>
          </w:tcPr>
          <w:p w14:paraId="32861A53" w14:textId="77777777" w:rsidR="002449C2" w:rsidRDefault="00123961">
            <w:pPr>
              <w:shd w:val="clear" w:color="auto" w:fill="FFFFFF"/>
              <w:spacing w:after="0" w:line="240" w:lineRule="auto"/>
              <w:jc w:val="center"/>
              <w:rPr>
                <w:rFonts w:ascii="Times New Roman" w:hAnsi="Times New Roman"/>
                <w:sz w:val="20"/>
              </w:rPr>
            </w:pPr>
            <w:r>
              <w:rPr>
                <w:rFonts w:ascii="Times New Roman" w:hAnsi="Times New Roman"/>
                <w:sz w:val="20"/>
              </w:rPr>
              <w:t>2027</w:t>
            </w:r>
          </w:p>
        </w:tc>
        <w:tc>
          <w:tcPr>
            <w:tcW w:w="1824" w:type="dxa"/>
            <w:tcBorders>
              <w:top w:val="single" w:sz="4" w:space="0" w:color="000000"/>
              <w:left w:val="single" w:sz="4" w:space="0" w:color="000000"/>
              <w:bottom w:val="single" w:sz="4" w:space="0" w:color="000000"/>
              <w:right w:val="single" w:sz="4" w:space="0" w:color="000000"/>
            </w:tcBorders>
            <w:vAlign w:val="center"/>
          </w:tcPr>
          <w:p w14:paraId="5DACA6EF" w14:textId="77777777" w:rsidR="002449C2" w:rsidRDefault="00123961">
            <w:pPr>
              <w:shd w:val="clear" w:color="auto" w:fill="FFFFFF"/>
              <w:spacing w:after="0"/>
              <w:jc w:val="center"/>
              <w:rPr>
                <w:rFonts w:ascii="Times New Roman" w:hAnsi="Times New Roman"/>
                <w:bCs/>
                <w:sz w:val="20"/>
                <w:szCs w:val="20"/>
              </w:rPr>
            </w:pPr>
            <w:r>
              <w:rPr>
                <w:rFonts w:ascii="Times New Roman" w:hAnsi="Times New Roman"/>
                <w:bCs/>
                <w:sz w:val="20"/>
                <w:szCs w:val="20"/>
              </w:rPr>
              <w:t>2 806</w:t>
            </w:r>
          </w:p>
        </w:tc>
        <w:tc>
          <w:tcPr>
            <w:tcW w:w="1813" w:type="dxa"/>
            <w:tcBorders>
              <w:top w:val="single" w:sz="4" w:space="0" w:color="000000"/>
              <w:left w:val="single" w:sz="4" w:space="0" w:color="000000"/>
              <w:bottom w:val="single" w:sz="4" w:space="0" w:color="000000"/>
              <w:right w:val="single" w:sz="4" w:space="0" w:color="000000"/>
            </w:tcBorders>
            <w:vAlign w:val="center"/>
          </w:tcPr>
          <w:p w14:paraId="438D1549" w14:textId="77777777" w:rsidR="002449C2" w:rsidRDefault="00123961">
            <w:pPr>
              <w:shd w:val="clear" w:color="auto" w:fill="FFFFFF"/>
              <w:spacing w:after="0"/>
              <w:jc w:val="center"/>
              <w:rPr>
                <w:rFonts w:ascii="Times New Roman" w:hAnsi="Times New Roman"/>
                <w:bCs/>
                <w:sz w:val="20"/>
                <w:szCs w:val="20"/>
              </w:rPr>
            </w:pPr>
            <w:r>
              <w:rPr>
                <w:rFonts w:ascii="Times New Roman" w:hAnsi="Times New Roman"/>
                <w:bCs/>
                <w:sz w:val="20"/>
                <w:szCs w:val="20"/>
              </w:rPr>
              <w:t>604</w:t>
            </w:r>
          </w:p>
        </w:tc>
        <w:tc>
          <w:tcPr>
            <w:tcW w:w="1418" w:type="dxa"/>
            <w:tcBorders>
              <w:top w:val="single" w:sz="4" w:space="0" w:color="000000"/>
              <w:left w:val="single" w:sz="4" w:space="0" w:color="000000"/>
              <w:bottom w:val="single" w:sz="4" w:space="0" w:color="000000"/>
              <w:right w:val="single" w:sz="4" w:space="0" w:color="000000"/>
            </w:tcBorders>
            <w:vAlign w:val="center"/>
          </w:tcPr>
          <w:p w14:paraId="16767208" w14:textId="77777777" w:rsidR="002449C2" w:rsidRDefault="00123961">
            <w:pPr>
              <w:shd w:val="clear" w:color="auto" w:fill="FFFFFF"/>
              <w:spacing w:after="0"/>
              <w:jc w:val="center"/>
              <w:rPr>
                <w:rFonts w:ascii="Times New Roman" w:hAnsi="Times New Roman"/>
                <w:bCs/>
                <w:sz w:val="20"/>
                <w:szCs w:val="20"/>
              </w:rPr>
            </w:pPr>
            <w:r>
              <w:rPr>
                <w:rFonts w:ascii="Times New Roman" w:hAnsi="Times New Roman"/>
                <w:bCs/>
                <w:sz w:val="20"/>
                <w:szCs w:val="20"/>
              </w:rPr>
              <w:t>103</w:t>
            </w:r>
          </w:p>
        </w:tc>
        <w:tc>
          <w:tcPr>
            <w:tcW w:w="1563" w:type="dxa"/>
            <w:tcBorders>
              <w:top w:val="single" w:sz="4" w:space="0" w:color="000000"/>
              <w:left w:val="single" w:sz="4" w:space="0" w:color="000000"/>
              <w:bottom w:val="single" w:sz="4" w:space="0" w:color="000000"/>
              <w:right w:val="single" w:sz="4" w:space="0" w:color="000000"/>
            </w:tcBorders>
            <w:vAlign w:val="center"/>
          </w:tcPr>
          <w:p w14:paraId="59014E95" w14:textId="77777777" w:rsidR="002449C2" w:rsidRDefault="00123961">
            <w:pPr>
              <w:shd w:val="clear" w:color="auto" w:fill="FFFFFF"/>
              <w:spacing w:after="0"/>
              <w:jc w:val="center"/>
              <w:rPr>
                <w:rFonts w:ascii="Times New Roman" w:hAnsi="Times New Roman"/>
                <w:bCs/>
                <w:sz w:val="20"/>
                <w:szCs w:val="20"/>
              </w:rPr>
            </w:pPr>
            <w:r>
              <w:rPr>
                <w:rFonts w:ascii="Times New Roman" w:hAnsi="Times New Roman"/>
                <w:bCs/>
                <w:sz w:val="20"/>
                <w:szCs w:val="20"/>
              </w:rPr>
              <w:t>1 557</w:t>
            </w:r>
          </w:p>
        </w:tc>
        <w:tc>
          <w:tcPr>
            <w:tcW w:w="1555" w:type="dxa"/>
            <w:tcBorders>
              <w:top w:val="single" w:sz="4" w:space="0" w:color="000000"/>
              <w:left w:val="single" w:sz="4" w:space="0" w:color="000000"/>
              <w:bottom w:val="single" w:sz="4" w:space="0" w:color="000000"/>
              <w:right w:val="single" w:sz="4" w:space="0" w:color="000000"/>
            </w:tcBorders>
            <w:vAlign w:val="center"/>
          </w:tcPr>
          <w:p w14:paraId="22309461" w14:textId="77777777" w:rsidR="002449C2" w:rsidRDefault="00123961">
            <w:pPr>
              <w:shd w:val="clear" w:color="auto" w:fill="FFFFFF"/>
              <w:spacing w:after="0"/>
              <w:jc w:val="center"/>
              <w:rPr>
                <w:rFonts w:ascii="Times New Roman" w:hAnsi="Times New Roman"/>
                <w:bCs/>
                <w:sz w:val="20"/>
                <w:szCs w:val="20"/>
              </w:rPr>
            </w:pPr>
            <w:r>
              <w:rPr>
                <w:rFonts w:ascii="Times New Roman" w:hAnsi="Times New Roman"/>
                <w:bCs/>
                <w:sz w:val="20"/>
                <w:szCs w:val="20"/>
              </w:rPr>
              <w:t>5 070</w:t>
            </w:r>
          </w:p>
        </w:tc>
      </w:tr>
      <w:tr w:rsidR="002449C2" w14:paraId="0CDE0303" w14:textId="77777777">
        <w:trPr>
          <w:trHeight w:val="300"/>
        </w:trPr>
        <w:tc>
          <w:tcPr>
            <w:tcW w:w="707" w:type="dxa"/>
            <w:tcBorders>
              <w:left w:val="single" w:sz="4" w:space="0" w:color="000000"/>
              <w:bottom w:val="single" w:sz="4" w:space="0" w:color="000000"/>
              <w:right w:val="single" w:sz="4" w:space="0" w:color="000000"/>
            </w:tcBorders>
            <w:vAlign w:val="center"/>
          </w:tcPr>
          <w:p w14:paraId="239ED8A6" w14:textId="77777777" w:rsidR="002449C2" w:rsidRDefault="00123961">
            <w:pPr>
              <w:shd w:val="clear" w:color="auto" w:fill="FFFFFF"/>
              <w:spacing w:after="0" w:line="240" w:lineRule="auto"/>
              <w:jc w:val="center"/>
              <w:rPr>
                <w:rFonts w:ascii="Times New Roman" w:hAnsi="Times New Roman"/>
                <w:sz w:val="20"/>
              </w:rPr>
            </w:pPr>
            <w:r>
              <w:rPr>
                <w:rFonts w:ascii="Times New Roman" w:hAnsi="Times New Roman"/>
                <w:sz w:val="20"/>
              </w:rPr>
              <w:t>2028</w:t>
            </w:r>
          </w:p>
        </w:tc>
        <w:tc>
          <w:tcPr>
            <w:tcW w:w="1824" w:type="dxa"/>
            <w:tcBorders>
              <w:top w:val="single" w:sz="4" w:space="0" w:color="000000"/>
              <w:left w:val="single" w:sz="4" w:space="0" w:color="000000"/>
              <w:bottom w:val="single" w:sz="4" w:space="0" w:color="000000"/>
              <w:right w:val="single" w:sz="4" w:space="0" w:color="000000"/>
            </w:tcBorders>
            <w:vAlign w:val="center"/>
          </w:tcPr>
          <w:p w14:paraId="1FEA2BDA" w14:textId="77777777" w:rsidR="002449C2" w:rsidRDefault="00123961">
            <w:pPr>
              <w:shd w:val="clear" w:color="auto" w:fill="FFFFFF"/>
              <w:spacing w:after="0"/>
              <w:jc w:val="center"/>
              <w:rPr>
                <w:rFonts w:ascii="Times New Roman" w:hAnsi="Times New Roman"/>
                <w:bCs/>
                <w:sz w:val="20"/>
                <w:szCs w:val="20"/>
              </w:rPr>
            </w:pPr>
            <w:r>
              <w:rPr>
                <w:rFonts w:ascii="Times New Roman" w:hAnsi="Times New Roman"/>
                <w:bCs/>
                <w:sz w:val="20"/>
                <w:szCs w:val="20"/>
              </w:rPr>
              <w:t>785</w:t>
            </w:r>
          </w:p>
        </w:tc>
        <w:tc>
          <w:tcPr>
            <w:tcW w:w="1813" w:type="dxa"/>
            <w:tcBorders>
              <w:top w:val="single" w:sz="4" w:space="0" w:color="000000"/>
              <w:left w:val="single" w:sz="4" w:space="0" w:color="000000"/>
              <w:bottom w:val="single" w:sz="4" w:space="0" w:color="000000"/>
              <w:right w:val="single" w:sz="4" w:space="0" w:color="000000"/>
            </w:tcBorders>
            <w:vAlign w:val="center"/>
          </w:tcPr>
          <w:p w14:paraId="75A111F9" w14:textId="77777777" w:rsidR="002449C2" w:rsidRDefault="00123961">
            <w:pPr>
              <w:shd w:val="clear" w:color="auto" w:fill="FFFFFF"/>
              <w:spacing w:after="0"/>
              <w:jc w:val="center"/>
              <w:rPr>
                <w:rFonts w:ascii="Times New Roman" w:hAnsi="Times New Roman"/>
                <w:bCs/>
                <w:sz w:val="20"/>
                <w:szCs w:val="20"/>
              </w:rPr>
            </w:pPr>
            <w:r>
              <w:rPr>
                <w:rFonts w:ascii="Times New Roman" w:hAnsi="Times New Roman"/>
                <w:bCs/>
                <w:sz w:val="20"/>
                <w:szCs w:val="20"/>
              </w:rPr>
              <w:t>413</w:t>
            </w:r>
          </w:p>
        </w:tc>
        <w:tc>
          <w:tcPr>
            <w:tcW w:w="1418" w:type="dxa"/>
            <w:tcBorders>
              <w:top w:val="single" w:sz="4" w:space="0" w:color="000000"/>
              <w:left w:val="single" w:sz="4" w:space="0" w:color="000000"/>
              <w:bottom w:val="single" w:sz="4" w:space="0" w:color="000000"/>
              <w:right w:val="single" w:sz="4" w:space="0" w:color="000000"/>
            </w:tcBorders>
            <w:vAlign w:val="center"/>
          </w:tcPr>
          <w:p w14:paraId="3F3B7E1C" w14:textId="77777777" w:rsidR="002449C2" w:rsidRDefault="00123961">
            <w:pPr>
              <w:shd w:val="clear" w:color="auto" w:fill="FFFFFF"/>
              <w:spacing w:after="0"/>
              <w:jc w:val="center"/>
              <w:rPr>
                <w:rFonts w:ascii="Times New Roman" w:hAnsi="Times New Roman"/>
                <w:bCs/>
                <w:sz w:val="20"/>
                <w:szCs w:val="20"/>
              </w:rPr>
            </w:pPr>
            <w:r>
              <w:rPr>
                <w:rFonts w:ascii="Times New Roman" w:hAnsi="Times New Roman"/>
                <w:bCs/>
                <w:sz w:val="20"/>
                <w:szCs w:val="20"/>
              </w:rPr>
              <w:t>106</w:t>
            </w:r>
          </w:p>
        </w:tc>
        <w:tc>
          <w:tcPr>
            <w:tcW w:w="1563" w:type="dxa"/>
            <w:tcBorders>
              <w:top w:val="single" w:sz="4" w:space="0" w:color="000000"/>
              <w:left w:val="single" w:sz="4" w:space="0" w:color="000000"/>
              <w:bottom w:val="single" w:sz="4" w:space="0" w:color="000000"/>
              <w:right w:val="single" w:sz="4" w:space="0" w:color="000000"/>
            </w:tcBorders>
            <w:vAlign w:val="center"/>
          </w:tcPr>
          <w:p w14:paraId="6861CD5D" w14:textId="77777777" w:rsidR="002449C2" w:rsidRDefault="00123961">
            <w:pPr>
              <w:shd w:val="clear" w:color="auto" w:fill="FFFFFF"/>
              <w:spacing w:after="0"/>
              <w:jc w:val="center"/>
              <w:rPr>
                <w:rFonts w:ascii="Times New Roman" w:hAnsi="Times New Roman"/>
                <w:bCs/>
                <w:sz w:val="20"/>
                <w:szCs w:val="20"/>
              </w:rPr>
            </w:pPr>
            <w:r>
              <w:rPr>
                <w:rFonts w:ascii="Times New Roman" w:hAnsi="Times New Roman"/>
                <w:bCs/>
                <w:sz w:val="20"/>
                <w:szCs w:val="20"/>
              </w:rPr>
              <w:t>1 409</w:t>
            </w:r>
          </w:p>
        </w:tc>
        <w:tc>
          <w:tcPr>
            <w:tcW w:w="1555" w:type="dxa"/>
            <w:tcBorders>
              <w:top w:val="single" w:sz="4" w:space="0" w:color="000000"/>
              <w:left w:val="single" w:sz="4" w:space="0" w:color="000000"/>
              <w:bottom w:val="single" w:sz="4" w:space="0" w:color="000000"/>
              <w:right w:val="single" w:sz="4" w:space="0" w:color="000000"/>
            </w:tcBorders>
            <w:vAlign w:val="center"/>
          </w:tcPr>
          <w:p w14:paraId="0B1056C9" w14:textId="77777777" w:rsidR="002449C2" w:rsidRDefault="00123961">
            <w:pPr>
              <w:shd w:val="clear" w:color="auto" w:fill="FFFFFF"/>
              <w:spacing w:after="0"/>
              <w:jc w:val="center"/>
              <w:rPr>
                <w:rFonts w:ascii="Times New Roman" w:hAnsi="Times New Roman"/>
                <w:bCs/>
                <w:sz w:val="20"/>
                <w:szCs w:val="20"/>
              </w:rPr>
            </w:pPr>
            <w:r>
              <w:rPr>
                <w:rFonts w:ascii="Times New Roman" w:hAnsi="Times New Roman"/>
                <w:bCs/>
                <w:sz w:val="20"/>
                <w:szCs w:val="20"/>
              </w:rPr>
              <w:t>2 712</w:t>
            </w:r>
          </w:p>
        </w:tc>
      </w:tr>
    </w:tbl>
    <w:p w14:paraId="3C264116" w14:textId="77777777" w:rsidR="002449C2" w:rsidRDefault="00123961">
      <w:pPr>
        <w:shd w:val="clear" w:color="auto" w:fill="FFFFFF"/>
        <w:spacing w:after="0" w:line="240" w:lineRule="auto"/>
        <w:jc w:val="center"/>
        <w:rPr>
          <w:rFonts w:ascii="Times New Roman" w:hAnsi="Times New Roman"/>
          <w:b/>
        </w:rPr>
      </w:pPr>
      <w:r>
        <w:rPr>
          <w:rFonts w:ascii="Times New Roman" w:hAnsi="Times New Roman"/>
          <w:b/>
        </w:rPr>
        <w:t>Динамика объемов освоения на период 2025 – 2028 годы, млн руб. без НДС.</w:t>
      </w:r>
    </w:p>
    <w:p w14:paraId="229BCF45" w14:textId="77777777" w:rsidR="002449C2" w:rsidRDefault="002449C2">
      <w:pPr>
        <w:shd w:val="clear" w:color="auto" w:fill="FFFFFF"/>
        <w:spacing w:after="0" w:line="240" w:lineRule="auto"/>
        <w:jc w:val="center"/>
        <w:rPr>
          <w:rFonts w:ascii="Times New Roman" w:hAnsi="Times New Roman"/>
          <w:b/>
        </w:rPr>
      </w:pPr>
    </w:p>
    <w:tbl>
      <w:tblPr>
        <w:tblW w:w="8881" w:type="dxa"/>
        <w:tblInd w:w="675" w:type="dxa"/>
        <w:tblLayout w:type="fixed"/>
        <w:tblLook w:val="04A0" w:firstRow="1" w:lastRow="0" w:firstColumn="1" w:lastColumn="0" w:noHBand="0" w:noVBand="1"/>
      </w:tblPr>
      <w:tblGrid>
        <w:gridCol w:w="708"/>
        <w:gridCol w:w="1824"/>
        <w:gridCol w:w="1813"/>
        <w:gridCol w:w="1418"/>
        <w:gridCol w:w="1563"/>
        <w:gridCol w:w="1555"/>
      </w:tblGrid>
      <w:tr w:rsidR="002449C2" w14:paraId="7581051C" w14:textId="77777777">
        <w:trPr>
          <w:trHeight w:val="300"/>
        </w:trPr>
        <w:tc>
          <w:tcPr>
            <w:tcW w:w="707" w:type="dxa"/>
            <w:tcBorders>
              <w:top w:val="single" w:sz="4" w:space="0" w:color="000000"/>
              <w:left w:val="single" w:sz="4" w:space="0" w:color="000000"/>
              <w:bottom w:val="single" w:sz="4" w:space="0" w:color="000000"/>
              <w:right w:val="single" w:sz="4" w:space="0" w:color="000000"/>
            </w:tcBorders>
            <w:vAlign w:val="bottom"/>
          </w:tcPr>
          <w:p w14:paraId="4E6B6195" w14:textId="77777777" w:rsidR="002449C2" w:rsidRDefault="002449C2">
            <w:pPr>
              <w:shd w:val="clear" w:color="auto" w:fill="FFFFFF"/>
              <w:spacing w:after="0" w:line="240" w:lineRule="auto"/>
              <w:jc w:val="center"/>
              <w:rPr>
                <w:rFonts w:ascii="Times New Roman" w:hAnsi="Times New Roman"/>
              </w:rPr>
            </w:pPr>
          </w:p>
        </w:tc>
        <w:tc>
          <w:tcPr>
            <w:tcW w:w="1824" w:type="dxa"/>
            <w:tcBorders>
              <w:top w:val="single" w:sz="4" w:space="0" w:color="000000"/>
              <w:left w:val="single" w:sz="4" w:space="0" w:color="000000"/>
              <w:bottom w:val="single" w:sz="4" w:space="0" w:color="000000"/>
              <w:right w:val="single" w:sz="4" w:space="0" w:color="000000"/>
            </w:tcBorders>
            <w:vAlign w:val="bottom"/>
          </w:tcPr>
          <w:p w14:paraId="088B70F7"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Астраханьэнерго</w:t>
            </w:r>
          </w:p>
        </w:tc>
        <w:tc>
          <w:tcPr>
            <w:tcW w:w="1813" w:type="dxa"/>
            <w:tcBorders>
              <w:top w:val="single" w:sz="4" w:space="0" w:color="000000"/>
              <w:left w:val="single" w:sz="4" w:space="0" w:color="000000"/>
              <w:bottom w:val="single" w:sz="4" w:space="0" w:color="000000"/>
              <w:right w:val="single" w:sz="4" w:space="0" w:color="000000"/>
            </w:tcBorders>
            <w:vAlign w:val="bottom"/>
          </w:tcPr>
          <w:p w14:paraId="6879736B"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Волгоградэнерго</w:t>
            </w:r>
          </w:p>
        </w:tc>
        <w:tc>
          <w:tcPr>
            <w:tcW w:w="1418" w:type="dxa"/>
            <w:tcBorders>
              <w:top w:val="single" w:sz="4" w:space="0" w:color="000000"/>
              <w:left w:val="single" w:sz="4" w:space="0" w:color="000000"/>
              <w:bottom w:val="single" w:sz="4" w:space="0" w:color="000000"/>
              <w:right w:val="single" w:sz="4" w:space="0" w:color="000000"/>
            </w:tcBorders>
            <w:vAlign w:val="bottom"/>
          </w:tcPr>
          <w:p w14:paraId="164DB8D9"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Калмэнерго</w:t>
            </w:r>
          </w:p>
        </w:tc>
        <w:tc>
          <w:tcPr>
            <w:tcW w:w="1563" w:type="dxa"/>
            <w:tcBorders>
              <w:top w:val="single" w:sz="4" w:space="0" w:color="000000"/>
              <w:left w:val="single" w:sz="4" w:space="0" w:color="000000"/>
              <w:bottom w:val="single" w:sz="4" w:space="0" w:color="000000"/>
              <w:right w:val="single" w:sz="4" w:space="0" w:color="000000"/>
            </w:tcBorders>
            <w:vAlign w:val="bottom"/>
          </w:tcPr>
          <w:p w14:paraId="3EB922AA"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Ростовэнерго</w:t>
            </w:r>
          </w:p>
        </w:tc>
        <w:tc>
          <w:tcPr>
            <w:tcW w:w="1555" w:type="dxa"/>
            <w:tcBorders>
              <w:top w:val="single" w:sz="4" w:space="0" w:color="000000"/>
              <w:left w:val="single" w:sz="4" w:space="0" w:color="000000"/>
              <w:bottom w:val="single" w:sz="4" w:space="0" w:color="000000"/>
              <w:right w:val="single" w:sz="4" w:space="0" w:color="000000"/>
            </w:tcBorders>
            <w:vAlign w:val="bottom"/>
          </w:tcPr>
          <w:p w14:paraId="5F73B8AF" w14:textId="77777777" w:rsidR="002449C2" w:rsidRDefault="00123961">
            <w:pPr>
              <w:shd w:val="clear" w:color="auto" w:fill="FFFFFF"/>
              <w:spacing w:after="0" w:line="240" w:lineRule="auto"/>
              <w:jc w:val="center"/>
              <w:rPr>
                <w:rFonts w:ascii="Times New Roman" w:hAnsi="Times New Roman"/>
              </w:rPr>
            </w:pPr>
            <w:r>
              <w:rPr>
                <w:rFonts w:ascii="Times New Roman" w:hAnsi="Times New Roman"/>
              </w:rPr>
              <w:t>Россети Юг</w:t>
            </w:r>
          </w:p>
        </w:tc>
      </w:tr>
      <w:tr w:rsidR="002449C2" w14:paraId="5630FE00" w14:textId="77777777">
        <w:trPr>
          <w:trHeight w:val="300"/>
        </w:trPr>
        <w:tc>
          <w:tcPr>
            <w:tcW w:w="707" w:type="dxa"/>
            <w:tcBorders>
              <w:left w:val="single" w:sz="4" w:space="0" w:color="000000"/>
              <w:bottom w:val="single" w:sz="4" w:space="0" w:color="000000"/>
              <w:right w:val="single" w:sz="4" w:space="0" w:color="000000"/>
            </w:tcBorders>
            <w:vAlign w:val="center"/>
          </w:tcPr>
          <w:p w14:paraId="71AE06D1" w14:textId="77777777" w:rsidR="002449C2" w:rsidRDefault="00123961">
            <w:pPr>
              <w:shd w:val="clear" w:color="auto" w:fill="FFFFFF"/>
              <w:spacing w:after="0" w:line="240" w:lineRule="auto"/>
              <w:jc w:val="center"/>
              <w:rPr>
                <w:rFonts w:ascii="Times New Roman" w:hAnsi="Times New Roman"/>
                <w:sz w:val="20"/>
              </w:rPr>
            </w:pPr>
            <w:r>
              <w:rPr>
                <w:rFonts w:ascii="Times New Roman" w:hAnsi="Times New Roman"/>
                <w:sz w:val="20"/>
              </w:rPr>
              <w:t>2025</w:t>
            </w:r>
          </w:p>
        </w:tc>
        <w:tc>
          <w:tcPr>
            <w:tcW w:w="1824" w:type="dxa"/>
            <w:tcBorders>
              <w:top w:val="single" w:sz="4" w:space="0" w:color="000000"/>
              <w:left w:val="single" w:sz="4" w:space="0" w:color="000000"/>
              <w:bottom w:val="single" w:sz="4" w:space="0" w:color="000000"/>
              <w:right w:val="single" w:sz="4" w:space="0" w:color="000000"/>
            </w:tcBorders>
            <w:vAlign w:val="center"/>
          </w:tcPr>
          <w:p w14:paraId="3C4885AC" w14:textId="77777777" w:rsidR="002449C2" w:rsidRDefault="00123961">
            <w:pPr>
              <w:shd w:val="clear" w:color="auto" w:fill="FFFFFF"/>
              <w:spacing w:after="0" w:line="240" w:lineRule="auto"/>
              <w:jc w:val="center"/>
              <w:rPr>
                <w:rFonts w:ascii="Times New Roman" w:hAnsi="Times New Roman"/>
                <w:bCs/>
                <w:sz w:val="20"/>
                <w:szCs w:val="20"/>
              </w:rPr>
            </w:pPr>
            <w:r>
              <w:rPr>
                <w:rFonts w:ascii="Times New Roman" w:hAnsi="Times New Roman"/>
                <w:bCs/>
                <w:sz w:val="20"/>
                <w:szCs w:val="20"/>
              </w:rPr>
              <w:t>2 568</w:t>
            </w:r>
          </w:p>
        </w:tc>
        <w:tc>
          <w:tcPr>
            <w:tcW w:w="1813" w:type="dxa"/>
            <w:tcBorders>
              <w:top w:val="single" w:sz="4" w:space="0" w:color="000000"/>
              <w:bottom w:val="single" w:sz="4" w:space="0" w:color="000000"/>
              <w:right w:val="single" w:sz="4" w:space="0" w:color="000000"/>
            </w:tcBorders>
            <w:vAlign w:val="center"/>
          </w:tcPr>
          <w:p w14:paraId="453CFA2A" w14:textId="77777777" w:rsidR="002449C2" w:rsidRDefault="00123961">
            <w:pPr>
              <w:shd w:val="clear" w:color="auto" w:fill="FFFFFF"/>
              <w:spacing w:after="0"/>
              <w:jc w:val="center"/>
              <w:rPr>
                <w:rFonts w:ascii="Times New Roman" w:hAnsi="Times New Roman"/>
                <w:bCs/>
                <w:sz w:val="20"/>
                <w:szCs w:val="20"/>
              </w:rPr>
            </w:pPr>
            <w:r>
              <w:rPr>
                <w:rFonts w:ascii="Times New Roman" w:hAnsi="Times New Roman"/>
                <w:bCs/>
                <w:sz w:val="20"/>
                <w:szCs w:val="20"/>
              </w:rPr>
              <w:t>1 022</w:t>
            </w:r>
          </w:p>
        </w:tc>
        <w:tc>
          <w:tcPr>
            <w:tcW w:w="1418" w:type="dxa"/>
            <w:tcBorders>
              <w:top w:val="single" w:sz="4" w:space="0" w:color="000000"/>
              <w:bottom w:val="single" w:sz="4" w:space="0" w:color="000000"/>
              <w:right w:val="single" w:sz="4" w:space="0" w:color="000000"/>
            </w:tcBorders>
            <w:vAlign w:val="center"/>
          </w:tcPr>
          <w:p w14:paraId="4F55FF90" w14:textId="77777777" w:rsidR="002449C2" w:rsidRDefault="00123961">
            <w:pPr>
              <w:shd w:val="clear" w:color="auto" w:fill="FFFFFF"/>
              <w:spacing w:after="0"/>
              <w:jc w:val="center"/>
              <w:rPr>
                <w:rFonts w:ascii="Times New Roman" w:hAnsi="Times New Roman"/>
                <w:bCs/>
                <w:sz w:val="20"/>
                <w:szCs w:val="20"/>
              </w:rPr>
            </w:pPr>
            <w:r>
              <w:rPr>
                <w:rFonts w:ascii="Times New Roman" w:hAnsi="Times New Roman"/>
                <w:bCs/>
                <w:sz w:val="20"/>
                <w:szCs w:val="20"/>
              </w:rPr>
              <w:t>131</w:t>
            </w:r>
          </w:p>
        </w:tc>
        <w:tc>
          <w:tcPr>
            <w:tcW w:w="1563" w:type="dxa"/>
            <w:tcBorders>
              <w:top w:val="single" w:sz="4" w:space="0" w:color="000000"/>
              <w:bottom w:val="single" w:sz="4" w:space="0" w:color="000000"/>
              <w:right w:val="single" w:sz="4" w:space="0" w:color="000000"/>
            </w:tcBorders>
            <w:vAlign w:val="center"/>
          </w:tcPr>
          <w:p w14:paraId="313A1D24" w14:textId="77777777" w:rsidR="002449C2" w:rsidRDefault="00123961">
            <w:pPr>
              <w:shd w:val="clear" w:color="auto" w:fill="FFFFFF"/>
              <w:spacing w:after="0"/>
              <w:jc w:val="center"/>
              <w:rPr>
                <w:rFonts w:ascii="Times New Roman" w:hAnsi="Times New Roman"/>
                <w:bCs/>
                <w:sz w:val="20"/>
                <w:szCs w:val="20"/>
              </w:rPr>
            </w:pPr>
            <w:r>
              <w:rPr>
                <w:rFonts w:ascii="Times New Roman" w:hAnsi="Times New Roman"/>
                <w:bCs/>
                <w:sz w:val="20"/>
                <w:szCs w:val="20"/>
              </w:rPr>
              <w:t>2 925</w:t>
            </w:r>
          </w:p>
        </w:tc>
        <w:tc>
          <w:tcPr>
            <w:tcW w:w="1555" w:type="dxa"/>
            <w:tcBorders>
              <w:top w:val="single" w:sz="4" w:space="0" w:color="000000"/>
              <w:bottom w:val="single" w:sz="4" w:space="0" w:color="000000"/>
              <w:right w:val="single" w:sz="4" w:space="0" w:color="000000"/>
            </w:tcBorders>
            <w:vAlign w:val="center"/>
          </w:tcPr>
          <w:p w14:paraId="1D7CC226" w14:textId="77777777" w:rsidR="002449C2" w:rsidRDefault="00123961">
            <w:pPr>
              <w:shd w:val="clear" w:color="auto" w:fill="FFFFFF"/>
              <w:spacing w:after="0"/>
              <w:jc w:val="center"/>
              <w:rPr>
                <w:rFonts w:ascii="Times New Roman" w:hAnsi="Times New Roman"/>
                <w:bCs/>
                <w:sz w:val="20"/>
                <w:szCs w:val="20"/>
              </w:rPr>
            </w:pPr>
            <w:r>
              <w:rPr>
                <w:rFonts w:ascii="Times New Roman" w:hAnsi="Times New Roman"/>
                <w:bCs/>
                <w:sz w:val="20"/>
                <w:szCs w:val="20"/>
              </w:rPr>
              <w:t>6 646</w:t>
            </w:r>
          </w:p>
        </w:tc>
      </w:tr>
      <w:tr w:rsidR="002449C2" w14:paraId="63F4A8C8" w14:textId="77777777">
        <w:trPr>
          <w:trHeight w:val="300"/>
        </w:trPr>
        <w:tc>
          <w:tcPr>
            <w:tcW w:w="707" w:type="dxa"/>
            <w:tcBorders>
              <w:left w:val="single" w:sz="4" w:space="0" w:color="000000"/>
              <w:bottom w:val="single" w:sz="4" w:space="0" w:color="000000"/>
              <w:right w:val="single" w:sz="4" w:space="0" w:color="000000"/>
            </w:tcBorders>
            <w:vAlign w:val="center"/>
          </w:tcPr>
          <w:p w14:paraId="308D29CE" w14:textId="77777777" w:rsidR="002449C2" w:rsidRDefault="00123961">
            <w:pPr>
              <w:shd w:val="clear" w:color="auto" w:fill="FFFFFF"/>
              <w:spacing w:after="0" w:line="240" w:lineRule="auto"/>
              <w:jc w:val="center"/>
              <w:rPr>
                <w:rFonts w:ascii="Times New Roman" w:hAnsi="Times New Roman"/>
                <w:sz w:val="20"/>
              </w:rPr>
            </w:pPr>
            <w:r>
              <w:rPr>
                <w:rFonts w:ascii="Times New Roman" w:hAnsi="Times New Roman"/>
                <w:sz w:val="20"/>
              </w:rPr>
              <w:t>2026</w:t>
            </w:r>
          </w:p>
        </w:tc>
        <w:tc>
          <w:tcPr>
            <w:tcW w:w="1824" w:type="dxa"/>
            <w:tcBorders>
              <w:left w:val="single" w:sz="4" w:space="0" w:color="000000"/>
              <w:bottom w:val="single" w:sz="4" w:space="0" w:color="000000"/>
              <w:right w:val="single" w:sz="4" w:space="0" w:color="000000"/>
            </w:tcBorders>
            <w:vAlign w:val="center"/>
          </w:tcPr>
          <w:p w14:paraId="32899B94" w14:textId="77777777" w:rsidR="002449C2" w:rsidRDefault="00123961">
            <w:pPr>
              <w:shd w:val="clear" w:color="auto" w:fill="FFFFFF"/>
              <w:spacing w:after="0" w:line="240" w:lineRule="auto"/>
              <w:jc w:val="center"/>
              <w:rPr>
                <w:rFonts w:ascii="Times New Roman" w:hAnsi="Times New Roman"/>
                <w:bCs/>
                <w:sz w:val="20"/>
                <w:szCs w:val="20"/>
              </w:rPr>
            </w:pPr>
            <w:r>
              <w:rPr>
                <w:rFonts w:ascii="Times New Roman" w:hAnsi="Times New Roman"/>
                <w:bCs/>
                <w:sz w:val="20"/>
                <w:szCs w:val="20"/>
              </w:rPr>
              <w:t>2 473</w:t>
            </w:r>
          </w:p>
        </w:tc>
        <w:tc>
          <w:tcPr>
            <w:tcW w:w="1813" w:type="dxa"/>
            <w:tcBorders>
              <w:bottom w:val="single" w:sz="4" w:space="0" w:color="000000"/>
              <w:right w:val="single" w:sz="4" w:space="0" w:color="000000"/>
            </w:tcBorders>
            <w:vAlign w:val="center"/>
          </w:tcPr>
          <w:p w14:paraId="64224B24" w14:textId="77777777" w:rsidR="002449C2" w:rsidRDefault="00123961">
            <w:pPr>
              <w:shd w:val="clear" w:color="auto" w:fill="FFFFFF"/>
              <w:spacing w:after="0" w:line="240" w:lineRule="auto"/>
              <w:jc w:val="center"/>
              <w:rPr>
                <w:rFonts w:ascii="Times New Roman" w:hAnsi="Times New Roman"/>
                <w:bCs/>
                <w:sz w:val="20"/>
                <w:szCs w:val="20"/>
              </w:rPr>
            </w:pPr>
            <w:r>
              <w:rPr>
                <w:rFonts w:ascii="Times New Roman" w:hAnsi="Times New Roman"/>
                <w:bCs/>
                <w:sz w:val="20"/>
                <w:szCs w:val="20"/>
              </w:rPr>
              <w:t>544</w:t>
            </w:r>
          </w:p>
        </w:tc>
        <w:tc>
          <w:tcPr>
            <w:tcW w:w="1418" w:type="dxa"/>
            <w:tcBorders>
              <w:bottom w:val="single" w:sz="4" w:space="0" w:color="000000"/>
              <w:right w:val="single" w:sz="4" w:space="0" w:color="000000"/>
            </w:tcBorders>
            <w:vAlign w:val="center"/>
          </w:tcPr>
          <w:p w14:paraId="12A97DC5" w14:textId="77777777" w:rsidR="002449C2" w:rsidRDefault="00123961">
            <w:pPr>
              <w:shd w:val="clear" w:color="auto" w:fill="FFFFFF"/>
              <w:spacing w:after="0" w:line="240" w:lineRule="auto"/>
              <w:jc w:val="center"/>
              <w:rPr>
                <w:rFonts w:ascii="Times New Roman" w:hAnsi="Times New Roman"/>
                <w:bCs/>
                <w:sz w:val="20"/>
                <w:szCs w:val="20"/>
              </w:rPr>
            </w:pPr>
            <w:r>
              <w:rPr>
                <w:rFonts w:ascii="Times New Roman" w:hAnsi="Times New Roman"/>
                <w:bCs/>
                <w:sz w:val="20"/>
                <w:szCs w:val="20"/>
              </w:rPr>
              <w:t>103</w:t>
            </w:r>
          </w:p>
        </w:tc>
        <w:tc>
          <w:tcPr>
            <w:tcW w:w="1563" w:type="dxa"/>
            <w:tcBorders>
              <w:bottom w:val="single" w:sz="4" w:space="0" w:color="000000"/>
              <w:right w:val="single" w:sz="4" w:space="0" w:color="000000"/>
            </w:tcBorders>
            <w:vAlign w:val="center"/>
          </w:tcPr>
          <w:p w14:paraId="0B4AB24E" w14:textId="77777777" w:rsidR="002449C2" w:rsidRDefault="00123961">
            <w:pPr>
              <w:shd w:val="clear" w:color="auto" w:fill="FFFFFF"/>
              <w:spacing w:after="0" w:line="240" w:lineRule="auto"/>
              <w:jc w:val="center"/>
              <w:rPr>
                <w:rFonts w:ascii="Times New Roman" w:hAnsi="Times New Roman"/>
                <w:bCs/>
                <w:sz w:val="20"/>
                <w:szCs w:val="20"/>
              </w:rPr>
            </w:pPr>
            <w:r>
              <w:rPr>
                <w:rFonts w:ascii="Times New Roman" w:hAnsi="Times New Roman"/>
                <w:bCs/>
                <w:sz w:val="20"/>
                <w:szCs w:val="20"/>
              </w:rPr>
              <w:t>1 974</w:t>
            </w:r>
          </w:p>
        </w:tc>
        <w:tc>
          <w:tcPr>
            <w:tcW w:w="1555" w:type="dxa"/>
            <w:tcBorders>
              <w:bottom w:val="single" w:sz="4" w:space="0" w:color="000000"/>
              <w:right w:val="single" w:sz="4" w:space="0" w:color="000000"/>
            </w:tcBorders>
            <w:vAlign w:val="center"/>
          </w:tcPr>
          <w:p w14:paraId="4BA7159B" w14:textId="77777777" w:rsidR="002449C2" w:rsidRDefault="00123961">
            <w:pPr>
              <w:shd w:val="clear" w:color="auto" w:fill="FFFFFF"/>
              <w:spacing w:after="0" w:line="240" w:lineRule="auto"/>
              <w:jc w:val="center"/>
              <w:rPr>
                <w:rFonts w:ascii="Times New Roman" w:hAnsi="Times New Roman"/>
                <w:bCs/>
                <w:sz w:val="20"/>
                <w:szCs w:val="20"/>
              </w:rPr>
            </w:pPr>
            <w:r>
              <w:rPr>
                <w:rFonts w:ascii="Times New Roman" w:hAnsi="Times New Roman"/>
                <w:bCs/>
                <w:sz w:val="20"/>
                <w:szCs w:val="20"/>
              </w:rPr>
              <w:t>5 094</w:t>
            </w:r>
          </w:p>
        </w:tc>
      </w:tr>
      <w:tr w:rsidR="002449C2" w14:paraId="355C22FE" w14:textId="77777777">
        <w:trPr>
          <w:trHeight w:val="300"/>
        </w:trPr>
        <w:tc>
          <w:tcPr>
            <w:tcW w:w="707" w:type="dxa"/>
            <w:tcBorders>
              <w:left w:val="single" w:sz="4" w:space="0" w:color="000000"/>
              <w:bottom w:val="single" w:sz="4" w:space="0" w:color="000000"/>
              <w:right w:val="single" w:sz="4" w:space="0" w:color="000000"/>
            </w:tcBorders>
            <w:vAlign w:val="center"/>
          </w:tcPr>
          <w:p w14:paraId="3BFBF9D1" w14:textId="77777777" w:rsidR="002449C2" w:rsidRDefault="00123961">
            <w:pPr>
              <w:shd w:val="clear" w:color="auto" w:fill="FFFFFF"/>
              <w:spacing w:after="0" w:line="240" w:lineRule="auto"/>
              <w:jc w:val="center"/>
              <w:rPr>
                <w:rFonts w:ascii="Times New Roman" w:hAnsi="Times New Roman"/>
                <w:sz w:val="20"/>
              </w:rPr>
            </w:pPr>
            <w:r>
              <w:rPr>
                <w:rFonts w:ascii="Times New Roman" w:hAnsi="Times New Roman"/>
                <w:sz w:val="20"/>
              </w:rPr>
              <w:t>2027</w:t>
            </w:r>
          </w:p>
        </w:tc>
        <w:tc>
          <w:tcPr>
            <w:tcW w:w="1824" w:type="dxa"/>
            <w:tcBorders>
              <w:left w:val="single" w:sz="4" w:space="0" w:color="000000"/>
              <w:bottom w:val="single" w:sz="4" w:space="0" w:color="000000"/>
              <w:right w:val="single" w:sz="4" w:space="0" w:color="000000"/>
            </w:tcBorders>
            <w:vAlign w:val="center"/>
          </w:tcPr>
          <w:p w14:paraId="4CAB95C0" w14:textId="77777777" w:rsidR="002449C2" w:rsidRDefault="00123961">
            <w:pPr>
              <w:shd w:val="clear" w:color="auto" w:fill="FFFFFF"/>
              <w:spacing w:after="0" w:line="240" w:lineRule="auto"/>
              <w:jc w:val="center"/>
              <w:rPr>
                <w:rFonts w:ascii="Times New Roman" w:hAnsi="Times New Roman"/>
                <w:bCs/>
                <w:sz w:val="20"/>
                <w:szCs w:val="20"/>
              </w:rPr>
            </w:pPr>
            <w:r>
              <w:rPr>
                <w:rFonts w:ascii="Times New Roman" w:hAnsi="Times New Roman"/>
                <w:bCs/>
                <w:sz w:val="20"/>
                <w:szCs w:val="20"/>
              </w:rPr>
              <w:t>666</w:t>
            </w:r>
          </w:p>
        </w:tc>
        <w:tc>
          <w:tcPr>
            <w:tcW w:w="1813" w:type="dxa"/>
            <w:tcBorders>
              <w:bottom w:val="single" w:sz="4" w:space="0" w:color="000000"/>
              <w:right w:val="single" w:sz="4" w:space="0" w:color="000000"/>
            </w:tcBorders>
            <w:vAlign w:val="center"/>
          </w:tcPr>
          <w:p w14:paraId="6D9CC3E2" w14:textId="77777777" w:rsidR="002449C2" w:rsidRDefault="00123961">
            <w:pPr>
              <w:shd w:val="clear" w:color="auto" w:fill="FFFFFF"/>
              <w:spacing w:after="0" w:line="240" w:lineRule="auto"/>
              <w:jc w:val="center"/>
              <w:rPr>
                <w:rFonts w:ascii="Times New Roman" w:hAnsi="Times New Roman"/>
                <w:bCs/>
                <w:sz w:val="20"/>
                <w:szCs w:val="20"/>
              </w:rPr>
            </w:pPr>
            <w:r>
              <w:rPr>
                <w:rFonts w:ascii="Times New Roman" w:hAnsi="Times New Roman"/>
                <w:bCs/>
                <w:sz w:val="20"/>
                <w:szCs w:val="20"/>
              </w:rPr>
              <w:t>590</w:t>
            </w:r>
          </w:p>
        </w:tc>
        <w:tc>
          <w:tcPr>
            <w:tcW w:w="1418" w:type="dxa"/>
            <w:tcBorders>
              <w:bottom w:val="single" w:sz="4" w:space="0" w:color="000000"/>
              <w:right w:val="single" w:sz="4" w:space="0" w:color="000000"/>
            </w:tcBorders>
            <w:vAlign w:val="center"/>
          </w:tcPr>
          <w:p w14:paraId="3213ACD7" w14:textId="77777777" w:rsidR="002449C2" w:rsidRDefault="00123961">
            <w:pPr>
              <w:shd w:val="clear" w:color="auto" w:fill="FFFFFF"/>
              <w:spacing w:after="0" w:line="240" w:lineRule="auto"/>
              <w:jc w:val="center"/>
              <w:rPr>
                <w:rFonts w:ascii="Times New Roman" w:hAnsi="Times New Roman"/>
                <w:bCs/>
                <w:sz w:val="20"/>
                <w:szCs w:val="20"/>
              </w:rPr>
            </w:pPr>
            <w:r>
              <w:rPr>
                <w:rFonts w:ascii="Times New Roman" w:hAnsi="Times New Roman"/>
                <w:bCs/>
                <w:sz w:val="20"/>
                <w:szCs w:val="20"/>
              </w:rPr>
              <w:t>103</w:t>
            </w:r>
          </w:p>
        </w:tc>
        <w:tc>
          <w:tcPr>
            <w:tcW w:w="1563" w:type="dxa"/>
            <w:tcBorders>
              <w:bottom w:val="single" w:sz="4" w:space="0" w:color="000000"/>
              <w:right w:val="single" w:sz="4" w:space="0" w:color="000000"/>
            </w:tcBorders>
            <w:vAlign w:val="center"/>
          </w:tcPr>
          <w:p w14:paraId="37DA71C6" w14:textId="77777777" w:rsidR="002449C2" w:rsidRDefault="00123961">
            <w:pPr>
              <w:shd w:val="clear" w:color="auto" w:fill="FFFFFF"/>
              <w:spacing w:after="0" w:line="240" w:lineRule="auto"/>
              <w:jc w:val="center"/>
              <w:rPr>
                <w:rFonts w:ascii="Times New Roman" w:hAnsi="Times New Roman"/>
                <w:bCs/>
                <w:sz w:val="20"/>
                <w:szCs w:val="20"/>
              </w:rPr>
            </w:pPr>
            <w:r>
              <w:rPr>
                <w:rFonts w:ascii="Times New Roman" w:hAnsi="Times New Roman"/>
                <w:bCs/>
                <w:sz w:val="20"/>
                <w:szCs w:val="20"/>
              </w:rPr>
              <w:t>1 778</w:t>
            </w:r>
          </w:p>
        </w:tc>
        <w:tc>
          <w:tcPr>
            <w:tcW w:w="1555" w:type="dxa"/>
            <w:tcBorders>
              <w:bottom w:val="single" w:sz="4" w:space="0" w:color="000000"/>
              <w:right w:val="single" w:sz="4" w:space="0" w:color="000000"/>
            </w:tcBorders>
            <w:vAlign w:val="center"/>
          </w:tcPr>
          <w:p w14:paraId="524B7F36" w14:textId="77777777" w:rsidR="002449C2" w:rsidRDefault="00123961">
            <w:pPr>
              <w:shd w:val="clear" w:color="auto" w:fill="FFFFFF"/>
              <w:spacing w:after="0" w:line="240" w:lineRule="auto"/>
              <w:jc w:val="center"/>
              <w:rPr>
                <w:rFonts w:ascii="Times New Roman" w:hAnsi="Times New Roman"/>
                <w:bCs/>
                <w:sz w:val="20"/>
                <w:szCs w:val="20"/>
              </w:rPr>
            </w:pPr>
            <w:r>
              <w:rPr>
                <w:rFonts w:ascii="Times New Roman" w:hAnsi="Times New Roman"/>
                <w:bCs/>
                <w:sz w:val="20"/>
                <w:szCs w:val="20"/>
              </w:rPr>
              <w:t>3 138</w:t>
            </w:r>
          </w:p>
        </w:tc>
      </w:tr>
      <w:tr w:rsidR="002449C2" w14:paraId="7E2F0115" w14:textId="77777777">
        <w:trPr>
          <w:trHeight w:val="300"/>
        </w:trPr>
        <w:tc>
          <w:tcPr>
            <w:tcW w:w="707" w:type="dxa"/>
            <w:tcBorders>
              <w:left w:val="single" w:sz="4" w:space="0" w:color="000000"/>
              <w:bottom w:val="single" w:sz="4" w:space="0" w:color="000000"/>
              <w:right w:val="single" w:sz="4" w:space="0" w:color="000000"/>
            </w:tcBorders>
            <w:vAlign w:val="center"/>
          </w:tcPr>
          <w:p w14:paraId="2AB74517" w14:textId="77777777" w:rsidR="002449C2" w:rsidRDefault="00123961">
            <w:pPr>
              <w:shd w:val="clear" w:color="auto" w:fill="FFFFFF"/>
              <w:spacing w:after="0" w:line="240" w:lineRule="auto"/>
              <w:jc w:val="center"/>
              <w:rPr>
                <w:rFonts w:ascii="Times New Roman" w:hAnsi="Times New Roman"/>
                <w:sz w:val="20"/>
              </w:rPr>
            </w:pPr>
            <w:r>
              <w:rPr>
                <w:rFonts w:ascii="Times New Roman" w:hAnsi="Times New Roman"/>
                <w:sz w:val="20"/>
              </w:rPr>
              <w:t>2028</w:t>
            </w:r>
          </w:p>
        </w:tc>
        <w:tc>
          <w:tcPr>
            <w:tcW w:w="1824" w:type="dxa"/>
            <w:tcBorders>
              <w:left w:val="single" w:sz="4" w:space="0" w:color="000000"/>
              <w:bottom w:val="single" w:sz="4" w:space="0" w:color="000000"/>
              <w:right w:val="single" w:sz="4" w:space="0" w:color="000000"/>
            </w:tcBorders>
            <w:vAlign w:val="center"/>
          </w:tcPr>
          <w:p w14:paraId="53E23C86" w14:textId="77777777" w:rsidR="002449C2" w:rsidRDefault="00123961">
            <w:pPr>
              <w:shd w:val="clear" w:color="auto" w:fill="FFFFFF"/>
              <w:spacing w:after="0" w:line="240" w:lineRule="auto"/>
              <w:jc w:val="center"/>
              <w:rPr>
                <w:rFonts w:ascii="Times New Roman" w:hAnsi="Times New Roman"/>
                <w:bCs/>
                <w:sz w:val="20"/>
                <w:szCs w:val="20"/>
              </w:rPr>
            </w:pPr>
            <w:r>
              <w:rPr>
                <w:rFonts w:ascii="Times New Roman" w:hAnsi="Times New Roman"/>
                <w:bCs/>
                <w:sz w:val="20"/>
                <w:szCs w:val="20"/>
              </w:rPr>
              <w:t>780</w:t>
            </w:r>
          </w:p>
        </w:tc>
        <w:tc>
          <w:tcPr>
            <w:tcW w:w="1813" w:type="dxa"/>
            <w:tcBorders>
              <w:bottom w:val="single" w:sz="4" w:space="0" w:color="000000"/>
              <w:right w:val="single" w:sz="4" w:space="0" w:color="000000"/>
            </w:tcBorders>
            <w:vAlign w:val="center"/>
          </w:tcPr>
          <w:p w14:paraId="2938D139" w14:textId="77777777" w:rsidR="002449C2" w:rsidRDefault="00123961">
            <w:pPr>
              <w:shd w:val="clear" w:color="auto" w:fill="FFFFFF"/>
              <w:spacing w:after="0" w:line="240" w:lineRule="auto"/>
              <w:jc w:val="center"/>
              <w:rPr>
                <w:rFonts w:ascii="Times New Roman" w:hAnsi="Times New Roman"/>
                <w:bCs/>
                <w:sz w:val="20"/>
                <w:szCs w:val="20"/>
              </w:rPr>
            </w:pPr>
            <w:r>
              <w:rPr>
                <w:rFonts w:ascii="Times New Roman" w:hAnsi="Times New Roman"/>
                <w:bCs/>
                <w:sz w:val="20"/>
                <w:szCs w:val="20"/>
              </w:rPr>
              <w:t>521</w:t>
            </w:r>
          </w:p>
        </w:tc>
        <w:tc>
          <w:tcPr>
            <w:tcW w:w="1418" w:type="dxa"/>
            <w:tcBorders>
              <w:bottom w:val="single" w:sz="4" w:space="0" w:color="000000"/>
              <w:right w:val="single" w:sz="4" w:space="0" w:color="000000"/>
            </w:tcBorders>
            <w:vAlign w:val="center"/>
          </w:tcPr>
          <w:p w14:paraId="03BF4ACE" w14:textId="77777777" w:rsidR="002449C2" w:rsidRDefault="00123961">
            <w:pPr>
              <w:shd w:val="clear" w:color="auto" w:fill="FFFFFF"/>
              <w:spacing w:after="0" w:line="240" w:lineRule="auto"/>
              <w:jc w:val="center"/>
              <w:rPr>
                <w:rFonts w:ascii="Times New Roman" w:hAnsi="Times New Roman"/>
                <w:bCs/>
                <w:sz w:val="20"/>
                <w:szCs w:val="20"/>
              </w:rPr>
            </w:pPr>
            <w:r>
              <w:rPr>
                <w:rFonts w:ascii="Times New Roman" w:hAnsi="Times New Roman"/>
                <w:bCs/>
                <w:sz w:val="20"/>
                <w:szCs w:val="20"/>
              </w:rPr>
              <w:t>105</w:t>
            </w:r>
          </w:p>
        </w:tc>
        <w:tc>
          <w:tcPr>
            <w:tcW w:w="1563" w:type="dxa"/>
            <w:tcBorders>
              <w:bottom w:val="single" w:sz="4" w:space="0" w:color="000000"/>
              <w:right w:val="single" w:sz="4" w:space="0" w:color="000000"/>
            </w:tcBorders>
            <w:vAlign w:val="center"/>
          </w:tcPr>
          <w:p w14:paraId="5CA5852B" w14:textId="77777777" w:rsidR="002449C2" w:rsidRDefault="00123961">
            <w:pPr>
              <w:shd w:val="clear" w:color="auto" w:fill="FFFFFF"/>
              <w:spacing w:after="0" w:line="240" w:lineRule="auto"/>
              <w:jc w:val="center"/>
              <w:rPr>
                <w:rFonts w:ascii="Times New Roman" w:hAnsi="Times New Roman"/>
                <w:bCs/>
                <w:sz w:val="20"/>
                <w:szCs w:val="20"/>
              </w:rPr>
            </w:pPr>
            <w:r>
              <w:rPr>
                <w:rFonts w:ascii="Times New Roman" w:hAnsi="Times New Roman"/>
                <w:bCs/>
                <w:sz w:val="20"/>
                <w:szCs w:val="20"/>
              </w:rPr>
              <w:t>1 195</w:t>
            </w:r>
          </w:p>
        </w:tc>
        <w:tc>
          <w:tcPr>
            <w:tcW w:w="1555" w:type="dxa"/>
            <w:tcBorders>
              <w:bottom w:val="single" w:sz="4" w:space="0" w:color="000000"/>
              <w:right w:val="single" w:sz="4" w:space="0" w:color="000000"/>
            </w:tcBorders>
            <w:vAlign w:val="center"/>
          </w:tcPr>
          <w:p w14:paraId="54F2B5A3" w14:textId="77777777" w:rsidR="002449C2" w:rsidRDefault="00123961">
            <w:pPr>
              <w:shd w:val="clear" w:color="auto" w:fill="FFFFFF"/>
              <w:spacing w:after="0" w:line="240" w:lineRule="auto"/>
              <w:jc w:val="center"/>
              <w:rPr>
                <w:rFonts w:ascii="Times New Roman" w:hAnsi="Times New Roman"/>
                <w:bCs/>
                <w:sz w:val="20"/>
                <w:szCs w:val="20"/>
              </w:rPr>
            </w:pPr>
            <w:r>
              <w:rPr>
                <w:rFonts w:ascii="Times New Roman" w:hAnsi="Times New Roman"/>
                <w:bCs/>
                <w:sz w:val="20"/>
                <w:szCs w:val="20"/>
              </w:rPr>
              <w:t>2 601</w:t>
            </w:r>
          </w:p>
        </w:tc>
      </w:tr>
    </w:tbl>
    <w:p w14:paraId="6C497EC8" w14:textId="77777777" w:rsidR="002449C2" w:rsidRDefault="002449C2">
      <w:pPr>
        <w:shd w:val="clear" w:color="auto" w:fill="FFFFFF"/>
        <w:spacing w:after="0" w:line="240" w:lineRule="auto"/>
        <w:jc w:val="center"/>
        <w:rPr>
          <w:rFonts w:ascii="Times New Roman" w:hAnsi="Times New Roman"/>
        </w:rPr>
      </w:pPr>
    </w:p>
    <w:p w14:paraId="5A91BE1C"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Долгосрочной инвестиционной программой на 2025-2028 годы предусмотрено освоение капитальных вложений в объеме 17 479 млн руб. (без НДС), финансирование – 21 267 млн руб. (с НДС), ввод основных фондов – 18 069 млн руб. За период 2025-2028 годы планируется вновь построить и реконструировать 1 831 км и осуществить ввод трансформаторной мощности в объеме 440 МВА.</w:t>
      </w:r>
    </w:p>
    <w:p w14:paraId="243710F7" w14:textId="77777777" w:rsidR="002449C2" w:rsidRDefault="002449C2">
      <w:pPr>
        <w:shd w:val="clear" w:color="auto" w:fill="FFFFFF"/>
        <w:spacing w:after="0" w:line="240" w:lineRule="auto"/>
        <w:ind w:firstLine="709"/>
        <w:jc w:val="both"/>
        <w:rPr>
          <w:rFonts w:ascii="Times New Roman" w:hAnsi="Times New Roman"/>
          <w:sz w:val="26"/>
          <w:szCs w:val="26"/>
          <w:lang w:eastAsia="en-US"/>
        </w:rPr>
      </w:pPr>
    </w:p>
    <w:p w14:paraId="6F929092" w14:textId="77777777" w:rsidR="002449C2" w:rsidRDefault="00123961">
      <w:pPr>
        <w:keepNext/>
        <w:keepLines/>
        <w:shd w:val="clear" w:color="auto" w:fill="FFFFFF"/>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60" w:name="_Toc195174929"/>
      <w:bookmarkStart w:id="61" w:name="_Toc196143021"/>
      <w:r>
        <w:rPr>
          <w:rFonts w:ascii="Times New Roman" w:eastAsia="Times New Roman" w:hAnsi="Times New Roman"/>
          <w:color w:val="385623"/>
          <w:sz w:val="28"/>
          <w:szCs w:val="28"/>
          <w:lang w:eastAsia="en-US" w:bidi="en-US"/>
        </w:rPr>
        <w:t>Управление качеством капитального строительства</w:t>
      </w:r>
      <w:bookmarkEnd w:id="60"/>
      <w:bookmarkEnd w:id="61"/>
    </w:p>
    <w:p w14:paraId="64C11DC2"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В Обществе, в целях проверки соответствия выполняемых работ проектной документации, требованиям технических регламентов, результатам инженерных изысканий, требованиям градостроительного плана земельного участка в процессе строительства, реконструкции, капитального ремонта объектов капитального строительства в соответствии с требованиями статьи 53 Градостроительного Кодекса Российской Федерации, в рамках постановления Правительства Российской Федерации от 21.06.2010 № 468 «О порядке проведения строительного контроля при осуществлении строительства, реконструкции и капитального ремонта объектов капитального строительства» осуществляется строительный контроль. Осуществление строительного контроля в ПАО «Россети Юг» регламентировано Порядком осуществления строительного контроля на объектах электросетевого комплекса ПАО «Россети Юг», утвержденным приказом ПАО «Россети Юг» от 10.03.2020 № 174.</w:t>
      </w:r>
    </w:p>
    <w:p w14:paraId="5F9F8AE5"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Кроме того, в 2024 году независимым строительным контролем охвачена реализация 12 объектов капитального строительства, в том числе приоритетного инвестиционного проекта «Строительство четырех КЛ 6 кВ от проектируемых линейных ячеек 6 кВ   1-ой и 2-ой секций ПС 110 кВ Р23 для электроснабжения объектов ООО «Специализированный застройщик - 1 «Югстройинвест - Дон» г. Ростов-на-Дону», пр-кт. Шолохова (ориентировочная протяжённость КЛ 19,36 км)».</w:t>
      </w:r>
    </w:p>
    <w:p w14:paraId="06A050DB" w14:textId="77777777" w:rsidR="002449C2" w:rsidRDefault="002449C2">
      <w:pPr>
        <w:spacing w:after="0" w:line="240" w:lineRule="auto"/>
        <w:ind w:firstLine="709"/>
        <w:jc w:val="both"/>
        <w:rPr>
          <w:rFonts w:ascii="Times New Roman" w:hAnsi="Times New Roman"/>
          <w:sz w:val="26"/>
          <w:szCs w:val="26"/>
          <w:lang w:eastAsia="en-US"/>
        </w:rPr>
      </w:pPr>
    </w:p>
    <w:p w14:paraId="4F4A96FB" w14:textId="77777777" w:rsidR="002449C2" w:rsidRDefault="00123961">
      <w:pPr>
        <w:tabs>
          <w:tab w:val="left" w:pos="0"/>
        </w:tabs>
        <w:spacing w:before="240" w:after="120" w:line="259" w:lineRule="auto"/>
        <w:jc w:val="center"/>
        <w:rPr>
          <w:rFonts w:ascii="Times New Roman" w:hAnsi="Times New Roman"/>
          <w:b/>
          <w:color w:val="000000"/>
          <w:sz w:val="26"/>
          <w:szCs w:val="26"/>
          <w:lang w:eastAsia="en-US"/>
        </w:rPr>
      </w:pPr>
      <w:r>
        <w:rPr>
          <w:rFonts w:ascii="Times New Roman" w:hAnsi="Times New Roman"/>
          <w:b/>
          <w:color w:val="000000"/>
          <w:sz w:val="26"/>
          <w:szCs w:val="26"/>
          <w:lang w:eastAsia="en-US"/>
        </w:rPr>
        <w:t>Готовность к ликвидации возможных технологических нарушений</w:t>
      </w:r>
    </w:p>
    <w:p w14:paraId="7B8F0893" w14:textId="77777777" w:rsidR="002449C2" w:rsidRDefault="00123961">
      <w:pPr>
        <w:shd w:val="clear" w:color="auto" w:fill="FFFFFF"/>
        <w:tabs>
          <w:tab w:val="left" w:pos="142"/>
          <w:tab w:val="left" w:pos="993"/>
        </w:tabs>
        <w:spacing w:after="0" w:line="240"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Независимо от времени года и погодных условий сотрудниками ПАО «Россети Юг» обеспечена готовность к ликвидации возможных технологических нарушений: 670 бригады (3398 чел., 1671 ед. техники), в том числе 44 мобильные бригады (263 чел. и 115 ед. техники) подготовлены для проведения аварийно-восстановительных работ и ликвидации масштабных отключений, и при необходимости могут быть направлены на помощь другим ДО ПАО «Россети». Дополнительно 209 бригад подрядных организаций могут участвовать в работах по восстановлению электроснабжения. Имеется 333 резервных источника электроснабжения общей мощностью 13,9 МВт.</w:t>
      </w:r>
    </w:p>
    <w:p w14:paraId="3948F719" w14:textId="77777777" w:rsidR="002449C2" w:rsidRDefault="00123961">
      <w:pPr>
        <w:shd w:val="clear" w:color="auto" w:fill="FFFFFF"/>
        <w:tabs>
          <w:tab w:val="left" w:pos="142"/>
          <w:tab w:val="left" w:pos="993"/>
        </w:tabs>
        <w:spacing w:after="0" w:line="240"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Для управления силами и средствами в повседневной деятельности подготовлены пункты управления в аппарате управления, в филиалах ПАО «Россети Юг», в РЭС, разработаны и поддерживаются в актуальном состоянии распорядительные, справочные документы. На постоянной основе организовывается обучение с привлечением 100% руководящего состава и всего остального персонала ПАО «Россети Юг» в области предупреждения и ликвидации чрезвычайных ситуаций природного и техногенного характера.</w:t>
      </w:r>
    </w:p>
    <w:p w14:paraId="3F3C5220" w14:textId="77777777" w:rsidR="002449C2" w:rsidRDefault="00123961">
      <w:pPr>
        <w:shd w:val="clear" w:color="auto" w:fill="FFFFFF"/>
        <w:tabs>
          <w:tab w:val="left" w:pos="142"/>
          <w:tab w:val="left" w:pos="993"/>
        </w:tabs>
        <w:spacing w:after="0" w:line="240"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Для отработки практических навыков ликвидации аварийных ситуаций проведено 8 совместных учений со штабами по обеспечению безопасности электроснабжения субъектов Российской Федерации, территориальными органами исполнительной власти и местного самоуправления, Министерством Российской Федерации по делам гражданской обороны, чрезвычайным ситуациям и ликвидации последствий стихийных бедствий, организациями ЖКХ.</w:t>
      </w:r>
    </w:p>
    <w:tbl>
      <w:tblPr>
        <w:tblW w:w="9498" w:type="dxa"/>
        <w:tblLayout w:type="fixed"/>
        <w:tblLook w:val="04A0" w:firstRow="1" w:lastRow="0" w:firstColumn="1" w:lastColumn="0" w:noHBand="0" w:noVBand="1"/>
      </w:tblPr>
      <w:tblGrid>
        <w:gridCol w:w="4860"/>
        <w:gridCol w:w="4638"/>
      </w:tblGrid>
      <w:tr w:rsidR="002449C2" w14:paraId="2047BA58" w14:textId="77777777">
        <w:tc>
          <w:tcPr>
            <w:tcW w:w="4859" w:type="dxa"/>
          </w:tcPr>
          <w:p w14:paraId="08275984" w14:textId="77777777" w:rsidR="002449C2" w:rsidRDefault="00123961">
            <w:pPr>
              <w:tabs>
                <w:tab w:val="left" w:pos="142"/>
                <w:tab w:val="left" w:pos="993"/>
              </w:tabs>
              <w:spacing w:after="0" w:line="240" w:lineRule="auto"/>
              <w:contextualSpacing/>
              <w:jc w:val="both"/>
              <w:rPr>
                <w:rFonts w:ascii="Times New Roman" w:eastAsia="Times New Roman" w:hAnsi="Times New Roman"/>
                <w:sz w:val="26"/>
                <w:szCs w:val="26"/>
                <w:lang w:eastAsia="ru-RU"/>
              </w:rPr>
            </w:pPr>
            <w:r>
              <w:rPr>
                <w:noProof/>
                <w:lang w:eastAsia="ru-RU"/>
              </w:rPr>
              <w:drawing>
                <wp:inline distT="0" distB="0" distL="0" distR="0" wp14:anchorId="19D26628" wp14:editId="37A5D630">
                  <wp:extent cx="2926715" cy="1954530"/>
                  <wp:effectExtent l="0" t="0" r="0" b="0"/>
                  <wp:docPr id="50" name="_x005F_x0000_i4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_x005F_x0000_i4431"/>
                          <pic:cNvPicPr>
                            <a:picLocks noChangeAspect="1" noChangeArrowheads="1"/>
                          </pic:cNvPicPr>
                        </pic:nvPicPr>
                        <pic:blipFill>
                          <a:blip r:embed="rId77"/>
                          <a:stretch>
                            <a:fillRect/>
                          </a:stretch>
                        </pic:blipFill>
                        <pic:spPr bwMode="auto">
                          <a:xfrm>
                            <a:off x="0" y="0"/>
                            <a:ext cx="2926715" cy="1954530"/>
                          </a:xfrm>
                          <a:prstGeom prst="rect">
                            <a:avLst/>
                          </a:prstGeom>
                          <a:noFill/>
                        </pic:spPr>
                      </pic:pic>
                    </a:graphicData>
                  </a:graphic>
                </wp:inline>
              </w:drawing>
            </w:r>
          </w:p>
        </w:tc>
        <w:tc>
          <w:tcPr>
            <w:tcW w:w="4638" w:type="dxa"/>
          </w:tcPr>
          <w:p w14:paraId="68A1BFCB" w14:textId="77777777" w:rsidR="002449C2" w:rsidRDefault="00123961">
            <w:pPr>
              <w:tabs>
                <w:tab w:val="left" w:pos="142"/>
                <w:tab w:val="left" w:pos="993"/>
              </w:tabs>
              <w:spacing w:after="0" w:line="240" w:lineRule="auto"/>
              <w:contextualSpacing/>
              <w:jc w:val="both"/>
              <w:rPr>
                <w:rFonts w:ascii="Times New Roman" w:eastAsia="Times New Roman" w:hAnsi="Times New Roman"/>
                <w:i/>
                <w:sz w:val="20"/>
                <w:szCs w:val="20"/>
                <w:lang w:eastAsia="ru-RU"/>
              </w:rPr>
            </w:pPr>
            <w:r>
              <w:rPr>
                <w:rFonts w:ascii="Times New Roman" w:eastAsia="Roboto Condensed" w:hAnsi="Times New Roman"/>
                <w:b/>
                <w:i/>
                <w:color w:val="313131"/>
                <w:sz w:val="20"/>
                <w:szCs w:val="20"/>
                <w:lang w:eastAsia="en-US"/>
              </w:rPr>
              <w:t>Филиал компании «Россети Юг» – «Ростовэнерго» обеспечил электроснабжение новой школы в Цимлянском районе Ростовской области, построенной в рамках региональной государственной программы «Развитие образования». Максимальная предоставленная мощность составляет почти 150 кВт.</w:t>
            </w:r>
            <w:r>
              <w:rPr>
                <w:rFonts w:ascii="Times New Roman" w:eastAsia="Roboto Condensed" w:hAnsi="Times New Roman"/>
                <w:b/>
                <w:i/>
                <w:color w:val="313131"/>
                <w:sz w:val="20"/>
                <w:szCs w:val="20"/>
                <w:lang w:eastAsia="en-US"/>
              </w:rPr>
              <w:br w:type="textWrapping" w:clear="all"/>
            </w:r>
            <w:r>
              <w:rPr>
                <w:rFonts w:ascii="Times New Roman" w:eastAsia="Roboto Condensed" w:hAnsi="Times New Roman"/>
                <w:i/>
                <w:color w:val="313131"/>
                <w:sz w:val="20"/>
                <w:szCs w:val="20"/>
                <w:lang w:eastAsia="en-US"/>
              </w:rPr>
              <w:t>Учебное заведение на 200 мест введено в эксплуатацию в станице Красноярской в октябре 2024 года. Для электрификации школы энергетики построили два участка воздушных линий электропередачи 0,4 кВ и 10 кВ, установили комплектную трансформаторную подстанцию (КТП) мощностью 400 кВА. К этой же КТП будут подключены энергопринимающие устройства детского сада на 90 мест, который строится рядом со школой.</w:t>
            </w:r>
          </w:p>
        </w:tc>
      </w:tr>
    </w:tbl>
    <w:p w14:paraId="7AC49583" w14:textId="77777777" w:rsidR="002449C2" w:rsidRDefault="00123961">
      <w:pPr>
        <w:shd w:val="clear" w:color="auto" w:fill="FFFFFF"/>
        <w:tabs>
          <w:tab w:val="left" w:pos="142"/>
          <w:tab w:val="left" w:pos="993"/>
        </w:tabs>
        <w:spacing w:after="0" w:line="240" w:lineRule="auto"/>
        <w:ind w:firstLine="709"/>
        <w:contextualSpacing/>
        <w:jc w:val="both"/>
        <w:rPr>
          <w:rFonts w:ascii="Times New Roman" w:eastAsia="Times New Roman" w:hAnsi="Times New Roman"/>
          <w:sz w:val="26"/>
          <w:szCs w:val="26"/>
          <w:lang w:eastAsia="ru-RU"/>
        </w:rPr>
      </w:pPr>
      <w:r>
        <w:br w:type="page"/>
      </w:r>
    </w:p>
    <w:p w14:paraId="62A8B0BC" w14:textId="77777777" w:rsidR="002449C2" w:rsidRDefault="00123961">
      <w:pPr>
        <w:keepNext/>
        <w:pBdr>
          <w:bottom w:val="single" w:sz="4" w:space="1" w:color="622423"/>
        </w:pBdr>
        <w:shd w:val="clear" w:color="auto" w:fill="FFFFFF"/>
        <w:spacing w:line="252" w:lineRule="auto"/>
        <w:jc w:val="center"/>
        <w:outlineLvl w:val="1"/>
        <w:rPr>
          <w:rFonts w:ascii="Times New Roman" w:eastAsia="Times New Roman" w:hAnsi="Times New Roman"/>
          <w:caps/>
          <w:color w:val="632423"/>
          <w:spacing w:val="15"/>
          <w:sz w:val="24"/>
          <w:szCs w:val="24"/>
          <w:lang w:eastAsia="en-US" w:bidi="en-US"/>
        </w:rPr>
      </w:pPr>
      <w:bookmarkStart w:id="62" w:name="_Toc536544517"/>
      <w:bookmarkStart w:id="63" w:name="_Toc195174930"/>
      <w:bookmarkStart w:id="64" w:name="_Toc33542759"/>
      <w:bookmarkStart w:id="65" w:name="_Toc196143022"/>
      <w:r>
        <w:rPr>
          <w:rFonts w:ascii="Times New Roman" w:eastAsia="Times New Roman" w:hAnsi="Times New Roman"/>
          <w:caps/>
          <w:color w:val="632423"/>
          <w:spacing w:val="15"/>
          <w:sz w:val="24"/>
          <w:szCs w:val="24"/>
          <w:lang w:eastAsia="en-US" w:bidi="en-US"/>
        </w:rPr>
        <w:t>Инновационная деятельность</w:t>
      </w:r>
      <w:bookmarkEnd w:id="62"/>
      <w:bookmarkEnd w:id="63"/>
      <w:bookmarkEnd w:id="64"/>
      <w:bookmarkEnd w:id="65"/>
      <w:r>
        <w:rPr>
          <w:rFonts w:ascii="Times New Roman" w:eastAsia="Times New Roman" w:hAnsi="Times New Roman"/>
          <w:caps/>
          <w:color w:val="632423"/>
          <w:spacing w:val="15"/>
          <w:sz w:val="24"/>
          <w:szCs w:val="24"/>
          <w:lang w:eastAsia="en-US" w:bidi="en-US"/>
        </w:rPr>
        <w:t xml:space="preserve"> </w:t>
      </w:r>
    </w:p>
    <w:p w14:paraId="7C90F6BB" w14:textId="77777777" w:rsidR="002449C2" w:rsidRDefault="00123961">
      <w:pPr>
        <w:shd w:val="clear" w:color="auto" w:fill="FFFFFF"/>
        <w:tabs>
          <w:tab w:val="left" w:pos="1276"/>
        </w:tabs>
        <w:spacing w:after="0" w:line="247"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целях перехода ПАО «Россети Юг» к распределительным электрическим сетям нового технологического уклада с качественно новыми характеристиками надежности, эффективности, доступности, управляемости и клиентоориентированности распределительного электросетевого комплекса 30.07.2021 Совет директоров утвердил Программу инновационного развития ПАО «Россети Юг» на период 2020-2024 годы с перспективой до 2030 года» (протокол от 30.07.2021 №445/2021). Решением Совета директоро</w:t>
      </w:r>
      <w:r w:rsidR="007F4056">
        <w:rPr>
          <w:rFonts w:ascii="Times New Roman" w:eastAsia="Times New Roman" w:hAnsi="Times New Roman"/>
          <w:sz w:val="26"/>
          <w:szCs w:val="26"/>
          <w:lang w:eastAsia="ru-RU"/>
        </w:rPr>
        <w:t>в 24.02.2025 (протокол</w:t>
      </w:r>
      <w:r>
        <w:rPr>
          <w:rFonts w:ascii="Times New Roman" w:eastAsia="Times New Roman" w:hAnsi="Times New Roman"/>
          <w:sz w:val="26"/>
          <w:szCs w:val="26"/>
          <w:lang w:eastAsia="ru-RU"/>
        </w:rPr>
        <w:t xml:space="preserve"> от 24.02.2025 №607/2025) программа скорректирована на период 2024-2029 годы с перспективой до 2035 года»</w:t>
      </w:r>
    </w:p>
    <w:p w14:paraId="60566D5A" w14:textId="77777777" w:rsidR="002449C2" w:rsidRDefault="00123961">
      <w:pPr>
        <w:shd w:val="clear" w:color="auto" w:fill="FFFFFF"/>
        <w:tabs>
          <w:tab w:val="left" w:pos="993"/>
        </w:tabs>
        <w:spacing w:after="0" w:line="247"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Основными направлениями инновационного развития ПАО «Россети Юг» являются:</w:t>
      </w:r>
    </w:p>
    <w:p w14:paraId="6EADF4A0" w14:textId="77777777" w:rsidR="002449C2" w:rsidRDefault="00123961">
      <w:pPr>
        <w:shd w:val="clear" w:color="auto" w:fill="FFFFFF"/>
        <w:tabs>
          <w:tab w:val="left" w:pos="993"/>
        </w:tabs>
        <w:spacing w:after="0" w:line="247"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Переход к цифровым подстанциям с классом высшего напряжения 35-220 кВ;</w:t>
      </w:r>
    </w:p>
    <w:p w14:paraId="228EA3A6" w14:textId="77777777" w:rsidR="002449C2" w:rsidRDefault="00123961">
      <w:pPr>
        <w:shd w:val="clear" w:color="auto" w:fill="FFFFFF"/>
        <w:tabs>
          <w:tab w:val="left" w:pos="993"/>
        </w:tabs>
        <w:spacing w:after="0" w:line="247"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Переход к цифровым активно-адаптивным сетям с распределенной интеллектуальной системой автоматизации и управления;</w:t>
      </w:r>
    </w:p>
    <w:p w14:paraId="5528E527" w14:textId="77777777" w:rsidR="002449C2" w:rsidRDefault="00123961">
      <w:pPr>
        <w:shd w:val="clear" w:color="auto" w:fill="FFFFFF"/>
        <w:tabs>
          <w:tab w:val="left" w:pos="993"/>
        </w:tabs>
        <w:spacing w:after="0" w:line="247"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Переход к комплексной эффективности бизнес-процессов и автоматизации систем управления;</w:t>
      </w:r>
    </w:p>
    <w:p w14:paraId="1CEBFECF" w14:textId="77777777" w:rsidR="002449C2" w:rsidRDefault="00123961">
      <w:pPr>
        <w:shd w:val="clear" w:color="auto" w:fill="FFFFFF"/>
        <w:tabs>
          <w:tab w:val="left" w:pos="993"/>
        </w:tabs>
        <w:spacing w:after="0" w:line="247"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Применение новых технологий и материалов в электроэнергетике.</w:t>
      </w:r>
    </w:p>
    <w:p w14:paraId="249B056C" w14:textId="77777777" w:rsidR="002449C2" w:rsidRDefault="002449C2">
      <w:pPr>
        <w:spacing w:after="0" w:line="240" w:lineRule="auto"/>
        <w:ind w:firstLine="709"/>
        <w:jc w:val="both"/>
        <w:rPr>
          <w:rFonts w:ascii="Times New Roman" w:eastAsia="Times New Roman" w:hAnsi="Times New Roman"/>
          <w:b/>
          <w:sz w:val="26"/>
          <w:szCs w:val="26"/>
          <w:lang w:eastAsia="ru-RU"/>
        </w:rPr>
      </w:pPr>
    </w:p>
    <w:tbl>
      <w:tblPr>
        <w:tblW w:w="9498" w:type="dxa"/>
        <w:tblLayout w:type="fixed"/>
        <w:tblLook w:val="04A0" w:firstRow="1" w:lastRow="0" w:firstColumn="1" w:lastColumn="0" w:noHBand="0" w:noVBand="1"/>
      </w:tblPr>
      <w:tblGrid>
        <w:gridCol w:w="2777"/>
        <w:gridCol w:w="1688"/>
        <w:gridCol w:w="5033"/>
      </w:tblGrid>
      <w:tr w:rsidR="002449C2" w14:paraId="0E6A4CBF" w14:textId="77777777">
        <w:tc>
          <w:tcPr>
            <w:tcW w:w="2777" w:type="dxa"/>
          </w:tcPr>
          <w:p w14:paraId="6A2BB8E1" w14:textId="77777777" w:rsidR="002449C2" w:rsidRDefault="00123961">
            <w:pPr>
              <w:tabs>
                <w:tab w:val="left" w:pos="1276"/>
              </w:tabs>
              <w:spacing w:after="0" w:line="247" w:lineRule="auto"/>
              <w:contextualSpacing/>
              <w:jc w:val="both"/>
              <w:rPr>
                <w:rFonts w:ascii="Times New Roman" w:eastAsia="Times New Roman" w:hAnsi="Times New Roman"/>
                <w:sz w:val="26"/>
                <w:szCs w:val="26"/>
                <w:lang w:eastAsia="ru-RU"/>
              </w:rPr>
            </w:pPr>
            <w:r>
              <w:rPr>
                <w:noProof/>
                <w:lang w:eastAsia="ru-RU"/>
              </w:rPr>
              <w:drawing>
                <wp:inline distT="0" distB="0" distL="0" distR="0" wp14:anchorId="7016B81E" wp14:editId="32A23815">
                  <wp:extent cx="1295400" cy="605155"/>
                  <wp:effectExtent l="0" t="0" r="0" b="0"/>
                  <wp:docPr id="51" name="_x005F_x0000_i4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_x005F_x0000_i4432"/>
                          <pic:cNvPicPr>
                            <a:picLocks noChangeAspect="1" noChangeArrowheads="1"/>
                          </pic:cNvPicPr>
                        </pic:nvPicPr>
                        <pic:blipFill>
                          <a:blip r:embed="rId78">
                            <a:extLst>
                              <a:ext uri="{96DAC541-7B7A-43D3-8B79-37D633B846F1}">
                                <asvg:svgBlip xmlns:asvg="http://schemas.microsoft.com/office/drawing/2016/SVG/main" xmlns:w10="urn:schemas-microsoft-com:office:word" xmlns:w="http://schemas.openxmlformats.org/wordprocessingml/2006/main" xmlns:v="urn:schemas-microsoft-com:vml" xmlns:o="urn:schemas-microsoft-com:office:office" xmlns="" r:embed="rId79"/>
                              </a:ext>
                            </a:extLst>
                          </a:blip>
                          <a:stretch>
                            <a:fillRect/>
                          </a:stretch>
                        </pic:blipFill>
                        <pic:spPr bwMode="auto">
                          <a:xfrm>
                            <a:off x="0" y="0"/>
                            <a:ext cx="1295400" cy="605155"/>
                          </a:xfrm>
                          <a:prstGeom prst="rect">
                            <a:avLst/>
                          </a:prstGeom>
                          <a:noFill/>
                        </pic:spPr>
                      </pic:pic>
                    </a:graphicData>
                  </a:graphic>
                </wp:inline>
              </w:drawing>
            </w:r>
          </w:p>
          <w:p w14:paraId="2A6075DE" w14:textId="77777777" w:rsidR="002449C2" w:rsidRDefault="002449C2">
            <w:pPr>
              <w:tabs>
                <w:tab w:val="left" w:pos="1276"/>
              </w:tabs>
              <w:spacing w:after="0" w:line="247" w:lineRule="auto"/>
              <w:contextualSpacing/>
              <w:jc w:val="both"/>
              <w:rPr>
                <w:rFonts w:ascii="Times New Roman" w:eastAsia="Times New Roman" w:hAnsi="Times New Roman"/>
                <w:sz w:val="26"/>
                <w:szCs w:val="26"/>
                <w:lang w:eastAsia="ru-RU"/>
              </w:rPr>
            </w:pPr>
          </w:p>
        </w:tc>
        <w:tc>
          <w:tcPr>
            <w:tcW w:w="1688" w:type="dxa"/>
          </w:tcPr>
          <w:p w14:paraId="51968F3A" w14:textId="77777777" w:rsidR="002449C2" w:rsidRDefault="00123961">
            <w:pPr>
              <w:tabs>
                <w:tab w:val="left" w:pos="1276"/>
              </w:tabs>
              <w:spacing w:after="0" w:line="247" w:lineRule="auto"/>
              <w:contextualSpacing/>
              <w:jc w:val="both"/>
              <w:rPr>
                <w:rFonts w:ascii="Times New Roman" w:eastAsia="Times New Roman" w:hAnsi="Times New Roman"/>
                <w:sz w:val="26"/>
                <w:szCs w:val="26"/>
                <w:lang w:eastAsia="ru-RU"/>
              </w:rPr>
            </w:pPr>
            <w:r>
              <w:rPr>
                <w:noProof/>
                <w:lang w:eastAsia="ru-RU"/>
              </w:rPr>
              <w:drawing>
                <wp:inline distT="0" distB="0" distL="0" distR="0" wp14:anchorId="144E47BC" wp14:editId="1A22C36D">
                  <wp:extent cx="802640" cy="695325"/>
                  <wp:effectExtent l="0" t="0" r="0" b="0"/>
                  <wp:docPr id="52" name="_x005F_x0000_i4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_x005F_x0000_i4433"/>
                          <pic:cNvPicPr>
                            <a:picLocks noChangeAspect="1" noChangeArrowheads="1"/>
                          </pic:cNvPicPr>
                        </pic:nvPicPr>
                        <pic:blipFill>
                          <a:blip r:embed="rId80">
                            <a:extLst>
                              <a:ext uri="{96DAC541-7B7A-43D3-8B79-37D633B846F1}">
                                <asvg:svgBlip xmlns:asvg="http://schemas.microsoft.com/office/drawing/2016/SVG/main" xmlns:w10="urn:schemas-microsoft-com:office:word" xmlns:w="http://schemas.openxmlformats.org/wordprocessingml/2006/main" xmlns:v="urn:schemas-microsoft-com:vml" xmlns:o="urn:schemas-microsoft-com:office:office" xmlns="" r:embed="rId81"/>
                              </a:ext>
                            </a:extLst>
                          </a:blip>
                          <a:stretch>
                            <a:fillRect/>
                          </a:stretch>
                        </pic:blipFill>
                        <pic:spPr bwMode="auto">
                          <a:xfrm>
                            <a:off x="0" y="0"/>
                            <a:ext cx="802640" cy="695325"/>
                          </a:xfrm>
                          <a:prstGeom prst="rect">
                            <a:avLst/>
                          </a:prstGeom>
                          <a:noFill/>
                        </pic:spPr>
                      </pic:pic>
                    </a:graphicData>
                  </a:graphic>
                </wp:inline>
              </w:drawing>
            </w:r>
          </w:p>
        </w:tc>
        <w:tc>
          <w:tcPr>
            <w:tcW w:w="5033" w:type="dxa"/>
          </w:tcPr>
          <w:p w14:paraId="18018C26" w14:textId="77777777" w:rsidR="002449C2" w:rsidRDefault="00123961">
            <w:pPr>
              <w:tabs>
                <w:tab w:val="left" w:pos="1276"/>
              </w:tabs>
              <w:spacing w:after="0" w:line="247" w:lineRule="auto"/>
              <w:contextualSpacing/>
              <w:jc w:val="both"/>
              <w:rPr>
                <w:rFonts w:ascii="Times New Roman" w:eastAsia="Times New Roman" w:hAnsi="Times New Roman"/>
                <w:sz w:val="26"/>
                <w:szCs w:val="26"/>
                <w:lang w:eastAsia="ru-RU"/>
              </w:rPr>
            </w:pPr>
            <w:r>
              <w:rPr>
                <w:noProof/>
                <w:lang w:eastAsia="ru-RU"/>
              </w:rPr>
              <w:drawing>
                <wp:inline distT="0" distB="0" distL="0" distR="0" wp14:anchorId="42AFF50E" wp14:editId="7358E65C">
                  <wp:extent cx="609600" cy="609600"/>
                  <wp:effectExtent l="0" t="0" r="0" b="0"/>
                  <wp:docPr id="53" name="_x005F_x0000_i4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_x005F_x0000_i4434"/>
                          <pic:cNvPicPr>
                            <a:picLocks noChangeAspect="1" noChangeArrowheads="1"/>
                          </pic:cNvPicPr>
                        </pic:nvPicPr>
                        <pic:blipFill>
                          <a:blip r:embed="rId82">
                            <a:extLst>
                              <a:ext uri="{96DAC541-7B7A-43D3-8B79-37D633B846F1}">
                                <asvg:svgBlip xmlns:asvg="http://schemas.microsoft.com/office/drawing/2016/SVG/main" xmlns:w10="urn:schemas-microsoft-com:office:word" xmlns:w="http://schemas.openxmlformats.org/wordprocessingml/2006/main" xmlns:v="urn:schemas-microsoft-com:vml" xmlns:o="urn:schemas-microsoft-com:office:office" xmlns="" r:embed="rId83"/>
                              </a:ext>
                            </a:extLst>
                          </a:blip>
                          <a:stretch>
                            <a:fillRect/>
                          </a:stretch>
                        </pic:blipFill>
                        <pic:spPr bwMode="auto">
                          <a:xfrm>
                            <a:off x="0" y="0"/>
                            <a:ext cx="609600" cy="609600"/>
                          </a:xfrm>
                          <a:prstGeom prst="rect">
                            <a:avLst/>
                          </a:prstGeom>
                          <a:noFill/>
                        </pic:spPr>
                      </pic:pic>
                    </a:graphicData>
                  </a:graphic>
                </wp:inline>
              </w:drawing>
            </w:r>
          </w:p>
        </w:tc>
      </w:tr>
    </w:tbl>
    <w:p w14:paraId="1F0F050B" w14:textId="77777777" w:rsidR="002449C2" w:rsidRDefault="002449C2">
      <w:pPr>
        <w:spacing w:after="0" w:line="240" w:lineRule="auto"/>
        <w:ind w:firstLine="709"/>
        <w:jc w:val="both"/>
        <w:rPr>
          <w:rFonts w:ascii="Times New Roman" w:eastAsia="Times New Roman" w:hAnsi="Times New Roman"/>
          <w:b/>
          <w:sz w:val="26"/>
          <w:szCs w:val="26"/>
          <w:lang w:eastAsia="ru-RU"/>
        </w:rPr>
      </w:pPr>
    </w:p>
    <w:p w14:paraId="1E413FAE" w14:textId="77777777" w:rsidR="002449C2" w:rsidRDefault="00123961">
      <w:pPr>
        <w:tabs>
          <w:tab w:val="left" w:pos="0"/>
        </w:tabs>
        <w:spacing w:after="0" w:line="259" w:lineRule="auto"/>
        <w:jc w:val="center"/>
        <w:rPr>
          <w:rFonts w:ascii="Times New Roman" w:hAnsi="Times New Roman"/>
          <w:b/>
          <w:color w:val="000000"/>
          <w:sz w:val="26"/>
          <w:szCs w:val="26"/>
          <w:lang w:eastAsia="en-US"/>
        </w:rPr>
      </w:pPr>
      <w:r>
        <w:rPr>
          <w:rFonts w:ascii="Times New Roman" w:hAnsi="Times New Roman"/>
          <w:b/>
          <w:color w:val="000000"/>
          <w:sz w:val="26"/>
          <w:szCs w:val="26"/>
          <w:lang w:eastAsia="en-US"/>
        </w:rPr>
        <w:t xml:space="preserve">Основные реализуемые в отчетном периоде </w:t>
      </w:r>
    </w:p>
    <w:p w14:paraId="4834B108" w14:textId="77777777" w:rsidR="002449C2" w:rsidRDefault="00123961">
      <w:pPr>
        <w:tabs>
          <w:tab w:val="left" w:pos="0"/>
        </w:tabs>
        <w:spacing w:after="0" w:line="259" w:lineRule="auto"/>
        <w:jc w:val="center"/>
        <w:rPr>
          <w:rFonts w:ascii="Times New Roman" w:hAnsi="Times New Roman"/>
          <w:b/>
          <w:color w:val="000000"/>
          <w:sz w:val="26"/>
          <w:szCs w:val="26"/>
          <w:lang w:eastAsia="en-US"/>
        </w:rPr>
      </w:pPr>
      <w:r>
        <w:rPr>
          <w:rFonts w:ascii="Times New Roman" w:hAnsi="Times New Roman"/>
          <w:b/>
          <w:color w:val="000000"/>
          <w:sz w:val="26"/>
          <w:szCs w:val="26"/>
          <w:lang w:eastAsia="en-US"/>
        </w:rPr>
        <w:t>комплексные инновационные проекты</w:t>
      </w:r>
    </w:p>
    <w:p w14:paraId="287849F0" w14:textId="77777777" w:rsidR="002449C2" w:rsidRDefault="002449C2">
      <w:pPr>
        <w:spacing w:after="0" w:line="240" w:lineRule="auto"/>
        <w:ind w:firstLine="709"/>
        <w:jc w:val="both"/>
        <w:rPr>
          <w:rFonts w:ascii="Times New Roman" w:eastAsia="Times New Roman" w:hAnsi="Times New Roman"/>
          <w:b/>
          <w:sz w:val="26"/>
          <w:szCs w:val="26"/>
          <w:lang w:eastAsia="ru-RU"/>
        </w:rPr>
      </w:pPr>
    </w:p>
    <w:p w14:paraId="29B94159" w14:textId="77777777" w:rsidR="002449C2" w:rsidRDefault="00123961">
      <w:pPr>
        <w:shd w:val="clear" w:color="auto" w:fill="FFFFFF"/>
        <w:spacing w:after="0" w:line="240" w:lineRule="auto"/>
        <w:ind w:firstLine="709"/>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Переход к активно-адаптивным сетям с распределенной интеллектуальной системой автоматизации и управления</w:t>
      </w:r>
    </w:p>
    <w:p w14:paraId="430CBFE9"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Создание высокоавтоматизированных распределительных электрических сетей и отработка технических решений по интеграции передачи данных с интеллектуальных приборов учета электроэнергии в информационные системы, то есть развитие ее интеллектуального учета. Модернизация/создание ИИК и автоматизация сбора данных с ИИК в филиалах ПАО «Россети Юг» − «Астраханьэнерго», «Волгоградэнерго» и «Ростовэнерго».</w:t>
      </w:r>
    </w:p>
    <w:p w14:paraId="5B2B198C"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Технология предусматривает автоматический или автоматизированный режим отслеживания и воздействия на потоки электроэнергии для достижения максимальной эффективности, а также обеспечение непрерывного контроля качества электроснабжения и коммерческих услуг. Кроме того, технология предусматривает объединение в единую интеграционную платформу (ЕИП) информационных систем, информационно-вычислительных и программных комплексов ПАО «Россети Юг» (сегмент ПАО «Россети Юг» - исполнительный аппарат) и филиалов ПАО «Россети Юг» (сегмент филиалов ПАО «Россети Юг»), гарантирующих поставщиков, контрагентов, а также других субъектов электроэнергетики и потребителей электроэнергии, в отношении которых обеспечивается коммерческий учет электроэнергии (мощности) и которым обязаны обеспечить доступ к минимальному набору функций интеллектуальных систем учета электроэнергии (ИСУЭ) в соответствии с Правилами предоставления доступа к минимальному набору функций интеллектуальных систем учета электрической энергии (мощности), утвержденными постановлением Правительства Российской Федерации от 17.06.2020 №890, с использованием защищенного протокола передачи данных (ПОДИС), утвержденного приказом Министерства энергетики Российской Федерации от 30.12.2020 №1234, а также передачу информационных данных на верхний уровень и в адрес внешних информационных систем в единой модели данных.</w:t>
      </w:r>
    </w:p>
    <w:p w14:paraId="1F7FE9C7"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Единое интеграционное решение ПАО «Россети Юг» (сегменты ПАО «Россети Юг» и его филиалы) охватывает следующие системы: </w:t>
      </w:r>
    </w:p>
    <w:p w14:paraId="09382993"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портал-</w:t>
      </w:r>
      <w:proofErr w:type="gramStart"/>
      <w:r>
        <w:rPr>
          <w:rFonts w:ascii="Times New Roman" w:eastAsia="Times New Roman" w:hAnsi="Times New Roman"/>
          <w:sz w:val="26"/>
          <w:szCs w:val="26"/>
          <w:lang w:eastAsia="ru-RU"/>
        </w:rPr>
        <w:t>тп.рф</w:t>
      </w:r>
      <w:proofErr w:type="gramEnd"/>
      <w:r>
        <w:rPr>
          <w:rFonts w:ascii="Times New Roman" w:eastAsia="Times New Roman" w:hAnsi="Times New Roman"/>
          <w:sz w:val="26"/>
          <w:szCs w:val="26"/>
          <w:lang w:eastAsia="ru-RU"/>
        </w:rPr>
        <w:t xml:space="preserve"> и мобильное приложение к нему, реализующее функцию мобильного личного кабинета потребителя (Портал/МЛК); </w:t>
      </w:r>
    </w:p>
    <w:p w14:paraId="4A9F9B4F"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 xml:space="preserve">информационно-вычислительный комплекс на базе программного продукта «Пирамида-Сети»; </w:t>
      </w:r>
    </w:p>
    <w:p w14:paraId="6815F44C"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программный комплекс по автоматизации процессов определения балансов, потерь и полезного отпуска электроэнергии (ИС «Баланс»);</w:t>
      </w:r>
    </w:p>
    <w:p w14:paraId="2D49F634" w14:textId="77777777" w:rsidR="002449C2" w:rsidRDefault="002449C2">
      <w:pPr>
        <w:shd w:val="clear" w:color="auto" w:fill="FFFFFF"/>
        <w:spacing w:after="0" w:line="240" w:lineRule="auto"/>
        <w:ind w:firstLine="709"/>
        <w:jc w:val="both"/>
        <w:rPr>
          <w:rFonts w:ascii="Times New Roman" w:eastAsia="Times New Roman" w:hAnsi="Times New Roman"/>
          <w:sz w:val="26"/>
          <w:szCs w:val="26"/>
          <w:lang w:eastAsia="ru-RU"/>
        </w:rPr>
      </w:pPr>
    </w:p>
    <w:p w14:paraId="097706A1"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Фактический объем освоения материальных средств в 2024 г</w:t>
      </w:r>
      <w:r w:rsidR="007F70A4">
        <w:rPr>
          <w:rFonts w:ascii="Times New Roman" w:eastAsia="Times New Roman" w:hAnsi="Times New Roman"/>
          <w:sz w:val="26"/>
          <w:szCs w:val="26"/>
          <w:lang w:eastAsia="ru-RU"/>
        </w:rPr>
        <w:t xml:space="preserve">оду </w:t>
      </w:r>
      <w:r>
        <w:rPr>
          <w:rFonts w:ascii="Times New Roman" w:eastAsia="Times New Roman" w:hAnsi="Times New Roman"/>
          <w:sz w:val="26"/>
          <w:szCs w:val="26"/>
          <w:lang w:eastAsia="ru-RU"/>
        </w:rPr>
        <w:t>составил 187,68 млн руб при плановой величине объема освоения 165,06 млн руб и отнесен на выполнение строительно-монтажных работ (СМР) и пусконаладочных работ (ПНР).</w:t>
      </w:r>
    </w:p>
    <w:p w14:paraId="36460AE2"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Увеличение фактического объема материальных затрат на выполнение вышеперечисленных работ по отношению к плановому значению обусловлено фактической установкой в 2024 году в зоне эксплуатационной ответственности филиала ПАО «Россети Юг» − «Ростовэнерго» дополнительного объема ранее не запланированных в Среднесрочном плане реализации Программы инновационного развития ПАО «Россети Юг» на 2024-2029 гг. интеллектуальных приборов учета электроэнергии с возможностью их последующей интеграции в систему сбора и передачи данных (в целях обеспечения возможности автоматизированного расчета небалансов электроэнергии и выявления очагов ее потерь), возможностью интеграции информационных данных АСУ ТП и ОИК диспетчеров, дистанционного отключения нагрузки потребителей электроэнергии 0,4 кВ, а также повышения эффективности оказания услуг в сфере электроэнергетики за счет увеличения доли полезного отпуска электроэнергии, формируемого посредством приборов учета электроэнергии, включенных в интеллектуальную систему сбора и передачи данных (ССПД).</w:t>
      </w:r>
    </w:p>
    <w:p w14:paraId="381C4303" w14:textId="77777777" w:rsidR="002449C2" w:rsidRDefault="002449C2">
      <w:pPr>
        <w:shd w:val="clear" w:color="auto" w:fill="FFFFFF"/>
        <w:spacing w:after="0" w:line="240" w:lineRule="auto"/>
        <w:ind w:firstLine="709"/>
        <w:jc w:val="both"/>
        <w:rPr>
          <w:rFonts w:ascii="Times New Roman" w:eastAsia="Times New Roman" w:hAnsi="Times New Roman"/>
          <w:sz w:val="26"/>
          <w:szCs w:val="26"/>
          <w:lang w:eastAsia="ru-RU"/>
        </w:rPr>
      </w:pPr>
    </w:p>
    <w:p w14:paraId="2F43ABCC" w14:textId="77777777" w:rsidR="002449C2" w:rsidRDefault="00123961">
      <w:pPr>
        <w:shd w:val="clear" w:color="auto" w:fill="FFFFFF"/>
        <w:tabs>
          <w:tab w:val="left" w:pos="851"/>
        </w:tabs>
        <w:spacing w:after="0" w:line="247" w:lineRule="auto"/>
        <w:ind w:firstLine="567"/>
        <w:jc w:val="both"/>
        <w:rPr>
          <w:rFonts w:ascii="Times New Roman" w:hAnsi="Times New Roman"/>
          <w:b/>
          <w:color w:val="000000"/>
          <w:sz w:val="26"/>
          <w:szCs w:val="26"/>
          <w:lang w:eastAsia="en-US"/>
        </w:rPr>
      </w:pPr>
      <w:r>
        <w:rPr>
          <w:rFonts w:ascii="Times New Roman" w:hAnsi="Times New Roman"/>
          <w:b/>
          <w:color w:val="000000"/>
          <w:sz w:val="26"/>
          <w:szCs w:val="26"/>
          <w:lang w:eastAsia="en-US"/>
        </w:rPr>
        <w:t>Развитие системы управления инновационным развитием и формирование инновационной инфраструктуры</w:t>
      </w:r>
    </w:p>
    <w:p w14:paraId="5222858E" w14:textId="77777777" w:rsidR="002449C2" w:rsidRDefault="00123961">
      <w:pPr>
        <w:shd w:val="clear" w:color="auto" w:fill="FFFFFF"/>
        <w:tabs>
          <w:tab w:val="left" w:pos="1134"/>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Применение системы управления знаниями (СУЗ) в процессной модели управления технологическим и инновационным развитием ПАО «Россети Юг».</w:t>
      </w:r>
    </w:p>
    <w:p w14:paraId="116A6744" w14:textId="77777777" w:rsidR="002449C2" w:rsidRDefault="00123961">
      <w:pPr>
        <w:shd w:val="clear" w:color="auto" w:fill="FFFFFF"/>
        <w:tabs>
          <w:tab w:val="left" w:pos="1134"/>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Технология предусматривает совершенствование систем управления инновационным развитием путем изменения и повышения эффективности бизнес-процессов ПАО «Россети Юг» и формирование электронной информационной базы знаний с ее интеграцией с корпоративной электронной базой знаний Группы компаний «Россети» (ФГБУ «Российской энергетическое агентство» Министерства энергетики Российской Федерации).</w:t>
      </w:r>
    </w:p>
    <w:p w14:paraId="3A08448A" w14:textId="77777777" w:rsidR="002449C2" w:rsidRDefault="00123961">
      <w:pPr>
        <w:shd w:val="clear" w:color="auto" w:fill="FFFFFF"/>
        <w:tabs>
          <w:tab w:val="left" w:pos="1134"/>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Внедрение системы управления знаниями (СУЗ) в ПАО «Россети Юг» позволило:</w:t>
      </w:r>
    </w:p>
    <w:p w14:paraId="6A3A3BBF" w14:textId="77777777" w:rsidR="002449C2" w:rsidRDefault="00123961">
      <w:pPr>
        <w:shd w:val="clear" w:color="auto" w:fill="FFFFFF"/>
        <w:tabs>
          <w:tab w:val="left" w:pos="993"/>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Повысить производительность труда за счет сокращения затрат времени на поиск и дублирование информационных данных, улучшение качества принимаемых технических решений, а также оперативность обмена знаниями между различными структурными подразделениями ПАО «Россети Юг» и сторонними организациями;</w:t>
      </w:r>
    </w:p>
    <w:p w14:paraId="5712F184" w14:textId="77777777" w:rsidR="002449C2" w:rsidRDefault="00123961">
      <w:pPr>
        <w:shd w:val="clear" w:color="auto" w:fill="FFFFFF"/>
        <w:tabs>
          <w:tab w:val="left" w:pos="993"/>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Развить практики наставничества, самоподготовки и внутреннего обучения работников ПАО «Россети Юг», а также повысить эффективность материальных затрат на выполнение НИОКР;</w:t>
      </w:r>
    </w:p>
    <w:p w14:paraId="0CC83AB6" w14:textId="77777777" w:rsidR="002449C2" w:rsidRDefault="00123961">
      <w:pPr>
        <w:shd w:val="clear" w:color="auto" w:fill="FFFFFF"/>
        <w:tabs>
          <w:tab w:val="left" w:pos="993"/>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Повысить активность рационализаторской и изобретательской деятельности ПАО «Россети Юг», а также эффективность вложений материальных средств в обучение и повышение квалификации его работников;</w:t>
      </w:r>
    </w:p>
    <w:p w14:paraId="7880FEDA" w14:textId="77777777" w:rsidR="002449C2" w:rsidRDefault="00123961">
      <w:pPr>
        <w:shd w:val="clear" w:color="auto" w:fill="FFFFFF"/>
        <w:tabs>
          <w:tab w:val="left" w:pos="993"/>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Обеспечить сохранение и обмен опытом по эксплуатации различного электротехнического оборудования, а также выполнении пилотных проектов с оценкой эффективности и перспектив их тиражирования;</w:t>
      </w:r>
    </w:p>
    <w:p w14:paraId="07BDEDE1" w14:textId="77777777" w:rsidR="002449C2" w:rsidRDefault="00123961">
      <w:pPr>
        <w:shd w:val="clear" w:color="auto" w:fill="FFFFFF"/>
        <w:tabs>
          <w:tab w:val="left" w:pos="993"/>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Обеспечить возможность сокращения количества ошибок при эксплуатации и обслуживании электротехнического оборудования и, следовательно, способствовать повышению надежности электроснабжения потребителей электроэнергии и снижению уровней аварийности и производственного травматизма.</w:t>
      </w:r>
    </w:p>
    <w:p w14:paraId="1C5B8DCF" w14:textId="77777777" w:rsidR="002449C2" w:rsidRDefault="002449C2">
      <w:pPr>
        <w:shd w:val="clear" w:color="auto" w:fill="FFFFFF"/>
        <w:spacing w:after="0" w:line="240" w:lineRule="auto"/>
        <w:ind w:firstLine="567"/>
        <w:jc w:val="both"/>
        <w:rPr>
          <w:rFonts w:ascii="Times New Roman" w:eastAsia="Times New Roman" w:hAnsi="Times New Roman"/>
          <w:sz w:val="26"/>
          <w:szCs w:val="26"/>
          <w:lang w:eastAsia="ru-RU"/>
        </w:rPr>
      </w:pPr>
    </w:p>
    <w:p w14:paraId="7F5BF318" w14:textId="77777777" w:rsidR="002449C2" w:rsidRDefault="00123961">
      <w:pPr>
        <w:shd w:val="clear" w:color="auto" w:fill="FFFFFF"/>
        <w:tabs>
          <w:tab w:val="left" w:pos="0"/>
        </w:tabs>
        <w:spacing w:after="0" w:line="259" w:lineRule="auto"/>
        <w:jc w:val="center"/>
        <w:rPr>
          <w:rFonts w:ascii="Times New Roman" w:hAnsi="Times New Roman"/>
          <w:b/>
          <w:color w:val="000000"/>
          <w:sz w:val="26"/>
          <w:szCs w:val="26"/>
          <w:lang w:eastAsia="en-US"/>
        </w:rPr>
      </w:pPr>
      <w:r>
        <w:rPr>
          <w:rFonts w:ascii="Times New Roman" w:hAnsi="Times New Roman"/>
          <w:b/>
          <w:color w:val="000000"/>
          <w:sz w:val="26"/>
          <w:szCs w:val="26"/>
          <w:lang w:eastAsia="en-US"/>
        </w:rPr>
        <w:t>Данные по плановым и фактическим значениям затрат по основным направлениям инновационного развития</w:t>
      </w:r>
    </w:p>
    <w:tbl>
      <w:tblPr>
        <w:tblW w:w="9356" w:type="dxa"/>
        <w:tblInd w:w="109" w:type="dxa"/>
        <w:tblLayout w:type="fixed"/>
        <w:tblLook w:val="04A0" w:firstRow="1" w:lastRow="0" w:firstColumn="1" w:lastColumn="0" w:noHBand="0" w:noVBand="1"/>
      </w:tblPr>
      <w:tblGrid>
        <w:gridCol w:w="508"/>
        <w:gridCol w:w="5187"/>
        <w:gridCol w:w="1831"/>
        <w:gridCol w:w="1830"/>
      </w:tblGrid>
      <w:tr w:rsidR="002449C2" w14:paraId="5CE68889" w14:textId="77777777">
        <w:trPr>
          <w:trHeight w:val="649"/>
        </w:trPr>
        <w:tc>
          <w:tcPr>
            <w:tcW w:w="508" w:type="dxa"/>
            <w:tcBorders>
              <w:top w:val="single" w:sz="4" w:space="0" w:color="000000"/>
              <w:left w:val="single" w:sz="4" w:space="0" w:color="000000"/>
              <w:bottom w:val="single" w:sz="4" w:space="0" w:color="000000"/>
              <w:right w:val="single" w:sz="4" w:space="0" w:color="000000"/>
            </w:tcBorders>
            <w:vAlign w:val="center"/>
          </w:tcPr>
          <w:p w14:paraId="0589E911" w14:textId="77777777" w:rsidR="002449C2" w:rsidRDefault="00123961">
            <w:pPr>
              <w:shd w:val="clear" w:color="auto" w:fill="FFFFFF"/>
              <w:tabs>
                <w:tab w:val="left" w:pos="1080"/>
                <w:tab w:val="left" w:pos="1320"/>
              </w:tabs>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w:t>
            </w:r>
          </w:p>
          <w:p w14:paraId="16BEE2B5" w14:textId="77777777" w:rsidR="002449C2" w:rsidRDefault="00123961">
            <w:pPr>
              <w:shd w:val="clear" w:color="auto" w:fill="FFFFFF"/>
              <w:tabs>
                <w:tab w:val="left" w:pos="1080"/>
                <w:tab w:val="left" w:pos="1320"/>
              </w:tabs>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п/п</w:t>
            </w:r>
          </w:p>
        </w:tc>
        <w:tc>
          <w:tcPr>
            <w:tcW w:w="5186" w:type="dxa"/>
            <w:tcBorders>
              <w:top w:val="single" w:sz="4" w:space="0" w:color="000000"/>
              <w:left w:val="single" w:sz="4" w:space="0" w:color="000000"/>
              <w:bottom w:val="single" w:sz="4" w:space="0" w:color="000000"/>
              <w:right w:val="single" w:sz="4" w:space="0" w:color="000000"/>
            </w:tcBorders>
            <w:vAlign w:val="center"/>
          </w:tcPr>
          <w:p w14:paraId="340BEFB4" w14:textId="77777777" w:rsidR="002449C2" w:rsidRDefault="00123961">
            <w:pPr>
              <w:shd w:val="clear" w:color="auto" w:fill="FFFFFF"/>
              <w:tabs>
                <w:tab w:val="left" w:pos="1080"/>
                <w:tab w:val="left" w:pos="1320"/>
              </w:tabs>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Направления инновационного развития</w:t>
            </w:r>
          </w:p>
        </w:tc>
        <w:tc>
          <w:tcPr>
            <w:tcW w:w="1831" w:type="dxa"/>
            <w:tcBorders>
              <w:top w:val="single" w:sz="4" w:space="0" w:color="000000"/>
              <w:left w:val="single" w:sz="4" w:space="0" w:color="000000"/>
              <w:bottom w:val="single" w:sz="4" w:space="0" w:color="000000"/>
              <w:right w:val="single" w:sz="4" w:space="0" w:color="000000"/>
            </w:tcBorders>
            <w:vAlign w:val="center"/>
          </w:tcPr>
          <w:p w14:paraId="48F79DD6" w14:textId="77777777" w:rsidR="002449C2" w:rsidRDefault="00123961">
            <w:pPr>
              <w:shd w:val="clear" w:color="auto" w:fill="FFFFFF"/>
              <w:tabs>
                <w:tab w:val="left" w:pos="1080"/>
                <w:tab w:val="left" w:pos="1320"/>
              </w:tabs>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План затрат,</w:t>
            </w:r>
          </w:p>
          <w:p w14:paraId="5E6F0597" w14:textId="77777777" w:rsidR="002449C2" w:rsidRDefault="00123961">
            <w:pPr>
              <w:shd w:val="clear" w:color="auto" w:fill="FFFFFF"/>
              <w:tabs>
                <w:tab w:val="left" w:pos="1080"/>
                <w:tab w:val="left" w:pos="1320"/>
              </w:tabs>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млн руб (без НДС)</w:t>
            </w:r>
          </w:p>
        </w:tc>
        <w:tc>
          <w:tcPr>
            <w:tcW w:w="1830" w:type="dxa"/>
            <w:tcBorders>
              <w:top w:val="single" w:sz="4" w:space="0" w:color="000000"/>
              <w:left w:val="single" w:sz="4" w:space="0" w:color="000000"/>
              <w:bottom w:val="single" w:sz="4" w:space="0" w:color="000000"/>
              <w:right w:val="single" w:sz="4" w:space="0" w:color="000000"/>
            </w:tcBorders>
            <w:vAlign w:val="center"/>
          </w:tcPr>
          <w:p w14:paraId="64364C71" w14:textId="77777777" w:rsidR="002449C2" w:rsidRDefault="00123961">
            <w:pPr>
              <w:shd w:val="clear" w:color="auto" w:fill="FFFFFF"/>
              <w:tabs>
                <w:tab w:val="left" w:pos="1080"/>
                <w:tab w:val="left" w:pos="1320"/>
              </w:tabs>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Факт затрат,</w:t>
            </w:r>
          </w:p>
          <w:p w14:paraId="121F7C0C" w14:textId="77777777" w:rsidR="002449C2" w:rsidRDefault="00123961">
            <w:pPr>
              <w:shd w:val="clear" w:color="auto" w:fill="FFFFFF"/>
              <w:tabs>
                <w:tab w:val="left" w:pos="1080"/>
                <w:tab w:val="left" w:pos="1320"/>
              </w:tabs>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млн руб (без НДС)</w:t>
            </w:r>
          </w:p>
        </w:tc>
      </w:tr>
      <w:tr w:rsidR="002449C2" w14:paraId="1D5D1251" w14:textId="77777777">
        <w:trPr>
          <w:trHeight w:val="556"/>
        </w:trPr>
        <w:tc>
          <w:tcPr>
            <w:tcW w:w="508" w:type="dxa"/>
            <w:tcBorders>
              <w:top w:val="single" w:sz="4" w:space="0" w:color="000000"/>
              <w:left w:val="single" w:sz="4" w:space="0" w:color="000000"/>
              <w:bottom w:val="single" w:sz="4" w:space="0" w:color="000000"/>
              <w:right w:val="single" w:sz="4" w:space="0" w:color="000000"/>
            </w:tcBorders>
            <w:vAlign w:val="center"/>
          </w:tcPr>
          <w:p w14:paraId="1310E81C" w14:textId="77777777" w:rsidR="002449C2" w:rsidRDefault="00123961">
            <w:pPr>
              <w:shd w:val="clear" w:color="auto" w:fill="FFFFFF"/>
              <w:tabs>
                <w:tab w:val="left" w:pos="1080"/>
                <w:tab w:val="left" w:pos="1320"/>
              </w:tabs>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1</w:t>
            </w:r>
          </w:p>
        </w:tc>
        <w:tc>
          <w:tcPr>
            <w:tcW w:w="5186" w:type="dxa"/>
            <w:tcBorders>
              <w:top w:val="single" w:sz="4" w:space="0" w:color="000000"/>
              <w:left w:val="single" w:sz="4" w:space="0" w:color="000000"/>
              <w:bottom w:val="single" w:sz="4" w:space="0" w:color="000000"/>
              <w:right w:val="single" w:sz="4" w:space="0" w:color="000000"/>
            </w:tcBorders>
            <w:vAlign w:val="center"/>
          </w:tcPr>
          <w:p w14:paraId="0AA522B6" w14:textId="77777777" w:rsidR="002449C2" w:rsidRDefault="00123961">
            <w:pPr>
              <w:shd w:val="clear" w:color="auto" w:fill="FFFFFF"/>
              <w:tabs>
                <w:tab w:val="left" w:pos="1080"/>
                <w:tab w:val="left" w:pos="1320"/>
              </w:tabs>
              <w:spacing w:after="0" w:line="247" w:lineRule="auto"/>
              <w:jc w:val="both"/>
              <w:rPr>
                <w:rFonts w:ascii="Times New Roman" w:eastAsia="Times New Roman" w:hAnsi="Times New Roman"/>
                <w:lang w:eastAsia="ru-RU"/>
              </w:rPr>
            </w:pPr>
            <w:r>
              <w:rPr>
                <w:rFonts w:ascii="Times New Roman" w:eastAsia="Times New Roman" w:hAnsi="Times New Roman"/>
                <w:lang w:eastAsia="ru-RU"/>
              </w:rPr>
              <w:t>Переход к интеллектуальным подстанциям класса напряжения 35-220 кВ</w:t>
            </w:r>
          </w:p>
        </w:tc>
        <w:tc>
          <w:tcPr>
            <w:tcW w:w="1831" w:type="dxa"/>
            <w:tcBorders>
              <w:top w:val="single" w:sz="4" w:space="0" w:color="000000"/>
              <w:left w:val="single" w:sz="4" w:space="0" w:color="000000"/>
              <w:bottom w:val="single" w:sz="4" w:space="0" w:color="000000"/>
              <w:right w:val="single" w:sz="4" w:space="0" w:color="000000"/>
            </w:tcBorders>
            <w:vAlign w:val="center"/>
          </w:tcPr>
          <w:p w14:paraId="7C315DDB" w14:textId="77777777" w:rsidR="002449C2" w:rsidRDefault="00123961">
            <w:pPr>
              <w:shd w:val="clear" w:color="auto" w:fill="FFFFFF"/>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39,99</w:t>
            </w:r>
          </w:p>
        </w:tc>
        <w:tc>
          <w:tcPr>
            <w:tcW w:w="1830" w:type="dxa"/>
            <w:tcBorders>
              <w:top w:val="single" w:sz="4" w:space="0" w:color="000000"/>
              <w:left w:val="single" w:sz="4" w:space="0" w:color="000000"/>
              <w:bottom w:val="single" w:sz="4" w:space="0" w:color="000000"/>
              <w:right w:val="single" w:sz="4" w:space="0" w:color="000000"/>
            </w:tcBorders>
            <w:vAlign w:val="center"/>
          </w:tcPr>
          <w:p w14:paraId="0CEA8E2D" w14:textId="77777777" w:rsidR="002449C2" w:rsidRDefault="00123961">
            <w:pPr>
              <w:shd w:val="clear" w:color="auto" w:fill="FFFFFF"/>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13,17</w:t>
            </w:r>
          </w:p>
        </w:tc>
      </w:tr>
      <w:tr w:rsidR="002449C2" w14:paraId="5A91BE3F" w14:textId="77777777">
        <w:trPr>
          <w:trHeight w:val="834"/>
        </w:trPr>
        <w:tc>
          <w:tcPr>
            <w:tcW w:w="508" w:type="dxa"/>
            <w:tcBorders>
              <w:top w:val="single" w:sz="4" w:space="0" w:color="000000"/>
              <w:left w:val="single" w:sz="4" w:space="0" w:color="000000"/>
              <w:bottom w:val="single" w:sz="4" w:space="0" w:color="000000"/>
              <w:right w:val="single" w:sz="4" w:space="0" w:color="000000"/>
            </w:tcBorders>
            <w:vAlign w:val="center"/>
          </w:tcPr>
          <w:p w14:paraId="16946939" w14:textId="77777777" w:rsidR="002449C2" w:rsidRDefault="00123961">
            <w:pPr>
              <w:shd w:val="clear" w:color="auto" w:fill="FFFFFF"/>
              <w:tabs>
                <w:tab w:val="left" w:pos="1080"/>
                <w:tab w:val="left" w:pos="1320"/>
              </w:tabs>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2</w:t>
            </w:r>
          </w:p>
        </w:tc>
        <w:tc>
          <w:tcPr>
            <w:tcW w:w="5186" w:type="dxa"/>
            <w:tcBorders>
              <w:top w:val="single" w:sz="4" w:space="0" w:color="000000"/>
              <w:left w:val="single" w:sz="4" w:space="0" w:color="000000"/>
              <w:bottom w:val="single" w:sz="4" w:space="0" w:color="000000"/>
              <w:right w:val="single" w:sz="4" w:space="0" w:color="000000"/>
            </w:tcBorders>
            <w:vAlign w:val="center"/>
          </w:tcPr>
          <w:p w14:paraId="5695613C" w14:textId="77777777" w:rsidR="002449C2" w:rsidRDefault="00123961">
            <w:pPr>
              <w:shd w:val="clear" w:color="auto" w:fill="FFFFFF"/>
              <w:tabs>
                <w:tab w:val="left" w:pos="1080"/>
                <w:tab w:val="left" w:pos="1320"/>
              </w:tabs>
              <w:spacing w:after="0" w:line="247" w:lineRule="auto"/>
              <w:jc w:val="both"/>
              <w:rPr>
                <w:rFonts w:ascii="Times New Roman" w:eastAsia="Times New Roman" w:hAnsi="Times New Roman"/>
                <w:lang w:eastAsia="ru-RU"/>
              </w:rPr>
            </w:pPr>
            <w:r>
              <w:rPr>
                <w:rFonts w:ascii="Times New Roman" w:eastAsia="Times New Roman" w:hAnsi="Times New Roman"/>
                <w:lang w:eastAsia="ru-RU"/>
              </w:rPr>
              <w:t>Переход к активно-адаптивным сетям с распределенной интеллектуальной системой автоматизации и управления</w:t>
            </w:r>
          </w:p>
        </w:tc>
        <w:tc>
          <w:tcPr>
            <w:tcW w:w="1831" w:type="dxa"/>
            <w:tcBorders>
              <w:top w:val="single" w:sz="4" w:space="0" w:color="000000"/>
              <w:left w:val="single" w:sz="4" w:space="0" w:color="000000"/>
              <w:bottom w:val="single" w:sz="4" w:space="0" w:color="000000"/>
              <w:right w:val="single" w:sz="4" w:space="0" w:color="000000"/>
            </w:tcBorders>
            <w:vAlign w:val="center"/>
          </w:tcPr>
          <w:p w14:paraId="3BC0171C" w14:textId="77777777" w:rsidR="002449C2" w:rsidRDefault="00123961">
            <w:pPr>
              <w:shd w:val="clear" w:color="auto" w:fill="FFFFFF"/>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165,06</w:t>
            </w:r>
          </w:p>
        </w:tc>
        <w:tc>
          <w:tcPr>
            <w:tcW w:w="1830" w:type="dxa"/>
            <w:tcBorders>
              <w:top w:val="single" w:sz="4" w:space="0" w:color="000000"/>
              <w:left w:val="single" w:sz="4" w:space="0" w:color="000000"/>
              <w:bottom w:val="single" w:sz="4" w:space="0" w:color="000000"/>
              <w:right w:val="single" w:sz="4" w:space="0" w:color="000000"/>
            </w:tcBorders>
            <w:vAlign w:val="center"/>
          </w:tcPr>
          <w:p w14:paraId="53435E9E" w14:textId="77777777" w:rsidR="002449C2" w:rsidRDefault="00123961">
            <w:pPr>
              <w:shd w:val="clear" w:color="auto" w:fill="FFFFFF"/>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187,68</w:t>
            </w:r>
          </w:p>
        </w:tc>
      </w:tr>
      <w:tr w:rsidR="002449C2" w14:paraId="20957664" w14:textId="77777777">
        <w:trPr>
          <w:trHeight w:val="596"/>
        </w:trPr>
        <w:tc>
          <w:tcPr>
            <w:tcW w:w="508" w:type="dxa"/>
            <w:tcBorders>
              <w:top w:val="single" w:sz="4" w:space="0" w:color="000000"/>
              <w:left w:val="single" w:sz="4" w:space="0" w:color="000000"/>
              <w:bottom w:val="single" w:sz="4" w:space="0" w:color="000000"/>
              <w:right w:val="single" w:sz="4" w:space="0" w:color="000000"/>
            </w:tcBorders>
            <w:vAlign w:val="center"/>
          </w:tcPr>
          <w:p w14:paraId="243C517A" w14:textId="77777777" w:rsidR="002449C2" w:rsidRDefault="00123961">
            <w:pPr>
              <w:shd w:val="clear" w:color="auto" w:fill="FFFFFF"/>
              <w:tabs>
                <w:tab w:val="left" w:pos="1080"/>
                <w:tab w:val="left" w:pos="1320"/>
              </w:tabs>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3</w:t>
            </w:r>
          </w:p>
        </w:tc>
        <w:tc>
          <w:tcPr>
            <w:tcW w:w="5186" w:type="dxa"/>
            <w:tcBorders>
              <w:top w:val="single" w:sz="4" w:space="0" w:color="000000"/>
              <w:left w:val="single" w:sz="4" w:space="0" w:color="000000"/>
              <w:bottom w:val="single" w:sz="4" w:space="0" w:color="000000"/>
              <w:right w:val="single" w:sz="4" w:space="0" w:color="000000"/>
            </w:tcBorders>
            <w:vAlign w:val="center"/>
          </w:tcPr>
          <w:p w14:paraId="390E7FF3" w14:textId="77777777" w:rsidR="002449C2" w:rsidRDefault="00123961">
            <w:pPr>
              <w:shd w:val="clear" w:color="auto" w:fill="FFFFFF"/>
              <w:tabs>
                <w:tab w:val="left" w:pos="1080"/>
                <w:tab w:val="left" w:pos="1320"/>
              </w:tabs>
              <w:spacing w:after="0" w:line="247" w:lineRule="auto"/>
              <w:jc w:val="both"/>
              <w:rPr>
                <w:rFonts w:ascii="Times New Roman" w:eastAsia="Times New Roman" w:hAnsi="Times New Roman"/>
                <w:lang w:eastAsia="ru-RU"/>
              </w:rPr>
            </w:pPr>
            <w:r>
              <w:rPr>
                <w:rFonts w:ascii="Times New Roman" w:eastAsia="Times New Roman" w:hAnsi="Times New Roman"/>
                <w:lang w:eastAsia="ru-RU"/>
              </w:rPr>
              <w:t>Переход к комплексной эффективности бизнес-процессов и автоматизации систем управления</w:t>
            </w:r>
          </w:p>
        </w:tc>
        <w:tc>
          <w:tcPr>
            <w:tcW w:w="1831" w:type="dxa"/>
            <w:tcBorders>
              <w:top w:val="single" w:sz="4" w:space="0" w:color="000000"/>
              <w:left w:val="single" w:sz="4" w:space="0" w:color="000000"/>
              <w:bottom w:val="single" w:sz="4" w:space="0" w:color="000000"/>
              <w:right w:val="single" w:sz="4" w:space="0" w:color="000000"/>
            </w:tcBorders>
            <w:vAlign w:val="center"/>
          </w:tcPr>
          <w:p w14:paraId="7C4F63D1" w14:textId="77777777" w:rsidR="002449C2" w:rsidRDefault="00123961">
            <w:pPr>
              <w:shd w:val="clear" w:color="auto" w:fill="FFFFFF"/>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5,04</w:t>
            </w:r>
          </w:p>
        </w:tc>
        <w:tc>
          <w:tcPr>
            <w:tcW w:w="1830" w:type="dxa"/>
            <w:tcBorders>
              <w:top w:val="single" w:sz="4" w:space="0" w:color="000000"/>
              <w:left w:val="single" w:sz="4" w:space="0" w:color="000000"/>
              <w:bottom w:val="single" w:sz="4" w:space="0" w:color="000000"/>
              <w:right w:val="single" w:sz="4" w:space="0" w:color="000000"/>
            </w:tcBorders>
            <w:vAlign w:val="center"/>
          </w:tcPr>
          <w:p w14:paraId="0CB54144" w14:textId="77777777" w:rsidR="002449C2" w:rsidRDefault="00123961">
            <w:pPr>
              <w:shd w:val="clear" w:color="auto" w:fill="FFFFFF"/>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5,04</w:t>
            </w:r>
          </w:p>
        </w:tc>
      </w:tr>
      <w:tr w:rsidR="002449C2" w14:paraId="1460B211" w14:textId="77777777">
        <w:trPr>
          <w:trHeight w:val="596"/>
        </w:trPr>
        <w:tc>
          <w:tcPr>
            <w:tcW w:w="508" w:type="dxa"/>
            <w:tcBorders>
              <w:top w:val="single" w:sz="4" w:space="0" w:color="000000"/>
              <w:left w:val="single" w:sz="4" w:space="0" w:color="000000"/>
              <w:bottom w:val="single" w:sz="4" w:space="0" w:color="000000"/>
              <w:right w:val="single" w:sz="4" w:space="0" w:color="000000"/>
            </w:tcBorders>
            <w:vAlign w:val="center"/>
          </w:tcPr>
          <w:p w14:paraId="20EBA602" w14:textId="77777777" w:rsidR="002449C2" w:rsidRDefault="00123961">
            <w:pPr>
              <w:shd w:val="clear" w:color="auto" w:fill="FFFFFF"/>
              <w:tabs>
                <w:tab w:val="left" w:pos="1080"/>
                <w:tab w:val="left" w:pos="1320"/>
              </w:tabs>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4</w:t>
            </w:r>
          </w:p>
        </w:tc>
        <w:tc>
          <w:tcPr>
            <w:tcW w:w="5186" w:type="dxa"/>
            <w:tcBorders>
              <w:top w:val="single" w:sz="4" w:space="0" w:color="000000"/>
              <w:left w:val="single" w:sz="4" w:space="0" w:color="000000"/>
              <w:bottom w:val="single" w:sz="4" w:space="0" w:color="000000"/>
              <w:right w:val="single" w:sz="4" w:space="0" w:color="000000"/>
            </w:tcBorders>
            <w:vAlign w:val="center"/>
          </w:tcPr>
          <w:p w14:paraId="0B4C5FBD" w14:textId="77777777" w:rsidR="002449C2" w:rsidRDefault="00123961">
            <w:pPr>
              <w:shd w:val="clear" w:color="auto" w:fill="FFFFFF"/>
              <w:tabs>
                <w:tab w:val="left" w:pos="1080"/>
                <w:tab w:val="left" w:pos="1320"/>
              </w:tabs>
              <w:spacing w:after="0" w:line="247" w:lineRule="auto"/>
              <w:jc w:val="both"/>
              <w:rPr>
                <w:rFonts w:ascii="Times New Roman" w:eastAsia="Times New Roman" w:hAnsi="Times New Roman"/>
                <w:lang w:eastAsia="ru-RU"/>
              </w:rPr>
            </w:pPr>
            <w:r>
              <w:rPr>
                <w:rFonts w:ascii="Times New Roman" w:eastAsia="Times New Roman" w:hAnsi="Times New Roman"/>
                <w:lang w:eastAsia="ru-RU"/>
              </w:rPr>
              <w:t>Применение новых технологий и материалов в электроэнергетике</w:t>
            </w:r>
          </w:p>
        </w:tc>
        <w:tc>
          <w:tcPr>
            <w:tcW w:w="1831" w:type="dxa"/>
            <w:tcBorders>
              <w:top w:val="single" w:sz="4" w:space="0" w:color="000000"/>
              <w:left w:val="single" w:sz="4" w:space="0" w:color="000000"/>
              <w:bottom w:val="single" w:sz="4" w:space="0" w:color="000000"/>
              <w:right w:val="single" w:sz="4" w:space="0" w:color="000000"/>
            </w:tcBorders>
            <w:vAlign w:val="center"/>
          </w:tcPr>
          <w:p w14:paraId="0C01944E" w14:textId="77777777" w:rsidR="002449C2" w:rsidRDefault="00123961">
            <w:pPr>
              <w:shd w:val="clear" w:color="auto" w:fill="FFFFFF"/>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0,00</w:t>
            </w:r>
          </w:p>
        </w:tc>
        <w:tc>
          <w:tcPr>
            <w:tcW w:w="1830" w:type="dxa"/>
            <w:tcBorders>
              <w:top w:val="single" w:sz="4" w:space="0" w:color="000000"/>
              <w:left w:val="single" w:sz="4" w:space="0" w:color="000000"/>
              <w:bottom w:val="single" w:sz="4" w:space="0" w:color="000000"/>
              <w:right w:val="single" w:sz="4" w:space="0" w:color="000000"/>
            </w:tcBorders>
            <w:vAlign w:val="center"/>
          </w:tcPr>
          <w:p w14:paraId="33A3221E" w14:textId="77777777" w:rsidR="002449C2" w:rsidRDefault="00123961">
            <w:pPr>
              <w:shd w:val="clear" w:color="auto" w:fill="FFFFFF"/>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0,00</w:t>
            </w:r>
          </w:p>
        </w:tc>
      </w:tr>
      <w:tr w:rsidR="002449C2" w14:paraId="2C01DFD2" w14:textId="77777777">
        <w:trPr>
          <w:trHeight w:val="596"/>
        </w:trPr>
        <w:tc>
          <w:tcPr>
            <w:tcW w:w="508" w:type="dxa"/>
            <w:tcBorders>
              <w:top w:val="single" w:sz="4" w:space="0" w:color="000000"/>
              <w:left w:val="single" w:sz="4" w:space="0" w:color="000000"/>
              <w:bottom w:val="single" w:sz="4" w:space="0" w:color="000000"/>
              <w:right w:val="single" w:sz="4" w:space="0" w:color="000000"/>
            </w:tcBorders>
            <w:vAlign w:val="center"/>
          </w:tcPr>
          <w:p w14:paraId="5C9BEF7F" w14:textId="77777777" w:rsidR="002449C2" w:rsidRDefault="00123961">
            <w:pPr>
              <w:shd w:val="clear" w:color="auto" w:fill="FFFFFF"/>
              <w:tabs>
                <w:tab w:val="left" w:pos="1080"/>
                <w:tab w:val="left" w:pos="1320"/>
              </w:tabs>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5</w:t>
            </w:r>
          </w:p>
        </w:tc>
        <w:tc>
          <w:tcPr>
            <w:tcW w:w="5186" w:type="dxa"/>
            <w:tcBorders>
              <w:top w:val="single" w:sz="4" w:space="0" w:color="000000"/>
              <w:left w:val="single" w:sz="4" w:space="0" w:color="000000"/>
              <w:bottom w:val="single" w:sz="4" w:space="0" w:color="000000"/>
              <w:right w:val="single" w:sz="4" w:space="0" w:color="000000"/>
            </w:tcBorders>
            <w:vAlign w:val="center"/>
          </w:tcPr>
          <w:p w14:paraId="653FB340" w14:textId="77777777" w:rsidR="002449C2" w:rsidRDefault="00123961">
            <w:pPr>
              <w:shd w:val="clear" w:color="auto" w:fill="FFFFFF"/>
              <w:tabs>
                <w:tab w:val="left" w:pos="1080"/>
                <w:tab w:val="left" w:pos="1320"/>
              </w:tabs>
              <w:spacing w:after="0" w:line="247" w:lineRule="auto"/>
              <w:jc w:val="both"/>
              <w:rPr>
                <w:rFonts w:ascii="Times New Roman" w:eastAsia="Times New Roman" w:hAnsi="Times New Roman"/>
                <w:lang w:eastAsia="ru-RU"/>
              </w:rPr>
            </w:pPr>
            <w:r>
              <w:rPr>
                <w:rFonts w:ascii="Times New Roman" w:eastAsia="Times New Roman" w:hAnsi="Times New Roman"/>
                <w:lang w:eastAsia="ru-RU"/>
              </w:rPr>
              <w:t>Развитие системы разработки и внедрения инновационной продукции и технологий, мероприятия НИОКР</w:t>
            </w:r>
          </w:p>
        </w:tc>
        <w:tc>
          <w:tcPr>
            <w:tcW w:w="1831" w:type="dxa"/>
            <w:tcBorders>
              <w:top w:val="single" w:sz="4" w:space="0" w:color="000000"/>
              <w:left w:val="single" w:sz="4" w:space="0" w:color="000000"/>
              <w:bottom w:val="single" w:sz="4" w:space="0" w:color="000000"/>
              <w:right w:val="single" w:sz="4" w:space="0" w:color="000000"/>
            </w:tcBorders>
            <w:vAlign w:val="center"/>
          </w:tcPr>
          <w:p w14:paraId="57CC8F77" w14:textId="77777777" w:rsidR="002449C2" w:rsidRDefault="00123961">
            <w:pPr>
              <w:shd w:val="clear" w:color="auto" w:fill="FFFFFF"/>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10,277</w:t>
            </w:r>
          </w:p>
        </w:tc>
        <w:tc>
          <w:tcPr>
            <w:tcW w:w="1830" w:type="dxa"/>
            <w:tcBorders>
              <w:top w:val="single" w:sz="4" w:space="0" w:color="000000"/>
              <w:left w:val="single" w:sz="4" w:space="0" w:color="000000"/>
              <w:bottom w:val="single" w:sz="4" w:space="0" w:color="000000"/>
              <w:right w:val="single" w:sz="4" w:space="0" w:color="000000"/>
            </w:tcBorders>
            <w:vAlign w:val="center"/>
          </w:tcPr>
          <w:p w14:paraId="5DA8B3AD" w14:textId="77777777" w:rsidR="002449C2" w:rsidRDefault="00123961">
            <w:pPr>
              <w:shd w:val="clear" w:color="auto" w:fill="FFFFFF"/>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32,227</w:t>
            </w:r>
          </w:p>
        </w:tc>
      </w:tr>
      <w:tr w:rsidR="002449C2" w14:paraId="5C5FE04D" w14:textId="77777777">
        <w:trPr>
          <w:trHeight w:val="596"/>
        </w:trPr>
        <w:tc>
          <w:tcPr>
            <w:tcW w:w="508" w:type="dxa"/>
            <w:tcBorders>
              <w:top w:val="single" w:sz="4" w:space="0" w:color="000000"/>
              <w:left w:val="single" w:sz="4" w:space="0" w:color="000000"/>
              <w:bottom w:val="single" w:sz="4" w:space="0" w:color="000000"/>
              <w:right w:val="single" w:sz="4" w:space="0" w:color="000000"/>
            </w:tcBorders>
            <w:vAlign w:val="center"/>
          </w:tcPr>
          <w:p w14:paraId="5EF44B50" w14:textId="77777777" w:rsidR="002449C2" w:rsidRDefault="00123961">
            <w:pPr>
              <w:shd w:val="clear" w:color="auto" w:fill="FFFFFF"/>
              <w:tabs>
                <w:tab w:val="left" w:pos="1080"/>
                <w:tab w:val="left" w:pos="1320"/>
              </w:tabs>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6</w:t>
            </w:r>
          </w:p>
        </w:tc>
        <w:tc>
          <w:tcPr>
            <w:tcW w:w="5186" w:type="dxa"/>
            <w:tcBorders>
              <w:top w:val="single" w:sz="4" w:space="0" w:color="000000"/>
              <w:left w:val="single" w:sz="4" w:space="0" w:color="000000"/>
              <w:bottom w:val="single" w:sz="4" w:space="0" w:color="000000"/>
              <w:right w:val="single" w:sz="4" w:space="0" w:color="000000"/>
            </w:tcBorders>
            <w:vAlign w:val="center"/>
          </w:tcPr>
          <w:p w14:paraId="5CFA159A" w14:textId="77777777" w:rsidR="002449C2" w:rsidRDefault="00123961">
            <w:pPr>
              <w:shd w:val="clear" w:color="auto" w:fill="FFFFFF"/>
              <w:tabs>
                <w:tab w:val="left" w:pos="1080"/>
                <w:tab w:val="left" w:pos="1320"/>
              </w:tabs>
              <w:spacing w:after="0" w:line="247" w:lineRule="auto"/>
              <w:jc w:val="both"/>
              <w:rPr>
                <w:rFonts w:ascii="Times New Roman" w:eastAsia="Times New Roman" w:hAnsi="Times New Roman"/>
                <w:lang w:eastAsia="ru-RU"/>
              </w:rPr>
            </w:pPr>
            <w:r>
              <w:rPr>
                <w:rFonts w:ascii="Times New Roman" w:eastAsia="Times New Roman" w:hAnsi="Times New Roman"/>
                <w:lang w:eastAsia="ru-RU"/>
              </w:rPr>
              <w:t>Внедрение организационных инноваций</w:t>
            </w:r>
          </w:p>
        </w:tc>
        <w:tc>
          <w:tcPr>
            <w:tcW w:w="1831" w:type="dxa"/>
            <w:tcBorders>
              <w:top w:val="single" w:sz="4" w:space="0" w:color="000000"/>
              <w:left w:val="single" w:sz="4" w:space="0" w:color="000000"/>
              <w:bottom w:val="single" w:sz="4" w:space="0" w:color="000000"/>
              <w:right w:val="single" w:sz="4" w:space="0" w:color="000000"/>
            </w:tcBorders>
            <w:vAlign w:val="center"/>
          </w:tcPr>
          <w:p w14:paraId="011B911C" w14:textId="77777777" w:rsidR="002449C2" w:rsidRDefault="00123961">
            <w:pPr>
              <w:shd w:val="clear" w:color="auto" w:fill="FFFFFF"/>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1,60</w:t>
            </w:r>
          </w:p>
        </w:tc>
        <w:tc>
          <w:tcPr>
            <w:tcW w:w="1830" w:type="dxa"/>
            <w:tcBorders>
              <w:top w:val="single" w:sz="4" w:space="0" w:color="000000"/>
              <w:left w:val="single" w:sz="4" w:space="0" w:color="000000"/>
              <w:bottom w:val="single" w:sz="4" w:space="0" w:color="000000"/>
              <w:right w:val="single" w:sz="4" w:space="0" w:color="000000"/>
            </w:tcBorders>
            <w:vAlign w:val="center"/>
          </w:tcPr>
          <w:p w14:paraId="199AA2AF" w14:textId="77777777" w:rsidR="002449C2" w:rsidRDefault="00123961">
            <w:pPr>
              <w:shd w:val="clear" w:color="auto" w:fill="FFFFFF"/>
              <w:spacing w:after="0" w:line="247" w:lineRule="auto"/>
              <w:jc w:val="center"/>
              <w:rPr>
                <w:rFonts w:ascii="Times New Roman" w:eastAsia="Times New Roman" w:hAnsi="Times New Roman"/>
                <w:lang w:eastAsia="ru-RU"/>
              </w:rPr>
            </w:pPr>
            <w:r>
              <w:rPr>
                <w:rFonts w:ascii="Times New Roman" w:eastAsia="Times New Roman" w:hAnsi="Times New Roman"/>
                <w:lang w:eastAsia="ru-RU"/>
              </w:rPr>
              <w:t>1,16</w:t>
            </w:r>
          </w:p>
        </w:tc>
      </w:tr>
    </w:tbl>
    <w:p w14:paraId="652CCF50" w14:textId="77777777" w:rsidR="002449C2" w:rsidRDefault="002449C2">
      <w:pPr>
        <w:shd w:val="clear" w:color="auto" w:fill="FFFFFF"/>
        <w:spacing w:after="0" w:line="247" w:lineRule="auto"/>
        <w:jc w:val="both"/>
        <w:rPr>
          <w:rFonts w:ascii="Cambria" w:eastAsia="Times New Roman" w:hAnsi="Cambria"/>
          <w:sz w:val="6"/>
          <w:szCs w:val="6"/>
          <w:lang w:eastAsia="ru-RU"/>
        </w:rPr>
      </w:pPr>
    </w:p>
    <w:tbl>
      <w:tblPr>
        <w:tblW w:w="9498" w:type="dxa"/>
        <w:tblLayout w:type="fixed"/>
        <w:tblLook w:val="04A0" w:firstRow="1" w:lastRow="0" w:firstColumn="1" w:lastColumn="0" w:noHBand="0" w:noVBand="1"/>
      </w:tblPr>
      <w:tblGrid>
        <w:gridCol w:w="9498"/>
      </w:tblGrid>
      <w:tr w:rsidR="002449C2" w14:paraId="19F4C957" w14:textId="77777777">
        <w:tc>
          <w:tcPr>
            <w:tcW w:w="9498" w:type="dxa"/>
          </w:tcPr>
          <w:p w14:paraId="031A106D" w14:textId="77777777" w:rsidR="002449C2" w:rsidRDefault="002449C2">
            <w:pPr>
              <w:shd w:val="clear" w:color="auto" w:fill="FFFFFF"/>
              <w:tabs>
                <w:tab w:val="left" w:pos="1276"/>
              </w:tabs>
              <w:spacing w:after="0" w:line="247" w:lineRule="auto"/>
              <w:ind w:firstLine="709"/>
              <w:contextualSpacing/>
              <w:jc w:val="both"/>
              <w:rPr>
                <w:rFonts w:ascii="Cambria" w:eastAsia="Times New Roman" w:hAnsi="Cambria" w:cs="Calibri"/>
                <w:b/>
                <w:spacing w:val="20"/>
                <w:sz w:val="26"/>
                <w:szCs w:val="26"/>
                <w:lang w:eastAsia="ru-RU"/>
              </w:rPr>
            </w:pPr>
          </w:p>
        </w:tc>
      </w:tr>
    </w:tbl>
    <w:p w14:paraId="5EDCDABC" w14:textId="77777777" w:rsidR="002449C2" w:rsidRDefault="00123961">
      <w:pPr>
        <w:shd w:val="clear" w:color="auto" w:fill="FFFFFF"/>
        <w:tabs>
          <w:tab w:val="left" w:pos="0"/>
        </w:tabs>
        <w:spacing w:after="120" w:line="259" w:lineRule="auto"/>
        <w:jc w:val="center"/>
        <w:rPr>
          <w:rFonts w:ascii="Times New Roman" w:hAnsi="Times New Roman"/>
          <w:b/>
          <w:color w:val="000000"/>
          <w:sz w:val="26"/>
          <w:szCs w:val="26"/>
          <w:lang w:eastAsia="en-US"/>
        </w:rPr>
      </w:pPr>
      <w:r>
        <w:br w:type="page"/>
      </w:r>
      <w:r>
        <w:rPr>
          <w:rFonts w:ascii="Times New Roman" w:hAnsi="Times New Roman"/>
          <w:b/>
          <w:color w:val="000000"/>
          <w:sz w:val="26"/>
          <w:szCs w:val="26"/>
          <w:lang w:eastAsia="en-US"/>
        </w:rPr>
        <w:t>Научно-исследовательские и опытно-конструкторские работы</w:t>
      </w:r>
    </w:p>
    <w:p w14:paraId="59C03DC1" w14:textId="77777777" w:rsidR="002449C2" w:rsidRDefault="00123961">
      <w:pPr>
        <w:shd w:val="clear" w:color="auto" w:fill="FFFFFF"/>
        <w:spacing w:after="0" w:line="247"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Одним из основных направлений инновационного развития электросетевого комплекса является реализация Программы НИОКР, в рамках которой осуществляются мероприятия по обеспечению надежного (бесперебойного) и качественного энергоснабжения потребителей электроэнергии, снижение материальных затрат на ремонтно-эксплуатационное и техническое обслуживание ВЛ при минимальных материальных затратах на ремонтно-эксплуатационное и техническое обслуживание оборудования системы и переход к передаче сигналов в цифровом виде на всех уровнях управления подстанций.</w:t>
      </w:r>
    </w:p>
    <w:p w14:paraId="3F0DFEB0" w14:textId="77777777" w:rsidR="002449C2" w:rsidRDefault="00123961">
      <w:pPr>
        <w:shd w:val="clear" w:color="auto" w:fill="FFFFFF"/>
        <w:tabs>
          <w:tab w:val="left" w:pos="0"/>
        </w:tabs>
        <w:spacing w:before="120" w:after="120" w:line="259" w:lineRule="auto"/>
        <w:jc w:val="center"/>
        <w:rPr>
          <w:rFonts w:ascii="Times New Roman" w:hAnsi="Times New Roman"/>
          <w:b/>
          <w:color w:val="000000"/>
          <w:sz w:val="26"/>
          <w:szCs w:val="26"/>
          <w:lang w:eastAsia="en-US"/>
        </w:rPr>
      </w:pPr>
      <w:r>
        <w:rPr>
          <w:rFonts w:ascii="Times New Roman" w:hAnsi="Times New Roman"/>
          <w:b/>
          <w:color w:val="000000"/>
          <w:sz w:val="26"/>
          <w:szCs w:val="26"/>
          <w:lang w:eastAsia="en-US"/>
        </w:rPr>
        <w:t>В 2024 году выполнялись следующие НИОКР:</w:t>
      </w:r>
    </w:p>
    <w:p w14:paraId="16F07D28" w14:textId="77777777" w:rsidR="002449C2" w:rsidRDefault="00123961">
      <w:pPr>
        <w:pStyle w:val="afff6"/>
        <w:numPr>
          <w:ilvl w:val="3"/>
          <w:numId w:val="67"/>
        </w:numPr>
        <w:shd w:val="clear" w:color="auto" w:fill="FFFFFF"/>
        <w:spacing w:line="247" w:lineRule="auto"/>
        <w:ind w:left="0" w:firstLine="709"/>
        <w:jc w:val="both"/>
        <w:rPr>
          <w:rFonts w:eastAsia="Times New Roman"/>
          <w:sz w:val="26"/>
          <w:szCs w:val="26"/>
          <w:lang w:eastAsia="ru-RU"/>
        </w:rPr>
      </w:pPr>
      <w:r>
        <w:rPr>
          <w:rFonts w:eastAsia="Times New Roman"/>
          <w:sz w:val="26"/>
          <w:szCs w:val="26"/>
          <w:lang w:eastAsia="ru-RU"/>
        </w:rPr>
        <w:t>Научно-исследовательская и опытно-конструкторская работа (НИОКР) на тему: «Разработка автоматизированного цифрового рентгенографического комплекса для контроля состояния высоковольтного оборудования в эксплуатации», проводимая в соответствии с условиями заключенного между ПАО «Россети Юг» и АО «Инспекция по контролю технического состояния объектов электроэнергетики» (АО «Техническая инспекция ЕЭС») договора от 15.09.2021 №1509/2021/61002101000123.</w:t>
      </w:r>
    </w:p>
    <w:p w14:paraId="22FE2B7E" w14:textId="77777777" w:rsidR="002449C2" w:rsidRDefault="002449C2">
      <w:pPr>
        <w:shd w:val="clear" w:color="auto" w:fill="FFFFFF"/>
        <w:tabs>
          <w:tab w:val="left" w:pos="993"/>
        </w:tabs>
        <w:spacing w:after="0" w:line="247" w:lineRule="auto"/>
        <w:jc w:val="both"/>
        <w:rPr>
          <w:rFonts w:ascii="Times New Roman" w:eastAsia="Times New Roman" w:hAnsi="Times New Roman"/>
          <w:sz w:val="26"/>
          <w:szCs w:val="26"/>
          <w:lang w:eastAsia="ru-RU"/>
        </w:rPr>
      </w:pPr>
    </w:p>
    <w:p w14:paraId="0BD750F3" w14:textId="77777777" w:rsidR="002449C2" w:rsidRDefault="00123961">
      <w:pPr>
        <w:shd w:val="clear" w:color="auto" w:fill="FFFFFF"/>
        <w:tabs>
          <w:tab w:val="left" w:pos="993"/>
        </w:tabs>
        <w:spacing w:after="0" w:line="247"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Плановый эффект </w:t>
      </w:r>
      <w:proofErr w:type="gramStart"/>
      <w:r>
        <w:rPr>
          <w:rFonts w:ascii="Times New Roman" w:eastAsia="Times New Roman" w:hAnsi="Times New Roman"/>
          <w:sz w:val="26"/>
          <w:szCs w:val="26"/>
          <w:lang w:eastAsia="ru-RU"/>
        </w:rPr>
        <w:t>от выполнения</w:t>
      </w:r>
      <w:proofErr w:type="gramEnd"/>
      <w:r>
        <w:rPr>
          <w:rFonts w:ascii="Times New Roman" w:eastAsia="Times New Roman" w:hAnsi="Times New Roman"/>
          <w:sz w:val="26"/>
          <w:szCs w:val="26"/>
          <w:lang w:eastAsia="ru-RU"/>
        </w:rPr>
        <w:t xml:space="preserve"> указанного НИОКР заключался в создании мобильного приборно-аналитического комплекса на автомобильном самоходном шасси, позволяющим обеспечить следующие задачи:</w:t>
      </w:r>
    </w:p>
    <w:p w14:paraId="5E493B63" w14:textId="77777777" w:rsidR="002449C2" w:rsidRDefault="00123961">
      <w:pPr>
        <w:shd w:val="clear" w:color="auto" w:fill="FFFFFF"/>
        <w:tabs>
          <w:tab w:val="left" w:pos="993"/>
        </w:tabs>
        <w:spacing w:after="0" w:line="247"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выполнение оперативного рентгенографического контроля технического состояния высоковольтного электротехнического оборудования на месте его установки без демонтажа и вскрытия;</w:t>
      </w:r>
    </w:p>
    <w:p w14:paraId="3A783F40" w14:textId="77777777" w:rsidR="002449C2" w:rsidRDefault="00123961">
      <w:pPr>
        <w:shd w:val="clear" w:color="auto" w:fill="FFFFFF"/>
        <w:tabs>
          <w:tab w:val="left" w:pos="993"/>
        </w:tabs>
        <w:spacing w:after="0" w:line="247"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повышение информативности диагностирования и автоматизированной передачи результатов обследований в электронном (цифровом) формате на уровень сбора информационных данных и (или) локального управления ПАО «Россети Юг».</w:t>
      </w:r>
    </w:p>
    <w:p w14:paraId="321F3E83" w14:textId="77777777" w:rsidR="002449C2" w:rsidRDefault="002449C2">
      <w:pPr>
        <w:shd w:val="clear" w:color="auto" w:fill="FFFFFF"/>
        <w:tabs>
          <w:tab w:val="left" w:pos="993"/>
        </w:tabs>
        <w:spacing w:after="0" w:line="247" w:lineRule="auto"/>
        <w:jc w:val="both"/>
        <w:rPr>
          <w:rFonts w:ascii="Times New Roman" w:eastAsia="Times New Roman" w:hAnsi="Times New Roman"/>
          <w:sz w:val="26"/>
          <w:szCs w:val="26"/>
          <w:lang w:eastAsia="ru-RU"/>
        </w:rPr>
      </w:pPr>
    </w:p>
    <w:p w14:paraId="73ADED45" w14:textId="77777777" w:rsidR="002449C2" w:rsidRDefault="00123961">
      <w:pPr>
        <w:shd w:val="clear" w:color="auto" w:fill="FFFFFF"/>
        <w:tabs>
          <w:tab w:val="left" w:pos="993"/>
          <w:tab w:val="left" w:pos="1080"/>
          <w:tab w:val="left" w:pos="1320"/>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Техническими результатами выполнения в 2024 году НИОКР по разработке рентгенографического комплекса явились:</w:t>
      </w:r>
    </w:p>
    <w:p w14:paraId="72746D6B" w14:textId="77777777" w:rsidR="002449C2" w:rsidRDefault="00123961">
      <w:pPr>
        <w:shd w:val="clear" w:color="auto" w:fill="FFFFFF"/>
        <w:tabs>
          <w:tab w:val="left" w:pos="1134"/>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Проведены обучающие занятия с работниками филиала ПАО «Россети Юг» – «Ростовэнерго» навыкам работы с оборудованием созданного в результате выполнения НИОКР рентгенографического комплекса (РК) на автомобильном самоходном шасси;</w:t>
      </w:r>
    </w:p>
    <w:p w14:paraId="77969DB9" w14:textId="77777777" w:rsidR="002449C2" w:rsidRDefault="00123961">
      <w:pPr>
        <w:shd w:val="clear" w:color="auto" w:fill="FFFFFF"/>
        <w:tabs>
          <w:tab w:val="left" w:pos="1134"/>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Проведена опытно-промышленная эксплуатация (ОПЭ) рентгенографического комплекса (РК) на автомобильном самоходном шасси на ПС 110/35/6 кВ «Р-2», ПС 110/6 кВ «БТ-3» и пункте перехода (ПП) ВЛ 110 кВ в КЛ до ПС 110/10/6 кВ «Спортивная» производственного отделения «Центральные электрические сети «Ростовэнерго» для различных видов высоковольтного оборудования (ВВО);</w:t>
      </w:r>
    </w:p>
    <w:p w14:paraId="682DCC26" w14:textId="77777777" w:rsidR="002449C2" w:rsidRDefault="00123961">
      <w:pPr>
        <w:shd w:val="clear" w:color="auto" w:fill="FFFFFF"/>
        <w:tabs>
          <w:tab w:val="left" w:pos="1134"/>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Сформирована электронная база рентгенограмм высоковольтного оборудования (ВВО) и разработана вторая версия электронного программного обеспечения (ПО);</w:t>
      </w:r>
    </w:p>
    <w:p w14:paraId="3FFDB714" w14:textId="77777777" w:rsidR="002449C2" w:rsidRDefault="00123961">
      <w:pPr>
        <w:shd w:val="clear" w:color="auto" w:fill="FFFFFF"/>
        <w:tabs>
          <w:tab w:val="left" w:pos="1134"/>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Подготовлены отчетные документы о выполнении 3 этапа НИОКР, в том числе:</w:t>
      </w:r>
    </w:p>
    <w:p w14:paraId="03655BFA" w14:textId="77777777" w:rsidR="002449C2" w:rsidRDefault="00123961">
      <w:pPr>
        <w:shd w:val="clear" w:color="auto" w:fill="FFFFFF"/>
        <w:tabs>
          <w:tab w:val="left" w:pos="993"/>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Инструкция пользователя электронной программы для ЭВМ (Прикладного программного обеспечения (ПО)) (УДК 620.179.152.1 №1509/2021-3.2(2024)/4-0 (ПО));</w:t>
      </w:r>
    </w:p>
    <w:p w14:paraId="628633E6" w14:textId="77777777" w:rsidR="002449C2" w:rsidRDefault="00123961">
      <w:pPr>
        <w:shd w:val="clear" w:color="auto" w:fill="FFFFFF"/>
        <w:tabs>
          <w:tab w:val="left" w:pos="993"/>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Методика выполнения рентгенографического обследования высоковольтного оборудования (ВВО) на месте эксплуатации (УДК 620.179.152.1</w:t>
      </w:r>
      <w:r>
        <w:rPr>
          <w:rFonts w:ascii="Times New Roman" w:eastAsia="Times New Roman" w:hAnsi="Times New Roman"/>
          <w:sz w:val="26"/>
          <w:szCs w:val="26"/>
          <w:lang w:eastAsia="ru-RU"/>
        </w:rPr>
        <w:br/>
        <w:t>№ 509/2021-3.3(2024)/4-0 (МРО));</w:t>
      </w:r>
    </w:p>
    <w:p w14:paraId="5181F398" w14:textId="77777777" w:rsidR="002449C2" w:rsidRDefault="00123961">
      <w:pPr>
        <w:shd w:val="clear" w:color="auto" w:fill="FFFFFF"/>
        <w:tabs>
          <w:tab w:val="left" w:pos="993"/>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Инструкция по эксплуатации опытного образца рентгенографического комплекса (РК) на автомобильном самоходном шасси (УДК 620.179.152.1 №1509/2021-3.4(2024)/4-0 (РЭ));</w:t>
      </w:r>
    </w:p>
    <w:p w14:paraId="016ADD6C" w14:textId="77777777" w:rsidR="002449C2" w:rsidRDefault="00123961">
      <w:pPr>
        <w:shd w:val="clear" w:color="auto" w:fill="FFFFFF"/>
        <w:tabs>
          <w:tab w:val="left" w:pos="993"/>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Паспорт опытного образца рентгенографического комплекса (РК) на автомобильном самоходном шасси (УДК 620.179.152.1 №1509/2021-3.5(2024)/4-0 (ПС));</w:t>
      </w:r>
    </w:p>
    <w:p w14:paraId="7BBD2B7B" w14:textId="77777777" w:rsidR="002449C2" w:rsidRDefault="00123961">
      <w:pPr>
        <w:shd w:val="clear" w:color="auto" w:fill="FFFFFF"/>
        <w:tabs>
          <w:tab w:val="left" w:pos="993"/>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Копии направленных в ФГБУ «Федеральный институт промышленной собственности Федеральной службы по интеллектуальной собственности» (ФИПС) документов для защиты интеллектуальной собственности (Полезной модели) (УДК 620.179.152.1 №1509/2021-3.6(2024)/4-0 (ДИС)), в том числе, копия заявки для защиты интеллектуальной собственности, оформленной на имя ПАО «Россети Юг»;</w:t>
      </w:r>
    </w:p>
    <w:p w14:paraId="233A172E" w14:textId="77777777" w:rsidR="002449C2" w:rsidRDefault="00123961">
      <w:pPr>
        <w:shd w:val="clear" w:color="auto" w:fill="FFFFFF"/>
        <w:tabs>
          <w:tab w:val="left" w:pos="993"/>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Копии направленных в ФИПС документов на прикладное программное обеспечение (ПО) (УДК 620.179.152.1 №1509/2021-3.7(2024)/4-0 (ДПО)), в том числе, копия заявки на регистрацию электронной программы для ЭВМ (Прикладного ПО), оформленного на имя ПАО «Россети Юг».</w:t>
      </w:r>
    </w:p>
    <w:p w14:paraId="06980AB8" w14:textId="77777777" w:rsidR="002449C2" w:rsidRDefault="002449C2">
      <w:pPr>
        <w:shd w:val="clear" w:color="auto" w:fill="FFFFFF"/>
        <w:tabs>
          <w:tab w:val="left" w:pos="1134"/>
        </w:tabs>
        <w:spacing w:after="0" w:line="247" w:lineRule="auto"/>
        <w:ind w:firstLine="709"/>
        <w:jc w:val="both"/>
        <w:rPr>
          <w:rFonts w:ascii="Times New Roman" w:eastAsia="Times New Roman" w:hAnsi="Times New Roman"/>
          <w:sz w:val="26"/>
          <w:szCs w:val="26"/>
          <w:lang w:eastAsia="ru-RU"/>
        </w:rPr>
      </w:pPr>
    </w:p>
    <w:p w14:paraId="11DFE181" w14:textId="77777777" w:rsidR="002449C2" w:rsidRDefault="00123961">
      <w:pPr>
        <w:shd w:val="clear" w:color="auto" w:fill="FFFFFF"/>
        <w:tabs>
          <w:tab w:val="left" w:pos="1134"/>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Подготовлено предложение по пересмотру нормативно-технических документов (НТД) группы компаний «Россети» в части применения рентгенографии высоковольтного оборудования (ВВО) для контроля его технического состояния;</w:t>
      </w:r>
    </w:p>
    <w:p w14:paraId="54DACF3B" w14:textId="77777777" w:rsidR="002449C2" w:rsidRDefault="002449C2">
      <w:pPr>
        <w:shd w:val="clear" w:color="auto" w:fill="FFFFFF"/>
        <w:tabs>
          <w:tab w:val="left" w:pos="1134"/>
        </w:tabs>
        <w:spacing w:after="0" w:line="247" w:lineRule="auto"/>
        <w:ind w:firstLine="709"/>
        <w:jc w:val="both"/>
        <w:rPr>
          <w:rFonts w:ascii="Times New Roman" w:eastAsia="Times New Roman" w:hAnsi="Times New Roman"/>
          <w:sz w:val="26"/>
          <w:szCs w:val="26"/>
          <w:lang w:eastAsia="ru-RU"/>
        </w:rPr>
      </w:pPr>
    </w:p>
    <w:p w14:paraId="694CDB34" w14:textId="77777777" w:rsidR="002449C2" w:rsidRDefault="00123961">
      <w:pPr>
        <w:shd w:val="clear" w:color="auto" w:fill="FFFFFF"/>
        <w:tabs>
          <w:tab w:val="left" w:pos="1134"/>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Проведены расчеты экономической эффективности применения рентгенографического комплекса (РК) на автомобильном самоходном шасси, а также оценочный расчет стоимости жизненного цикла высоковольтного оборудования (ВВО) с учетом информационных данных от рентгенографии;</w:t>
      </w:r>
    </w:p>
    <w:p w14:paraId="448252C0" w14:textId="77777777" w:rsidR="002449C2" w:rsidRDefault="002449C2">
      <w:pPr>
        <w:shd w:val="clear" w:color="auto" w:fill="FFFFFF"/>
        <w:tabs>
          <w:tab w:val="left" w:pos="1134"/>
        </w:tabs>
        <w:spacing w:after="0" w:line="247" w:lineRule="auto"/>
        <w:ind w:firstLine="709"/>
        <w:jc w:val="both"/>
        <w:rPr>
          <w:rFonts w:ascii="Times New Roman" w:eastAsia="Times New Roman" w:hAnsi="Times New Roman"/>
          <w:sz w:val="26"/>
          <w:szCs w:val="26"/>
          <w:lang w:eastAsia="ru-RU"/>
        </w:rPr>
      </w:pPr>
    </w:p>
    <w:p w14:paraId="56AD6910" w14:textId="77777777" w:rsidR="002449C2" w:rsidRDefault="00123961">
      <w:pPr>
        <w:shd w:val="clear" w:color="auto" w:fill="FFFFFF"/>
        <w:tabs>
          <w:tab w:val="left" w:pos="1134"/>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Выполнена оценка перспективы применения и развития рентгенографии высоковольтного оборудования (ВВО) и объектов техники;</w:t>
      </w:r>
    </w:p>
    <w:p w14:paraId="55A4786E" w14:textId="77777777" w:rsidR="002449C2" w:rsidRDefault="002449C2">
      <w:pPr>
        <w:shd w:val="clear" w:color="auto" w:fill="FFFFFF"/>
        <w:tabs>
          <w:tab w:val="left" w:pos="1134"/>
        </w:tabs>
        <w:spacing w:after="0" w:line="247" w:lineRule="auto"/>
        <w:ind w:firstLine="709"/>
        <w:jc w:val="both"/>
        <w:rPr>
          <w:rFonts w:ascii="Times New Roman" w:eastAsia="Times New Roman" w:hAnsi="Times New Roman"/>
          <w:sz w:val="26"/>
          <w:szCs w:val="26"/>
          <w:lang w:eastAsia="ru-RU"/>
        </w:rPr>
      </w:pPr>
    </w:p>
    <w:p w14:paraId="21AD0A33" w14:textId="77777777" w:rsidR="002449C2" w:rsidRDefault="00123961">
      <w:pPr>
        <w:shd w:val="clear" w:color="auto" w:fill="FFFFFF"/>
        <w:tabs>
          <w:tab w:val="left" w:pos="1134"/>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Обеспечено сопровождение экспертизы в ФИПС заявки для защиты интеллектуальной собственности (Полезной модели) и заявки на регистрацию электронной программы для ЭВМ (Прикладного ПО).</w:t>
      </w:r>
    </w:p>
    <w:p w14:paraId="066D1222" w14:textId="77777777" w:rsidR="002449C2" w:rsidRDefault="002449C2">
      <w:pPr>
        <w:shd w:val="clear" w:color="auto" w:fill="FFFFFF"/>
        <w:tabs>
          <w:tab w:val="left" w:pos="1134"/>
        </w:tabs>
        <w:spacing w:after="0" w:line="247" w:lineRule="auto"/>
        <w:ind w:firstLine="709"/>
        <w:jc w:val="both"/>
        <w:rPr>
          <w:rFonts w:ascii="Times New Roman" w:eastAsia="Times New Roman" w:hAnsi="Times New Roman"/>
          <w:sz w:val="26"/>
          <w:szCs w:val="26"/>
          <w:lang w:eastAsia="ru-RU"/>
        </w:rPr>
      </w:pPr>
    </w:p>
    <w:p w14:paraId="215D6065" w14:textId="77777777" w:rsidR="002449C2" w:rsidRDefault="00123961">
      <w:pPr>
        <w:pStyle w:val="afff6"/>
        <w:numPr>
          <w:ilvl w:val="3"/>
          <w:numId w:val="67"/>
        </w:numPr>
        <w:shd w:val="clear" w:color="auto" w:fill="FFFFFF"/>
        <w:tabs>
          <w:tab w:val="left" w:pos="993"/>
        </w:tabs>
        <w:spacing w:line="247" w:lineRule="auto"/>
        <w:ind w:left="0" w:firstLine="709"/>
        <w:jc w:val="both"/>
        <w:rPr>
          <w:rFonts w:eastAsia="Times New Roman"/>
          <w:sz w:val="26"/>
          <w:szCs w:val="26"/>
          <w:lang w:eastAsia="ru-RU"/>
        </w:rPr>
      </w:pPr>
      <w:r>
        <w:rPr>
          <w:rFonts w:eastAsia="Times New Roman"/>
          <w:sz w:val="26"/>
          <w:szCs w:val="26"/>
          <w:lang w:eastAsia="ru-RU"/>
        </w:rPr>
        <w:t>Научно-исследовательская и опытно-конструкторская работа (НИОКР) на тему: «Технологическое присоединение потребителей на изолированных территориях с применением автономной гибридной энергоустановки (АГЭУ)», проводимая в соответствии с условиями заключенного между ПАО «Россети Юг» и АО «Россети Научно-технический центр» (АО «Россети НТЦ») договора от 27.01.2023 №61002301000019.</w:t>
      </w:r>
    </w:p>
    <w:p w14:paraId="1647C575" w14:textId="77777777" w:rsidR="002449C2" w:rsidRDefault="00123961">
      <w:pPr>
        <w:shd w:val="clear" w:color="auto" w:fill="FFFFFF"/>
        <w:tabs>
          <w:tab w:val="left" w:pos="993"/>
        </w:tabs>
        <w:spacing w:after="0" w:line="247"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Плановый эффект от выполнения НИОКР:</w:t>
      </w:r>
    </w:p>
    <w:p w14:paraId="5A6EC6E9" w14:textId="77777777" w:rsidR="002449C2" w:rsidRDefault="00123961">
      <w:pPr>
        <w:shd w:val="clear" w:color="auto" w:fill="FFFFFF"/>
        <w:tabs>
          <w:tab w:val="left" w:pos="993"/>
        </w:tabs>
        <w:spacing w:after="0" w:line="247"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Обеспечение возможности энергообеспечения труднодоступных (имеющих «слабую» связь с Единой энергетической системой Российской Федерации) и изолированных территорий на примере организации электроснабжения от АГЭУ («виртуальное» технологическое присоединение) с моделированием технических и экономических условий их участия в обороте электрической энергии (мощности) на розничных рынках электрической энергии (мощности) и сопутствующих услуг.</w:t>
      </w:r>
    </w:p>
    <w:p w14:paraId="66D1B554" w14:textId="77777777" w:rsidR="002449C2" w:rsidRDefault="002449C2">
      <w:pPr>
        <w:shd w:val="clear" w:color="auto" w:fill="FFFFFF"/>
        <w:tabs>
          <w:tab w:val="left" w:pos="993"/>
        </w:tabs>
        <w:spacing w:after="0" w:line="247" w:lineRule="auto"/>
        <w:jc w:val="both"/>
        <w:rPr>
          <w:rFonts w:ascii="Times New Roman" w:eastAsia="Times New Roman" w:hAnsi="Times New Roman"/>
          <w:sz w:val="26"/>
          <w:szCs w:val="26"/>
          <w:lang w:eastAsia="ru-RU"/>
        </w:rPr>
      </w:pPr>
    </w:p>
    <w:p w14:paraId="16264BCF" w14:textId="77777777" w:rsidR="002449C2" w:rsidRDefault="00123961">
      <w:pPr>
        <w:shd w:val="clear" w:color="auto" w:fill="FFFFFF"/>
        <w:tabs>
          <w:tab w:val="left" w:pos="993"/>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Технические результаты выполнения в 2024 году НИОКР:</w:t>
      </w:r>
    </w:p>
    <w:p w14:paraId="5636F414" w14:textId="77777777" w:rsidR="002449C2" w:rsidRDefault="00123961">
      <w:pPr>
        <w:shd w:val="clear" w:color="auto" w:fill="FFFFFF"/>
        <w:tabs>
          <w:tab w:val="left" w:pos="1134"/>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Подготовлен отчет по сравнительному анализу моделей с учетом нормативных ограничений, а также подготовлено обоснование выбора приоритетных моделей применения автономной гибридной энергоустановки (АГЭУ), включающий в себя:</w:t>
      </w:r>
    </w:p>
    <w:p w14:paraId="153E7FBB" w14:textId="77777777" w:rsidR="002449C2" w:rsidRDefault="00123961">
      <w:pPr>
        <w:shd w:val="clear" w:color="auto" w:fill="FFFFFF"/>
        <w:tabs>
          <w:tab w:val="left" w:pos="993"/>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Тарифные и нетарифные модели применения автономной гибридной энергоустановки (АГЭУ) и методики определения экономической целесообразности применения АГЭУ на их основе;</w:t>
      </w:r>
    </w:p>
    <w:p w14:paraId="19B6E1F5" w14:textId="77777777" w:rsidR="002449C2" w:rsidRDefault="00123961">
      <w:pPr>
        <w:shd w:val="clear" w:color="auto" w:fill="FFFFFF"/>
        <w:tabs>
          <w:tab w:val="left" w:pos="993"/>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Сравнительный анализ экономической целесообразности тарифной и нетарифной моделей применения АГЭУ.</w:t>
      </w:r>
    </w:p>
    <w:p w14:paraId="18073040" w14:textId="77777777" w:rsidR="002449C2" w:rsidRDefault="002449C2">
      <w:pPr>
        <w:shd w:val="clear" w:color="auto" w:fill="FFFFFF"/>
        <w:tabs>
          <w:tab w:val="left" w:pos="1134"/>
        </w:tabs>
        <w:spacing w:after="0" w:line="247" w:lineRule="auto"/>
        <w:ind w:firstLine="709"/>
        <w:jc w:val="both"/>
        <w:rPr>
          <w:rFonts w:ascii="Times New Roman" w:eastAsia="Times New Roman" w:hAnsi="Times New Roman"/>
          <w:sz w:val="26"/>
          <w:szCs w:val="26"/>
          <w:lang w:eastAsia="ru-RU"/>
        </w:rPr>
      </w:pPr>
    </w:p>
    <w:p w14:paraId="66D2BC39" w14:textId="77777777" w:rsidR="002449C2" w:rsidRDefault="00123961">
      <w:pPr>
        <w:shd w:val="clear" w:color="auto" w:fill="FFFFFF"/>
        <w:tabs>
          <w:tab w:val="left" w:pos="1134"/>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Осуществлен выбор пилотного объекта для проведения опытно-промышленной эксплуатации (ОПЭ) с применением АГЭУ;</w:t>
      </w:r>
    </w:p>
    <w:p w14:paraId="3D8BC0A8" w14:textId="77777777" w:rsidR="002449C2" w:rsidRDefault="002449C2">
      <w:pPr>
        <w:shd w:val="clear" w:color="auto" w:fill="FFFFFF"/>
        <w:tabs>
          <w:tab w:val="left" w:pos="1134"/>
        </w:tabs>
        <w:spacing w:after="0" w:line="247" w:lineRule="auto"/>
        <w:ind w:firstLine="709"/>
        <w:jc w:val="both"/>
        <w:rPr>
          <w:rFonts w:ascii="Times New Roman" w:eastAsia="Times New Roman" w:hAnsi="Times New Roman"/>
          <w:sz w:val="26"/>
          <w:szCs w:val="26"/>
          <w:lang w:eastAsia="ru-RU"/>
        </w:rPr>
      </w:pPr>
    </w:p>
    <w:p w14:paraId="356AC0BA" w14:textId="77777777" w:rsidR="002449C2" w:rsidRDefault="00123961">
      <w:pPr>
        <w:shd w:val="clear" w:color="auto" w:fill="FFFFFF"/>
        <w:tabs>
          <w:tab w:val="left" w:pos="1134"/>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Разработаны и утверждены технические требования к разрабатываемому АГЭУ и Техническое задание на монтаж и наладку, а также подготовлена карта заказа.</w:t>
      </w:r>
    </w:p>
    <w:p w14:paraId="5B707549" w14:textId="77777777" w:rsidR="002449C2" w:rsidRDefault="002449C2">
      <w:pPr>
        <w:shd w:val="clear" w:color="auto" w:fill="FFFFFF"/>
        <w:tabs>
          <w:tab w:val="left" w:pos="1134"/>
        </w:tabs>
        <w:spacing w:after="0" w:line="247" w:lineRule="auto"/>
        <w:ind w:firstLine="709"/>
        <w:jc w:val="both"/>
        <w:rPr>
          <w:rFonts w:ascii="Times New Roman" w:eastAsia="Times New Roman" w:hAnsi="Times New Roman"/>
          <w:sz w:val="26"/>
          <w:szCs w:val="26"/>
          <w:lang w:eastAsia="ru-RU"/>
        </w:rPr>
      </w:pPr>
    </w:p>
    <w:tbl>
      <w:tblPr>
        <w:tblW w:w="9498" w:type="dxa"/>
        <w:tblLayout w:type="fixed"/>
        <w:tblLook w:val="04A0" w:firstRow="1" w:lastRow="0" w:firstColumn="1" w:lastColumn="0" w:noHBand="0" w:noVBand="1"/>
      </w:tblPr>
      <w:tblGrid>
        <w:gridCol w:w="4848"/>
        <w:gridCol w:w="4650"/>
      </w:tblGrid>
      <w:tr w:rsidR="002449C2" w14:paraId="465F6780" w14:textId="77777777">
        <w:tc>
          <w:tcPr>
            <w:tcW w:w="4847" w:type="dxa"/>
          </w:tcPr>
          <w:p w14:paraId="045069EF" w14:textId="77777777" w:rsidR="002449C2" w:rsidRDefault="00123961">
            <w:pPr>
              <w:tabs>
                <w:tab w:val="left" w:pos="1134"/>
              </w:tabs>
              <w:spacing w:after="0" w:line="247" w:lineRule="auto"/>
              <w:jc w:val="both"/>
              <w:rPr>
                <w:rFonts w:ascii="Times New Roman" w:eastAsia="Times New Roman" w:hAnsi="Times New Roman"/>
                <w:sz w:val="26"/>
                <w:szCs w:val="26"/>
                <w:lang w:eastAsia="ru-RU"/>
              </w:rPr>
            </w:pPr>
            <w:r>
              <w:rPr>
                <w:noProof/>
                <w:lang w:eastAsia="ru-RU"/>
              </w:rPr>
              <w:drawing>
                <wp:inline distT="0" distB="0" distL="0" distR="0" wp14:anchorId="348A542E" wp14:editId="39CC2CD2">
                  <wp:extent cx="2871470" cy="1906905"/>
                  <wp:effectExtent l="0" t="0" r="0" b="0"/>
                  <wp:docPr id="54" name="_x005F_x0000_i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_x005F_x0000_i4435"/>
                          <pic:cNvPicPr>
                            <a:picLocks noChangeAspect="1" noChangeArrowheads="1"/>
                          </pic:cNvPicPr>
                        </pic:nvPicPr>
                        <pic:blipFill>
                          <a:blip r:embed="rId84"/>
                          <a:stretch>
                            <a:fillRect/>
                          </a:stretch>
                        </pic:blipFill>
                        <pic:spPr bwMode="auto">
                          <a:xfrm>
                            <a:off x="0" y="0"/>
                            <a:ext cx="2871470" cy="1906905"/>
                          </a:xfrm>
                          <a:prstGeom prst="rect">
                            <a:avLst/>
                          </a:prstGeom>
                          <a:noFill/>
                        </pic:spPr>
                      </pic:pic>
                    </a:graphicData>
                  </a:graphic>
                </wp:inline>
              </w:drawing>
            </w:r>
          </w:p>
        </w:tc>
        <w:tc>
          <w:tcPr>
            <w:tcW w:w="4650" w:type="dxa"/>
          </w:tcPr>
          <w:p w14:paraId="1BFCA555" w14:textId="77777777" w:rsidR="002449C2" w:rsidRDefault="00123961">
            <w:pPr>
              <w:tabs>
                <w:tab w:val="left" w:pos="1134"/>
              </w:tabs>
              <w:spacing w:after="0" w:line="247" w:lineRule="auto"/>
              <w:jc w:val="both"/>
              <w:rPr>
                <w:rFonts w:ascii="Times New Roman" w:eastAsia="Times New Roman" w:hAnsi="Times New Roman"/>
                <w:i/>
                <w:sz w:val="20"/>
                <w:szCs w:val="20"/>
                <w:lang w:eastAsia="ru-RU"/>
              </w:rPr>
            </w:pPr>
            <w:r>
              <w:rPr>
                <w:rFonts w:ascii="Times New Roman" w:eastAsia="Roboto Condensed" w:hAnsi="Times New Roman"/>
                <w:b/>
                <w:i/>
                <w:color w:val="313131"/>
                <w:sz w:val="20"/>
                <w:szCs w:val="20"/>
                <w:lang w:eastAsia="en-US"/>
              </w:rPr>
              <w:t>Специалисты «Россети Юг» в 2024 году установили 120 птицезащитных устройств (ПЗУ) на энергообъектах на территории памятника природы Ростовской области «Дубовая балка», расположенного в Константиновском районе.</w:t>
            </w:r>
            <w:r>
              <w:rPr>
                <w:rFonts w:ascii="Times New Roman" w:eastAsia="Roboto Condensed" w:hAnsi="Times New Roman"/>
                <w:b/>
                <w:i/>
                <w:color w:val="313131"/>
                <w:sz w:val="20"/>
                <w:szCs w:val="20"/>
                <w:lang w:eastAsia="en-US"/>
              </w:rPr>
              <w:br w:type="textWrapping" w:clear="all"/>
            </w:r>
            <w:r>
              <w:rPr>
                <w:rFonts w:ascii="Times New Roman" w:eastAsia="Roboto Condensed" w:hAnsi="Times New Roman"/>
                <w:i/>
                <w:color w:val="313131"/>
                <w:sz w:val="20"/>
                <w:szCs w:val="20"/>
                <w:lang w:eastAsia="en-US"/>
              </w:rPr>
              <w:t>На его территории обитают редкие и исчезающие виды птиц, включая краснокнижных, пролегают маршруты миграции и остановок перелетных пернатых. ПЗУ установлены на участках линии электропередачи, определенных на основе рекомендаций орнитологов.</w:t>
            </w:r>
            <w:r>
              <w:rPr>
                <w:rFonts w:ascii="Times New Roman" w:eastAsia="Roboto Condensed" w:hAnsi="Times New Roman"/>
                <w:i/>
                <w:color w:val="313131"/>
                <w:sz w:val="20"/>
                <w:szCs w:val="20"/>
                <w:lang w:eastAsia="en-US"/>
              </w:rPr>
              <w:br/>
              <w:t>Современные птицезащитные устройства представляют собой полимерные кожухи из высокотехнологичных диэлектрических материалов. Они закрывают изоляторы в местах крепления к ним провода. Конструкция ПЗУ предотвращает замыкание проводов в тот момент, когда птицы садятся на линию электропередачи. Установка устройств позволяет также снизить количество связанных с птицами технологических нарушений на энергообъектах, благодаря чему надежнее становится электроснабжение потребителей.</w:t>
            </w:r>
          </w:p>
        </w:tc>
      </w:tr>
    </w:tbl>
    <w:p w14:paraId="55126720" w14:textId="77777777" w:rsidR="002449C2" w:rsidRDefault="002449C2">
      <w:pPr>
        <w:shd w:val="clear" w:color="auto" w:fill="FFFFFF"/>
        <w:tabs>
          <w:tab w:val="left" w:pos="1134"/>
        </w:tabs>
        <w:spacing w:after="0" w:line="247" w:lineRule="auto"/>
        <w:ind w:firstLine="709"/>
        <w:jc w:val="both"/>
        <w:rPr>
          <w:rFonts w:ascii="Times New Roman" w:eastAsia="Times New Roman" w:hAnsi="Times New Roman"/>
          <w:sz w:val="26"/>
          <w:szCs w:val="26"/>
          <w:lang w:eastAsia="ru-RU"/>
        </w:rPr>
      </w:pPr>
    </w:p>
    <w:p w14:paraId="3E0B175C" w14:textId="77777777" w:rsidR="002449C2" w:rsidRDefault="00123961">
      <w:pPr>
        <w:tabs>
          <w:tab w:val="left" w:pos="993"/>
        </w:tabs>
        <w:spacing w:after="0" w:line="247" w:lineRule="auto"/>
        <w:jc w:val="both"/>
        <w:rPr>
          <w:rFonts w:ascii="Times New Roman" w:eastAsia="Times New Roman" w:hAnsi="Times New Roman"/>
          <w:sz w:val="26"/>
          <w:szCs w:val="26"/>
          <w:lang w:eastAsia="ru-RU"/>
        </w:rPr>
      </w:pPr>
      <w:r>
        <w:br w:type="page"/>
      </w:r>
    </w:p>
    <w:p w14:paraId="4A8BEB01" w14:textId="77777777" w:rsidR="002449C2" w:rsidRDefault="00123961">
      <w:pPr>
        <w:keepNext/>
        <w:pBdr>
          <w:bottom w:val="single" w:sz="4" w:space="1" w:color="622423"/>
        </w:pBdr>
        <w:shd w:val="clear" w:color="auto" w:fill="FFFFFF"/>
        <w:spacing w:line="252" w:lineRule="auto"/>
        <w:jc w:val="center"/>
        <w:outlineLvl w:val="1"/>
        <w:rPr>
          <w:rFonts w:ascii="Times New Roman" w:eastAsia="Times New Roman" w:hAnsi="Times New Roman"/>
          <w:caps/>
          <w:color w:val="632423"/>
          <w:spacing w:val="15"/>
          <w:sz w:val="24"/>
          <w:szCs w:val="24"/>
          <w:lang w:eastAsia="en-US" w:bidi="en-US"/>
        </w:rPr>
      </w:pPr>
      <w:bookmarkStart w:id="66" w:name="_Toc195174931"/>
      <w:bookmarkStart w:id="67" w:name="_Toc196143023"/>
      <w:r>
        <w:rPr>
          <w:rFonts w:ascii="Times New Roman" w:eastAsia="Times New Roman" w:hAnsi="Times New Roman"/>
          <w:caps/>
          <w:color w:val="632423"/>
          <w:spacing w:val="15"/>
          <w:sz w:val="24"/>
          <w:szCs w:val="24"/>
          <w:shd w:val="clear" w:color="auto" w:fill="FFFFFF"/>
          <w:lang w:eastAsia="en-US" w:bidi="en-US"/>
        </w:rPr>
        <w:t>Импортозамещение и взаимодействие с производителями</w:t>
      </w:r>
      <w:r>
        <w:rPr>
          <w:rFonts w:ascii="Times New Roman" w:eastAsia="Times New Roman" w:hAnsi="Times New Roman"/>
          <w:caps/>
          <w:color w:val="632423"/>
          <w:spacing w:val="15"/>
          <w:sz w:val="24"/>
          <w:szCs w:val="24"/>
          <w:lang w:eastAsia="en-US" w:bidi="en-US"/>
        </w:rPr>
        <w:t xml:space="preserve"> оборудования</w:t>
      </w:r>
      <w:bookmarkEnd w:id="66"/>
      <w:bookmarkEnd w:id="67"/>
    </w:p>
    <w:p w14:paraId="74C3633F" w14:textId="77777777" w:rsidR="002449C2" w:rsidRDefault="00123961">
      <w:pPr>
        <w:shd w:val="clear" w:color="auto" w:fill="FFFFFF"/>
        <w:tabs>
          <w:tab w:val="left" w:pos="993"/>
          <w:tab w:val="left" w:pos="1080"/>
          <w:tab w:val="left" w:pos="1320"/>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целях снижения зависимости от импорта оборудования и использования иностранного программного обеспечения, а также в целях своевременного исполнения мероприятий Корпоративного плана импортозамещения ПАО «Россети» в ПАО «Россети Юг» приказом</w:t>
      </w:r>
      <w:r>
        <w:rPr>
          <w:rFonts w:ascii="Times New Roman" w:hAnsi="Times New Roman"/>
        </w:rPr>
        <w:t xml:space="preserve"> </w:t>
      </w:r>
      <w:r>
        <w:rPr>
          <w:rFonts w:ascii="Times New Roman" w:eastAsia="Times New Roman" w:hAnsi="Times New Roman"/>
          <w:sz w:val="26"/>
          <w:szCs w:val="26"/>
          <w:lang w:eastAsia="ru-RU"/>
        </w:rPr>
        <w:t>от 17.11.2023 №704 утвержден План-график мероприятий импортозамещения.</w:t>
      </w:r>
    </w:p>
    <w:p w14:paraId="06C35895" w14:textId="77777777" w:rsidR="002449C2" w:rsidRDefault="00123961">
      <w:pPr>
        <w:tabs>
          <w:tab w:val="left" w:pos="993"/>
          <w:tab w:val="left" w:pos="1080"/>
          <w:tab w:val="left" w:pos="1320"/>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Цели и задачи плана импортозамещения направлены на обеспечение технологической безопасности электросетевого комплекса Российской Федерации и снижение зависимости от иностранной продукции, оборудования, технических устройств, а также услуг/работ иностранных компаний и использования иностранного программного обеспечения. </w:t>
      </w:r>
    </w:p>
    <w:p w14:paraId="0F2A06CD" w14:textId="77777777" w:rsidR="002449C2" w:rsidRDefault="00123961">
      <w:pPr>
        <w:tabs>
          <w:tab w:val="left" w:pos="993"/>
          <w:tab w:val="left" w:pos="1080"/>
          <w:tab w:val="left" w:pos="1320"/>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Целями реализации плана импортозамещения являются:</w:t>
      </w:r>
    </w:p>
    <w:p w14:paraId="5A53A290" w14:textId="77777777" w:rsidR="002449C2" w:rsidRDefault="00123961">
      <w:pPr>
        <w:tabs>
          <w:tab w:val="left" w:pos="993"/>
          <w:tab w:val="left" w:pos="1080"/>
          <w:tab w:val="left" w:pos="1320"/>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реализация Положения ПАО «Россети» «О единой технической политики в электросетевом комплексе</w:t>
      </w:r>
      <w:r>
        <w:rPr>
          <w:rStyle w:val="af"/>
          <w:rFonts w:ascii="Times New Roman" w:eastAsia="Times New Roman" w:hAnsi="Times New Roman"/>
          <w:sz w:val="26"/>
          <w:szCs w:val="26"/>
          <w:lang w:eastAsia="ru-RU"/>
        </w:rPr>
        <w:footnoteReference w:id="7"/>
      </w:r>
      <w:r>
        <w:rPr>
          <w:rFonts w:ascii="Times New Roman" w:eastAsia="Times New Roman" w:hAnsi="Times New Roman"/>
          <w:sz w:val="26"/>
          <w:szCs w:val="26"/>
          <w:lang w:eastAsia="ru-RU"/>
        </w:rPr>
        <w:t>»;</w:t>
      </w:r>
    </w:p>
    <w:p w14:paraId="55906213" w14:textId="77777777" w:rsidR="002449C2" w:rsidRDefault="00123961">
      <w:pPr>
        <w:tabs>
          <w:tab w:val="left" w:pos="993"/>
          <w:tab w:val="left" w:pos="1080"/>
          <w:tab w:val="left" w:pos="1320"/>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реализация Программы инновационного развития ПАО «Россети»;</w:t>
      </w:r>
    </w:p>
    <w:p w14:paraId="1F0F6518" w14:textId="77777777" w:rsidR="002449C2" w:rsidRDefault="00123961">
      <w:pPr>
        <w:tabs>
          <w:tab w:val="left" w:pos="993"/>
          <w:tab w:val="left" w:pos="1080"/>
          <w:tab w:val="left" w:pos="1320"/>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обеспечение технологической безопасности объектов электросетевого комплекса и повышение энергетической безопасности Российской Федерации;</w:t>
      </w:r>
    </w:p>
    <w:p w14:paraId="2CA61CAA" w14:textId="77777777" w:rsidR="002449C2" w:rsidRDefault="00123961">
      <w:pPr>
        <w:tabs>
          <w:tab w:val="left" w:pos="993"/>
          <w:tab w:val="left" w:pos="1080"/>
          <w:tab w:val="left" w:pos="1320"/>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содействие в создании и развитии отечественных производств электротехнического оборудования и комплектующих, отвечающих современным стандартам и требованиям по качеству, надёжности и экономической эффективности;</w:t>
      </w:r>
    </w:p>
    <w:p w14:paraId="7BA68284" w14:textId="77777777" w:rsidR="002449C2" w:rsidRDefault="00123961">
      <w:pPr>
        <w:tabs>
          <w:tab w:val="left" w:pos="993"/>
          <w:tab w:val="left" w:pos="1080"/>
          <w:tab w:val="left" w:pos="1320"/>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стимулирование развития отраслевой инновационной инфраструктуры, содействие инновационному развитию и модернизации предприятий отечественной электротехнической промышленности;</w:t>
      </w:r>
    </w:p>
    <w:p w14:paraId="3DE9FD36" w14:textId="77777777" w:rsidR="002449C2" w:rsidRDefault="00123961">
      <w:pPr>
        <w:tabs>
          <w:tab w:val="left" w:pos="993"/>
          <w:tab w:val="left" w:pos="1080"/>
          <w:tab w:val="left" w:pos="1320"/>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повышение уровня локализации производства электротехнической продукции на территории Российской Федерации.</w:t>
      </w:r>
    </w:p>
    <w:p w14:paraId="54A3D2D0" w14:textId="77777777" w:rsidR="002449C2" w:rsidRDefault="00123961">
      <w:pPr>
        <w:tabs>
          <w:tab w:val="left" w:pos="993"/>
          <w:tab w:val="left" w:pos="1080"/>
          <w:tab w:val="left" w:pos="1320"/>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Задачами реализации плана импортозамещения являются:</w:t>
      </w:r>
    </w:p>
    <w:p w14:paraId="2BDB595E" w14:textId="77777777" w:rsidR="002449C2" w:rsidRDefault="00123961">
      <w:pPr>
        <w:tabs>
          <w:tab w:val="left" w:pos="993"/>
          <w:tab w:val="left" w:pos="1080"/>
          <w:tab w:val="left" w:pos="1320"/>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определение состава мероприятий по нивелированию и минимизации рисков, связанных с использованием иностранной продукции в производственно-технологических процессах;</w:t>
      </w:r>
    </w:p>
    <w:p w14:paraId="190042E4" w14:textId="77777777" w:rsidR="002449C2" w:rsidRDefault="00123961">
      <w:pPr>
        <w:tabs>
          <w:tab w:val="left" w:pos="993"/>
          <w:tab w:val="left" w:pos="1080"/>
          <w:tab w:val="left" w:pos="1320"/>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совершенствование корпоративных документов, определяющих правила аккредитации и предварительного квалификационного отбора поставщиков товаров (работ, услуг) в целях обеспечения их допуска к торгово-закупочным процедурам;</w:t>
      </w:r>
    </w:p>
    <w:p w14:paraId="3A12F334" w14:textId="77777777" w:rsidR="002449C2" w:rsidRDefault="00123961">
      <w:pPr>
        <w:tabs>
          <w:tab w:val="left" w:pos="993"/>
          <w:tab w:val="left" w:pos="1080"/>
          <w:tab w:val="left" w:pos="1320"/>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создание организационных механизмов и инструментов информационно-аналитического обеспечения процессов импортозамещения в ПАО «Россети Юг», в т.ч. системы мониторинга и оценки эффективности результатов реализации мероприятий;</w:t>
      </w:r>
    </w:p>
    <w:p w14:paraId="0408EB95" w14:textId="77777777" w:rsidR="002449C2" w:rsidRDefault="00123961">
      <w:pPr>
        <w:tabs>
          <w:tab w:val="left" w:pos="993"/>
          <w:tab w:val="left" w:pos="1080"/>
          <w:tab w:val="left" w:pos="1320"/>
        </w:tabs>
        <w:spacing w:before="120" w:after="120" w:line="247" w:lineRule="auto"/>
        <w:ind w:firstLine="709"/>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Целевые показатели импортазамещения</w:t>
      </w:r>
    </w:p>
    <w:p w14:paraId="654276DD" w14:textId="77777777" w:rsidR="002449C2" w:rsidRDefault="00123961">
      <w:pPr>
        <w:tabs>
          <w:tab w:val="left" w:pos="993"/>
          <w:tab w:val="left" w:pos="1080"/>
          <w:tab w:val="left" w:pos="1320"/>
        </w:tabs>
        <w:spacing w:after="0" w:line="247"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Целевые показатели импортозамещения, предусмотрены Энергетической стратегией России до 2035 года, согласно которой доля созданного или локализованного на территории Российской Федерации передового технологического оборудования для отраслей топливно-энергетического комплекса, в общем количестве технологического оборудования, указанного в перечне технологического оборудования, востребованного организациями топливно-энергетического комплекса, создание (локализация) производства которого необходимо на территории Российской Федерации на период до 2035 года должна составить не менее 50-60% в 2024 году, и до 70 – 80 % к 2035 году.</w:t>
      </w:r>
    </w:p>
    <w:p w14:paraId="41D6DDEB" w14:textId="77777777" w:rsidR="002449C2" w:rsidRDefault="00123961">
      <w:pPr>
        <w:tabs>
          <w:tab w:val="left" w:pos="993"/>
          <w:tab w:val="left" w:pos="1080"/>
          <w:tab w:val="left" w:pos="1320"/>
        </w:tabs>
        <w:spacing w:after="0" w:line="240" w:lineRule="auto"/>
        <w:ind w:firstLine="709"/>
        <w:jc w:val="both"/>
        <w:rPr>
          <w:rFonts w:ascii="Times New Roman" w:hAnsi="Times New Roman"/>
          <w:sz w:val="26"/>
          <w:szCs w:val="26"/>
        </w:rPr>
      </w:pPr>
      <w:r>
        <w:rPr>
          <w:rFonts w:ascii="Times New Roman" w:hAnsi="Times New Roman"/>
          <w:sz w:val="26"/>
          <w:szCs w:val="26"/>
        </w:rPr>
        <w:t>Фактическое значение доли иностранного оборудования в общем объеме закупок оборудования ПАО «Россети Юг» в 2024 году составляет 10,64% с учетом продукции производимой странами Евразийского экономического союза (Республика Беларусь) и 0,6% без учета.</w:t>
      </w:r>
    </w:p>
    <w:p w14:paraId="6B0C4DD8" w14:textId="77777777" w:rsidR="002449C2" w:rsidRDefault="00123961">
      <w:pPr>
        <w:tabs>
          <w:tab w:val="left" w:pos="993"/>
          <w:tab w:val="left" w:pos="1080"/>
          <w:tab w:val="left" w:pos="1320"/>
        </w:tabs>
        <w:spacing w:after="0" w:line="240" w:lineRule="auto"/>
        <w:ind w:firstLine="709"/>
        <w:jc w:val="both"/>
        <w:rPr>
          <w:rFonts w:ascii="Times New Roman" w:hAnsi="Times New Roman"/>
          <w:sz w:val="26"/>
          <w:szCs w:val="26"/>
        </w:rPr>
      </w:pPr>
      <w:r>
        <w:rPr>
          <w:rFonts w:ascii="Times New Roman" w:hAnsi="Times New Roman"/>
          <w:sz w:val="26"/>
          <w:szCs w:val="26"/>
        </w:rPr>
        <w:t>В рамках реализации плана мероприятий перехода ПАО «Россети Юг» на использование российской радиоэлектронной продукции Обществом в 2024 году обеспечено достижение целевого показателя по эффективности перехода на использование отечественной радиоэлектронной продукции.</w:t>
      </w:r>
    </w:p>
    <w:p w14:paraId="521350A1" w14:textId="77777777" w:rsidR="002449C2" w:rsidRDefault="00123961">
      <w:pPr>
        <w:tabs>
          <w:tab w:val="left" w:pos="993"/>
          <w:tab w:val="left" w:pos="1080"/>
          <w:tab w:val="left" w:pos="1320"/>
        </w:tabs>
        <w:spacing w:after="0" w:line="240" w:lineRule="auto"/>
        <w:ind w:firstLine="709"/>
        <w:jc w:val="both"/>
        <w:rPr>
          <w:rFonts w:ascii="Times New Roman" w:hAnsi="Times New Roman"/>
          <w:sz w:val="26"/>
          <w:szCs w:val="26"/>
        </w:rPr>
      </w:pPr>
      <w:r>
        <w:rPr>
          <w:rFonts w:ascii="Times New Roman" w:hAnsi="Times New Roman"/>
          <w:sz w:val="26"/>
          <w:szCs w:val="26"/>
        </w:rPr>
        <w:t>Фактическая доля расходов на закупку российской радиоэлектронной продукции в общем объеме расходов на закупку радиоэлектронной продукции в 2024 году составляет 98% при плановом значении 77%.</w:t>
      </w:r>
    </w:p>
    <w:p w14:paraId="4A08FF63" w14:textId="77777777" w:rsidR="002449C2" w:rsidRDefault="00123961">
      <w:pPr>
        <w:tabs>
          <w:tab w:val="left" w:pos="993"/>
          <w:tab w:val="left" w:pos="1080"/>
          <w:tab w:val="left" w:pos="1320"/>
        </w:tabs>
        <w:spacing w:after="0" w:line="240" w:lineRule="auto"/>
        <w:ind w:firstLine="709"/>
        <w:jc w:val="both"/>
        <w:rPr>
          <w:rFonts w:ascii="Times New Roman" w:hAnsi="Times New Roman"/>
          <w:sz w:val="26"/>
          <w:szCs w:val="26"/>
        </w:rPr>
      </w:pPr>
      <w:r>
        <w:rPr>
          <w:rFonts w:ascii="Times New Roman" w:hAnsi="Times New Roman"/>
          <w:sz w:val="26"/>
          <w:szCs w:val="26"/>
        </w:rPr>
        <w:t>Объем вложений в российскую радиоэлектронную продукцию составил 70,6 млн руб.</w:t>
      </w:r>
    </w:p>
    <w:p w14:paraId="563A5D11" w14:textId="77777777" w:rsidR="002449C2" w:rsidRDefault="00123961">
      <w:pPr>
        <w:shd w:val="clear" w:color="auto" w:fill="FFFFFF"/>
        <w:tabs>
          <w:tab w:val="left" w:pos="993"/>
        </w:tabs>
        <w:spacing w:after="0" w:line="240" w:lineRule="auto"/>
        <w:ind w:firstLine="709"/>
        <w:contextualSpacing/>
        <w:jc w:val="both"/>
        <w:rPr>
          <w:rFonts w:ascii="Times New Roman" w:hAnsi="Times New Roman"/>
          <w:sz w:val="26"/>
          <w:szCs w:val="26"/>
        </w:rPr>
      </w:pPr>
      <w:r>
        <w:rPr>
          <w:rFonts w:ascii="Times New Roman" w:eastAsia="Times New Roman" w:hAnsi="Times New Roman"/>
          <w:sz w:val="26"/>
          <w:szCs w:val="26"/>
        </w:rPr>
        <w:t xml:space="preserve">Локализация, импортозамещение и развитие отечественных решений по созданию серийного производства систем накопления электроэнергии и развитию сопутствующих технологий является государственной задачей развития высокотехнологичного направления «Системы накопления электроэнергии» на период до 2030 года. </w:t>
      </w:r>
      <w:r>
        <w:rPr>
          <w:rFonts w:ascii="Times New Roman" w:eastAsia="Times New Roman" w:hAnsi="Times New Roman"/>
          <w:sz w:val="26"/>
          <w:szCs w:val="26"/>
          <w:lang w:eastAsia="ru-RU"/>
        </w:rPr>
        <w:t>В целях реализации поставленной задачи по импортозамещению СНЭ ПАО «Россети Юг» организовано выполнение научно-исследовательской и опытно-конструкторской работы (НИОКР) на тему: «Технологическое присоединение потребителей на изолированных территориях с применением автономной гибридной энергоустановки (АГЭУ)». Основными целями которого является определение возможности энергоснабжения труднодоступных (имеющих «слабую» связь с Единой энергетической системой России) и изолированных территорий электросетевыми компаниями на примере организации электроснабжения от АГЭУ («виртуальное» технологическое присоединение) с моделированием правовых технических и экономических условий их участия в обороте электрической энергии (мощности) на розничных рынках электрической энергии (мощности) и сопутствующих услуг. В 2024 году в рамках данного НИОКР был осуществлен выбор пилотного объекта для проведения опытно-промышленной эксплуатации (ОПЭ) АГЭУ отечественного производства.</w:t>
      </w:r>
    </w:p>
    <w:p w14:paraId="181148CB" w14:textId="77777777" w:rsidR="002449C2" w:rsidRDefault="00123961">
      <w:pPr>
        <w:spacing w:after="0" w:line="240" w:lineRule="auto"/>
        <w:ind w:firstLine="567"/>
        <w:jc w:val="both"/>
        <w:rPr>
          <w:rFonts w:ascii="Arial Narrow" w:eastAsia="Times New Roman" w:hAnsi="Arial Narrow"/>
          <w:b/>
          <w:sz w:val="24"/>
          <w:szCs w:val="24"/>
          <w:lang w:eastAsia="ru-RU"/>
        </w:rPr>
      </w:pPr>
      <w:r>
        <w:br w:type="page"/>
      </w:r>
    </w:p>
    <w:p w14:paraId="6A2251A2" w14:textId="77777777" w:rsidR="002449C2" w:rsidRDefault="002449C2">
      <w:pPr>
        <w:spacing w:after="0" w:line="240" w:lineRule="auto"/>
        <w:ind w:firstLine="567"/>
        <w:jc w:val="both"/>
        <w:rPr>
          <w:rFonts w:ascii="Arial Narrow" w:eastAsia="Times New Roman" w:hAnsi="Arial Narrow"/>
          <w:b/>
          <w:sz w:val="16"/>
          <w:szCs w:val="16"/>
          <w:lang w:eastAsia="ru-RU"/>
        </w:rPr>
      </w:pPr>
    </w:p>
    <w:p w14:paraId="41A2B567" w14:textId="77777777" w:rsidR="002449C2" w:rsidRDefault="00123961">
      <w:pPr>
        <w:keepNext/>
        <w:pBdr>
          <w:bottom w:val="single" w:sz="4" w:space="1" w:color="622423"/>
        </w:pBdr>
        <w:shd w:val="clear" w:color="auto" w:fill="FFFFFF"/>
        <w:spacing w:before="400" w:line="252" w:lineRule="auto"/>
        <w:jc w:val="center"/>
        <w:outlineLvl w:val="1"/>
        <w:rPr>
          <w:rFonts w:ascii="Cambria" w:eastAsia="Times New Roman" w:hAnsi="Cambria"/>
          <w:caps/>
          <w:color w:val="632423"/>
          <w:spacing w:val="15"/>
          <w:sz w:val="24"/>
          <w:szCs w:val="24"/>
          <w:lang w:eastAsia="en-US" w:bidi="en-US"/>
        </w:rPr>
      </w:pPr>
      <w:bookmarkStart w:id="68" w:name="_Toc195174932"/>
      <w:bookmarkStart w:id="69" w:name="_Toc196143024"/>
      <w:r>
        <w:rPr>
          <w:rFonts w:ascii="Times New Roman" w:eastAsia="Times New Roman" w:hAnsi="Times New Roman"/>
          <w:caps/>
          <w:color w:val="632423"/>
          <w:spacing w:val="15"/>
          <w:sz w:val="24"/>
          <w:szCs w:val="24"/>
          <w:lang w:eastAsia="en-US" w:bidi="en-US"/>
        </w:rPr>
        <w:t>Финансовые результаты</w:t>
      </w:r>
      <w:bookmarkEnd w:id="68"/>
      <w:r w:rsidR="005F3826">
        <w:rPr>
          <w:rStyle w:val="af"/>
          <w:rFonts w:ascii="Times New Roman" w:eastAsia="Times New Roman" w:hAnsi="Times New Roman"/>
          <w:caps/>
          <w:color w:val="632423"/>
          <w:spacing w:val="15"/>
          <w:sz w:val="24"/>
          <w:szCs w:val="24"/>
          <w:lang w:eastAsia="en-US" w:bidi="en-US"/>
        </w:rPr>
        <w:footnoteReference w:id="8"/>
      </w:r>
      <w:bookmarkEnd w:id="69"/>
    </w:p>
    <w:p w14:paraId="1A160C6F" w14:textId="77777777" w:rsidR="002449C2" w:rsidRDefault="00123961">
      <w:pPr>
        <w:shd w:val="clear" w:color="auto" w:fill="FFFFFF"/>
        <w:tabs>
          <w:tab w:val="left" w:pos="142"/>
          <w:tab w:val="left" w:pos="720"/>
        </w:tabs>
        <w:spacing w:after="0" w:line="240" w:lineRule="auto"/>
        <w:ind w:firstLine="567"/>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Выручка от реализации продукции (услуг) по итогам 2024 года на 3 114 млн рублей (6,5%) выше, чем в 2023 году, в т.ч. выручка от передачи электроэнергии на 3 075 млн рублей (6,8%) выше уровня 2023 года. Данное увеличение связано с ростом тарифа на передачу электрической энергии на 2,6%, а также ростом объема оказанных услуг по передаче электрической энергии на 1 000,6 млн кВтч или 4,2%. От технологического присоединения увеличение выручки составляет 395 млн рублей или 65,1%, что обусловлено наличием за 2024 год исполненных договоров технологического присоединения со сравнительно высокой стоимостью относительно аналогичного периода 2023 года. От продажи электроэнергии выручка снизилась на 649 млн рублей, данное снижение обусловлено передачей статуса гарантирующего поставщика в зоне деятельности ГП-1 (г. Элиста Республики Калмыкия) АО «Читаэнергосбыт» с 01.10.2023 в соответствии с приказом Министерства энергетики Российской Федерации № 713 от 30.08.2023. Выручка от оказания услуг по прочей деятельности увеличилась на 293 млн рублей, что обусловлено усилением работы Общества по развитию дополнительной (нетарифной) деятельности и продвижением конкурентных услуг строительно-монтажного, ремонтно-эксплуатационного направления, а также заключением на территории Республики Калмыкия агентских договоров с ресурсоснабжающими организациями (поставщиками коммунальных услуг) по абонентскому обслуживанию и приему платежей физических лиц.</w:t>
      </w:r>
    </w:p>
    <w:p w14:paraId="5AE7B3E6" w14:textId="77777777" w:rsidR="002449C2" w:rsidRDefault="00123961">
      <w:pPr>
        <w:tabs>
          <w:tab w:val="left" w:pos="142"/>
          <w:tab w:val="left" w:pos="720"/>
        </w:tabs>
        <w:spacing w:after="0" w:line="240" w:lineRule="auto"/>
        <w:ind w:firstLine="567"/>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Себестоимость продаж на 3 250 млн рублей (8,0%) выше уровня 2023 года. Данная динамика обусловлена в основном ростом расходов на покупную электроэнергию для компенсации потерь на 717 млн рублей, что связано с увеличением тарифа на покупную электроэнергию с целью компенсации потерь на 5,9%, ростом объема оплачиваемых потерь электроэнергии на 1,7%, расходов на услуги ПАО «Россети» на 1 024 млн рублей или на 11,3 %, что обусловлено ростом ставки на содержание объектов ЕНЭС на 7,2%, ростом объема нормативных потерь на 16,1%, а также ростом ставки на компенсацию потерь электрической </w:t>
      </w:r>
      <w:r>
        <w:rPr>
          <w:rFonts w:ascii="Times New Roman" w:eastAsia="Times New Roman" w:hAnsi="Times New Roman"/>
          <w:iCs/>
          <w:color w:val="000000" w:themeColor="text1"/>
          <w:sz w:val="26"/>
          <w:szCs w:val="26"/>
          <w:lang w:eastAsia="ru-RU"/>
        </w:rPr>
        <w:t xml:space="preserve">энергии в сетях ЕНЭС </w:t>
      </w:r>
      <w:r>
        <w:rPr>
          <w:rFonts w:ascii="Times New Roman" w:eastAsia="Times New Roman" w:hAnsi="Times New Roman"/>
          <w:iCs/>
          <w:sz w:val="26"/>
          <w:szCs w:val="26"/>
          <w:lang w:eastAsia="ru-RU"/>
        </w:rPr>
        <w:t xml:space="preserve">на 4,2%, расходов на оплату услуг ТСО на 492 млн рублей или 12,2 %, что обусловлено ростом среднего тарифа на 16,8%, расходов на персонал на 858 млн рублей в связи с </w:t>
      </w:r>
      <w:r>
        <w:rPr>
          <w:rFonts w:ascii="Times New Roman" w:hAnsi="Times New Roman"/>
          <w:sz w:val="26"/>
          <w:szCs w:val="26"/>
          <w:lang w:eastAsia="en-US"/>
        </w:rPr>
        <w:t>индексацией заработной платы персоналу Общества</w:t>
      </w:r>
      <w:r>
        <w:rPr>
          <w:rFonts w:ascii="Times New Roman" w:eastAsia="Times New Roman" w:hAnsi="Times New Roman"/>
          <w:iCs/>
          <w:sz w:val="26"/>
          <w:szCs w:val="26"/>
          <w:lang w:eastAsia="ru-RU"/>
        </w:rPr>
        <w:t xml:space="preserve">. Прочие затраты выше на 541 млн рублей, в основном в связи с необходимостью выполнения ремонтной программы по первоочередным мероприятиям, а также в связи с ростом прочей выручки. </w:t>
      </w:r>
    </w:p>
    <w:p w14:paraId="05ED5387" w14:textId="77777777" w:rsidR="002449C2" w:rsidRDefault="00123961">
      <w:pPr>
        <w:tabs>
          <w:tab w:val="left" w:pos="142"/>
          <w:tab w:val="left" w:pos="720"/>
        </w:tabs>
        <w:spacing w:after="0" w:line="240" w:lineRule="auto"/>
        <w:ind w:firstLine="567"/>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По сравнению с итогами деятельности за 2023 год финансовый результат увеличился на 4 795 млн рублей. Данное увеличение обусловлено отражением в учете изменений балансовой стоимости электросетевых активов филиала «Волгоградэнерго» в соответствии c ФСБУ 6/2020 «Основные средства», а также увеличением выручки компании, в большей степени от передачи электроэнергии. </w:t>
      </w:r>
      <w:r>
        <w:br w:type="page"/>
      </w:r>
    </w:p>
    <w:p w14:paraId="7CAA14C4" w14:textId="77777777" w:rsidR="002449C2" w:rsidRDefault="00123961">
      <w:pPr>
        <w:tabs>
          <w:tab w:val="left" w:pos="0"/>
        </w:tabs>
        <w:spacing w:after="120" w:line="259" w:lineRule="auto"/>
        <w:jc w:val="center"/>
        <w:rPr>
          <w:rFonts w:ascii="Times New Roman" w:hAnsi="Times New Roman"/>
          <w:b/>
          <w:color w:val="000000"/>
          <w:sz w:val="26"/>
          <w:szCs w:val="26"/>
          <w:lang w:eastAsia="en-US"/>
        </w:rPr>
      </w:pPr>
      <w:r>
        <w:rPr>
          <w:rFonts w:ascii="Times New Roman" w:hAnsi="Times New Roman"/>
          <w:b/>
          <w:color w:val="000000"/>
          <w:sz w:val="26"/>
          <w:szCs w:val="26"/>
          <w:lang w:eastAsia="en-US"/>
        </w:rPr>
        <w:t>Анализ по отклонениям ключевых показателей финансово-хозяйственной деятельности</w:t>
      </w:r>
    </w:p>
    <w:tbl>
      <w:tblPr>
        <w:tblW w:w="5000" w:type="pct"/>
        <w:tblLayout w:type="fixed"/>
        <w:tblLook w:val="04A0" w:firstRow="1" w:lastRow="0" w:firstColumn="1" w:lastColumn="0" w:noHBand="0" w:noVBand="1"/>
      </w:tblPr>
      <w:tblGrid>
        <w:gridCol w:w="353"/>
        <w:gridCol w:w="3489"/>
        <w:gridCol w:w="1100"/>
        <w:gridCol w:w="1097"/>
        <w:gridCol w:w="1022"/>
        <w:gridCol w:w="1019"/>
        <w:gridCol w:w="1398"/>
      </w:tblGrid>
      <w:tr w:rsidR="002449C2" w14:paraId="4006F025" w14:textId="77777777">
        <w:trPr>
          <w:trHeight w:val="468"/>
          <w:tblHeader/>
        </w:trPr>
        <w:tc>
          <w:tcPr>
            <w:tcW w:w="353" w:type="dxa"/>
            <w:vMerge w:val="restart"/>
            <w:tcBorders>
              <w:top w:val="single" w:sz="8" w:space="0" w:color="000000"/>
              <w:left w:val="single" w:sz="8" w:space="0" w:color="000000"/>
              <w:bottom w:val="single" w:sz="8" w:space="0" w:color="000000"/>
              <w:right w:val="single" w:sz="8" w:space="0" w:color="000000"/>
            </w:tcBorders>
            <w:vAlign w:val="center"/>
          </w:tcPr>
          <w:p w14:paraId="23EBA249" w14:textId="77777777" w:rsidR="002449C2" w:rsidRDefault="002449C2">
            <w:pPr>
              <w:spacing w:after="0" w:line="240" w:lineRule="auto"/>
              <w:ind w:left="-426" w:firstLine="284"/>
              <w:jc w:val="center"/>
              <w:rPr>
                <w:rFonts w:ascii="Times New Roman" w:eastAsia="Times New Roman" w:hAnsi="Times New Roman"/>
                <w:b/>
                <w:bCs/>
                <w:sz w:val="20"/>
                <w:szCs w:val="20"/>
                <w:lang w:eastAsia="ru-RU"/>
              </w:rPr>
            </w:pPr>
          </w:p>
        </w:tc>
        <w:tc>
          <w:tcPr>
            <w:tcW w:w="3497" w:type="dxa"/>
            <w:vMerge w:val="restart"/>
            <w:tcBorders>
              <w:top w:val="single" w:sz="8" w:space="0" w:color="000000"/>
              <w:left w:val="single" w:sz="8" w:space="0" w:color="000000"/>
              <w:bottom w:val="single" w:sz="8" w:space="0" w:color="000000"/>
              <w:right w:val="single" w:sz="4" w:space="0" w:color="000000"/>
            </w:tcBorders>
            <w:vAlign w:val="center"/>
          </w:tcPr>
          <w:p w14:paraId="21BD8065" w14:textId="77777777" w:rsidR="002449C2" w:rsidRDefault="00123961">
            <w:pPr>
              <w:spacing w:after="0" w:line="240" w:lineRule="auto"/>
              <w:ind w:left="-426" w:firstLine="284"/>
              <w:jc w:val="center"/>
              <w:rPr>
                <w:rFonts w:ascii="Times New Roman" w:eastAsia="Times New Roman" w:hAnsi="Times New Roman"/>
                <w:b/>
                <w:bCs/>
                <w:sz w:val="16"/>
                <w:szCs w:val="16"/>
                <w:lang w:eastAsia="ru-RU"/>
              </w:rPr>
            </w:pPr>
            <w:r>
              <w:rPr>
                <w:rFonts w:ascii="Times New Roman" w:eastAsia="Times New Roman" w:hAnsi="Times New Roman"/>
                <w:b/>
                <w:bCs/>
                <w:sz w:val="16"/>
                <w:szCs w:val="16"/>
                <w:lang w:eastAsia="ru-RU"/>
              </w:rPr>
              <w:t>Показатели</w:t>
            </w:r>
          </w:p>
        </w:tc>
        <w:tc>
          <w:tcPr>
            <w:tcW w:w="1102" w:type="dxa"/>
            <w:vMerge w:val="restart"/>
            <w:tcBorders>
              <w:top w:val="single" w:sz="8" w:space="0" w:color="000000"/>
              <w:left w:val="single" w:sz="8" w:space="0" w:color="000000"/>
              <w:bottom w:val="single" w:sz="8" w:space="0" w:color="000000"/>
              <w:right w:val="single" w:sz="4" w:space="0" w:color="000000"/>
            </w:tcBorders>
            <w:vAlign w:val="center"/>
          </w:tcPr>
          <w:p w14:paraId="7DF36D2B" w14:textId="77777777" w:rsidR="002449C2" w:rsidRDefault="00123961">
            <w:pPr>
              <w:spacing w:after="0" w:line="240" w:lineRule="auto"/>
              <w:ind w:left="-426" w:firstLine="284"/>
              <w:jc w:val="center"/>
              <w:rPr>
                <w:rFonts w:ascii="Times New Roman" w:eastAsia="Times New Roman" w:hAnsi="Times New Roman"/>
                <w:b/>
                <w:bCs/>
                <w:sz w:val="16"/>
                <w:szCs w:val="16"/>
                <w:lang w:eastAsia="ru-RU"/>
              </w:rPr>
            </w:pPr>
            <w:r>
              <w:rPr>
                <w:rFonts w:ascii="Times New Roman" w:eastAsia="Times New Roman" w:hAnsi="Times New Roman"/>
                <w:b/>
                <w:bCs/>
                <w:sz w:val="16"/>
                <w:szCs w:val="16"/>
                <w:lang w:eastAsia="ru-RU"/>
              </w:rPr>
              <w:t>Ед. измер</w:t>
            </w:r>
          </w:p>
        </w:tc>
        <w:tc>
          <w:tcPr>
            <w:tcW w:w="4545" w:type="dxa"/>
            <w:gridSpan w:val="4"/>
            <w:tcBorders>
              <w:top w:val="single" w:sz="8" w:space="0" w:color="000000"/>
              <w:left w:val="single" w:sz="4" w:space="0" w:color="000000"/>
              <w:bottom w:val="single" w:sz="4" w:space="0" w:color="000000"/>
              <w:right w:val="single" w:sz="8" w:space="0" w:color="000000"/>
            </w:tcBorders>
            <w:vAlign w:val="center"/>
          </w:tcPr>
          <w:p w14:paraId="7EAFF996" w14:textId="77777777" w:rsidR="002449C2" w:rsidRDefault="00123961">
            <w:pPr>
              <w:spacing w:after="0" w:line="240" w:lineRule="auto"/>
              <w:ind w:left="-426" w:firstLine="284"/>
              <w:jc w:val="center"/>
              <w:rPr>
                <w:rFonts w:ascii="Times New Roman" w:eastAsia="Times New Roman" w:hAnsi="Times New Roman"/>
                <w:b/>
                <w:bCs/>
                <w:sz w:val="16"/>
                <w:szCs w:val="16"/>
                <w:lang w:eastAsia="ru-RU"/>
              </w:rPr>
            </w:pPr>
            <w:r>
              <w:rPr>
                <w:rFonts w:ascii="Times New Roman" w:eastAsia="Times New Roman" w:hAnsi="Times New Roman"/>
                <w:b/>
                <w:bCs/>
                <w:sz w:val="16"/>
                <w:szCs w:val="16"/>
                <w:lang w:eastAsia="ru-RU"/>
              </w:rPr>
              <w:t>Период</w:t>
            </w:r>
          </w:p>
        </w:tc>
      </w:tr>
      <w:tr w:rsidR="002449C2" w14:paraId="5BC966EE" w14:textId="77777777">
        <w:trPr>
          <w:trHeight w:val="546"/>
          <w:tblHeader/>
        </w:trPr>
        <w:tc>
          <w:tcPr>
            <w:tcW w:w="353" w:type="dxa"/>
            <w:vMerge/>
            <w:tcBorders>
              <w:top w:val="single" w:sz="8" w:space="0" w:color="000000"/>
              <w:left w:val="single" w:sz="8" w:space="0" w:color="000000"/>
              <w:bottom w:val="single" w:sz="8" w:space="0" w:color="000000"/>
              <w:right w:val="single" w:sz="8" w:space="0" w:color="000000"/>
            </w:tcBorders>
            <w:vAlign w:val="center"/>
          </w:tcPr>
          <w:p w14:paraId="653790A2" w14:textId="77777777" w:rsidR="002449C2" w:rsidRDefault="002449C2">
            <w:pPr>
              <w:spacing w:after="0" w:line="240" w:lineRule="auto"/>
              <w:ind w:left="-426" w:firstLine="284"/>
              <w:jc w:val="center"/>
              <w:rPr>
                <w:rFonts w:ascii="Times New Roman" w:eastAsia="Times New Roman" w:hAnsi="Times New Roman"/>
                <w:b/>
                <w:bCs/>
                <w:sz w:val="20"/>
                <w:szCs w:val="20"/>
                <w:lang w:eastAsia="ru-RU"/>
              </w:rPr>
            </w:pPr>
          </w:p>
        </w:tc>
        <w:tc>
          <w:tcPr>
            <w:tcW w:w="3497" w:type="dxa"/>
            <w:vMerge/>
            <w:tcBorders>
              <w:top w:val="single" w:sz="8" w:space="0" w:color="000000"/>
              <w:left w:val="single" w:sz="8" w:space="0" w:color="000000"/>
              <w:bottom w:val="single" w:sz="8" w:space="0" w:color="000000"/>
              <w:right w:val="single" w:sz="4" w:space="0" w:color="000000"/>
            </w:tcBorders>
            <w:vAlign w:val="center"/>
          </w:tcPr>
          <w:p w14:paraId="1FB484D9" w14:textId="77777777" w:rsidR="002449C2" w:rsidRDefault="002449C2">
            <w:pPr>
              <w:spacing w:after="0" w:line="240" w:lineRule="auto"/>
              <w:ind w:left="-426" w:firstLine="284"/>
              <w:jc w:val="center"/>
              <w:rPr>
                <w:rFonts w:ascii="Times New Roman" w:eastAsia="Times New Roman" w:hAnsi="Times New Roman"/>
                <w:b/>
                <w:bCs/>
                <w:sz w:val="20"/>
                <w:szCs w:val="20"/>
                <w:lang w:eastAsia="ru-RU"/>
              </w:rPr>
            </w:pPr>
          </w:p>
        </w:tc>
        <w:tc>
          <w:tcPr>
            <w:tcW w:w="1102" w:type="dxa"/>
            <w:vMerge/>
            <w:tcBorders>
              <w:top w:val="single" w:sz="8" w:space="0" w:color="000000"/>
              <w:left w:val="single" w:sz="8" w:space="0" w:color="000000"/>
              <w:bottom w:val="single" w:sz="8" w:space="0" w:color="000000"/>
              <w:right w:val="single" w:sz="4" w:space="0" w:color="000000"/>
            </w:tcBorders>
          </w:tcPr>
          <w:p w14:paraId="6B59452F" w14:textId="77777777" w:rsidR="002449C2" w:rsidRDefault="002449C2">
            <w:pPr>
              <w:spacing w:after="0" w:line="240" w:lineRule="auto"/>
              <w:ind w:left="-426" w:firstLine="284"/>
              <w:jc w:val="center"/>
              <w:rPr>
                <w:rFonts w:ascii="Times New Roman" w:eastAsia="Times New Roman" w:hAnsi="Times New Roman"/>
                <w:b/>
                <w:bCs/>
                <w:sz w:val="20"/>
                <w:szCs w:val="20"/>
                <w:lang w:eastAsia="ru-RU"/>
              </w:rPr>
            </w:pPr>
          </w:p>
        </w:tc>
        <w:tc>
          <w:tcPr>
            <w:tcW w:w="1099" w:type="dxa"/>
            <w:tcBorders>
              <w:top w:val="single" w:sz="8" w:space="0" w:color="000000"/>
              <w:left w:val="single" w:sz="4" w:space="0" w:color="000000"/>
              <w:bottom w:val="single" w:sz="4" w:space="0" w:color="000000"/>
              <w:right w:val="single" w:sz="8" w:space="0" w:color="000000"/>
            </w:tcBorders>
            <w:vAlign w:val="center"/>
          </w:tcPr>
          <w:p w14:paraId="5ABFF96F" w14:textId="77777777" w:rsidR="002449C2" w:rsidRDefault="00123961">
            <w:pPr>
              <w:spacing w:after="0" w:line="240" w:lineRule="auto"/>
              <w:ind w:left="-426" w:firstLine="284"/>
              <w:jc w:val="center"/>
              <w:rPr>
                <w:rFonts w:ascii="Times New Roman" w:eastAsia="Times New Roman" w:hAnsi="Times New Roman"/>
                <w:b/>
                <w:bCs/>
                <w:sz w:val="16"/>
                <w:szCs w:val="16"/>
                <w:lang w:eastAsia="ru-RU"/>
              </w:rPr>
            </w:pPr>
            <w:r>
              <w:rPr>
                <w:rFonts w:ascii="Times New Roman" w:eastAsia="Times New Roman" w:hAnsi="Times New Roman"/>
                <w:b/>
                <w:bCs/>
                <w:sz w:val="16"/>
                <w:szCs w:val="16"/>
                <w:lang w:eastAsia="ru-RU"/>
              </w:rPr>
              <w:t>2022 год</w:t>
            </w:r>
          </w:p>
          <w:p w14:paraId="11D0FDC1" w14:textId="77777777" w:rsidR="002449C2" w:rsidRDefault="00123961">
            <w:pPr>
              <w:spacing w:after="0" w:line="240" w:lineRule="auto"/>
              <w:ind w:left="-426" w:firstLine="284"/>
              <w:jc w:val="center"/>
              <w:rPr>
                <w:rFonts w:ascii="Times New Roman" w:eastAsia="Times New Roman" w:hAnsi="Times New Roman"/>
                <w:b/>
                <w:bCs/>
                <w:sz w:val="16"/>
                <w:szCs w:val="16"/>
                <w:lang w:eastAsia="ru-RU"/>
              </w:rPr>
            </w:pPr>
            <w:r>
              <w:rPr>
                <w:rFonts w:ascii="Times New Roman" w:eastAsia="Times New Roman" w:hAnsi="Times New Roman"/>
                <w:b/>
                <w:bCs/>
                <w:sz w:val="16"/>
                <w:szCs w:val="16"/>
                <w:lang w:eastAsia="ru-RU"/>
              </w:rPr>
              <w:t>факт</w:t>
            </w:r>
          </w:p>
        </w:tc>
        <w:tc>
          <w:tcPr>
            <w:tcW w:w="1024" w:type="dxa"/>
            <w:tcBorders>
              <w:top w:val="single" w:sz="8" w:space="0" w:color="000000"/>
              <w:left w:val="single" w:sz="4" w:space="0" w:color="000000"/>
              <w:bottom w:val="single" w:sz="4" w:space="0" w:color="000000"/>
              <w:right w:val="single" w:sz="8" w:space="0" w:color="000000"/>
            </w:tcBorders>
            <w:vAlign w:val="center"/>
          </w:tcPr>
          <w:p w14:paraId="19A39435" w14:textId="77777777" w:rsidR="002449C2" w:rsidRDefault="00123961">
            <w:pPr>
              <w:spacing w:after="0" w:line="240" w:lineRule="auto"/>
              <w:ind w:left="-426" w:firstLine="284"/>
              <w:jc w:val="center"/>
              <w:rPr>
                <w:rFonts w:ascii="Times New Roman" w:eastAsia="Times New Roman" w:hAnsi="Times New Roman"/>
                <w:b/>
                <w:bCs/>
                <w:sz w:val="16"/>
                <w:szCs w:val="16"/>
                <w:lang w:eastAsia="ru-RU"/>
              </w:rPr>
            </w:pPr>
            <w:r>
              <w:rPr>
                <w:rFonts w:ascii="Times New Roman" w:eastAsia="Times New Roman" w:hAnsi="Times New Roman"/>
                <w:b/>
                <w:bCs/>
                <w:sz w:val="16"/>
                <w:szCs w:val="16"/>
                <w:lang w:eastAsia="ru-RU"/>
              </w:rPr>
              <w:t>2023 год</w:t>
            </w:r>
          </w:p>
          <w:p w14:paraId="3379667C" w14:textId="77777777" w:rsidR="002449C2" w:rsidRDefault="00123961">
            <w:pPr>
              <w:spacing w:after="0" w:line="240" w:lineRule="auto"/>
              <w:ind w:left="-426" w:firstLine="284"/>
              <w:jc w:val="center"/>
              <w:rPr>
                <w:rFonts w:ascii="Times New Roman" w:eastAsia="Times New Roman" w:hAnsi="Times New Roman"/>
                <w:b/>
                <w:bCs/>
                <w:sz w:val="16"/>
                <w:szCs w:val="16"/>
                <w:lang w:eastAsia="ru-RU"/>
              </w:rPr>
            </w:pPr>
            <w:r>
              <w:rPr>
                <w:rFonts w:ascii="Times New Roman" w:eastAsia="Times New Roman" w:hAnsi="Times New Roman"/>
                <w:b/>
                <w:bCs/>
                <w:sz w:val="16"/>
                <w:szCs w:val="16"/>
                <w:lang w:eastAsia="ru-RU"/>
              </w:rPr>
              <w:t>факт</w:t>
            </w:r>
          </w:p>
        </w:tc>
        <w:tc>
          <w:tcPr>
            <w:tcW w:w="1021" w:type="dxa"/>
            <w:tcBorders>
              <w:top w:val="single" w:sz="8" w:space="0" w:color="000000"/>
              <w:left w:val="single" w:sz="4" w:space="0" w:color="000000"/>
              <w:bottom w:val="single" w:sz="4" w:space="0" w:color="000000"/>
              <w:right w:val="single" w:sz="8" w:space="0" w:color="000000"/>
            </w:tcBorders>
            <w:vAlign w:val="center"/>
          </w:tcPr>
          <w:p w14:paraId="535D637C" w14:textId="77777777" w:rsidR="002449C2" w:rsidRDefault="00123961">
            <w:pPr>
              <w:spacing w:after="0" w:line="240" w:lineRule="auto"/>
              <w:ind w:left="-426" w:firstLine="284"/>
              <w:jc w:val="center"/>
              <w:rPr>
                <w:rFonts w:ascii="Times New Roman" w:eastAsia="Times New Roman" w:hAnsi="Times New Roman"/>
                <w:b/>
                <w:bCs/>
                <w:sz w:val="16"/>
                <w:szCs w:val="16"/>
                <w:lang w:eastAsia="ru-RU"/>
              </w:rPr>
            </w:pPr>
            <w:r>
              <w:rPr>
                <w:rFonts w:ascii="Times New Roman" w:eastAsia="Times New Roman" w:hAnsi="Times New Roman"/>
                <w:b/>
                <w:bCs/>
                <w:sz w:val="16"/>
                <w:szCs w:val="16"/>
                <w:lang w:eastAsia="ru-RU"/>
              </w:rPr>
              <w:t>2024 год</w:t>
            </w:r>
          </w:p>
          <w:p w14:paraId="40BE6DFA" w14:textId="77777777" w:rsidR="002449C2" w:rsidRDefault="00123961">
            <w:pPr>
              <w:spacing w:after="0" w:line="240" w:lineRule="auto"/>
              <w:ind w:left="-426" w:firstLine="284"/>
              <w:jc w:val="center"/>
              <w:rPr>
                <w:rFonts w:ascii="Times New Roman" w:eastAsia="Times New Roman" w:hAnsi="Times New Roman"/>
                <w:b/>
                <w:bCs/>
                <w:sz w:val="16"/>
                <w:szCs w:val="16"/>
                <w:lang w:eastAsia="ru-RU"/>
              </w:rPr>
            </w:pPr>
            <w:r>
              <w:rPr>
                <w:rFonts w:ascii="Times New Roman" w:eastAsia="Times New Roman" w:hAnsi="Times New Roman"/>
                <w:b/>
                <w:bCs/>
                <w:sz w:val="16"/>
                <w:szCs w:val="16"/>
                <w:lang w:eastAsia="ru-RU"/>
              </w:rPr>
              <w:t>факт</w:t>
            </w:r>
          </w:p>
        </w:tc>
        <w:tc>
          <w:tcPr>
            <w:tcW w:w="1401" w:type="dxa"/>
            <w:tcBorders>
              <w:top w:val="single" w:sz="8" w:space="0" w:color="000000"/>
              <w:left w:val="single" w:sz="4" w:space="0" w:color="000000"/>
              <w:bottom w:val="single" w:sz="4" w:space="0" w:color="000000"/>
              <w:right w:val="single" w:sz="8" w:space="0" w:color="000000"/>
            </w:tcBorders>
            <w:vAlign w:val="center"/>
          </w:tcPr>
          <w:p w14:paraId="648DF92B" w14:textId="77777777" w:rsidR="002449C2" w:rsidRDefault="00123961">
            <w:pPr>
              <w:spacing w:after="0" w:line="240" w:lineRule="auto"/>
              <w:ind w:left="-426" w:firstLine="284"/>
              <w:jc w:val="center"/>
              <w:rPr>
                <w:rFonts w:ascii="Times New Roman" w:eastAsia="Times New Roman" w:hAnsi="Times New Roman"/>
                <w:b/>
                <w:bCs/>
                <w:sz w:val="16"/>
                <w:szCs w:val="16"/>
                <w:lang w:eastAsia="ru-RU"/>
              </w:rPr>
            </w:pPr>
            <w:r>
              <w:rPr>
                <w:rFonts w:ascii="Times New Roman" w:eastAsia="Times New Roman" w:hAnsi="Times New Roman"/>
                <w:b/>
                <w:bCs/>
                <w:sz w:val="16"/>
                <w:szCs w:val="16"/>
                <w:lang w:eastAsia="ru-RU"/>
              </w:rPr>
              <w:t>Изменение 2024/</w:t>
            </w:r>
          </w:p>
          <w:p w14:paraId="359CCF4C" w14:textId="77777777" w:rsidR="002449C2" w:rsidRDefault="00123961">
            <w:pPr>
              <w:spacing w:after="0" w:line="240" w:lineRule="auto"/>
              <w:ind w:left="-426" w:firstLine="284"/>
              <w:jc w:val="center"/>
              <w:rPr>
                <w:rFonts w:ascii="Times New Roman" w:eastAsia="Times New Roman" w:hAnsi="Times New Roman"/>
                <w:b/>
                <w:bCs/>
                <w:sz w:val="16"/>
                <w:szCs w:val="16"/>
                <w:lang w:eastAsia="ru-RU"/>
              </w:rPr>
            </w:pPr>
            <w:r>
              <w:rPr>
                <w:rFonts w:ascii="Times New Roman" w:eastAsia="Times New Roman" w:hAnsi="Times New Roman"/>
                <w:b/>
                <w:bCs/>
                <w:sz w:val="16"/>
                <w:szCs w:val="16"/>
                <w:lang w:eastAsia="ru-RU"/>
              </w:rPr>
              <w:t>2023, %</w:t>
            </w:r>
          </w:p>
        </w:tc>
      </w:tr>
      <w:tr w:rsidR="002449C2" w14:paraId="0D86442B" w14:textId="77777777">
        <w:trPr>
          <w:trHeight w:val="20"/>
        </w:trPr>
        <w:tc>
          <w:tcPr>
            <w:tcW w:w="353" w:type="dxa"/>
            <w:tcBorders>
              <w:top w:val="single" w:sz="8" w:space="0" w:color="000000"/>
              <w:left w:val="single" w:sz="8" w:space="0" w:color="000000"/>
              <w:bottom w:val="single" w:sz="8" w:space="0" w:color="000000"/>
              <w:right w:val="single" w:sz="8" w:space="0" w:color="000000"/>
            </w:tcBorders>
            <w:vAlign w:val="center"/>
          </w:tcPr>
          <w:p w14:paraId="587EADDF" w14:textId="77777777" w:rsidR="002449C2" w:rsidRDefault="00123961">
            <w:pPr>
              <w:spacing w:after="0" w:line="240" w:lineRule="auto"/>
              <w:ind w:left="-426" w:firstLine="284"/>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w:t>
            </w:r>
          </w:p>
        </w:tc>
        <w:tc>
          <w:tcPr>
            <w:tcW w:w="3497" w:type="dxa"/>
            <w:tcBorders>
              <w:top w:val="single" w:sz="8" w:space="0" w:color="000000"/>
              <w:left w:val="single" w:sz="8" w:space="0" w:color="000000"/>
              <w:bottom w:val="single" w:sz="8" w:space="0" w:color="000000"/>
              <w:right w:val="single" w:sz="4" w:space="0" w:color="000000"/>
            </w:tcBorders>
            <w:vAlign w:val="center"/>
          </w:tcPr>
          <w:p w14:paraId="0EE1360E" w14:textId="77777777" w:rsidR="002449C2" w:rsidRDefault="00123961">
            <w:pPr>
              <w:spacing w:after="0" w:line="240" w:lineRule="auto"/>
              <w:ind w:left="-108"/>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2</w:t>
            </w:r>
          </w:p>
        </w:tc>
        <w:tc>
          <w:tcPr>
            <w:tcW w:w="1102" w:type="dxa"/>
            <w:tcBorders>
              <w:left w:val="single" w:sz="8" w:space="0" w:color="000000"/>
              <w:bottom w:val="single" w:sz="8" w:space="0" w:color="000000"/>
            </w:tcBorders>
          </w:tcPr>
          <w:p w14:paraId="70E37C18" w14:textId="77777777" w:rsidR="002449C2" w:rsidRDefault="002449C2">
            <w:pPr>
              <w:spacing w:after="0" w:line="240" w:lineRule="auto"/>
              <w:ind w:left="-426" w:firstLine="284"/>
              <w:jc w:val="center"/>
              <w:rPr>
                <w:rFonts w:ascii="Times New Roman" w:hAnsi="Times New Roman"/>
                <w:color w:val="000000"/>
                <w:sz w:val="20"/>
                <w:szCs w:val="20"/>
                <w:lang w:eastAsia="en-US"/>
              </w:rPr>
            </w:pPr>
          </w:p>
        </w:tc>
        <w:tc>
          <w:tcPr>
            <w:tcW w:w="1099" w:type="dxa"/>
            <w:tcBorders>
              <w:bottom w:val="single" w:sz="8" w:space="0" w:color="000000"/>
              <w:right w:val="single" w:sz="8" w:space="0" w:color="000000"/>
            </w:tcBorders>
            <w:shd w:val="clear" w:color="000000" w:fill="FFFFFF"/>
            <w:vAlign w:val="center"/>
          </w:tcPr>
          <w:p w14:paraId="621C89B8"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hAnsi="Times New Roman"/>
                <w:color w:val="000000"/>
                <w:sz w:val="20"/>
                <w:szCs w:val="20"/>
                <w:lang w:eastAsia="en-US"/>
              </w:rPr>
              <w:t>3</w:t>
            </w:r>
          </w:p>
        </w:tc>
        <w:tc>
          <w:tcPr>
            <w:tcW w:w="1024" w:type="dxa"/>
            <w:tcBorders>
              <w:bottom w:val="single" w:sz="8" w:space="0" w:color="000000"/>
              <w:right w:val="single" w:sz="8" w:space="0" w:color="000000"/>
            </w:tcBorders>
            <w:shd w:val="clear" w:color="000000" w:fill="FFFFFF"/>
            <w:vAlign w:val="center"/>
          </w:tcPr>
          <w:p w14:paraId="7BDC5259"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hAnsi="Times New Roman"/>
                <w:color w:val="000000"/>
                <w:sz w:val="20"/>
                <w:szCs w:val="20"/>
                <w:lang w:eastAsia="en-US"/>
              </w:rPr>
              <w:t>4</w:t>
            </w:r>
          </w:p>
        </w:tc>
        <w:tc>
          <w:tcPr>
            <w:tcW w:w="1021" w:type="dxa"/>
            <w:tcBorders>
              <w:bottom w:val="single" w:sz="8" w:space="0" w:color="000000"/>
              <w:right w:val="single" w:sz="8" w:space="0" w:color="000000"/>
            </w:tcBorders>
            <w:shd w:val="clear" w:color="000000" w:fill="FFFFFF"/>
            <w:vAlign w:val="center"/>
          </w:tcPr>
          <w:p w14:paraId="4E501FDC"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hAnsi="Times New Roman"/>
                <w:color w:val="000000"/>
                <w:sz w:val="20"/>
                <w:szCs w:val="20"/>
                <w:lang w:eastAsia="en-US"/>
              </w:rPr>
              <w:t>5</w:t>
            </w:r>
          </w:p>
        </w:tc>
        <w:tc>
          <w:tcPr>
            <w:tcW w:w="1401" w:type="dxa"/>
            <w:tcBorders>
              <w:bottom w:val="single" w:sz="8" w:space="0" w:color="000000"/>
              <w:right w:val="single" w:sz="8" w:space="0" w:color="000000"/>
            </w:tcBorders>
            <w:shd w:val="clear" w:color="000000" w:fill="FFFFFF"/>
            <w:vAlign w:val="center"/>
          </w:tcPr>
          <w:p w14:paraId="72E31AC1"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hAnsi="Times New Roman"/>
                <w:color w:val="000000"/>
                <w:sz w:val="20"/>
                <w:szCs w:val="20"/>
                <w:lang w:eastAsia="en-US"/>
              </w:rPr>
              <w:t>6</w:t>
            </w:r>
          </w:p>
        </w:tc>
      </w:tr>
      <w:tr w:rsidR="002449C2" w14:paraId="456CCB5F" w14:textId="77777777">
        <w:trPr>
          <w:trHeight w:val="20"/>
        </w:trPr>
        <w:tc>
          <w:tcPr>
            <w:tcW w:w="9497" w:type="dxa"/>
            <w:gridSpan w:val="7"/>
            <w:tcBorders>
              <w:top w:val="single" w:sz="8" w:space="0" w:color="000000"/>
              <w:left w:val="single" w:sz="8" w:space="0" w:color="000000"/>
              <w:bottom w:val="single" w:sz="8" w:space="0" w:color="000000"/>
              <w:right w:val="single" w:sz="8" w:space="0" w:color="000000"/>
            </w:tcBorders>
            <w:vAlign w:val="center"/>
          </w:tcPr>
          <w:p w14:paraId="72F1E861"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eastAsia="Times New Roman" w:hAnsi="Times New Roman"/>
                <w:b/>
                <w:color w:val="000000"/>
                <w:sz w:val="20"/>
                <w:szCs w:val="20"/>
                <w:shd w:val="clear" w:color="auto" w:fill="FFFFFF"/>
                <w:lang w:eastAsia="ru-RU"/>
              </w:rPr>
              <w:t>Финансовые показатели</w:t>
            </w:r>
          </w:p>
        </w:tc>
      </w:tr>
      <w:tr w:rsidR="002449C2" w14:paraId="630D173A" w14:textId="77777777">
        <w:trPr>
          <w:trHeight w:val="20"/>
        </w:trPr>
        <w:tc>
          <w:tcPr>
            <w:tcW w:w="353" w:type="dxa"/>
            <w:tcBorders>
              <w:top w:val="single" w:sz="8" w:space="0" w:color="000000"/>
              <w:left w:val="single" w:sz="8" w:space="0" w:color="000000"/>
              <w:bottom w:val="single" w:sz="8" w:space="0" w:color="000000"/>
              <w:right w:val="single" w:sz="8" w:space="0" w:color="000000"/>
            </w:tcBorders>
            <w:vAlign w:val="center"/>
          </w:tcPr>
          <w:p w14:paraId="79C2D858" w14:textId="77777777" w:rsidR="002449C2" w:rsidRDefault="00123961">
            <w:pPr>
              <w:spacing w:after="0" w:line="240" w:lineRule="auto"/>
              <w:ind w:left="-426" w:firstLine="284"/>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w:t>
            </w:r>
          </w:p>
        </w:tc>
        <w:tc>
          <w:tcPr>
            <w:tcW w:w="3497" w:type="dxa"/>
            <w:tcBorders>
              <w:top w:val="single" w:sz="8" w:space="0" w:color="000000"/>
              <w:left w:val="single" w:sz="8" w:space="0" w:color="000000"/>
              <w:bottom w:val="single" w:sz="8" w:space="0" w:color="000000"/>
              <w:right w:val="single" w:sz="4" w:space="0" w:color="000000"/>
            </w:tcBorders>
            <w:vAlign w:val="center"/>
          </w:tcPr>
          <w:p w14:paraId="42F2AA32" w14:textId="77777777" w:rsidR="002449C2" w:rsidRDefault="00123961">
            <w:pPr>
              <w:spacing w:after="0" w:line="240" w:lineRule="auto"/>
              <w:ind w:left="-108"/>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 xml:space="preserve"> Выручка от реализации продукции (услуг), в том числе:</w:t>
            </w:r>
          </w:p>
        </w:tc>
        <w:tc>
          <w:tcPr>
            <w:tcW w:w="1102" w:type="dxa"/>
            <w:tcBorders>
              <w:top w:val="single" w:sz="4" w:space="0" w:color="000000"/>
              <w:left w:val="single" w:sz="4" w:space="0" w:color="000000"/>
              <w:bottom w:val="single" w:sz="4" w:space="0" w:color="000000"/>
              <w:right w:val="single" w:sz="4" w:space="0" w:color="000000"/>
            </w:tcBorders>
          </w:tcPr>
          <w:p w14:paraId="72780E50"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eastAsia="Times New Roman" w:hAnsi="Times New Roman"/>
                <w:bCs/>
                <w:color w:val="000000"/>
                <w:sz w:val="20"/>
                <w:szCs w:val="20"/>
                <w:lang w:eastAsia="ru-RU"/>
              </w:rPr>
              <w:t>млн руб.</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2C9FE37"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42 113</w:t>
            </w:r>
          </w:p>
        </w:tc>
        <w:tc>
          <w:tcPr>
            <w:tcW w:w="1024" w:type="dxa"/>
            <w:tcBorders>
              <w:left w:val="single" w:sz="4" w:space="0" w:color="000000"/>
              <w:bottom w:val="single" w:sz="8" w:space="0" w:color="000000"/>
              <w:right w:val="single" w:sz="8" w:space="0" w:color="000000"/>
            </w:tcBorders>
            <w:shd w:val="clear" w:color="000000" w:fill="FFFFFF"/>
            <w:vAlign w:val="center"/>
          </w:tcPr>
          <w:p w14:paraId="1A2A2DDE"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48 151</w:t>
            </w:r>
          </w:p>
        </w:tc>
        <w:tc>
          <w:tcPr>
            <w:tcW w:w="1021" w:type="dxa"/>
            <w:tcBorders>
              <w:bottom w:val="single" w:sz="8" w:space="0" w:color="000000"/>
              <w:right w:val="single" w:sz="8" w:space="0" w:color="000000"/>
            </w:tcBorders>
            <w:shd w:val="clear" w:color="000000" w:fill="FFFFFF"/>
            <w:vAlign w:val="center"/>
          </w:tcPr>
          <w:p w14:paraId="5F2E65BB"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51 265</w:t>
            </w:r>
          </w:p>
        </w:tc>
        <w:tc>
          <w:tcPr>
            <w:tcW w:w="1401" w:type="dxa"/>
            <w:tcBorders>
              <w:bottom w:val="single" w:sz="8" w:space="0" w:color="000000"/>
              <w:right w:val="single" w:sz="8" w:space="0" w:color="000000"/>
            </w:tcBorders>
            <w:shd w:val="clear" w:color="000000" w:fill="FFFFFF"/>
            <w:vAlign w:val="center"/>
          </w:tcPr>
          <w:p w14:paraId="12019DBD"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6,5%</w:t>
            </w:r>
          </w:p>
        </w:tc>
      </w:tr>
      <w:tr w:rsidR="002449C2" w14:paraId="08AF13CF" w14:textId="77777777">
        <w:trPr>
          <w:trHeight w:val="20"/>
        </w:trPr>
        <w:tc>
          <w:tcPr>
            <w:tcW w:w="353" w:type="dxa"/>
            <w:tcBorders>
              <w:top w:val="single" w:sz="8" w:space="0" w:color="000000"/>
              <w:left w:val="single" w:sz="8" w:space="0" w:color="000000"/>
              <w:bottom w:val="single" w:sz="8" w:space="0" w:color="000000"/>
              <w:right w:val="single" w:sz="8" w:space="0" w:color="000000"/>
            </w:tcBorders>
            <w:vAlign w:val="center"/>
          </w:tcPr>
          <w:p w14:paraId="0840F56C" w14:textId="77777777" w:rsidR="002449C2" w:rsidRDefault="00123961">
            <w:pPr>
              <w:spacing w:after="0" w:line="240" w:lineRule="auto"/>
              <w:ind w:left="-426" w:firstLine="284"/>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1.1.</w:t>
            </w:r>
          </w:p>
        </w:tc>
        <w:tc>
          <w:tcPr>
            <w:tcW w:w="3497" w:type="dxa"/>
            <w:tcBorders>
              <w:top w:val="single" w:sz="8" w:space="0" w:color="000000"/>
              <w:left w:val="single" w:sz="8" w:space="0" w:color="000000"/>
              <w:bottom w:val="single" w:sz="8" w:space="0" w:color="000000"/>
              <w:right w:val="single" w:sz="4" w:space="0" w:color="000000"/>
            </w:tcBorders>
            <w:vAlign w:val="center"/>
          </w:tcPr>
          <w:p w14:paraId="3F13F28C" w14:textId="77777777" w:rsidR="002449C2" w:rsidRDefault="00123961">
            <w:pPr>
              <w:spacing w:after="0" w:line="240" w:lineRule="auto"/>
              <w:ind w:left="-108"/>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От передачи электроэнергии</w:t>
            </w:r>
          </w:p>
        </w:tc>
        <w:tc>
          <w:tcPr>
            <w:tcW w:w="1102" w:type="dxa"/>
            <w:tcBorders>
              <w:top w:val="single" w:sz="4" w:space="0" w:color="000000"/>
              <w:left w:val="single" w:sz="4" w:space="0" w:color="000000"/>
              <w:bottom w:val="single" w:sz="4" w:space="0" w:color="000000"/>
              <w:right w:val="single" w:sz="4" w:space="0" w:color="000000"/>
            </w:tcBorders>
          </w:tcPr>
          <w:p w14:paraId="7B4CB52E"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hAnsi="Times New Roman"/>
                <w:color w:val="000000"/>
                <w:sz w:val="20"/>
                <w:szCs w:val="20"/>
                <w:lang w:eastAsia="en-US"/>
              </w:rPr>
              <w:t>млн руб.</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8CF9B20"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39 141</w:t>
            </w:r>
          </w:p>
        </w:tc>
        <w:tc>
          <w:tcPr>
            <w:tcW w:w="1024" w:type="dxa"/>
            <w:tcBorders>
              <w:left w:val="single" w:sz="4" w:space="0" w:color="000000"/>
              <w:bottom w:val="single" w:sz="8" w:space="0" w:color="000000"/>
              <w:right w:val="single" w:sz="8" w:space="0" w:color="000000"/>
            </w:tcBorders>
            <w:shd w:val="clear" w:color="000000" w:fill="FFFFFF"/>
            <w:vAlign w:val="center"/>
          </w:tcPr>
          <w:p w14:paraId="5F7EE660"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44 991</w:t>
            </w:r>
          </w:p>
        </w:tc>
        <w:tc>
          <w:tcPr>
            <w:tcW w:w="1021" w:type="dxa"/>
            <w:tcBorders>
              <w:bottom w:val="single" w:sz="8" w:space="0" w:color="000000"/>
              <w:right w:val="single" w:sz="8" w:space="0" w:color="000000"/>
            </w:tcBorders>
            <w:shd w:val="clear" w:color="000000" w:fill="FFFFFF"/>
            <w:vAlign w:val="center"/>
          </w:tcPr>
          <w:p w14:paraId="2258E338"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48 066</w:t>
            </w:r>
          </w:p>
        </w:tc>
        <w:tc>
          <w:tcPr>
            <w:tcW w:w="1401" w:type="dxa"/>
            <w:tcBorders>
              <w:bottom w:val="single" w:sz="8" w:space="0" w:color="000000"/>
              <w:right w:val="single" w:sz="8" w:space="0" w:color="000000"/>
            </w:tcBorders>
            <w:shd w:val="clear" w:color="000000" w:fill="FFFFFF"/>
            <w:vAlign w:val="center"/>
          </w:tcPr>
          <w:p w14:paraId="471195DD"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6,8%</w:t>
            </w:r>
          </w:p>
        </w:tc>
      </w:tr>
      <w:tr w:rsidR="002449C2" w14:paraId="7BB8D5E6" w14:textId="77777777">
        <w:trPr>
          <w:trHeight w:val="20"/>
        </w:trPr>
        <w:tc>
          <w:tcPr>
            <w:tcW w:w="353" w:type="dxa"/>
            <w:tcBorders>
              <w:top w:val="single" w:sz="8" w:space="0" w:color="000000"/>
              <w:left w:val="single" w:sz="8" w:space="0" w:color="000000"/>
              <w:bottom w:val="single" w:sz="8" w:space="0" w:color="000000"/>
              <w:right w:val="single" w:sz="8" w:space="0" w:color="000000"/>
            </w:tcBorders>
            <w:vAlign w:val="center"/>
          </w:tcPr>
          <w:p w14:paraId="3F979B7B" w14:textId="77777777" w:rsidR="002449C2" w:rsidRDefault="00123961">
            <w:pPr>
              <w:spacing w:after="0" w:line="240" w:lineRule="auto"/>
              <w:ind w:left="-426" w:firstLine="284"/>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1.2.</w:t>
            </w:r>
          </w:p>
        </w:tc>
        <w:tc>
          <w:tcPr>
            <w:tcW w:w="3497" w:type="dxa"/>
            <w:tcBorders>
              <w:top w:val="single" w:sz="8" w:space="0" w:color="000000"/>
              <w:left w:val="single" w:sz="8" w:space="0" w:color="000000"/>
              <w:bottom w:val="single" w:sz="8" w:space="0" w:color="000000"/>
              <w:right w:val="single" w:sz="4" w:space="0" w:color="000000"/>
            </w:tcBorders>
            <w:vAlign w:val="center"/>
          </w:tcPr>
          <w:p w14:paraId="363488C3" w14:textId="77777777" w:rsidR="002449C2" w:rsidRDefault="00123961">
            <w:pPr>
              <w:spacing w:after="0" w:line="240" w:lineRule="auto"/>
              <w:ind w:left="-108"/>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От технологического присоединения</w:t>
            </w:r>
          </w:p>
        </w:tc>
        <w:tc>
          <w:tcPr>
            <w:tcW w:w="1102" w:type="dxa"/>
            <w:tcBorders>
              <w:top w:val="single" w:sz="4" w:space="0" w:color="000000"/>
              <w:left w:val="single" w:sz="4" w:space="0" w:color="000000"/>
              <w:bottom w:val="single" w:sz="4" w:space="0" w:color="000000"/>
              <w:right w:val="single" w:sz="4" w:space="0" w:color="000000"/>
            </w:tcBorders>
          </w:tcPr>
          <w:p w14:paraId="186F7AD5"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hAnsi="Times New Roman"/>
                <w:color w:val="000000"/>
                <w:sz w:val="20"/>
                <w:szCs w:val="20"/>
                <w:lang w:eastAsia="en-US"/>
              </w:rPr>
              <w:t>млн руб.</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7C7F6A1"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603</w:t>
            </w:r>
          </w:p>
        </w:tc>
        <w:tc>
          <w:tcPr>
            <w:tcW w:w="1024" w:type="dxa"/>
            <w:tcBorders>
              <w:left w:val="single" w:sz="4" w:space="0" w:color="000000"/>
              <w:bottom w:val="single" w:sz="8" w:space="0" w:color="000000"/>
              <w:right w:val="single" w:sz="8" w:space="0" w:color="000000"/>
            </w:tcBorders>
            <w:shd w:val="clear" w:color="000000" w:fill="FFFFFF"/>
            <w:vAlign w:val="center"/>
          </w:tcPr>
          <w:p w14:paraId="1D4D2946"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607</w:t>
            </w:r>
          </w:p>
        </w:tc>
        <w:tc>
          <w:tcPr>
            <w:tcW w:w="1021" w:type="dxa"/>
            <w:tcBorders>
              <w:bottom w:val="single" w:sz="8" w:space="0" w:color="000000"/>
              <w:right w:val="single" w:sz="8" w:space="0" w:color="000000"/>
            </w:tcBorders>
            <w:shd w:val="clear" w:color="000000" w:fill="FFFFFF"/>
            <w:vAlign w:val="center"/>
          </w:tcPr>
          <w:p w14:paraId="34353168"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1 002</w:t>
            </w:r>
          </w:p>
        </w:tc>
        <w:tc>
          <w:tcPr>
            <w:tcW w:w="1401" w:type="dxa"/>
            <w:tcBorders>
              <w:bottom w:val="single" w:sz="8" w:space="0" w:color="000000"/>
              <w:right w:val="single" w:sz="8" w:space="0" w:color="000000"/>
            </w:tcBorders>
            <w:shd w:val="clear" w:color="000000" w:fill="FFFFFF"/>
            <w:vAlign w:val="center"/>
          </w:tcPr>
          <w:p w14:paraId="77B5277D"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65,1%</w:t>
            </w:r>
          </w:p>
        </w:tc>
      </w:tr>
      <w:tr w:rsidR="002449C2" w14:paraId="7A0C1B4E" w14:textId="77777777">
        <w:trPr>
          <w:trHeight w:val="20"/>
        </w:trPr>
        <w:tc>
          <w:tcPr>
            <w:tcW w:w="353" w:type="dxa"/>
            <w:tcBorders>
              <w:top w:val="single" w:sz="8" w:space="0" w:color="000000"/>
              <w:left w:val="single" w:sz="8" w:space="0" w:color="000000"/>
              <w:bottom w:val="single" w:sz="8" w:space="0" w:color="000000"/>
              <w:right w:val="single" w:sz="8" w:space="0" w:color="000000"/>
            </w:tcBorders>
            <w:vAlign w:val="center"/>
          </w:tcPr>
          <w:p w14:paraId="7CF2E38B" w14:textId="77777777" w:rsidR="002449C2" w:rsidRDefault="00123961">
            <w:pPr>
              <w:spacing w:after="0" w:line="240" w:lineRule="auto"/>
              <w:ind w:left="-426" w:firstLine="284"/>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1.3.</w:t>
            </w:r>
          </w:p>
        </w:tc>
        <w:tc>
          <w:tcPr>
            <w:tcW w:w="3497" w:type="dxa"/>
            <w:tcBorders>
              <w:top w:val="single" w:sz="8" w:space="0" w:color="000000"/>
              <w:left w:val="single" w:sz="8" w:space="0" w:color="000000"/>
              <w:bottom w:val="single" w:sz="8" w:space="0" w:color="000000"/>
              <w:right w:val="single" w:sz="4" w:space="0" w:color="000000"/>
            </w:tcBorders>
            <w:vAlign w:val="center"/>
          </w:tcPr>
          <w:p w14:paraId="0D10499B" w14:textId="77777777" w:rsidR="002449C2" w:rsidRDefault="00123961">
            <w:pPr>
              <w:spacing w:after="0" w:line="240" w:lineRule="auto"/>
              <w:ind w:left="-108"/>
              <w:rPr>
                <w:rFonts w:ascii="Times New Roman" w:eastAsia="Times New Roman" w:hAnsi="Times New Roman"/>
                <w:bCs/>
                <w:sz w:val="20"/>
                <w:szCs w:val="20"/>
                <w:lang w:eastAsia="ru-RU"/>
              </w:rPr>
            </w:pPr>
            <w:r>
              <w:rPr>
                <w:rFonts w:ascii="Times New Roman" w:eastAsia="Times New Roman" w:hAnsi="Times New Roman"/>
                <w:sz w:val="20"/>
                <w:szCs w:val="20"/>
                <w:lang w:eastAsia="ru-RU"/>
              </w:rPr>
              <w:t xml:space="preserve"> От продажи электроэнергии</w:t>
            </w:r>
          </w:p>
        </w:tc>
        <w:tc>
          <w:tcPr>
            <w:tcW w:w="1102" w:type="dxa"/>
            <w:tcBorders>
              <w:top w:val="single" w:sz="4" w:space="0" w:color="000000"/>
              <w:left w:val="single" w:sz="4" w:space="0" w:color="000000"/>
              <w:bottom w:val="single" w:sz="4" w:space="0" w:color="000000"/>
              <w:right w:val="single" w:sz="4" w:space="0" w:color="000000"/>
            </w:tcBorders>
          </w:tcPr>
          <w:p w14:paraId="44E46765"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hAnsi="Times New Roman"/>
                <w:color w:val="000000"/>
                <w:sz w:val="20"/>
                <w:szCs w:val="20"/>
                <w:lang w:eastAsia="en-US"/>
              </w:rPr>
              <w:t>млн руб.</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95F6E5A"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2 020</w:t>
            </w:r>
          </w:p>
        </w:tc>
        <w:tc>
          <w:tcPr>
            <w:tcW w:w="1024" w:type="dxa"/>
            <w:tcBorders>
              <w:left w:val="single" w:sz="4" w:space="0" w:color="000000"/>
              <w:bottom w:val="single" w:sz="8" w:space="0" w:color="000000"/>
              <w:right w:val="single" w:sz="8" w:space="0" w:color="000000"/>
            </w:tcBorders>
            <w:shd w:val="clear" w:color="000000" w:fill="FFFFFF"/>
            <w:vAlign w:val="center"/>
          </w:tcPr>
          <w:p w14:paraId="2D193250"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2 099</w:t>
            </w:r>
          </w:p>
        </w:tc>
        <w:tc>
          <w:tcPr>
            <w:tcW w:w="1021" w:type="dxa"/>
            <w:tcBorders>
              <w:bottom w:val="single" w:sz="8" w:space="0" w:color="000000"/>
              <w:right w:val="single" w:sz="8" w:space="0" w:color="000000"/>
            </w:tcBorders>
            <w:shd w:val="clear" w:color="000000" w:fill="FFFFFF"/>
            <w:vAlign w:val="center"/>
          </w:tcPr>
          <w:p w14:paraId="3AABE2B5"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1 450</w:t>
            </w:r>
          </w:p>
        </w:tc>
        <w:tc>
          <w:tcPr>
            <w:tcW w:w="1401" w:type="dxa"/>
            <w:tcBorders>
              <w:bottom w:val="single" w:sz="8" w:space="0" w:color="000000"/>
              <w:right w:val="single" w:sz="8" w:space="0" w:color="000000"/>
            </w:tcBorders>
            <w:shd w:val="clear" w:color="000000" w:fill="FFFFFF"/>
            <w:vAlign w:val="center"/>
          </w:tcPr>
          <w:p w14:paraId="6F2503B5"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-30,9%</w:t>
            </w:r>
          </w:p>
        </w:tc>
      </w:tr>
      <w:tr w:rsidR="002449C2" w14:paraId="3791EB42" w14:textId="77777777">
        <w:trPr>
          <w:trHeight w:val="20"/>
        </w:trPr>
        <w:tc>
          <w:tcPr>
            <w:tcW w:w="353" w:type="dxa"/>
            <w:tcBorders>
              <w:top w:val="single" w:sz="8" w:space="0" w:color="000000"/>
              <w:left w:val="single" w:sz="8" w:space="0" w:color="000000"/>
              <w:bottom w:val="single" w:sz="8" w:space="0" w:color="000000"/>
              <w:right w:val="single" w:sz="8" w:space="0" w:color="000000"/>
            </w:tcBorders>
            <w:vAlign w:val="center"/>
          </w:tcPr>
          <w:p w14:paraId="3D80768C" w14:textId="77777777" w:rsidR="002449C2" w:rsidRDefault="00123961">
            <w:pPr>
              <w:spacing w:after="0" w:line="240" w:lineRule="auto"/>
              <w:ind w:left="-426" w:firstLine="284"/>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1.4.</w:t>
            </w:r>
          </w:p>
        </w:tc>
        <w:tc>
          <w:tcPr>
            <w:tcW w:w="3497" w:type="dxa"/>
            <w:tcBorders>
              <w:top w:val="single" w:sz="8" w:space="0" w:color="000000"/>
              <w:left w:val="single" w:sz="8" w:space="0" w:color="000000"/>
              <w:bottom w:val="single" w:sz="8" w:space="0" w:color="000000"/>
              <w:right w:val="single" w:sz="4" w:space="0" w:color="000000"/>
            </w:tcBorders>
            <w:vAlign w:val="center"/>
          </w:tcPr>
          <w:p w14:paraId="0450B267" w14:textId="77777777" w:rsidR="002449C2" w:rsidRDefault="00123961">
            <w:pPr>
              <w:spacing w:after="0" w:line="240" w:lineRule="auto"/>
              <w:ind w:left="-108"/>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От прочей деятельности</w:t>
            </w:r>
          </w:p>
        </w:tc>
        <w:tc>
          <w:tcPr>
            <w:tcW w:w="1102" w:type="dxa"/>
            <w:tcBorders>
              <w:top w:val="single" w:sz="4" w:space="0" w:color="000000"/>
              <w:left w:val="single" w:sz="4" w:space="0" w:color="000000"/>
              <w:bottom w:val="single" w:sz="4" w:space="0" w:color="000000"/>
              <w:right w:val="single" w:sz="4" w:space="0" w:color="000000"/>
            </w:tcBorders>
          </w:tcPr>
          <w:p w14:paraId="26D8CF38"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hAnsi="Times New Roman"/>
                <w:color w:val="000000"/>
                <w:sz w:val="20"/>
                <w:szCs w:val="20"/>
                <w:lang w:eastAsia="en-US"/>
              </w:rPr>
              <w:t>млн руб.</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6925ADA"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350</w:t>
            </w:r>
          </w:p>
        </w:tc>
        <w:tc>
          <w:tcPr>
            <w:tcW w:w="1024" w:type="dxa"/>
            <w:tcBorders>
              <w:left w:val="single" w:sz="4" w:space="0" w:color="000000"/>
              <w:bottom w:val="single" w:sz="8" w:space="0" w:color="000000"/>
              <w:right w:val="single" w:sz="8" w:space="0" w:color="000000"/>
            </w:tcBorders>
            <w:shd w:val="clear" w:color="000000" w:fill="FFFFFF"/>
            <w:vAlign w:val="center"/>
          </w:tcPr>
          <w:p w14:paraId="17B4504A"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454</w:t>
            </w:r>
          </w:p>
        </w:tc>
        <w:tc>
          <w:tcPr>
            <w:tcW w:w="1021" w:type="dxa"/>
            <w:tcBorders>
              <w:bottom w:val="single" w:sz="8" w:space="0" w:color="000000"/>
              <w:right w:val="single" w:sz="8" w:space="0" w:color="000000"/>
            </w:tcBorders>
            <w:shd w:val="clear" w:color="000000" w:fill="FFFFFF"/>
            <w:vAlign w:val="center"/>
          </w:tcPr>
          <w:p w14:paraId="7B78DA5B"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747</w:t>
            </w:r>
          </w:p>
        </w:tc>
        <w:tc>
          <w:tcPr>
            <w:tcW w:w="1401" w:type="dxa"/>
            <w:tcBorders>
              <w:bottom w:val="single" w:sz="8" w:space="0" w:color="000000"/>
              <w:right w:val="single" w:sz="8" w:space="0" w:color="000000"/>
            </w:tcBorders>
            <w:shd w:val="clear" w:color="000000" w:fill="FFFFFF"/>
            <w:vAlign w:val="center"/>
          </w:tcPr>
          <w:p w14:paraId="665DCD17"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64,5%</w:t>
            </w:r>
          </w:p>
        </w:tc>
      </w:tr>
      <w:tr w:rsidR="002449C2" w14:paraId="1C3A3D13" w14:textId="77777777">
        <w:trPr>
          <w:trHeight w:val="20"/>
        </w:trPr>
        <w:tc>
          <w:tcPr>
            <w:tcW w:w="353" w:type="dxa"/>
            <w:tcBorders>
              <w:top w:val="single" w:sz="8" w:space="0" w:color="000000"/>
              <w:left w:val="single" w:sz="8" w:space="0" w:color="000000"/>
              <w:bottom w:val="single" w:sz="8" w:space="0" w:color="000000"/>
              <w:right w:val="single" w:sz="8" w:space="0" w:color="000000"/>
            </w:tcBorders>
            <w:vAlign w:val="center"/>
          </w:tcPr>
          <w:p w14:paraId="73FB1F23" w14:textId="77777777" w:rsidR="002449C2" w:rsidRDefault="00123961">
            <w:pPr>
              <w:spacing w:after="0" w:line="240" w:lineRule="auto"/>
              <w:ind w:left="-426" w:firstLine="284"/>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2</w:t>
            </w:r>
          </w:p>
        </w:tc>
        <w:tc>
          <w:tcPr>
            <w:tcW w:w="3497" w:type="dxa"/>
            <w:tcBorders>
              <w:top w:val="single" w:sz="8" w:space="0" w:color="000000"/>
              <w:left w:val="single" w:sz="8" w:space="0" w:color="000000"/>
              <w:bottom w:val="single" w:sz="8" w:space="0" w:color="000000"/>
              <w:right w:val="single" w:sz="4" w:space="0" w:color="000000"/>
            </w:tcBorders>
            <w:vAlign w:val="center"/>
          </w:tcPr>
          <w:p w14:paraId="03E66B98" w14:textId="77777777" w:rsidR="002449C2" w:rsidRDefault="00123961">
            <w:pPr>
              <w:spacing w:after="0" w:line="240" w:lineRule="auto"/>
              <w:ind w:left="-108"/>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 xml:space="preserve"> Себестоимость продукции (услуг)</w:t>
            </w:r>
          </w:p>
        </w:tc>
        <w:tc>
          <w:tcPr>
            <w:tcW w:w="1102" w:type="dxa"/>
            <w:tcBorders>
              <w:top w:val="single" w:sz="4" w:space="0" w:color="000000"/>
              <w:left w:val="single" w:sz="4" w:space="0" w:color="000000"/>
              <w:bottom w:val="single" w:sz="4" w:space="0" w:color="000000"/>
              <w:right w:val="single" w:sz="4" w:space="0" w:color="000000"/>
            </w:tcBorders>
          </w:tcPr>
          <w:p w14:paraId="39BA4CA8"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hAnsi="Times New Roman"/>
                <w:color w:val="000000"/>
                <w:sz w:val="20"/>
                <w:szCs w:val="20"/>
                <w:lang w:eastAsia="en-US"/>
              </w:rPr>
              <w:t>млн руб.</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B1BA9D7"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36 644</w:t>
            </w:r>
          </w:p>
        </w:tc>
        <w:tc>
          <w:tcPr>
            <w:tcW w:w="1024" w:type="dxa"/>
            <w:tcBorders>
              <w:left w:val="single" w:sz="4" w:space="0" w:color="000000"/>
              <w:bottom w:val="single" w:sz="8" w:space="0" w:color="000000"/>
              <w:right w:val="single" w:sz="8" w:space="0" w:color="000000"/>
            </w:tcBorders>
            <w:shd w:val="clear" w:color="000000" w:fill="FFFFFF"/>
            <w:vAlign w:val="center"/>
          </w:tcPr>
          <w:p w14:paraId="2F4F6AA8"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40 802</w:t>
            </w:r>
          </w:p>
        </w:tc>
        <w:tc>
          <w:tcPr>
            <w:tcW w:w="1021" w:type="dxa"/>
            <w:tcBorders>
              <w:bottom w:val="single" w:sz="8" w:space="0" w:color="000000"/>
              <w:right w:val="single" w:sz="8" w:space="0" w:color="000000"/>
            </w:tcBorders>
            <w:shd w:val="clear" w:color="000000" w:fill="FFFFFF"/>
            <w:vAlign w:val="center"/>
          </w:tcPr>
          <w:p w14:paraId="14BB88CC"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44 053</w:t>
            </w:r>
          </w:p>
        </w:tc>
        <w:tc>
          <w:tcPr>
            <w:tcW w:w="1401" w:type="dxa"/>
            <w:tcBorders>
              <w:bottom w:val="single" w:sz="8" w:space="0" w:color="000000"/>
              <w:right w:val="single" w:sz="8" w:space="0" w:color="000000"/>
            </w:tcBorders>
            <w:shd w:val="clear" w:color="000000" w:fill="FFFFFF"/>
            <w:vAlign w:val="center"/>
          </w:tcPr>
          <w:p w14:paraId="797BC4CF"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8,0%</w:t>
            </w:r>
          </w:p>
        </w:tc>
      </w:tr>
      <w:tr w:rsidR="002449C2" w14:paraId="6A11287D" w14:textId="77777777">
        <w:trPr>
          <w:trHeight w:val="20"/>
        </w:trPr>
        <w:tc>
          <w:tcPr>
            <w:tcW w:w="353" w:type="dxa"/>
            <w:tcBorders>
              <w:top w:val="single" w:sz="8" w:space="0" w:color="000000"/>
              <w:left w:val="single" w:sz="8" w:space="0" w:color="000000"/>
              <w:bottom w:val="single" w:sz="8" w:space="0" w:color="000000"/>
              <w:right w:val="single" w:sz="8" w:space="0" w:color="000000"/>
            </w:tcBorders>
            <w:vAlign w:val="center"/>
          </w:tcPr>
          <w:p w14:paraId="0145CFC2" w14:textId="77777777" w:rsidR="002449C2" w:rsidRDefault="00123961">
            <w:pPr>
              <w:spacing w:after="0" w:line="240" w:lineRule="auto"/>
              <w:ind w:left="-426" w:firstLine="284"/>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3</w:t>
            </w:r>
          </w:p>
        </w:tc>
        <w:tc>
          <w:tcPr>
            <w:tcW w:w="3497" w:type="dxa"/>
            <w:tcBorders>
              <w:top w:val="single" w:sz="8" w:space="0" w:color="000000"/>
              <w:left w:val="single" w:sz="8" w:space="0" w:color="000000"/>
              <w:bottom w:val="single" w:sz="8" w:space="0" w:color="000000"/>
              <w:right w:val="single" w:sz="4" w:space="0" w:color="000000"/>
            </w:tcBorders>
            <w:vAlign w:val="center"/>
          </w:tcPr>
          <w:p w14:paraId="6E3FEE63" w14:textId="77777777" w:rsidR="002449C2" w:rsidRDefault="00123961">
            <w:pPr>
              <w:spacing w:after="0" w:line="240" w:lineRule="auto"/>
              <w:ind w:left="-108"/>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Валовая прибыль</w:t>
            </w:r>
          </w:p>
        </w:tc>
        <w:tc>
          <w:tcPr>
            <w:tcW w:w="1102" w:type="dxa"/>
            <w:tcBorders>
              <w:top w:val="single" w:sz="4" w:space="0" w:color="000000"/>
              <w:left w:val="single" w:sz="4" w:space="0" w:color="000000"/>
              <w:bottom w:val="single" w:sz="4" w:space="0" w:color="000000"/>
              <w:right w:val="single" w:sz="4" w:space="0" w:color="000000"/>
            </w:tcBorders>
          </w:tcPr>
          <w:p w14:paraId="25A92C8D"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hAnsi="Times New Roman"/>
                <w:color w:val="000000"/>
                <w:sz w:val="20"/>
                <w:szCs w:val="20"/>
                <w:lang w:eastAsia="en-US"/>
              </w:rPr>
              <w:t>млн руб.</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61EE17B"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5 469</w:t>
            </w:r>
          </w:p>
        </w:tc>
        <w:tc>
          <w:tcPr>
            <w:tcW w:w="1024" w:type="dxa"/>
            <w:tcBorders>
              <w:left w:val="single" w:sz="4" w:space="0" w:color="000000"/>
              <w:bottom w:val="single" w:sz="8" w:space="0" w:color="000000"/>
              <w:right w:val="single" w:sz="8" w:space="0" w:color="000000"/>
            </w:tcBorders>
            <w:shd w:val="clear" w:color="000000" w:fill="FFFFFF"/>
            <w:vAlign w:val="center"/>
          </w:tcPr>
          <w:p w14:paraId="49BD17BB"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7 349</w:t>
            </w:r>
          </w:p>
        </w:tc>
        <w:tc>
          <w:tcPr>
            <w:tcW w:w="1021" w:type="dxa"/>
            <w:tcBorders>
              <w:bottom w:val="single" w:sz="8" w:space="0" w:color="000000"/>
              <w:right w:val="single" w:sz="8" w:space="0" w:color="000000"/>
            </w:tcBorders>
            <w:shd w:val="clear" w:color="000000" w:fill="FFFFFF"/>
            <w:vAlign w:val="center"/>
          </w:tcPr>
          <w:p w14:paraId="764437EC"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7 212</w:t>
            </w:r>
          </w:p>
        </w:tc>
        <w:tc>
          <w:tcPr>
            <w:tcW w:w="1401" w:type="dxa"/>
            <w:tcBorders>
              <w:bottom w:val="single" w:sz="8" w:space="0" w:color="000000"/>
              <w:right w:val="single" w:sz="8" w:space="0" w:color="000000"/>
            </w:tcBorders>
            <w:shd w:val="clear" w:color="000000" w:fill="FFFFFF"/>
            <w:vAlign w:val="center"/>
          </w:tcPr>
          <w:p w14:paraId="32225484"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-1,9%</w:t>
            </w:r>
          </w:p>
        </w:tc>
      </w:tr>
      <w:tr w:rsidR="002449C2" w14:paraId="43A67204" w14:textId="77777777">
        <w:trPr>
          <w:trHeight w:val="20"/>
        </w:trPr>
        <w:tc>
          <w:tcPr>
            <w:tcW w:w="353" w:type="dxa"/>
            <w:tcBorders>
              <w:top w:val="single" w:sz="8" w:space="0" w:color="000000"/>
              <w:left w:val="single" w:sz="8" w:space="0" w:color="000000"/>
              <w:bottom w:val="single" w:sz="8" w:space="0" w:color="000000"/>
              <w:right w:val="single" w:sz="8" w:space="0" w:color="000000"/>
            </w:tcBorders>
            <w:vAlign w:val="center"/>
          </w:tcPr>
          <w:p w14:paraId="2F4B29C3" w14:textId="77777777" w:rsidR="002449C2" w:rsidRDefault="00123961">
            <w:pPr>
              <w:spacing w:after="0" w:line="240" w:lineRule="auto"/>
              <w:ind w:left="-426" w:firstLine="284"/>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4</w:t>
            </w:r>
          </w:p>
        </w:tc>
        <w:tc>
          <w:tcPr>
            <w:tcW w:w="3497" w:type="dxa"/>
            <w:tcBorders>
              <w:top w:val="single" w:sz="8" w:space="0" w:color="000000"/>
              <w:left w:val="single" w:sz="8" w:space="0" w:color="000000"/>
              <w:bottom w:val="single" w:sz="8" w:space="0" w:color="000000"/>
              <w:right w:val="single" w:sz="4" w:space="0" w:color="000000"/>
            </w:tcBorders>
            <w:vAlign w:val="center"/>
          </w:tcPr>
          <w:p w14:paraId="718DFC52" w14:textId="77777777" w:rsidR="002449C2" w:rsidRDefault="00123961">
            <w:pPr>
              <w:spacing w:after="0" w:line="240" w:lineRule="auto"/>
              <w:ind w:left="-108"/>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Управленческие расходы</w:t>
            </w:r>
          </w:p>
        </w:tc>
        <w:tc>
          <w:tcPr>
            <w:tcW w:w="1102" w:type="dxa"/>
            <w:tcBorders>
              <w:top w:val="single" w:sz="4" w:space="0" w:color="000000"/>
              <w:left w:val="single" w:sz="4" w:space="0" w:color="000000"/>
              <w:bottom w:val="single" w:sz="4" w:space="0" w:color="000000"/>
              <w:right w:val="single" w:sz="4" w:space="0" w:color="000000"/>
            </w:tcBorders>
          </w:tcPr>
          <w:p w14:paraId="6F15D7DD"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hAnsi="Times New Roman"/>
                <w:color w:val="000000"/>
                <w:sz w:val="20"/>
                <w:szCs w:val="20"/>
                <w:lang w:eastAsia="en-US"/>
              </w:rPr>
              <w:t>млн руб.</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4071FB7"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902</w:t>
            </w:r>
          </w:p>
        </w:tc>
        <w:tc>
          <w:tcPr>
            <w:tcW w:w="1024" w:type="dxa"/>
            <w:tcBorders>
              <w:left w:val="single" w:sz="4" w:space="0" w:color="000000"/>
              <w:bottom w:val="single" w:sz="8" w:space="0" w:color="000000"/>
              <w:right w:val="single" w:sz="8" w:space="0" w:color="000000"/>
            </w:tcBorders>
            <w:shd w:val="clear" w:color="000000" w:fill="FFFFFF"/>
            <w:vAlign w:val="center"/>
          </w:tcPr>
          <w:p w14:paraId="10586EA6"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944</w:t>
            </w:r>
          </w:p>
        </w:tc>
        <w:tc>
          <w:tcPr>
            <w:tcW w:w="1021" w:type="dxa"/>
            <w:tcBorders>
              <w:bottom w:val="single" w:sz="8" w:space="0" w:color="000000"/>
              <w:right w:val="single" w:sz="8" w:space="0" w:color="000000"/>
            </w:tcBorders>
            <w:shd w:val="clear" w:color="000000" w:fill="FFFFFF"/>
            <w:vAlign w:val="center"/>
          </w:tcPr>
          <w:p w14:paraId="2B998E81"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1 057</w:t>
            </w:r>
          </w:p>
        </w:tc>
        <w:tc>
          <w:tcPr>
            <w:tcW w:w="1401" w:type="dxa"/>
            <w:tcBorders>
              <w:bottom w:val="single" w:sz="8" w:space="0" w:color="000000"/>
              <w:right w:val="single" w:sz="8" w:space="0" w:color="000000"/>
            </w:tcBorders>
            <w:shd w:val="clear" w:color="000000" w:fill="FFFFFF"/>
            <w:vAlign w:val="center"/>
          </w:tcPr>
          <w:p w14:paraId="3CFCA72E"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11,9%</w:t>
            </w:r>
          </w:p>
        </w:tc>
      </w:tr>
      <w:tr w:rsidR="002449C2" w14:paraId="6F6964C5" w14:textId="77777777">
        <w:trPr>
          <w:trHeight w:val="20"/>
        </w:trPr>
        <w:tc>
          <w:tcPr>
            <w:tcW w:w="353" w:type="dxa"/>
            <w:tcBorders>
              <w:top w:val="single" w:sz="8" w:space="0" w:color="000000"/>
              <w:left w:val="single" w:sz="8" w:space="0" w:color="000000"/>
              <w:bottom w:val="single" w:sz="8" w:space="0" w:color="000000"/>
              <w:right w:val="single" w:sz="8" w:space="0" w:color="000000"/>
            </w:tcBorders>
            <w:vAlign w:val="center"/>
          </w:tcPr>
          <w:p w14:paraId="6370E947" w14:textId="77777777" w:rsidR="002449C2" w:rsidRDefault="00123961">
            <w:pPr>
              <w:spacing w:after="0" w:line="240" w:lineRule="auto"/>
              <w:ind w:left="-426" w:firstLine="284"/>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5</w:t>
            </w:r>
          </w:p>
        </w:tc>
        <w:tc>
          <w:tcPr>
            <w:tcW w:w="3497" w:type="dxa"/>
            <w:tcBorders>
              <w:top w:val="single" w:sz="8" w:space="0" w:color="000000"/>
              <w:left w:val="single" w:sz="8" w:space="0" w:color="000000"/>
              <w:bottom w:val="single" w:sz="8" w:space="0" w:color="000000"/>
              <w:right w:val="single" w:sz="4" w:space="0" w:color="000000"/>
            </w:tcBorders>
            <w:vAlign w:val="center"/>
          </w:tcPr>
          <w:p w14:paraId="7DB24339" w14:textId="77777777" w:rsidR="002449C2" w:rsidRDefault="00123961">
            <w:pPr>
              <w:spacing w:after="0" w:line="240" w:lineRule="auto"/>
              <w:ind w:left="-108"/>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Коммерческие расходы</w:t>
            </w:r>
          </w:p>
        </w:tc>
        <w:tc>
          <w:tcPr>
            <w:tcW w:w="1102" w:type="dxa"/>
            <w:tcBorders>
              <w:top w:val="single" w:sz="4" w:space="0" w:color="000000"/>
              <w:left w:val="single" w:sz="4" w:space="0" w:color="000000"/>
              <w:bottom w:val="single" w:sz="4" w:space="0" w:color="000000"/>
              <w:right w:val="single" w:sz="4" w:space="0" w:color="000000"/>
            </w:tcBorders>
          </w:tcPr>
          <w:p w14:paraId="3AC9DA44"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hAnsi="Times New Roman"/>
                <w:color w:val="000000"/>
                <w:sz w:val="20"/>
                <w:szCs w:val="20"/>
                <w:lang w:eastAsia="en-US"/>
              </w:rPr>
              <w:t>млн руб.</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CC74695"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138</w:t>
            </w:r>
          </w:p>
        </w:tc>
        <w:tc>
          <w:tcPr>
            <w:tcW w:w="1024" w:type="dxa"/>
            <w:tcBorders>
              <w:left w:val="single" w:sz="4" w:space="0" w:color="000000"/>
              <w:bottom w:val="single" w:sz="8" w:space="0" w:color="000000"/>
              <w:right w:val="single" w:sz="8" w:space="0" w:color="000000"/>
            </w:tcBorders>
            <w:shd w:val="clear" w:color="000000" w:fill="FFFFFF"/>
            <w:vAlign w:val="center"/>
          </w:tcPr>
          <w:p w14:paraId="33EBA0D7"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149</w:t>
            </w:r>
          </w:p>
        </w:tc>
        <w:tc>
          <w:tcPr>
            <w:tcW w:w="1021" w:type="dxa"/>
            <w:tcBorders>
              <w:bottom w:val="single" w:sz="8" w:space="0" w:color="000000"/>
              <w:right w:val="single" w:sz="8" w:space="0" w:color="000000"/>
            </w:tcBorders>
            <w:shd w:val="clear" w:color="000000" w:fill="FFFFFF"/>
            <w:vAlign w:val="center"/>
          </w:tcPr>
          <w:p w14:paraId="7186225B"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117</w:t>
            </w:r>
          </w:p>
        </w:tc>
        <w:tc>
          <w:tcPr>
            <w:tcW w:w="1401" w:type="dxa"/>
            <w:tcBorders>
              <w:bottom w:val="single" w:sz="8" w:space="0" w:color="000000"/>
              <w:right w:val="single" w:sz="8" w:space="0" w:color="000000"/>
            </w:tcBorders>
            <w:shd w:val="clear" w:color="000000" w:fill="FFFFFF"/>
            <w:vAlign w:val="center"/>
          </w:tcPr>
          <w:p w14:paraId="41E0FD7C"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-21,6%</w:t>
            </w:r>
          </w:p>
        </w:tc>
      </w:tr>
      <w:tr w:rsidR="002449C2" w14:paraId="40F177DF" w14:textId="77777777">
        <w:trPr>
          <w:trHeight w:val="20"/>
        </w:trPr>
        <w:tc>
          <w:tcPr>
            <w:tcW w:w="353" w:type="dxa"/>
            <w:tcBorders>
              <w:top w:val="single" w:sz="8" w:space="0" w:color="000000"/>
              <w:left w:val="single" w:sz="8" w:space="0" w:color="000000"/>
              <w:bottom w:val="single" w:sz="8" w:space="0" w:color="000000"/>
              <w:right w:val="single" w:sz="8" w:space="0" w:color="000000"/>
            </w:tcBorders>
            <w:vAlign w:val="center"/>
          </w:tcPr>
          <w:p w14:paraId="394BDAE5" w14:textId="77777777" w:rsidR="002449C2" w:rsidRDefault="00123961">
            <w:pPr>
              <w:spacing w:after="0" w:line="240" w:lineRule="auto"/>
              <w:ind w:left="-426" w:firstLine="284"/>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w:t>
            </w:r>
          </w:p>
        </w:tc>
        <w:tc>
          <w:tcPr>
            <w:tcW w:w="3497" w:type="dxa"/>
            <w:tcBorders>
              <w:top w:val="single" w:sz="8" w:space="0" w:color="000000"/>
              <w:left w:val="single" w:sz="8" w:space="0" w:color="000000"/>
              <w:bottom w:val="single" w:sz="8" w:space="0" w:color="000000"/>
              <w:right w:val="single" w:sz="4" w:space="0" w:color="000000"/>
            </w:tcBorders>
            <w:vAlign w:val="center"/>
          </w:tcPr>
          <w:p w14:paraId="2E194A73" w14:textId="77777777" w:rsidR="002449C2" w:rsidRDefault="00123961">
            <w:pPr>
              <w:spacing w:after="0" w:line="240" w:lineRule="auto"/>
              <w:ind w:left="-108"/>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Прибыль (убыток) от продаж</w:t>
            </w:r>
          </w:p>
        </w:tc>
        <w:tc>
          <w:tcPr>
            <w:tcW w:w="1102" w:type="dxa"/>
            <w:tcBorders>
              <w:top w:val="single" w:sz="4" w:space="0" w:color="000000"/>
              <w:left w:val="single" w:sz="4" w:space="0" w:color="000000"/>
              <w:bottom w:val="single" w:sz="4" w:space="0" w:color="000000"/>
              <w:right w:val="single" w:sz="4" w:space="0" w:color="000000"/>
            </w:tcBorders>
          </w:tcPr>
          <w:p w14:paraId="1B49EDA7"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hAnsi="Times New Roman"/>
                <w:color w:val="000000"/>
                <w:sz w:val="20"/>
                <w:szCs w:val="20"/>
                <w:lang w:eastAsia="en-US"/>
              </w:rPr>
              <w:t>млн руб.</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E2EEB44"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4 428</w:t>
            </w:r>
          </w:p>
        </w:tc>
        <w:tc>
          <w:tcPr>
            <w:tcW w:w="1024" w:type="dxa"/>
            <w:tcBorders>
              <w:left w:val="single" w:sz="4" w:space="0" w:color="000000"/>
              <w:bottom w:val="single" w:sz="8" w:space="0" w:color="000000"/>
              <w:right w:val="single" w:sz="8" w:space="0" w:color="000000"/>
            </w:tcBorders>
            <w:shd w:val="clear" w:color="000000" w:fill="FFFFFF"/>
            <w:vAlign w:val="center"/>
          </w:tcPr>
          <w:p w14:paraId="69049A78"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6 255</w:t>
            </w:r>
          </w:p>
        </w:tc>
        <w:tc>
          <w:tcPr>
            <w:tcW w:w="1021" w:type="dxa"/>
            <w:tcBorders>
              <w:bottom w:val="single" w:sz="8" w:space="0" w:color="000000"/>
              <w:right w:val="single" w:sz="8" w:space="0" w:color="000000"/>
            </w:tcBorders>
            <w:shd w:val="clear" w:color="000000" w:fill="FFFFFF"/>
            <w:vAlign w:val="center"/>
          </w:tcPr>
          <w:p w14:paraId="70A6D6B7"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6 038</w:t>
            </w:r>
          </w:p>
        </w:tc>
        <w:tc>
          <w:tcPr>
            <w:tcW w:w="1401" w:type="dxa"/>
            <w:tcBorders>
              <w:bottom w:val="single" w:sz="8" w:space="0" w:color="000000"/>
              <w:right w:val="single" w:sz="8" w:space="0" w:color="000000"/>
            </w:tcBorders>
            <w:shd w:val="clear" w:color="000000" w:fill="FFFFFF"/>
            <w:vAlign w:val="center"/>
          </w:tcPr>
          <w:p w14:paraId="4B88249D"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-3,5%</w:t>
            </w:r>
          </w:p>
        </w:tc>
      </w:tr>
      <w:tr w:rsidR="002449C2" w14:paraId="10E90D16" w14:textId="77777777">
        <w:trPr>
          <w:trHeight w:val="20"/>
        </w:trPr>
        <w:tc>
          <w:tcPr>
            <w:tcW w:w="353" w:type="dxa"/>
            <w:tcBorders>
              <w:top w:val="single" w:sz="8" w:space="0" w:color="000000"/>
              <w:left w:val="single" w:sz="8" w:space="0" w:color="000000"/>
              <w:bottom w:val="single" w:sz="8" w:space="0" w:color="000000"/>
              <w:right w:val="single" w:sz="8" w:space="0" w:color="000000"/>
            </w:tcBorders>
            <w:vAlign w:val="center"/>
          </w:tcPr>
          <w:p w14:paraId="0A9081E1" w14:textId="77777777" w:rsidR="002449C2" w:rsidRDefault="00123961">
            <w:pPr>
              <w:spacing w:after="0" w:line="240" w:lineRule="auto"/>
              <w:ind w:left="-426" w:firstLine="284"/>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w:t>
            </w:r>
          </w:p>
        </w:tc>
        <w:tc>
          <w:tcPr>
            <w:tcW w:w="3497" w:type="dxa"/>
            <w:tcBorders>
              <w:top w:val="single" w:sz="8" w:space="0" w:color="000000"/>
              <w:left w:val="single" w:sz="8" w:space="0" w:color="000000"/>
              <w:bottom w:val="single" w:sz="8" w:space="0" w:color="000000"/>
              <w:right w:val="single" w:sz="4" w:space="0" w:color="000000"/>
            </w:tcBorders>
            <w:vAlign w:val="center"/>
          </w:tcPr>
          <w:p w14:paraId="64D33C60" w14:textId="77777777" w:rsidR="002449C2" w:rsidRDefault="00123961">
            <w:pPr>
              <w:spacing w:after="0" w:line="240" w:lineRule="auto"/>
              <w:ind w:left="-108"/>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 Проценты к получению</w:t>
            </w:r>
          </w:p>
        </w:tc>
        <w:tc>
          <w:tcPr>
            <w:tcW w:w="1102" w:type="dxa"/>
            <w:tcBorders>
              <w:top w:val="single" w:sz="4" w:space="0" w:color="000000"/>
              <w:left w:val="single" w:sz="4" w:space="0" w:color="000000"/>
              <w:bottom w:val="single" w:sz="4" w:space="0" w:color="000000"/>
              <w:right w:val="single" w:sz="4" w:space="0" w:color="000000"/>
            </w:tcBorders>
          </w:tcPr>
          <w:p w14:paraId="16C00C17"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hAnsi="Times New Roman"/>
                <w:color w:val="000000"/>
                <w:sz w:val="20"/>
                <w:szCs w:val="20"/>
                <w:lang w:eastAsia="en-US"/>
              </w:rPr>
              <w:t>млн руб.</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09C8055"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476</w:t>
            </w:r>
          </w:p>
        </w:tc>
        <w:tc>
          <w:tcPr>
            <w:tcW w:w="1024" w:type="dxa"/>
            <w:tcBorders>
              <w:left w:val="single" w:sz="4" w:space="0" w:color="000000"/>
              <w:bottom w:val="single" w:sz="8" w:space="0" w:color="000000"/>
              <w:right w:val="single" w:sz="8" w:space="0" w:color="000000"/>
            </w:tcBorders>
            <w:shd w:val="clear" w:color="000000" w:fill="FFFFFF"/>
            <w:vAlign w:val="center"/>
          </w:tcPr>
          <w:p w14:paraId="6EF41CA2"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313</w:t>
            </w:r>
          </w:p>
        </w:tc>
        <w:tc>
          <w:tcPr>
            <w:tcW w:w="1021" w:type="dxa"/>
            <w:tcBorders>
              <w:bottom w:val="single" w:sz="8" w:space="0" w:color="000000"/>
              <w:right w:val="single" w:sz="8" w:space="0" w:color="000000"/>
            </w:tcBorders>
            <w:shd w:val="clear" w:color="000000" w:fill="FFFFFF"/>
            <w:vAlign w:val="center"/>
          </w:tcPr>
          <w:p w14:paraId="25FB784D"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441</w:t>
            </w:r>
          </w:p>
        </w:tc>
        <w:tc>
          <w:tcPr>
            <w:tcW w:w="1401" w:type="dxa"/>
            <w:tcBorders>
              <w:bottom w:val="single" w:sz="8" w:space="0" w:color="000000"/>
              <w:right w:val="single" w:sz="8" w:space="0" w:color="000000"/>
            </w:tcBorders>
            <w:shd w:val="clear" w:color="000000" w:fill="FFFFFF"/>
            <w:vAlign w:val="center"/>
          </w:tcPr>
          <w:p w14:paraId="3B42E8C8"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41,0%</w:t>
            </w:r>
          </w:p>
        </w:tc>
      </w:tr>
      <w:tr w:rsidR="002449C2" w14:paraId="4D31E87C" w14:textId="77777777">
        <w:trPr>
          <w:trHeight w:val="20"/>
        </w:trPr>
        <w:tc>
          <w:tcPr>
            <w:tcW w:w="353" w:type="dxa"/>
            <w:tcBorders>
              <w:top w:val="single" w:sz="8" w:space="0" w:color="000000"/>
              <w:left w:val="single" w:sz="8" w:space="0" w:color="000000"/>
              <w:bottom w:val="single" w:sz="8" w:space="0" w:color="000000"/>
              <w:right w:val="single" w:sz="8" w:space="0" w:color="000000"/>
            </w:tcBorders>
            <w:vAlign w:val="center"/>
          </w:tcPr>
          <w:p w14:paraId="57A7C2F5" w14:textId="77777777" w:rsidR="002449C2" w:rsidRDefault="00123961">
            <w:pPr>
              <w:spacing w:after="0" w:line="240" w:lineRule="auto"/>
              <w:ind w:left="-426" w:firstLine="284"/>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8</w:t>
            </w:r>
          </w:p>
        </w:tc>
        <w:tc>
          <w:tcPr>
            <w:tcW w:w="3497" w:type="dxa"/>
            <w:tcBorders>
              <w:top w:val="single" w:sz="8" w:space="0" w:color="000000"/>
              <w:left w:val="single" w:sz="8" w:space="0" w:color="000000"/>
              <w:bottom w:val="single" w:sz="8" w:space="0" w:color="000000"/>
              <w:right w:val="single" w:sz="4" w:space="0" w:color="000000"/>
            </w:tcBorders>
            <w:vAlign w:val="center"/>
          </w:tcPr>
          <w:p w14:paraId="59EF1329" w14:textId="77777777" w:rsidR="002449C2" w:rsidRDefault="00123961">
            <w:pPr>
              <w:spacing w:after="0" w:line="240" w:lineRule="auto"/>
              <w:ind w:left="-108"/>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 Проценты к уплате</w:t>
            </w:r>
          </w:p>
        </w:tc>
        <w:tc>
          <w:tcPr>
            <w:tcW w:w="1102" w:type="dxa"/>
            <w:tcBorders>
              <w:top w:val="single" w:sz="4" w:space="0" w:color="000000"/>
              <w:left w:val="single" w:sz="4" w:space="0" w:color="000000"/>
              <w:bottom w:val="single" w:sz="4" w:space="0" w:color="000000"/>
              <w:right w:val="single" w:sz="4" w:space="0" w:color="000000"/>
            </w:tcBorders>
          </w:tcPr>
          <w:p w14:paraId="43BEE3C9"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hAnsi="Times New Roman"/>
                <w:color w:val="000000"/>
                <w:sz w:val="20"/>
                <w:szCs w:val="20"/>
                <w:lang w:eastAsia="en-US"/>
              </w:rPr>
              <w:t>млн руб.</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D357256"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2 350</w:t>
            </w:r>
          </w:p>
        </w:tc>
        <w:tc>
          <w:tcPr>
            <w:tcW w:w="1024" w:type="dxa"/>
            <w:tcBorders>
              <w:left w:val="single" w:sz="4" w:space="0" w:color="000000"/>
              <w:bottom w:val="single" w:sz="8" w:space="0" w:color="000000"/>
              <w:right w:val="single" w:sz="8" w:space="0" w:color="000000"/>
            </w:tcBorders>
            <w:shd w:val="clear" w:color="000000" w:fill="FFFFFF"/>
            <w:vAlign w:val="center"/>
          </w:tcPr>
          <w:p w14:paraId="566FF853"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2 278</w:t>
            </w:r>
          </w:p>
        </w:tc>
        <w:tc>
          <w:tcPr>
            <w:tcW w:w="1021" w:type="dxa"/>
            <w:tcBorders>
              <w:bottom w:val="single" w:sz="8" w:space="0" w:color="000000"/>
              <w:right w:val="single" w:sz="8" w:space="0" w:color="000000"/>
            </w:tcBorders>
            <w:shd w:val="clear" w:color="000000" w:fill="FFFFFF"/>
            <w:vAlign w:val="center"/>
          </w:tcPr>
          <w:p w14:paraId="20967301"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3 636</w:t>
            </w:r>
          </w:p>
        </w:tc>
        <w:tc>
          <w:tcPr>
            <w:tcW w:w="1401" w:type="dxa"/>
            <w:tcBorders>
              <w:bottom w:val="single" w:sz="8" w:space="0" w:color="000000"/>
              <w:right w:val="single" w:sz="8" w:space="0" w:color="000000"/>
            </w:tcBorders>
            <w:shd w:val="clear" w:color="000000" w:fill="FFFFFF"/>
            <w:vAlign w:val="center"/>
          </w:tcPr>
          <w:p w14:paraId="46C6A197"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59,6%</w:t>
            </w:r>
          </w:p>
        </w:tc>
      </w:tr>
      <w:tr w:rsidR="002449C2" w14:paraId="6AF3EC4C" w14:textId="77777777">
        <w:trPr>
          <w:trHeight w:val="20"/>
        </w:trPr>
        <w:tc>
          <w:tcPr>
            <w:tcW w:w="353" w:type="dxa"/>
            <w:tcBorders>
              <w:top w:val="single" w:sz="8" w:space="0" w:color="000000"/>
              <w:left w:val="single" w:sz="8" w:space="0" w:color="000000"/>
              <w:bottom w:val="single" w:sz="8" w:space="0" w:color="000000"/>
              <w:right w:val="single" w:sz="8" w:space="0" w:color="000000"/>
            </w:tcBorders>
            <w:vAlign w:val="center"/>
          </w:tcPr>
          <w:p w14:paraId="0EB0B398" w14:textId="77777777" w:rsidR="002449C2" w:rsidRDefault="00123961">
            <w:pPr>
              <w:spacing w:after="0" w:line="240" w:lineRule="auto"/>
              <w:ind w:left="-426" w:firstLine="284"/>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9</w:t>
            </w:r>
          </w:p>
        </w:tc>
        <w:tc>
          <w:tcPr>
            <w:tcW w:w="3497" w:type="dxa"/>
            <w:tcBorders>
              <w:top w:val="single" w:sz="8" w:space="0" w:color="000000"/>
              <w:left w:val="single" w:sz="8" w:space="0" w:color="000000"/>
              <w:bottom w:val="single" w:sz="8" w:space="0" w:color="000000"/>
              <w:right w:val="single" w:sz="4" w:space="0" w:color="000000"/>
            </w:tcBorders>
            <w:vAlign w:val="center"/>
          </w:tcPr>
          <w:p w14:paraId="2BE679D4" w14:textId="77777777" w:rsidR="002449C2" w:rsidRDefault="00123961">
            <w:pPr>
              <w:spacing w:after="0" w:line="240" w:lineRule="auto"/>
              <w:ind w:left="-108"/>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 Доходы от участия в других организациях</w:t>
            </w:r>
          </w:p>
        </w:tc>
        <w:tc>
          <w:tcPr>
            <w:tcW w:w="1102" w:type="dxa"/>
            <w:tcBorders>
              <w:top w:val="single" w:sz="4" w:space="0" w:color="000000"/>
              <w:left w:val="single" w:sz="4" w:space="0" w:color="000000"/>
              <w:bottom w:val="single" w:sz="4" w:space="0" w:color="000000"/>
              <w:right w:val="single" w:sz="4" w:space="0" w:color="000000"/>
            </w:tcBorders>
          </w:tcPr>
          <w:p w14:paraId="43DC88EA"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hAnsi="Times New Roman"/>
                <w:color w:val="000000"/>
                <w:sz w:val="20"/>
                <w:szCs w:val="20"/>
                <w:lang w:eastAsia="en-US"/>
              </w:rPr>
              <w:t>млн руб.</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E7D5D1C"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7</w:t>
            </w:r>
          </w:p>
        </w:tc>
        <w:tc>
          <w:tcPr>
            <w:tcW w:w="1024" w:type="dxa"/>
            <w:tcBorders>
              <w:left w:val="single" w:sz="4" w:space="0" w:color="000000"/>
              <w:bottom w:val="single" w:sz="8" w:space="0" w:color="000000"/>
              <w:right w:val="single" w:sz="8" w:space="0" w:color="000000"/>
            </w:tcBorders>
            <w:shd w:val="clear" w:color="000000" w:fill="FFFFFF"/>
            <w:vAlign w:val="center"/>
          </w:tcPr>
          <w:p w14:paraId="2A69EECA"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12,0</w:t>
            </w:r>
          </w:p>
        </w:tc>
        <w:tc>
          <w:tcPr>
            <w:tcW w:w="1021" w:type="dxa"/>
            <w:tcBorders>
              <w:bottom w:val="single" w:sz="8" w:space="0" w:color="000000"/>
              <w:right w:val="single" w:sz="8" w:space="0" w:color="000000"/>
            </w:tcBorders>
            <w:shd w:val="clear" w:color="000000" w:fill="FFFFFF"/>
            <w:vAlign w:val="center"/>
          </w:tcPr>
          <w:p w14:paraId="3CFA7959"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101</w:t>
            </w:r>
          </w:p>
        </w:tc>
        <w:tc>
          <w:tcPr>
            <w:tcW w:w="1401" w:type="dxa"/>
            <w:tcBorders>
              <w:bottom w:val="single" w:sz="8" w:space="0" w:color="000000"/>
              <w:right w:val="single" w:sz="8" w:space="0" w:color="000000"/>
            </w:tcBorders>
            <w:shd w:val="clear" w:color="000000" w:fill="FFFFFF"/>
            <w:vAlign w:val="center"/>
          </w:tcPr>
          <w:p w14:paraId="700E2D7C"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739,2%</w:t>
            </w:r>
          </w:p>
        </w:tc>
      </w:tr>
      <w:tr w:rsidR="002449C2" w14:paraId="66BB0136" w14:textId="77777777">
        <w:trPr>
          <w:trHeight w:val="20"/>
        </w:trPr>
        <w:tc>
          <w:tcPr>
            <w:tcW w:w="353" w:type="dxa"/>
            <w:tcBorders>
              <w:top w:val="single" w:sz="8" w:space="0" w:color="000000"/>
              <w:left w:val="single" w:sz="8" w:space="0" w:color="000000"/>
              <w:bottom w:val="single" w:sz="8" w:space="0" w:color="000000"/>
              <w:right w:val="single" w:sz="8" w:space="0" w:color="000000"/>
            </w:tcBorders>
            <w:vAlign w:val="center"/>
          </w:tcPr>
          <w:p w14:paraId="2ABD225C" w14:textId="77777777" w:rsidR="002449C2" w:rsidRDefault="00123961">
            <w:pPr>
              <w:spacing w:after="0" w:line="240" w:lineRule="auto"/>
              <w:ind w:left="-426" w:firstLine="284"/>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w:t>
            </w:r>
          </w:p>
        </w:tc>
        <w:tc>
          <w:tcPr>
            <w:tcW w:w="3497" w:type="dxa"/>
            <w:tcBorders>
              <w:top w:val="single" w:sz="8" w:space="0" w:color="000000"/>
              <w:left w:val="single" w:sz="8" w:space="0" w:color="000000"/>
              <w:bottom w:val="single" w:sz="8" w:space="0" w:color="000000"/>
              <w:right w:val="single" w:sz="4" w:space="0" w:color="000000"/>
            </w:tcBorders>
            <w:vAlign w:val="center"/>
          </w:tcPr>
          <w:p w14:paraId="34DBFBEA" w14:textId="77777777" w:rsidR="002449C2" w:rsidRDefault="00123961">
            <w:pPr>
              <w:spacing w:after="0" w:line="240" w:lineRule="auto"/>
              <w:ind w:left="-108"/>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 Прочие доходы</w:t>
            </w:r>
          </w:p>
        </w:tc>
        <w:tc>
          <w:tcPr>
            <w:tcW w:w="1102" w:type="dxa"/>
            <w:tcBorders>
              <w:top w:val="single" w:sz="4" w:space="0" w:color="000000"/>
              <w:left w:val="single" w:sz="4" w:space="0" w:color="000000"/>
              <w:bottom w:val="single" w:sz="4" w:space="0" w:color="000000"/>
              <w:right w:val="single" w:sz="4" w:space="0" w:color="000000"/>
            </w:tcBorders>
          </w:tcPr>
          <w:p w14:paraId="765C0756"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hAnsi="Times New Roman"/>
                <w:color w:val="000000"/>
                <w:sz w:val="20"/>
                <w:szCs w:val="20"/>
                <w:lang w:eastAsia="en-US"/>
              </w:rPr>
              <w:t>млн руб.</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3926B73"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3 279</w:t>
            </w:r>
          </w:p>
        </w:tc>
        <w:tc>
          <w:tcPr>
            <w:tcW w:w="1024" w:type="dxa"/>
            <w:tcBorders>
              <w:left w:val="single" w:sz="4" w:space="0" w:color="000000"/>
              <w:bottom w:val="single" w:sz="8" w:space="0" w:color="000000"/>
              <w:right w:val="single" w:sz="8" w:space="0" w:color="000000"/>
            </w:tcBorders>
            <w:shd w:val="clear" w:color="000000" w:fill="FFFFFF"/>
            <w:vAlign w:val="center"/>
          </w:tcPr>
          <w:p w14:paraId="6330E255"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3 982</w:t>
            </w:r>
          </w:p>
        </w:tc>
        <w:tc>
          <w:tcPr>
            <w:tcW w:w="1021" w:type="dxa"/>
            <w:tcBorders>
              <w:bottom w:val="single" w:sz="8" w:space="0" w:color="000000"/>
              <w:right w:val="single" w:sz="8" w:space="0" w:color="000000"/>
            </w:tcBorders>
            <w:shd w:val="clear" w:color="000000" w:fill="FFFFFF"/>
            <w:vAlign w:val="center"/>
          </w:tcPr>
          <w:p w14:paraId="6567C2A0"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9 931</w:t>
            </w:r>
          </w:p>
        </w:tc>
        <w:tc>
          <w:tcPr>
            <w:tcW w:w="1401" w:type="dxa"/>
            <w:tcBorders>
              <w:bottom w:val="single" w:sz="8" w:space="0" w:color="000000"/>
              <w:right w:val="single" w:sz="8" w:space="0" w:color="000000"/>
            </w:tcBorders>
            <w:shd w:val="clear" w:color="000000" w:fill="FFFFFF"/>
            <w:vAlign w:val="center"/>
          </w:tcPr>
          <w:p w14:paraId="58A2559B"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149,4%</w:t>
            </w:r>
          </w:p>
        </w:tc>
      </w:tr>
      <w:tr w:rsidR="002449C2" w14:paraId="6F1986C5" w14:textId="77777777">
        <w:trPr>
          <w:trHeight w:val="20"/>
        </w:trPr>
        <w:tc>
          <w:tcPr>
            <w:tcW w:w="353" w:type="dxa"/>
            <w:tcBorders>
              <w:top w:val="single" w:sz="8" w:space="0" w:color="000000"/>
              <w:left w:val="single" w:sz="8" w:space="0" w:color="000000"/>
              <w:bottom w:val="single" w:sz="8" w:space="0" w:color="000000"/>
              <w:right w:val="single" w:sz="8" w:space="0" w:color="000000"/>
            </w:tcBorders>
            <w:vAlign w:val="bottom"/>
          </w:tcPr>
          <w:p w14:paraId="2F2A4FA8" w14:textId="77777777" w:rsidR="002449C2" w:rsidRDefault="00123961">
            <w:pPr>
              <w:spacing w:after="0" w:line="240" w:lineRule="auto"/>
              <w:ind w:left="-426" w:firstLine="284"/>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11</w:t>
            </w:r>
          </w:p>
        </w:tc>
        <w:tc>
          <w:tcPr>
            <w:tcW w:w="3497" w:type="dxa"/>
            <w:tcBorders>
              <w:top w:val="single" w:sz="8" w:space="0" w:color="000000"/>
              <w:left w:val="single" w:sz="8" w:space="0" w:color="000000"/>
              <w:bottom w:val="single" w:sz="8" w:space="0" w:color="000000"/>
              <w:right w:val="single" w:sz="4" w:space="0" w:color="000000"/>
            </w:tcBorders>
            <w:vAlign w:val="center"/>
          </w:tcPr>
          <w:p w14:paraId="053EAE1C" w14:textId="77777777" w:rsidR="002449C2" w:rsidRDefault="00123961">
            <w:pPr>
              <w:spacing w:after="0" w:line="240" w:lineRule="auto"/>
              <w:ind w:left="-108"/>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 Прочие расходы</w:t>
            </w:r>
          </w:p>
        </w:tc>
        <w:tc>
          <w:tcPr>
            <w:tcW w:w="1102" w:type="dxa"/>
            <w:tcBorders>
              <w:top w:val="single" w:sz="4" w:space="0" w:color="000000"/>
              <w:left w:val="single" w:sz="4" w:space="0" w:color="000000"/>
              <w:bottom w:val="single" w:sz="4" w:space="0" w:color="000000"/>
              <w:right w:val="single" w:sz="4" w:space="0" w:color="000000"/>
            </w:tcBorders>
          </w:tcPr>
          <w:p w14:paraId="50AA25FD"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hAnsi="Times New Roman"/>
                <w:color w:val="000000"/>
                <w:sz w:val="20"/>
                <w:szCs w:val="20"/>
                <w:lang w:eastAsia="en-US"/>
              </w:rPr>
              <w:t>млн руб.</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A802F22"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6 144</w:t>
            </w:r>
          </w:p>
        </w:tc>
        <w:tc>
          <w:tcPr>
            <w:tcW w:w="1024" w:type="dxa"/>
            <w:tcBorders>
              <w:left w:val="single" w:sz="4" w:space="0" w:color="000000"/>
              <w:bottom w:val="single" w:sz="8" w:space="0" w:color="000000"/>
              <w:right w:val="single" w:sz="8" w:space="0" w:color="000000"/>
            </w:tcBorders>
            <w:shd w:val="clear" w:color="000000" w:fill="FFFFFF"/>
            <w:vAlign w:val="center"/>
          </w:tcPr>
          <w:p w14:paraId="129CE520"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5 006</w:t>
            </w:r>
          </w:p>
        </w:tc>
        <w:tc>
          <w:tcPr>
            <w:tcW w:w="1021" w:type="dxa"/>
            <w:tcBorders>
              <w:bottom w:val="single" w:sz="8" w:space="0" w:color="000000"/>
              <w:right w:val="single" w:sz="8" w:space="0" w:color="000000"/>
            </w:tcBorders>
            <w:shd w:val="clear" w:color="000000" w:fill="FFFFFF"/>
            <w:vAlign w:val="center"/>
          </w:tcPr>
          <w:p w14:paraId="280EB1D3"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2 991</w:t>
            </w:r>
          </w:p>
        </w:tc>
        <w:tc>
          <w:tcPr>
            <w:tcW w:w="1401" w:type="dxa"/>
            <w:tcBorders>
              <w:bottom w:val="single" w:sz="8" w:space="0" w:color="000000"/>
              <w:right w:val="single" w:sz="8" w:space="0" w:color="000000"/>
            </w:tcBorders>
            <w:shd w:val="clear" w:color="000000" w:fill="FFFFFF"/>
            <w:vAlign w:val="center"/>
          </w:tcPr>
          <w:p w14:paraId="56C8C424"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-40,2%</w:t>
            </w:r>
          </w:p>
        </w:tc>
      </w:tr>
      <w:tr w:rsidR="002449C2" w14:paraId="61F3F2CB" w14:textId="77777777">
        <w:trPr>
          <w:trHeight w:val="20"/>
        </w:trPr>
        <w:tc>
          <w:tcPr>
            <w:tcW w:w="353" w:type="dxa"/>
            <w:tcBorders>
              <w:top w:val="single" w:sz="8" w:space="0" w:color="000000"/>
              <w:left w:val="single" w:sz="8" w:space="0" w:color="000000"/>
              <w:bottom w:val="single" w:sz="8" w:space="0" w:color="000000"/>
              <w:right w:val="single" w:sz="8" w:space="0" w:color="000000"/>
            </w:tcBorders>
            <w:vAlign w:val="bottom"/>
          </w:tcPr>
          <w:p w14:paraId="415430C6" w14:textId="77777777" w:rsidR="002449C2" w:rsidRDefault="00123961">
            <w:pPr>
              <w:spacing w:after="0" w:line="240" w:lineRule="auto"/>
              <w:ind w:left="-426" w:firstLine="284"/>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12</w:t>
            </w:r>
          </w:p>
        </w:tc>
        <w:tc>
          <w:tcPr>
            <w:tcW w:w="3497" w:type="dxa"/>
            <w:tcBorders>
              <w:top w:val="single" w:sz="8" w:space="0" w:color="000000"/>
              <w:left w:val="single" w:sz="8" w:space="0" w:color="000000"/>
              <w:bottom w:val="single" w:sz="8" w:space="0" w:color="000000"/>
              <w:right w:val="single" w:sz="4" w:space="0" w:color="000000"/>
            </w:tcBorders>
            <w:vAlign w:val="bottom"/>
          </w:tcPr>
          <w:p w14:paraId="55DFE37C" w14:textId="77777777" w:rsidR="002449C2" w:rsidRDefault="00123961">
            <w:pPr>
              <w:spacing w:after="0" w:line="240" w:lineRule="auto"/>
              <w:ind w:left="-108"/>
              <w:rPr>
                <w:rFonts w:ascii="Times New Roman" w:eastAsia="Times New Roman" w:hAnsi="Times New Roman"/>
                <w:sz w:val="20"/>
                <w:szCs w:val="20"/>
                <w:lang w:eastAsia="ru-RU"/>
              </w:rPr>
            </w:pPr>
            <w:r>
              <w:rPr>
                <w:rFonts w:ascii="Times New Roman" w:eastAsia="Times New Roman" w:hAnsi="Times New Roman"/>
                <w:b/>
                <w:bCs/>
                <w:sz w:val="20"/>
                <w:szCs w:val="20"/>
                <w:lang w:eastAsia="ru-RU"/>
              </w:rPr>
              <w:t xml:space="preserve"> Прибыль (убыток) до налогообложения</w:t>
            </w:r>
          </w:p>
        </w:tc>
        <w:tc>
          <w:tcPr>
            <w:tcW w:w="1102" w:type="dxa"/>
            <w:tcBorders>
              <w:top w:val="single" w:sz="4" w:space="0" w:color="000000"/>
              <w:left w:val="single" w:sz="4" w:space="0" w:color="000000"/>
              <w:bottom w:val="single" w:sz="4" w:space="0" w:color="000000"/>
              <w:right w:val="single" w:sz="4" w:space="0" w:color="000000"/>
            </w:tcBorders>
          </w:tcPr>
          <w:p w14:paraId="0926F7CC"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hAnsi="Times New Roman"/>
                <w:color w:val="000000"/>
                <w:sz w:val="20"/>
                <w:szCs w:val="20"/>
                <w:lang w:eastAsia="en-US"/>
              </w:rPr>
              <w:t>млн руб.</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6FD083B"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-305</w:t>
            </w:r>
          </w:p>
        </w:tc>
        <w:tc>
          <w:tcPr>
            <w:tcW w:w="1024" w:type="dxa"/>
            <w:tcBorders>
              <w:left w:val="single" w:sz="4" w:space="0" w:color="000000"/>
              <w:bottom w:val="single" w:sz="8" w:space="0" w:color="000000"/>
              <w:right w:val="single" w:sz="8" w:space="0" w:color="000000"/>
            </w:tcBorders>
            <w:shd w:val="clear" w:color="000000" w:fill="FFFFFF"/>
            <w:vAlign w:val="center"/>
          </w:tcPr>
          <w:p w14:paraId="24317EFA"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3 279</w:t>
            </w:r>
          </w:p>
        </w:tc>
        <w:tc>
          <w:tcPr>
            <w:tcW w:w="1021" w:type="dxa"/>
            <w:tcBorders>
              <w:bottom w:val="single" w:sz="8" w:space="0" w:color="000000"/>
              <w:right w:val="single" w:sz="8" w:space="0" w:color="000000"/>
            </w:tcBorders>
            <w:shd w:val="clear" w:color="000000" w:fill="FFFFFF"/>
            <w:vAlign w:val="center"/>
          </w:tcPr>
          <w:p w14:paraId="19E0F17F"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9 884</w:t>
            </w:r>
          </w:p>
        </w:tc>
        <w:tc>
          <w:tcPr>
            <w:tcW w:w="1401" w:type="dxa"/>
            <w:tcBorders>
              <w:bottom w:val="single" w:sz="8" w:space="0" w:color="000000"/>
              <w:right w:val="single" w:sz="8" w:space="0" w:color="000000"/>
            </w:tcBorders>
            <w:shd w:val="clear" w:color="000000" w:fill="FFFFFF"/>
            <w:vAlign w:val="center"/>
          </w:tcPr>
          <w:p w14:paraId="659D6336"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201,4%</w:t>
            </w:r>
          </w:p>
        </w:tc>
      </w:tr>
      <w:tr w:rsidR="002449C2" w14:paraId="7F953CD7" w14:textId="77777777">
        <w:trPr>
          <w:trHeight w:val="20"/>
        </w:trPr>
        <w:tc>
          <w:tcPr>
            <w:tcW w:w="353" w:type="dxa"/>
            <w:tcBorders>
              <w:top w:val="single" w:sz="8" w:space="0" w:color="000000"/>
              <w:left w:val="single" w:sz="8" w:space="0" w:color="000000"/>
              <w:bottom w:val="single" w:sz="8" w:space="0" w:color="000000"/>
              <w:right w:val="single" w:sz="8" w:space="0" w:color="000000"/>
            </w:tcBorders>
            <w:vAlign w:val="bottom"/>
          </w:tcPr>
          <w:p w14:paraId="66B65054" w14:textId="77777777" w:rsidR="002449C2" w:rsidRDefault="00123961">
            <w:pPr>
              <w:spacing w:after="0" w:line="240" w:lineRule="auto"/>
              <w:ind w:left="-426" w:firstLine="284"/>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13</w:t>
            </w:r>
          </w:p>
        </w:tc>
        <w:tc>
          <w:tcPr>
            <w:tcW w:w="3497" w:type="dxa"/>
            <w:tcBorders>
              <w:top w:val="single" w:sz="8" w:space="0" w:color="000000"/>
              <w:left w:val="single" w:sz="8" w:space="0" w:color="000000"/>
              <w:bottom w:val="single" w:sz="8" w:space="0" w:color="000000"/>
              <w:right w:val="single" w:sz="4" w:space="0" w:color="000000"/>
            </w:tcBorders>
            <w:vAlign w:val="bottom"/>
          </w:tcPr>
          <w:p w14:paraId="7B3486A5" w14:textId="77777777" w:rsidR="002449C2" w:rsidRDefault="00123961">
            <w:pPr>
              <w:spacing w:after="0" w:line="240" w:lineRule="auto"/>
              <w:ind w:left="-108"/>
              <w:rPr>
                <w:rFonts w:ascii="Times New Roman" w:eastAsia="Times New Roman" w:hAnsi="Times New Roman"/>
                <w:sz w:val="20"/>
                <w:szCs w:val="20"/>
                <w:lang w:eastAsia="ru-RU"/>
              </w:rPr>
            </w:pPr>
            <w:r>
              <w:rPr>
                <w:rFonts w:ascii="Times New Roman" w:eastAsia="Times New Roman" w:hAnsi="Times New Roman"/>
                <w:bCs/>
                <w:sz w:val="20"/>
                <w:szCs w:val="20"/>
                <w:lang w:eastAsia="ru-RU"/>
              </w:rPr>
              <w:t xml:space="preserve"> Налог на прибыль и иные платежи</w:t>
            </w:r>
          </w:p>
        </w:tc>
        <w:tc>
          <w:tcPr>
            <w:tcW w:w="1102" w:type="dxa"/>
            <w:tcBorders>
              <w:top w:val="single" w:sz="4" w:space="0" w:color="000000"/>
              <w:left w:val="single" w:sz="4" w:space="0" w:color="000000"/>
              <w:bottom w:val="single" w:sz="4" w:space="0" w:color="000000"/>
              <w:right w:val="single" w:sz="4" w:space="0" w:color="000000"/>
            </w:tcBorders>
          </w:tcPr>
          <w:p w14:paraId="291E69DE"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hAnsi="Times New Roman"/>
                <w:color w:val="000000"/>
                <w:sz w:val="20"/>
                <w:szCs w:val="20"/>
                <w:lang w:eastAsia="en-US"/>
              </w:rPr>
              <w:t>млн руб.</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ED0424B"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254</w:t>
            </w:r>
          </w:p>
        </w:tc>
        <w:tc>
          <w:tcPr>
            <w:tcW w:w="1024" w:type="dxa"/>
            <w:tcBorders>
              <w:left w:val="single" w:sz="4" w:space="0" w:color="000000"/>
              <w:bottom w:val="single" w:sz="8" w:space="0" w:color="000000"/>
              <w:right w:val="single" w:sz="8" w:space="0" w:color="000000"/>
            </w:tcBorders>
            <w:shd w:val="clear" w:color="000000" w:fill="FFFFFF"/>
            <w:vAlign w:val="center"/>
          </w:tcPr>
          <w:p w14:paraId="668BE626"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848</w:t>
            </w:r>
          </w:p>
        </w:tc>
        <w:tc>
          <w:tcPr>
            <w:tcW w:w="1021" w:type="dxa"/>
            <w:tcBorders>
              <w:bottom w:val="single" w:sz="8" w:space="0" w:color="000000"/>
              <w:right w:val="single" w:sz="8" w:space="0" w:color="000000"/>
            </w:tcBorders>
            <w:shd w:val="clear" w:color="000000" w:fill="FFFFFF"/>
            <w:vAlign w:val="center"/>
          </w:tcPr>
          <w:p w14:paraId="200934C5"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2 659</w:t>
            </w:r>
          </w:p>
        </w:tc>
        <w:tc>
          <w:tcPr>
            <w:tcW w:w="1401" w:type="dxa"/>
            <w:tcBorders>
              <w:bottom w:val="single" w:sz="8" w:space="0" w:color="000000"/>
              <w:right w:val="single" w:sz="8" w:space="0" w:color="000000"/>
            </w:tcBorders>
            <w:shd w:val="clear" w:color="000000" w:fill="FFFFFF"/>
            <w:vAlign w:val="center"/>
          </w:tcPr>
          <w:p w14:paraId="1C3A31CD"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213,4%</w:t>
            </w:r>
          </w:p>
        </w:tc>
      </w:tr>
      <w:tr w:rsidR="002449C2" w14:paraId="3573CB0C" w14:textId="77777777">
        <w:trPr>
          <w:trHeight w:val="20"/>
        </w:trPr>
        <w:tc>
          <w:tcPr>
            <w:tcW w:w="353" w:type="dxa"/>
            <w:tcBorders>
              <w:top w:val="single" w:sz="8" w:space="0" w:color="000000"/>
              <w:left w:val="single" w:sz="8" w:space="0" w:color="000000"/>
              <w:bottom w:val="single" w:sz="8" w:space="0" w:color="000000"/>
              <w:right w:val="single" w:sz="8" w:space="0" w:color="000000"/>
            </w:tcBorders>
            <w:vAlign w:val="bottom"/>
          </w:tcPr>
          <w:p w14:paraId="1B4C0D3A" w14:textId="77777777" w:rsidR="002449C2" w:rsidRDefault="00123961">
            <w:pPr>
              <w:spacing w:after="0" w:line="240" w:lineRule="auto"/>
              <w:ind w:left="-426" w:firstLine="284"/>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14</w:t>
            </w:r>
          </w:p>
        </w:tc>
        <w:tc>
          <w:tcPr>
            <w:tcW w:w="3497" w:type="dxa"/>
            <w:tcBorders>
              <w:top w:val="single" w:sz="8" w:space="0" w:color="000000"/>
              <w:left w:val="single" w:sz="8" w:space="0" w:color="000000"/>
              <w:bottom w:val="single" w:sz="8" w:space="0" w:color="000000"/>
              <w:right w:val="single" w:sz="4" w:space="0" w:color="000000"/>
            </w:tcBorders>
            <w:vAlign w:val="bottom"/>
          </w:tcPr>
          <w:p w14:paraId="4FA42D21" w14:textId="77777777" w:rsidR="002449C2" w:rsidRDefault="00123961">
            <w:pPr>
              <w:spacing w:after="0" w:line="240" w:lineRule="auto"/>
              <w:ind w:left="-108"/>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 xml:space="preserve"> Чистая прибыль (убыток)</w:t>
            </w:r>
          </w:p>
        </w:tc>
        <w:tc>
          <w:tcPr>
            <w:tcW w:w="1102" w:type="dxa"/>
            <w:tcBorders>
              <w:top w:val="single" w:sz="4" w:space="0" w:color="000000"/>
              <w:left w:val="single" w:sz="4" w:space="0" w:color="000000"/>
              <w:bottom w:val="single" w:sz="4" w:space="0" w:color="000000"/>
              <w:right w:val="single" w:sz="4" w:space="0" w:color="000000"/>
            </w:tcBorders>
          </w:tcPr>
          <w:p w14:paraId="68643AA1"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hAnsi="Times New Roman"/>
                <w:color w:val="000000"/>
                <w:sz w:val="20"/>
                <w:szCs w:val="20"/>
                <w:lang w:eastAsia="en-US"/>
              </w:rPr>
              <w:t>млн руб.</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82A250D"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-559</w:t>
            </w:r>
          </w:p>
        </w:tc>
        <w:tc>
          <w:tcPr>
            <w:tcW w:w="1024" w:type="dxa"/>
            <w:tcBorders>
              <w:left w:val="single" w:sz="4" w:space="0" w:color="000000"/>
              <w:bottom w:val="single" w:sz="8" w:space="0" w:color="000000"/>
              <w:right w:val="single" w:sz="8" w:space="0" w:color="000000"/>
            </w:tcBorders>
            <w:shd w:val="clear" w:color="000000" w:fill="FFFFFF"/>
            <w:vAlign w:val="center"/>
          </w:tcPr>
          <w:p w14:paraId="33DC5983"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2 431</w:t>
            </w:r>
          </w:p>
        </w:tc>
        <w:tc>
          <w:tcPr>
            <w:tcW w:w="1021" w:type="dxa"/>
            <w:tcBorders>
              <w:bottom w:val="single" w:sz="8" w:space="0" w:color="000000"/>
              <w:right w:val="single" w:sz="8" w:space="0" w:color="000000"/>
            </w:tcBorders>
            <w:shd w:val="clear" w:color="000000" w:fill="FFFFFF"/>
            <w:vAlign w:val="center"/>
          </w:tcPr>
          <w:p w14:paraId="2762BEBF"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7 225</w:t>
            </w:r>
          </w:p>
        </w:tc>
        <w:tc>
          <w:tcPr>
            <w:tcW w:w="1401" w:type="dxa"/>
            <w:tcBorders>
              <w:bottom w:val="single" w:sz="8" w:space="0" w:color="000000"/>
              <w:right w:val="single" w:sz="8" w:space="0" w:color="000000"/>
            </w:tcBorders>
            <w:shd w:val="clear" w:color="000000" w:fill="FFFFFF"/>
            <w:vAlign w:val="center"/>
          </w:tcPr>
          <w:p w14:paraId="123C7C28" w14:textId="77777777" w:rsidR="002449C2" w:rsidRDefault="00123961">
            <w:pPr>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197,3%</w:t>
            </w:r>
          </w:p>
        </w:tc>
      </w:tr>
      <w:tr w:rsidR="002449C2" w14:paraId="048152C2" w14:textId="77777777">
        <w:trPr>
          <w:trHeight w:val="20"/>
        </w:trPr>
        <w:tc>
          <w:tcPr>
            <w:tcW w:w="353" w:type="dxa"/>
            <w:tcBorders>
              <w:top w:val="single" w:sz="8" w:space="0" w:color="000000"/>
              <w:left w:val="single" w:sz="8" w:space="0" w:color="000000"/>
              <w:bottom w:val="single" w:sz="8" w:space="0" w:color="000000"/>
              <w:right w:val="single" w:sz="8" w:space="0" w:color="000000"/>
            </w:tcBorders>
            <w:vAlign w:val="bottom"/>
          </w:tcPr>
          <w:p w14:paraId="36414DE6" w14:textId="77777777" w:rsidR="002449C2" w:rsidRDefault="00123961">
            <w:pPr>
              <w:spacing w:after="0" w:line="240" w:lineRule="auto"/>
              <w:ind w:left="-426" w:firstLine="284"/>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15</w:t>
            </w:r>
          </w:p>
        </w:tc>
        <w:tc>
          <w:tcPr>
            <w:tcW w:w="3497" w:type="dxa"/>
            <w:tcBorders>
              <w:top w:val="single" w:sz="8" w:space="0" w:color="000000"/>
              <w:left w:val="single" w:sz="8" w:space="0" w:color="000000"/>
              <w:bottom w:val="single" w:sz="8" w:space="0" w:color="000000"/>
              <w:right w:val="single" w:sz="4" w:space="0" w:color="000000"/>
            </w:tcBorders>
            <w:vAlign w:val="bottom"/>
          </w:tcPr>
          <w:p w14:paraId="02562F6C" w14:textId="77777777" w:rsidR="002449C2" w:rsidRDefault="00123961">
            <w:pPr>
              <w:spacing w:after="0" w:line="240" w:lineRule="auto"/>
              <w:ind w:left="-108"/>
              <w:rPr>
                <w:rFonts w:ascii="Times New Roman" w:eastAsia="Times New Roman" w:hAnsi="Times New Roman"/>
                <w:bCs/>
                <w:sz w:val="20"/>
                <w:szCs w:val="20"/>
                <w:lang w:eastAsia="ru-RU"/>
              </w:rPr>
            </w:pPr>
            <w:r>
              <w:rPr>
                <w:rFonts w:ascii="Times New Roman" w:eastAsia="Times New Roman" w:hAnsi="Times New Roman"/>
                <w:b/>
                <w:bCs/>
                <w:sz w:val="20"/>
                <w:szCs w:val="20"/>
                <w:lang w:eastAsia="ru-RU"/>
              </w:rPr>
              <w:t xml:space="preserve"> </w:t>
            </w:r>
            <w:r>
              <w:rPr>
                <w:rFonts w:ascii="Times New Roman" w:eastAsia="Times New Roman" w:hAnsi="Times New Roman"/>
                <w:b/>
                <w:bCs/>
                <w:sz w:val="20"/>
                <w:szCs w:val="20"/>
                <w:lang w:val="en-US" w:eastAsia="ru-RU"/>
              </w:rPr>
              <w:t>EBITDA</w:t>
            </w:r>
            <w:r>
              <w:rPr>
                <w:rFonts w:ascii="Times New Roman" w:eastAsia="Times New Roman" w:hAnsi="Times New Roman"/>
                <w:b/>
                <w:bCs/>
                <w:sz w:val="20"/>
                <w:szCs w:val="20"/>
                <w:lang w:eastAsia="ru-RU"/>
              </w:rPr>
              <w:t>*</w:t>
            </w:r>
          </w:p>
        </w:tc>
        <w:tc>
          <w:tcPr>
            <w:tcW w:w="1102" w:type="dxa"/>
            <w:tcBorders>
              <w:top w:val="single" w:sz="4" w:space="0" w:color="000000"/>
              <w:left w:val="single" w:sz="4" w:space="0" w:color="000000"/>
              <w:bottom w:val="single" w:sz="4" w:space="0" w:color="000000"/>
              <w:right w:val="single" w:sz="4" w:space="0" w:color="000000"/>
            </w:tcBorders>
          </w:tcPr>
          <w:p w14:paraId="3F6604EC" w14:textId="77777777" w:rsidR="002449C2" w:rsidRDefault="00123961">
            <w:pPr>
              <w:spacing w:after="0" w:line="240" w:lineRule="auto"/>
              <w:ind w:left="-426" w:firstLine="284"/>
              <w:jc w:val="center"/>
              <w:rPr>
                <w:rFonts w:ascii="Times New Roman" w:hAnsi="Times New Roman"/>
                <w:color w:val="000000"/>
                <w:sz w:val="20"/>
                <w:szCs w:val="20"/>
                <w:lang w:eastAsia="en-US"/>
              </w:rPr>
            </w:pPr>
            <w:r>
              <w:rPr>
                <w:rFonts w:ascii="Times New Roman" w:hAnsi="Times New Roman"/>
                <w:color w:val="000000"/>
                <w:sz w:val="20"/>
                <w:szCs w:val="20"/>
                <w:lang w:eastAsia="en-US"/>
              </w:rPr>
              <w:t>млн руб.</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7D79E8A" w14:textId="77777777" w:rsidR="002449C2" w:rsidRDefault="00123961">
            <w:pPr>
              <w:spacing w:after="0" w:line="240" w:lineRule="auto"/>
              <w:ind w:left="-426" w:firstLine="284"/>
              <w:jc w:val="center"/>
              <w:rPr>
                <w:rFonts w:ascii="Times New Roman" w:eastAsia="Times New Roman" w:hAnsi="Times New Roman"/>
                <w:bCs/>
                <w:sz w:val="20"/>
                <w:szCs w:val="20"/>
                <w:lang w:eastAsia="ru-RU"/>
              </w:rPr>
            </w:pPr>
            <w:r>
              <w:rPr>
                <w:rFonts w:ascii="Times New Roman" w:hAnsi="Times New Roman"/>
                <w:color w:val="000000"/>
                <w:sz w:val="20"/>
                <w:szCs w:val="20"/>
              </w:rPr>
              <w:t>4 932</w:t>
            </w:r>
          </w:p>
        </w:tc>
        <w:tc>
          <w:tcPr>
            <w:tcW w:w="1024" w:type="dxa"/>
            <w:tcBorders>
              <w:left w:val="single" w:sz="4" w:space="0" w:color="000000"/>
              <w:bottom w:val="single" w:sz="8" w:space="0" w:color="000000"/>
              <w:right w:val="single" w:sz="8" w:space="0" w:color="000000"/>
            </w:tcBorders>
            <w:shd w:val="clear" w:color="000000" w:fill="FFFFFF"/>
          </w:tcPr>
          <w:p w14:paraId="35E9E595"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9 741</w:t>
            </w:r>
          </w:p>
        </w:tc>
        <w:tc>
          <w:tcPr>
            <w:tcW w:w="1021" w:type="dxa"/>
            <w:tcBorders>
              <w:bottom w:val="single" w:sz="8" w:space="0" w:color="000000"/>
              <w:right w:val="single" w:sz="8" w:space="0" w:color="000000"/>
            </w:tcBorders>
            <w:shd w:val="clear" w:color="000000" w:fill="FFFFFF"/>
          </w:tcPr>
          <w:p w14:paraId="6919499C"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8 240</w:t>
            </w:r>
          </w:p>
        </w:tc>
        <w:tc>
          <w:tcPr>
            <w:tcW w:w="1401" w:type="dxa"/>
            <w:tcBorders>
              <w:bottom w:val="single" w:sz="8" w:space="0" w:color="000000"/>
              <w:right w:val="single" w:sz="8" w:space="0" w:color="000000"/>
            </w:tcBorders>
            <w:shd w:val="clear" w:color="000000" w:fill="FFFFFF"/>
            <w:vAlign w:val="center"/>
          </w:tcPr>
          <w:p w14:paraId="0A29E6A1" w14:textId="77777777" w:rsidR="002449C2" w:rsidRDefault="00123961">
            <w:pPr>
              <w:spacing w:after="0" w:line="240" w:lineRule="auto"/>
              <w:ind w:left="-426" w:firstLine="284"/>
              <w:jc w:val="center"/>
              <w:rPr>
                <w:rFonts w:ascii="Times New Roman" w:hAnsi="Times New Roman"/>
                <w:color w:val="000000"/>
                <w:sz w:val="20"/>
                <w:szCs w:val="20"/>
              </w:rPr>
            </w:pPr>
            <w:r>
              <w:rPr>
                <w:rFonts w:ascii="Times New Roman" w:hAnsi="Times New Roman"/>
                <w:color w:val="000000"/>
                <w:sz w:val="20"/>
                <w:szCs w:val="20"/>
              </w:rPr>
              <w:t>-15,4%</w:t>
            </w:r>
          </w:p>
        </w:tc>
      </w:tr>
    </w:tbl>
    <w:p w14:paraId="70508CA7" w14:textId="77777777" w:rsidR="002449C2" w:rsidRDefault="002449C2">
      <w:pPr>
        <w:tabs>
          <w:tab w:val="left" w:pos="9356"/>
        </w:tabs>
        <w:spacing w:after="0" w:line="240" w:lineRule="auto"/>
        <w:ind w:left="-426" w:firstLine="284"/>
        <w:jc w:val="center"/>
        <w:rPr>
          <w:rFonts w:ascii="Cambria" w:eastAsia="Times New Roman" w:hAnsi="Cambria"/>
          <w:b/>
          <w:bCs/>
          <w:iCs/>
          <w:sz w:val="26"/>
          <w:szCs w:val="26"/>
          <w:lang w:eastAsia="ru-RU"/>
        </w:rPr>
      </w:pPr>
    </w:p>
    <w:p w14:paraId="5D30DB00" w14:textId="77777777" w:rsidR="002449C2" w:rsidRDefault="00123961">
      <w:pPr>
        <w:tabs>
          <w:tab w:val="left" w:pos="9356"/>
        </w:tabs>
        <w:spacing w:after="0" w:line="240" w:lineRule="auto"/>
        <w:rPr>
          <w:rFonts w:ascii="Times New Roman" w:hAnsi="Times New Roman"/>
          <w:i/>
          <w:sz w:val="16"/>
          <w:szCs w:val="16"/>
        </w:rPr>
      </w:pPr>
      <w:r>
        <w:rPr>
          <w:rFonts w:ascii="Times New Roman" w:eastAsia="Times New Roman" w:hAnsi="Times New Roman"/>
          <w:i/>
          <w:sz w:val="16"/>
          <w:szCs w:val="16"/>
        </w:rPr>
        <w:t xml:space="preserve">* </w:t>
      </w:r>
      <w:r>
        <w:rPr>
          <w:rFonts w:ascii="Times New Roman" w:hAnsi="Times New Roman"/>
          <w:i/>
          <w:sz w:val="16"/>
          <w:szCs w:val="16"/>
        </w:rPr>
        <w:t>Показатель EBITDA рассчитывается следующим образом:</w:t>
      </w:r>
    </w:p>
    <w:p w14:paraId="364E846A" w14:textId="77777777" w:rsidR="002449C2" w:rsidRDefault="00123961">
      <w:pPr>
        <w:tabs>
          <w:tab w:val="left" w:pos="142"/>
        </w:tabs>
        <w:spacing w:after="0" w:line="240" w:lineRule="auto"/>
        <w:jc w:val="both"/>
        <w:rPr>
          <w:rFonts w:ascii="Times New Roman" w:hAnsi="Times New Roman"/>
          <w:i/>
          <w:sz w:val="16"/>
          <w:szCs w:val="16"/>
        </w:rPr>
      </w:pPr>
      <w:r>
        <w:rPr>
          <w:rFonts w:ascii="Times New Roman" w:hAnsi="Times New Roman"/>
          <w:i/>
          <w:sz w:val="16"/>
          <w:szCs w:val="16"/>
        </w:rPr>
        <w:t>Прибыль до налогообложения до процентных расходов, амортизации, и чистого начисления/(восстановления) убытка от обесценения основных средств и прав пользования активами</w:t>
      </w:r>
    </w:p>
    <w:p w14:paraId="7D3AA22F" w14:textId="77777777" w:rsidR="002449C2" w:rsidRDefault="002449C2">
      <w:pPr>
        <w:tabs>
          <w:tab w:val="left" w:pos="142"/>
        </w:tabs>
        <w:spacing w:after="0" w:line="240" w:lineRule="auto"/>
        <w:jc w:val="both"/>
        <w:rPr>
          <w:rFonts w:ascii="Times New Roman" w:hAnsi="Times New Roman"/>
          <w:i/>
          <w:sz w:val="16"/>
          <w:szCs w:val="16"/>
        </w:rPr>
      </w:pPr>
    </w:p>
    <w:p w14:paraId="4D6CD072" w14:textId="77777777" w:rsidR="002449C2" w:rsidRDefault="00123961">
      <w:pPr>
        <w:shd w:val="clear" w:color="auto" w:fill="FFFFFF"/>
        <w:tabs>
          <w:tab w:val="left" w:pos="142"/>
        </w:tabs>
        <w:spacing w:after="0" w:line="240" w:lineRule="auto"/>
        <w:jc w:val="both"/>
        <w:rPr>
          <w:rFonts w:ascii="Times New Roman" w:hAnsi="Times New Roman"/>
          <w:i/>
          <w:sz w:val="16"/>
          <w:szCs w:val="16"/>
        </w:rPr>
      </w:pPr>
      <w:r>
        <w:br w:type="page"/>
      </w:r>
    </w:p>
    <w:p w14:paraId="62858A7E" w14:textId="77777777" w:rsidR="002449C2" w:rsidRDefault="00123961">
      <w:pPr>
        <w:shd w:val="clear" w:color="auto" w:fill="FFFFFF"/>
        <w:tabs>
          <w:tab w:val="left" w:pos="0"/>
        </w:tabs>
        <w:spacing w:after="240" w:line="259" w:lineRule="auto"/>
        <w:jc w:val="center"/>
        <w:rPr>
          <w:rFonts w:ascii="Times New Roman" w:eastAsia="Times New Roman" w:hAnsi="Times New Roman"/>
          <w:b/>
          <w:iCs/>
          <w:sz w:val="24"/>
          <w:szCs w:val="24"/>
          <w:lang w:eastAsia="ru-RU"/>
        </w:rPr>
      </w:pPr>
      <w:r>
        <w:rPr>
          <w:rFonts w:ascii="Times New Roman" w:hAnsi="Times New Roman"/>
          <w:b/>
          <w:color w:val="000000"/>
          <w:sz w:val="26"/>
          <w:szCs w:val="26"/>
          <w:lang w:eastAsia="en-US"/>
        </w:rPr>
        <w:t>Финансовые показатели</w:t>
      </w:r>
      <w:r w:rsidR="00F95A96">
        <w:rPr>
          <w:rStyle w:val="af"/>
          <w:rFonts w:ascii="Times New Roman" w:hAnsi="Times New Roman"/>
          <w:b/>
          <w:color w:val="000000"/>
          <w:sz w:val="26"/>
          <w:szCs w:val="26"/>
          <w:lang w:eastAsia="en-US"/>
        </w:rPr>
        <w:footnoteReference w:id="9"/>
      </w:r>
    </w:p>
    <w:tbl>
      <w:tblPr>
        <w:tblW w:w="9761" w:type="dxa"/>
        <w:jc w:val="center"/>
        <w:tblLayout w:type="fixed"/>
        <w:tblLook w:val="04A0" w:firstRow="1" w:lastRow="0" w:firstColumn="1" w:lastColumn="0" w:noHBand="0" w:noVBand="1"/>
      </w:tblPr>
      <w:tblGrid>
        <w:gridCol w:w="3323"/>
        <w:gridCol w:w="850"/>
        <w:gridCol w:w="1137"/>
        <w:gridCol w:w="1136"/>
        <w:gridCol w:w="1129"/>
        <w:gridCol w:w="2186"/>
      </w:tblGrid>
      <w:tr w:rsidR="002449C2" w14:paraId="48628B1D" w14:textId="77777777">
        <w:trPr>
          <w:cantSplit/>
          <w:trHeight w:val="507"/>
          <w:jc w:val="center"/>
        </w:trPr>
        <w:tc>
          <w:tcPr>
            <w:tcW w:w="3322" w:type="dxa"/>
            <w:tcBorders>
              <w:top w:val="single" w:sz="4" w:space="0" w:color="000000"/>
              <w:left w:val="single" w:sz="4" w:space="0" w:color="000000"/>
              <w:bottom w:val="single" w:sz="4" w:space="0" w:color="000000"/>
              <w:right w:val="single" w:sz="4" w:space="0" w:color="000000"/>
            </w:tcBorders>
            <w:vAlign w:val="center"/>
          </w:tcPr>
          <w:p w14:paraId="381EDEE3" w14:textId="77777777" w:rsidR="002449C2" w:rsidRDefault="00123961">
            <w:pPr>
              <w:widowControl w:val="0"/>
              <w:shd w:val="clear" w:color="auto" w:fill="FFFFFF"/>
              <w:spacing w:after="5" w:line="252" w:lineRule="auto"/>
              <w:ind w:left="-113" w:right="-114"/>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Показатели</w:t>
            </w:r>
          </w:p>
        </w:tc>
        <w:tc>
          <w:tcPr>
            <w:tcW w:w="850" w:type="dxa"/>
            <w:tcBorders>
              <w:top w:val="single" w:sz="4" w:space="0" w:color="000000"/>
              <w:left w:val="single" w:sz="4" w:space="0" w:color="000000"/>
              <w:bottom w:val="single" w:sz="4" w:space="0" w:color="000000"/>
              <w:right w:val="single" w:sz="4" w:space="0" w:color="000000"/>
            </w:tcBorders>
            <w:vAlign w:val="center"/>
          </w:tcPr>
          <w:p w14:paraId="13597F83" w14:textId="77777777" w:rsidR="002449C2" w:rsidRDefault="00123961">
            <w:pPr>
              <w:widowControl w:val="0"/>
              <w:shd w:val="clear" w:color="auto" w:fill="FFFFFF"/>
              <w:tabs>
                <w:tab w:val="left" w:pos="40"/>
              </w:tabs>
              <w:spacing w:after="5" w:line="252" w:lineRule="auto"/>
              <w:ind w:left="-111" w:right="-112"/>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Ед.изм.</w:t>
            </w:r>
          </w:p>
        </w:tc>
        <w:tc>
          <w:tcPr>
            <w:tcW w:w="5588" w:type="dxa"/>
            <w:gridSpan w:val="4"/>
            <w:tcBorders>
              <w:top w:val="single" w:sz="4" w:space="0" w:color="000000"/>
              <w:left w:val="single" w:sz="4" w:space="0" w:color="000000"/>
              <w:bottom w:val="single" w:sz="4" w:space="0" w:color="000000"/>
              <w:right w:val="single" w:sz="4" w:space="0" w:color="000000"/>
            </w:tcBorders>
            <w:vAlign w:val="center"/>
          </w:tcPr>
          <w:p w14:paraId="6B7D7E48" w14:textId="77777777" w:rsidR="002449C2" w:rsidRDefault="00123961">
            <w:pPr>
              <w:widowControl w:val="0"/>
              <w:shd w:val="clear" w:color="auto" w:fill="FFFFFF"/>
              <w:spacing w:after="5" w:line="252" w:lineRule="auto"/>
              <w:ind w:left="-107" w:right="-143"/>
              <w:jc w:val="center"/>
              <w:rPr>
                <w:rFonts w:ascii="Times New Roman" w:eastAsia="Times New Roman" w:hAnsi="Times New Roman"/>
                <w:bCs/>
                <w:color w:val="000000"/>
                <w:sz w:val="20"/>
                <w:szCs w:val="20"/>
                <w:lang w:eastAsia="ru-RU"/>
              </w:rPr>
            </w:pPr>
            <w:r>
              <w:rPr>
                <w:rFonts w:ascii="Times New Roman" w:eastAsia="Times New Roman" w:hAnsi="Times New Roman"/>
                <w:b/>
                <w:bCs/>
                <w:color w:val="000000"/>
                <w:sz w:val="20"/>
                <w:szCs w:val="20"/>
                <w:lang w:eastAsia="ru-RU"/>
              </w:rPr>
              <w:t>Период</w:t>
            </w:r>
          </w:p>
        </w:tc>
      </w:tr>
      <w:tr w:rsidR="002449C2" w14:paraId="1360C070" w14:textId="77777777">
        <w:trPr>
          <w:cantSplit/>
          <w:trHeight w:val="345"/>
          <w:jc w:val="center"/>
        </w:trPr>
        <w:tc>
          <w:tcPr>
            <w:tcW w:w="3322" w:type="dxa"/>
            <w:tcBorders>
              <w:top w:val="single" w:sz="4" w:space="0" w:color="000000"/>
              <w:left w:val="single" w:sz="4" w:space="0" w:color="000000"/>
              <w:bottom w:val="single" w:sz="4" w:space="0" w:color="000000"/>
              <w:right w:val="single" w:sz="4" w:space="0" w:color="000000"/>
            </w:tcBorders>
          </w:tcPr>
          <w:p w14:paraId="077FB43A" w14:textId="77777777" w:rsidR="002449C2" w:rsidRDefault="002449C2">
            <w:pPr>
              <w:widowControl w:val="0"/>
              <w:shd w:val="clear" w:color="auto" w:fill="FFFFFF"/>
              <w:spacing w:after="5" w:line="252" w:lineRule="auto"/>
              <w:ind w:left="426" w:right="-143" w:hanging="426"/>
              <w:jc w:val="center"/>
              <w:rPr>
                <w:rFonts w:ascii="Times New Roman" w:eastAsia="Times New Roman" w:hAnsi="Times New Roman"/>
                <w:b/>
                <w:bCs/>
                <w:color w:val="000000"/>
                <w:sz w:val="20"/>
                <w:szCs w:val="20"/>
                <w:lang w:eastAsia="ru-RU"/>
              </w:rPr>
            </w:pPr>
          </w:p>
        </w:tc>
        <w:tc>
          <w:tcPr>
            <w:tcW w:w="850" w:type="dxa"/>
            <w:tcBorders>
              <w:top w:val="single" w:sz="4" w:space="0" w:color="000000"/>
              <w:left w:val="single" w:sz="4" w:space="0" w:color="000000"/>
              <w:bottom w:val="single" w:sz="4" w:space="0" w:color="000000"/>
              <w:right w:val="single" w:sz="4" w:space="0" w:color="000000"/>
            </w:tcBorders>
          </w:tcPr>
          <w:p w14:paraId="4931BCA2" w14:textId="77777777" w:rsidR="002449C2" w:rsidRDefault="002449C2">
            <w:pPr>
              <w:widowControl w:val="0"/>
              <w:shd w:val="clear" w:color="auto" w:fill="FFFFFF"/>
              <w:tabs>
                <w:tab w:val="left" w:pos="40"/>
              </w:tabs>
              <w:spacing w:after="5" w:line="252" w:lineRule="auto"/>
              <w:ind w:left="426" w:right="-143" w:hanging="426"/>
              <w:jc w:val="both"/>
              <w:rPr>
                <w:rFonts w:ascii="Times New Roman" w:eastAsia="Times New Roman" w:hAnsi="Times New Roman"/>
                <w:b/>
                <w:bCs/>
                <w:color w:val="000000"/>
                <w:sz w:val="20"/>
                <w:szCs w:val="20"/>
                <w:lang w:eastAsia="ru-RU"/>
              </w:rPr>
            </w:pPr>
          </w:p>
        </w:tc>
        <w:tc>
          <w:tcPr>
            <w:tcW w:w="1137" w:type="dxa"/>
            <w:tcBorders>
              <w:top w:val="single" w:sz="4" w:space="0" w:color="000000"/>
              <w:left w:val="single" w:sz="4" w:space="0" w:color="000000"/>
              <w:bottom w:val="single" w:sz="4" w:space="0" w:color="000000"/>
              <w:right w:val="single" w:sz="4" w:space="0" w:color="000000"/>
            </w:tcBorders>
            <w:vAlign w:val="center"/>
          </w:tcPr>
          <w:p w14:paraId="141E6919" w14:textId="77777777" w:rsidR="002449C2" w:rsidRDefault="00123961">
            <w:pPr>
              <w:widowControl w:val="0"/>
              <w:shd w:val="clear" w:color="auto" w:fill="FFFFFF"/>
              <w:spacing w:after="5" w:line="252" w:lineRule="auto"/>
              <w:ind w:left="-96" w:right="-122"/>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2022 год</w:t>
            </w:r>
          </w:p>
        </w:tc>
        <w:tc>
          <w:tcPr>
            <w:tcW w:w="1136" w:type="dxa"/>
            <w:tcBorders>
              <w:top w:val="single" w:sz="4" w:space="0" w:color="000000"/>
              <w:left w:val="single" w:sz="4" w:space="0" w:color="000000"/>
              <w:bottom w:val="single" w:sz="4" w:space="0" w:color="000000"/>
              <w:right w:val="single" w:sz="4" w:space="0" w:color="000000"/>
            </w:tcBorders>
            <w:vAlign w:val="center"/>
          </w:tcPr>
          <w:p w14:paraId="6DB29A2E" w14:textId="77777777" w:rsidR="002449C2" w:rsidRDefault="00123961">
            <w:pPr>
              <w:widowControl w:val="0"/>
              <w:shd w:val="clear" w:color="auto" w:fill="FFFFFF"/>
              <w:spacing w:after="5" w:line="252" w:lineRule="auto"/>
              <w:ind w:left="-113" w:right="-138"/>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2023 год</w:t>
            </w:r>
          </w:p>
        </w:tc>
        <w:tc>
          <w:tcPr>
            <w:tcW w:w="1129" w:type="dxa"/>
            <w:tcBorders>
              <w:top w:val="single" w:sz="4" w:space="0" w:color="000000"/>
              <w:left w:val="single" w:sz="4" w:space="0" w:color="000000"/>
              <w:bottom w:val="single" w:sz="4" w:space="0" w:color="000000"/>
              <w:right w:val="single" w:sz="4" w:space="0" w:color="000000"/>
            </w:tcBorders>
            <w:vAlign w:val="center"/>
          </w:tcPr>
          <w:p w14:paraId="77D1B617" w14:textId="77777777" w:rsidR="002449C2" w:rsidRDefault="00123961">
            <w:pPr>
              <w:widowControl w:val="0"/>
              <w:shd w:val="clear" w:color="auto" w:fill="FFFFFF"/>
              <w:spacing w:after="5" w:line="252" w:lineRule="auto"/>
              <w:ind w:left="-100" w:right="-143"/>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2024 год</w:t>
            </w:r>
          </w:p>
        </w:tc>
        <w:tc>
          <w:tcPr>
            <w:tcW w:w="2186" w:type="dxa"/>
            <w:tcBorders>
              <w:top w:val="single" w:sz="4" w:space="0" w:color="000000"/>
              <w:left w:val="single" w:sz="4" w:space="0" w:color="000000"/>
              <w:bottom w:val="single" w:sz="4" w:space="0" w:color="000000"/>
              <w:right w:val="single" w:sz="4" w:space="0" w:color="000000"/>
            </w:tcBorders>
          </w:tcPr>
          <w:p w14:paraId="43439966" w14:textId="77777777" w:rsidR="002449C2" w:rsidRDefault="00123961">
            <w:pPr>
              <w:widowControl w:val="0"/>
              <w:shd w:val="clear" w:color="auto" w:fill="FFFFFF"/>
              <w:spacing w:after="5" w:line="252" w:lineRule="auto"/>
              <w:ind w:left="-107" w:right="-143"/>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Абс.отклонение (2024/2023)</w:t>
            </w:r>
          </w:p>
        </w:tc>
      </w:tr>
      <w:tr w:rsidR="002449C2" w14:paraId="4A9E1DAC" w14:textId="77777777">
        <w:trPr>
          <w:cantSplit/>
          <w:trHeight w:val="60"/>
          <w:jc w:val="center"/>
        </w:trPr>
        <w:tc>
          <w:tcPr>
            <w:tcW w:w="3322" w:type="dxa"/>
            <w:tcBorders>
              <w:top w:val="single" w:sz="4" w:space="0" w:color="000000"/>
              <w:left w:val="single" w:sz="4" w:space="0" w:color="000000"/>
              <w:bottom w:val="single" w:sz="4" w:space="0" w:color="000000"/>
              <w:right w:val="single" w:sz="4" w:space="0" w:color="000000"/>
            </w:tcBorders>
            <w:vAlign w:val="bottom"/>
          </w:tcPr>
          <w:p w14:paraId="01C34F20" w14:textId="77777777" w:rsidR="002449C2" w:rsidRDefault="00123961">
            <w:pPr>
              <w:widowControl w:val="0"/>
              <w:shd w:val="clear" w:color="auto" w:fill="FFFFFF"/>
              <w:spacing w:after="0" w:line="240" w:lineRule="auto"/>
              <w:ind w:left="22" w:right="-143"/>
              <w:rPr>
                <w:rFonts w:ascii="Times New Roman" w:hAnsi="Times New Roman"/>
                <w:sz w:val="20"/>
                <w:szCs w:val="20"/>
              </w:rPr>
            </w:pPr>
            <w:r>
              <w:rPr>
                <w:rFonts w:ascii="Times New Roman" w:eastAsia="SimSun" w:hAnsi="Times New Roman"/>
                <w:sz w:val="20"/>
                <w:szCs w:val="20"/>
              </w:rPr>
              <w:t>Чистый долг/ EBITDA</w:t>
            </w:r>
          </w:p>
        </w:tc>
        <w:tc>
          <w:tcPr>
            <w:tcW w:w="850" w:type="dxa"/>
            <w:tcBorders>
              <w:top w:val="single" w:sz="4" w:space="0" w:color="000000"/>
              <w:left w:val="single" w:sz="4" w:space="0" w:color="000000"/>
              <w:bottom w:val="single" w:sz="4" w:space="0" w:color="000000"/>
              <w:right w:val="single" w:sz="4" w:space="0" w:color="000000"/>
            </w:tcBorders>
          </w:tcPr>
          <w:p w14:paraId="3CBF2836" w14:textId="77777777" w:rsidR="002449C2" w:rsidRDefault="002449C2">
            <w:pPr>
              <w:widowControl w:val="0"/>
              <w:shd w:val="clear" w:color="auto" w:fill="FFFFFF"/>
              <w:spacing w:after="5" w:line="252" w:lineRule="auto"/>
              <w:ind w:left="426" w:right="-143" w:hanging="426"/>
              <w:jc w:val="center"/>
              <w:rPr>
                <w:rFonts w:ascii="Times New Roman" w:eastAsia="Times New Roman" w:hAnsi="Times New Roman"/>
                <w:b/>
                <w:bCs/>
                <w:color w:val="000000"/>
                <w:sz w:val="20"/>
                <w:szCs w:val="20"/>
                <w:lang w:eastAsia="ru-RU"/>
              </w:rPr>
            </w:pPr>
          </w:p>
        </w:tc>
        <w:tc>
          <w:tcPr>
            <w:tcW w:w="1137" w:type="dxa"/>
            <w:tcBorders>
              <w:top w:val="single" w:sz="4" w:space="0" w:color="000000"/>
              <w:left w:val="single" w:sz="4" w:space="0" w:color="000000"/>
              <w:bottom w:val="single" w:sz="4" w:space="0" w:color="000000"/>
              <w:right w:val="single" w:sz="4" w:space="0" w:color="000000"/>
            </w:tcBorders>
            <w:vAlign w:val="bottom"/>
          </w:tcPr>
          <w:p w14:paraId="0C767232"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3,56</w:t>
            </w:r>
          </w:p>
        </w:tc>
        <w:tc>
          <w:tcPr>
            <w:tcW w:w="1136" w:type="dxa"/>
            <w:tcBorders>
              <w:top w:val="single" w:sz="4" w:space="0" w:color="000000"/>
              <w:left w:val="single" w:sz="4" w:space="0" w:color="000000"/>
              <w:bottom w:val="single" w:sz="4" w:space="0" w:color="000000"/>
              <w:right w:val="single" w:sz="4" w:space="0" w:color="000000"/>
            </w:tcBorders>
            <w:vAlign w:val="bottom"/>
          </w:tcPr>
          <w:p w14:paraId="370792B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2,25</w:t>
            </w:r>
          </w:p>
        </w:tc>
        <w:tc>
          <w:tcPr>
            <w:tcW w:w="1129" w:type="dxa"/>
            <w:tcBorders>
              <w:top w:val="single" w:sz="4" w:space="0" w:color="000000"/>
              <w:left w:val="single" w:sz="4" w:space="0" w:color="000000"/>
              <w:bottom w:val="single" w:sz="4" w:space="0" w:color="000000"/>
              <w:right w:val="single" w:sz="4" w:space="0" w:color="000000"/>
            </w:tcBorders>
            <w:vAlign w:val="bottom"/>
          </w:tcPr>
          <w:p w14:paraId="3894A3A4"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2,75</w:t>
            </w:r>
          </w:p>
        </w:tc>
        <w:tc>
          <w:tcPr>
            <w:tcW w:w="2186" w:type="dxa"/>
            <w:tcBorders>
              <w:top w:val="single" w:sz="4" w:space="0" w:color="000000"/>
              <w:left w:val="single" w:sz="4" w:space="0" w:color="000000"/>
              <w:bottom w:val="single" w:sz="4" w:space="0" w:color="000000"/>
              <w:right w:val="single" w:sz="4" w:space="0" w:color="000000"/>
            </w:tcBorders>
          </w:tcPr>
          <w:p w14:paraId="39569BA7" w14:textId="77777777" w:rsidR="002449C2" w:rsidRDefault="00123961">
            <w:pPr>
              <w:widowControl w:val="0"/>
              <w:shd w:val="clear" w:color="auto" w:fill="FFFFFF"/>
              <w:tabs>
                <w:tab w:val="left" w:pos="315"/>
                <w:tab w:val="center" w:pos="388"/>
              </w:tabs>
              <w:spacing w:after="5" w:line="252" w:lineRule="auto"/>
              <w:ind w:left="426" w:right="-143" w:hanging="426"/>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0,51</w:t>
            </w:r>
          </w:p>
        </w:tc>
      </w:tr>
      <w:tr w:rsidR="002449C2" w14:paraId="14006D60" w14:textId="77777777">
        <w:trPr>
          <w:cantSplit/>
          <w:jc w:val="center"/>
        </w:trPr>
        <w:tc>
          <w:tcPr>
            <w:tcW w:w="3322" w:type="dxa"/>
            <w:tcBorders>
              <w:top w:val="single" w:sz="4" w:space="0" w:color="000000"/>
              <w:left w:val="single" w:sz="4" w:space="0" w:color="000000"/>
              <w:bottom w:val="single" w:sz="4" w:space="0" w:color="000000"/>
              <w:right w:val="single" w:sz="4" w:space="0" w:color="000000"/>
            </w:tcBorders>
            <w:vAlign w:val="bottom"/>
          </w:tcPr>
          <w:p w14:paraId="2EE53EAE" w14:textId="77777777" w:rsidR="002449C2" w:rsidRDefault="00123961">
            <w:pPr>
              <w:widowControl w:val="0"/>
              <w:shd w:val="clear" w:color="auto" w:fill="FFFFFF"/>
              <w:spacing w:after="0" w:line="240" w:lineRule="auto"/>
              <w:ind w:left="22" w:right="-143"/>
              <w:rPr>
                <w:rFonts w:ascii="Times New Roman" w:hAnsi="Times New Roman"/>
                <w:sz w:val="20"/>
                <w:szCs w:val="20"/>
              </w:rPr>
            </w:pPr>
            <w:r>
              <w:rPr>
                <w:rFonts w:ascii="Times New Roman" w:eastAsia="SimSun" w:hAnsi="Times New Roman"/>
                <w:sz w:val="20"/>
                <w:szCs w:val="20"/>
              </w:rPr>
              <w:t>Коэффициент текущей ликвидности</w:t>
            </w:r>
          </w:p>
        </w:tc>
        <w:tc>
          <w:tcPr>
            <w:tcW w:w="850" w:type="dxa"/>
            <w:tcBorders>
              <w:top w:val="single" w:sz="4" w:space="0" w:color="000000"/>
              <w:left w:val="single" w:sz="4" w:space="0" w:color="000000"/>
              <w:bottom w:val="single" w:sz="4" w:space="0" w:color="000000"/>
              <w:right w:val="single" w:sz="4" w:space="0" w:color="000000"/>
            </w:tcBorders>
          </w:tcPr>
          <w:p w14:paraId="2BA261F8" w14:textId="77777777" w:rsidR="002449C2" w:rsidRDefault="002449C2">
            <w:pPr>
              <w:widowControl w:val="0"/>
              <w:shd w:val="clear" w:color="auto" w:fill="FFFFFF"/>
              <w:spacing w:after="5" w:line="252" w:lineRule="auto"/>
              <w:ind w:left="426" w:right="-143" w:hanging="426"/>
              <w:jc w:val="center"/>
              <w:rPr>
                <w:rFonts w:ascii="Times New Roman" w:eastAsia="Times New Roman" w:hAnsi="Times New Roman"/>
                <w:b/>
                <w:bCs/>
                <w:color w:val="000000"/>
                <w:sz w:val="20"/>
                <w:szCs w:val="20"/>
                <w:lang w:eastAsia="ru-RU"/>
              </w:rPr>
            </w:pPr>
          </w:p>
        </w:tc>
        <w:tc>
          <w:tcPr>
            <w:tcW w:w="1137" w:type="dxa"/>
            <w:tcBorders>
              <w:top w:val="single" w:sz="4" w:space="0" w:color="000000"/>
              <w:left w:val="single" w:sz="4" w:space="0" w:color="000000"/>
              <w:bottom w:val="single" w:sz="4" w:space="0" w:color="000000"/>
              <w:right w:val="single" w:sz="4" w:space="0" w:color="000000"/>
            </w:tcBorders>
          </w:tcPr>
          <w:p w14:paraId="0F9528E2"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0,66</w:t>
            </w:r>
          </w:p>
        </w:tc>
        <w:tc>
          <w:tcPr>
            <w:tcW w:w="1136" w:type="dxa"/>
            <w:tcBorders>
              <w:top w:val="single" w:sz="4" w:space="0" w:color="000000"/>
              <w:left w:val="single" w:sz="4" w:space="0" w:color="000000"/>
              <w:bottom w:val="single" w:sz="4" w:space="0" w:color="000000"/>
              <w:right w:val="single" w:sz="4" w:space="0" w:color="000000"/>
            </w:tcBorders>
          </w:tcPr>
          <w:p w14:paraId="684E2C02"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0,67</w:t>
            </w:r>
          </w:p>
        </w:tc>
        <w:tc>
          <w:tcPr>
            <w:tcW w:w="1129" w:type="dxa"/>
            <w:tcBorders>
              <w:top w:val="single" w:sz="4" w:space="0" w:color="000000"/>
              <w:left w:val="single" w:sz="4" w:space="0" w:color="000000"/>
              <w:bottom w:val="single" w:sz="4" w:space="0" w:color="000000"/>
              <w:right w:val="single" w:sz="4" w:space="0" w:color="000000"/>
            </w:tcBorders>
          </w:tcPr>
          <w:p w14:paraId="19FB34A0"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0,57</w:t>
            </w:r>
          </w:p>
        </w:tc>
        <w:tc>
          <w:tcPr>
            <w:tcW w:w="2186" w:type="dxa"/>
            <w:tcBorders>
              <w:top w:val="single" w:sz="4" w:space="0" w:color="000000"/>
              <w:left w:val="single" w:sz="4" w:space="0" w:color="000000"/>
              <w:bottom w:val="single" w:sz="4" w:space="0" w:color="000000"/>
              <w:right w:val="single" w:sz="4" w:space="0" w:color="000000"/>
            </w:tcBorders>
          </w:tcPr>
          <w:p w14:paraId="551EA72E"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-0,10</w:t>
            </w:r>
          </w:p>
        </w:tc>
      </w:tr>
      <w:tr w:rsidR="002449C2" w14:paraId="6E2ACC0C" w14:textId="77777777">
        <w:trPr>
          <w:cantSplit/>
          <w:jc w:val="center"/>
        </w:trPr>
        <w:tc>
          <w:tcPr>
            <w:tcW w:w="3322" w:type="dxa"/>
            <w:tcBorders>
              <w:top w:val="single" w:sz="4" w:space="0" w:color="000000"/>
              <w:left w:val="single" w:sz="4" w:space="0" w:color="000000"/>
              <w:bottom w:val="single" w:sz="4" w:space="0" w:color="000000"/>
              <w:right w:val="single" w:sz="4" w:space="0" w:color="000000"/>
            </w:tcBorders>
            <w:vAlign w:val="bottom"/>
          </w:tcPr>
          <w:p w14:paraId="6F70B14C" w14:textId="77777777" w:rsidR="002449C2" w:rsidRDefault="00123961">
            <w:pPr>
              <w:widowControl w:val="0"/>
              <w:shd w:val="clear" w:color="auto" w:fill="FFFFFF"/>
              <w:spacing w:after="0" w:line="240" w:lineRule="auto"/>
              <w:ind w:left="22" w:right="-143"/>
              <w:rPr>
                <w:rFonts w:ascii="Times New Roman" w:hAnsi="Times New Roman"/>
                <w:sz w:val="20"/>
                <w:szCs w:val="20"/>
              </w:rPr>
            </w:pPr>
            <w:r>
              <w:rPr>
                <w:rFonts w:ascii="Times New Roman" w:eastAsia="SimSun" w:hAnsi="Times New Roman"/>
                <w:sz w:val="20"/>
                <w:szCs w:val="20"/>
                <w:lang w:eastAsia="en-US"/>
              </w:rPr>
              <w:t>Доля долгосрочных заемных средств</w:t>
            </w:r>
          </w:p>
        </w:tc>
        <w:tc>
          <w:tcPr>
            <w:tcW w:w="850" w:type="dxa"/>
            <w:tcBorders>
              <w:top w:val="single" w:sz="4" w:space="0" w:color="000000"/>
              <w:left w:val="single" w:sz="4" w:space="0" w:color="000000"/>
              <w:bottom w:val="single" w:sz="4" w:space="0" w:color="000000"/>
              <w:right w:val="single" w:sz="4" w:space="0" w:color="000000"/>
            </w:tcBorders>
          </w:tcPr>
          <w:p w14:paraId="514E9E01" w14:textId="77777777" w:rsidR="002449C2" w:rsidRDefault="002449C2">
            <w:pPr>
              <w:widowControl w:val="0"/>
              <w:shd w:val="clear" w:color="auto" w:fill="FFFFFF"/>
              <w:spacing w:after="5" w:line="252" w:lineRule="auto"/>
              <w:ind w:left="426" w:right="-143" w:hanging="426"/>
              <w:jc w:val="center"/>
              <w:rPr>
                <w:rFonts w:ascii="Times New Roman" w:eastAsia="Times New Roman" w:hAnsi="Times New Roman"/>
                <w:b/>
                <w:bCs/>
                <w:color w:val="000000"/>
                <w:sz w:val="20"/>
                <w:szCs w:val="20"/>
                <w:lang w:eastAsia="ru-RU"/>
              </w:rPr>
            </w:pPr>
          </w:p>
        </w:tc>
        <w:tc>
          <w:tcPr>
            <w:tcW w:w="1137" w:type="dxa"/>
            <w:tcBorders>
              <w:top w:val="single" w:sz="4" w:space="0" w:color="000000"/>
              <w:left w:val="single" w:sz="4" w:space="0" w:color="000000"/>
              <w:bottom w:val="single" w:sz="4" w:space="0" w:color="000000"/>
              <w:right w:val="single" w:sz="4" w:space="0" w:color="000000"/>
            </w:tcBorders>
          </w:tcPr>
          <w:p w14:paraId="50106DB2"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0,69</w:t>
            </w:r>
          </w:p>
        </w:tc>
        <w:tc>
          <w:tcPr>
            <w:tcW w:w="1136" w:type="dxa"/>
            <w:tcBorders>
              <w:top w:val="single" w:sz="4" w:space="0" w:color="000000"/>
              <w:left w:val="single" w:sz="4" w:space="0" w:color="000000"/>
              <w:bottom w:val="single" w:sz="4" w:space="0" w:color="000000"/>
              <w:right w:val="single" w:sz="4" w:space="0" w:color="000000"/>
            </w:tcBorders>
          </w:tcPr>
          <w:p w14:paraId="214D1DA2"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0,66</w:t>
            </w:r>
          </w:p>
        </w:tc>
        <w:tc>
          <w:tcPr>
            <w:tcW w:w="1129" w:type="dxa"/>
            <w:tcBorders>
              <w:top w:val="single" w:sz="4" w:space="0" w:color="000000"/>
              <w:left w:val="single" w:sz="4" w:space="0" w:color="000000"/>
              <w:bottom w:val="single" w:sz="4" w:space="0" w:color="000000"/>
              <w:right w:val="single" w:sz="4" w:space="0" w:color="000000"/>
            </w:tcBorders>
          </w:tcPr>
          <w:p w14:paraId="26768CC5"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0,55</w:t>
            </w:r>
          </w:p>
        </w:tc>
        <w:tc>
          <w:tcPr>
            <w:tcW w:w="2186" w:type="dxa"/>
            <w:tcBorders>
              <w:top w:val="single" w:sz="4" w:space="0" w:color="000000"/>
              <w:left w:val="single" w:sz="4" w:space="0" w:color="000000"/>
              <w:bottom w:val="single" w:sz="4" w:space="0" w:color="000000"/>
              <w:right w:val="single" w:sz="4" w:space="0" w:color="000000"/>
            </w:tcBorders>
          </w:tcPr>
          <w:p w14:paraId="2D032EE5"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-0,11</w:t>
            </w:r>
          </w:p>
        </w:tc>
      </w:tr>
      <w:tr w:rsidR="002449C2" w14:paraId="6C7AA5FA" w14:textId="77777777">
        <w:trPr>
          <w:cantSplit/>
          <w:jc w:val="center"/>
        </w:trPr>
        <w:tc>
          <w:tcPr>
            <w:tcW w:w="3322" w:type="dxa"/>
            <w:tcBorders>
              <w:top w:val="single" w:sz="4" w:space="0" w:color="000000"/>
              <w:left w:val="single" w:sz="4" w:space="0" w:color="000000"/>
              <w:bottom w:val="single" w:sz="4" w:space="0" w:color="000000"/>
              <w:right w:val="single" w:sz="4" w:space="0" w:color="000000"/>
            </w:tcBorders>
            <w:vAlign w:val="bottom"/>
          </w:tcPr>
          <w:p w14:paraId="7AE2E5C9" w14:textId="77777777" w:rsidR="002449C2" w:rsidRDefault="00123961">
            <w:pPr>
              <w:widowControl w:val="0"/>
              <w:shd w:val="clear" w:color="auto" w:fill="FFFFFF"/>
              <w:spacing w:after="0" w:line="240" w:lineRule="auto"/>
              <w:ind w:left="22" w:right="-143"/>
              <w:rPr>
                <w:rFonts w:ascii="Times New Roman" w:hAnsi="Times New Roman"/>
                <w:sz w:val="20"/>
                <w:szCs w:val="20"/>
              </w:rPr>
            </w:pPr>
            <w:r>
              <w:rPr>
                <w:rFonts w:ascii="Times New Roman" w:eastAsia="SimSun" w:hAnsi="Times New Roman"/>
                <w:sz w:val="20"/>
                <w:szCs w:val="20"/>
              </w:rPr>
              <w:t>Чистый денежный поток</w:t>
            </w:r>
          </w:p>
        </w:tc>
        <w:tc>
          <w:tcPr>
            <w:tcW w:w="850" w:type="dxa"/>
            <w:tcBorders>
              <w:top w:val="single" w:sz="4" w:space="0" w:color="000000"/>
              <w:left w:val="single" w:sz="4" w:space="0" w:color="000000"/>
              <w:bottom w:val="single" w:sz="4" w:space="0" w:color="000000"/>
              <w:right w:val="single" w:sz="4" w:space="0" w:color="000000"/>
            </w:tcBorders>
          </w:tcPr>
          <w:p w14:paraId="6D9652EB"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млн руб.</w:t>
            </w:r>
          </w:p>
        </w:tc>
        <w:tc>
          <w:tcPr>
            <w:tcW w:w="1137" w:type="dxa"/>
            <w:tcBorders>
              <w:top w:val="single" w:sz="4" w:space="0" w:color="000000"/>
              <w:left w:val="single" w:sz="4" w:space="0" w:color="000000"/>
              <w:bottom w:val="single" w:sz="4" w:space="0" w:color="000000"/>
              <w:right w:val="single" w:sz="4" w:space="0" w:color="000000"/>
            </w:tcBorders>
            <w:vAlign w:val="center"/>
          </w:tcPr>
          <w:p w14:paraId="3AF7E7CC"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1 355,35</w:t>
            </w:r>
          </w:p>
        </w:tc>
        <w:tc>
          <w:tcPr>
            <w:tcW w:w="1136" w:type="dxa"/>
            <w:tcBorders>
              <w:top w:val="single" w:sz="4" w:space="0" w:color="000000"/>
              <w:left w:val="single" w:sz="4" w:space="0" w:color="000000"/>
              <w:bottom w:val="single" w:sz="4" w:space="0" w:color="000000"/>
              <w:right w:val="single" w:sz="4" w:space="0" w:color="000000"/>
            </w:tcBorders>
            <w:vAlign w:val="center"/>
          </w:tcPr>
          <w:p w14:paraId="538462A3"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2 432,75</w:t>
            </w:r>
          </w:p>
        </w:tc>
        <w:tc>
          <w:tcPr>
            <w:tcW w:w="1129" w:type="dxa"/>
            <w:tcBorders>
              <w:top w:val="single" w:sz="4" w:space="0" w:color="000000"/>
              <w:bottom w:val="single" w:sz="4" w:space="0" w:color="000000"/>
              <w:right w:val="single" w:sz="4" w:space="0" w:color="000000"/>
            </w:tcBorders>
            <w:vAlign w:val="center"/>
          </w:tcPr>
          <w:p w14:paraId="18C8E5C7"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-2 936,32</w:t>
            </w:r>
          </w:p>
        </w:tc>
        <w:tc>
          <w:tcPr>
            <w:tcW w:w="2186" w:type="dxa"/>
            <w:tcBorders>
              <w:top w:val="single" w:sz="4" w:space="0" w:color="000000"/>
              <w:left w:val="single" w:sz="4" w:space="0" w:color="000000"/>
              <w:bottom w:val="single" w:sz="4" w:space="0" w:color="000000"/>
              <w:right w:val="single" w:sz="4" w:space="0" w:color="000000"/>
            </w:tcBorders>
          </w:tcPr>
          <w:p w14:paraId="6E23BF9C"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-5 369,07</w:t>
            </w:r>
          </w:p>
        </w:tc>
      </w:tr>
    </w:tbl>
    <w:p w14:paraId="383E4DA6" w14:textId="77777777" w:rsidR="002449C2" w:rsidRDefault="002449C2">
      <w:pPr>
        <w:shd w:val="clear" w:color="auto" w:fill="FFFFFF"/>
        <w:spacing w:after="0" w:line="240" w:lineRule="auto"/>
        <w:ind w:firstLine="567"/>
        <w:jc w:val="both"/>
        <w:rPr>
          <w:rFonts w:ascii="Times New Roman" w:eastAsia="MS Mincho" w:hAnsi="Times New Roman"/>
          <w:sz w:val="26"/>
          <w:szCs w:val="26"/>
          <w:lang w:eastAsia="ru-RU"/>
        </w:rPr>
      </w:pPr>
    </w:p>
    <w:p w14:paraId="4935AD73" w14:textId="77777777" w:rsidR="002449C2" w:rsidRDefault="00123961">
      <w:pPr>
        <w:shd w:val="clear" w:color="auto" w:fill="FFFFFF"/>
        <w:spacing w:after="0" w:line="240" w:lineRule="auto"/>
        <w:ind w:firstLine="567"/>
        <w:jc w:val="both"/>
        <w:rPr>
          <w:rFonts w:ascii="Times New Roman" w:eastAsia="MS Mincho" w:hAnsi="Times New Roman"/>
          <w:sz w:val="26"/>
          <w:szCs w:val="26"/>
          <w:lang w:eastAsia="ru-RU"/>
        </w:rPr>
      </w:pPr>
      <w:r>
        <w:rPr>
          <w:rFonts w:ascii="Times New Roman" w:eastAsia="MS Mincho" w:hAnsi="Times New Roman"/>
          <w:sz w:val="26"/>
          <w:szCs w:val="26"/>
          <w:lang w:eastAsia="ru-RU"/>
        </w:rPr>
        <w:t>Увеличение показателя «Чистый долг/EBITDA» на 0,51 обусловлено ростом чистого долга и снижением показателя EBITDA.</w:t>
      </w:r>
    </w:p>
    <w:p w14:paraId="2B4BEDF2" w14:textId="77777777" w:rsidR="002449C2" w:rsidRDefault="00123961">
      <w:pPr>
        <w:shd w:val="clear" w:color="auto" w:fill="FFFFFF"/>
        <w:spacing w:after="0" w:line="240" w:lineRule="auto"/>
        <w:ind w:firstLine="567"/>
        <w:jc w:val="both"/>
        <w:rPr>
          <w:rFonts w:ascii="Times New Roman" w:eastAsia="MS Mincho" w:hAnsi="Times New Roman"/>
          <w:sz w:val="26"/>
          <w:szCs w:val="26"/>
          <w:lang w:eastAsia="ru-RU"/>
        </w:rPr>
      </w:pPr>
      <w:r>
        <w:rPr>
          <w:rFonts w:ascii="Times New Roman" w:eastAsia="MS Mincho" w:hAnsi="Times New Roman"/>
          <w:sz w:val="26"/>
          <w:szCs w:val="26"/>
          <w:lang w:eastAsia="ru-RU"/>
        </w:rPr>
        <w:t>Снижение показателя «Чистый денежный поток» в 2024 году обусловлено уменьшением операционного денежного потока.</w:t>
      </w:r>
    </w:p>
    <w:p w14:paraId="1AF4163D" w14:textId="77777777" w:rsidR="002449C2" w:rsidRDefault="00123961">
      <w:pPr>
        <w:shd w:val="clear" w:color="auto" w:fill="FFFFFF"/>
        <w:tabs>
          <w:tab w:val="left" w:pos="0"/>
        </w:tabs>
        <w:spacing w:before="120" w:after="120" w:line="259" w:lineRule="auto"/>
        <w:jc w:val="center"/>
        <w:rPr>
          <w:rFonts w:ascii="Times New Roman" w:eastAsia="Times New Roman" w:hAnsi="Times New Roman"/>
          <w:b/>
          <w:color w:val="1F4E79"/>
          <w:sz w:val="26"/>
          <w:szCs w:val="26"/>
          <w:lang w:eastAsia="ru-RU"/>
        </w:rPr>
      </w:pPr>
      <w:r>
        <w:rPr>
          <w:rFonts w:ascii="Times New Roman" w:hAnsi="Times New Roman"/>
          <w:b/>
          <w:color w:val="000000"/>
          <w:sz w:val="26"/>
          <w:szCs w:val="26"/>
          <w:lang w:eastAsia="en-US"/>
        </w:rPr>
        <w:t>Динамика изменения стоимости чистых активов и уставного капитала</w:t>
      </w:r>
    </w:p>
    <w:tbl>
      <w:tblPr>
        <w:tblW w:w="9420" w:type="dxa"/>
        <w:tblLayout w:type="fixed"/>
        <w:tblLook w:val="04A0" w:firstRow="1" w:lastRow="0" w:firstColumn="1" w:lastColumn="0" w:noHBand="0" w:noVBand="1"/>
      </w:tblPr>
      <w:tblGrid>
        <w:gridCol w:w="3963"/>
        <w:gridCol w:w="1917"/>
        <w:gridCol w:w="1839"/>
        <w:gridCol w:w="1701"/>
      </w:tblGrid>
      <w:tr w:rsidR="002449C2" w14:paraId="247EB407" w14:textId="77777777">
        <w:trPr>
          <w:trHeight w:val="620"/>
        </w:trPr>
        <w:tc>
          <w:tcPr>
            <w:tcW w:w="3962" w:type="dxa"/>
            <w:tcBorders>
              <w:top w:val="single" w:sz="4" w:space="0" w:color="000000"/>
              <w:left w:val="single" w:sz="4" w:space="0" w:color="000000"/>
              <w:bottom w:val="single" w:sz="4" w:space="0" w:color="000000"/>
              <w:right w:val="single" w:sz="4" w:space="0" w:color="000000"/>
            </w:tcBorders>
            <w:vAlign w:val="center"/>
          </w:tcPr>
          <w:p w14:paraId="2105D3EA" w14:textId="77777777" w:rsidR="002449C2" w:rsidRDefault="00123961">
            <w:pPr>
              <w:shd w:val="clear" w:color="auto" w:fill="FFFFFF"/>
              <w:spacing w:after="0" w:line="240" w:lineRule="auto"/>
              <w:jc w:val="center"/>
              <w:rPr>
                <w:rFonts w:ascii="Times New Roman" w:hAnsi="Times New Roman"/>
                <w:b/>
              </w:rPr>
            </w:pPr>
            <w:r>
              <w:rPr>
                <w:rFonts w:ascii="Times New Roman" w:eastAsia="Times New Roman" w:hAnsi="Times New Roman"/>
                <w:b/>
                <w:lang w:eastAsia="ru-RU"/>
              </w:rPr>
              <w:t>Наименование показателя</w:t>
            </w:r>
          </w:p>
        </w:tc>
        <w:tc>
          <w:tcPr>
            <w:tcW w:w="1917" w:type="dxa"/>
            <w:tcBorders>
              <w:top w:val="single" w:sz="4" w:space="0" w:color="000000"/>
              <w:left w:val="single" w:sz="4" w:space="0" w:color="000000"/>
              <w:bottom w:val="single" w:sz="4" w:space="0" w:color="000000"/>
              <w:right w:val="single" w:sz="4" w:space="0" w:color="000000"/>
            </w:tcBorders>
            <w:vAlign w:val="center"/>
          </w:tcPr>
          <w:p w14:paraId="779F82DC" w14:textId="77777777" w:rsidR="002449C2" w:rsidRDefault="00123961">
            <w:pPr>
              <w:shd w:val="clear" w:color="auto" w:fill="FFFFFF"/>
              <w:spacing w:after="0" w:line="240" w:lineRule="auto"/>
              <w:jc w:val="center"/>
              <w:rPr>
                <w:rFonts w:ascii="Times New Roman" w:hAnsi="Times New Roman"/>
                <w:b/>
                <w:sz w:val="20"/>
                <w:szCs w:val="20"/>
              </w:rPr>
            </w:pPr>
            <w:r>
              <w:rPr>
                <w:rFonts w:ascii="Times New Roman" w:hAnsi="Times New Roman"/>
                <w:b/>
                <w:sz w:val="20"/>
                <w:szCs w:val="20"/>
              </w:rPr>
              <w:t>31.12.2024</w:t>
            </w:r>
          </w:p>
        </w:tc>
        <w:tc>
          <w:tcPr>
            <w:tcW w:w="1839" w:type="dxa"/>
            <w:tcBorders>
              <w:top w:val="single" w:sz="4" w:space="0" w:color="000000"/>
              <w:left w:val="single" w:sz="4" w:space="0" w:color="000000"/>
              <w:bottom w:val="single" w:sz="4" w:space="0" w:color="000000"/>
              <w:right w:val="single" w:sz="4" w:space="0" w:color="000000"/>
            </w:tcBorders>
            <w:vAlign w:val="center"/>
          </w:tcPr>
          <w:p w14:paraId="3D6C1D5F" w14:textId="77777777" w:rsidR="002449C2" w:rsidRDefault="00123961">
            <w:pPr>
              <w:shd w:val="clear" w:color="auto" w:fill="FFFFFF"/>
              <w:spacing w:after="0" w:line="240" w:lineRule="auto"/>
              <w:jc w:val="center"/>
              <w:rPr>
                <w:rFonts w:ascii="Times New Roman" w:hAnsi="Times New Roman"/>
                <w:b/>
                <w:sz w:val="20"/>
                <w:szCs w:val="20"/>
              </w:rPr>
            </w:pPr>
            <w:r>
              <w:rPr>
                <w:rFonts w:ascii="Times New Roman" w:hAnsi="Times New Roman"/>
                <w:b/>
                <w:sz w:val="20"/>
                <w:szCs w:val="20"/>
              </w:rPr>
              <w:t>31.12.2023</w:t>
            </w:r>
          </w:p>
        </w:tc>
        <w:tc>
          <w:tcPr>
            <w:tcW w:w="1701" w:type="dxa"/>
            <w:tcBorders>
              <w:top w:val="single" w:sz="4" w:space="0" w:color="000000"/>
              <w:left w:val="single" w:sz="4" w:space="0" w:color="000000"/>
              <w:bottom w:val="single" w:sz="4" w:space="0" w:color="000000"/>
              <w:right w:val="single" w:sz="4" w:space="0" w:color="000000"/>
            </w:tcBorders>
            <w:vAlign w:val="center"/>
          </w:tcPr>
          <w:p w14:paraId="77AF8B44" w14:textId="77777777" w:rsidR="002449C2" w:rsidRDefault="00123961">
            <w:pPr>
              <w:shd w:val="clear" w:color="auto" w:fill="FFFFFF"/>
              <w:spacing w:after="0" w:line="240" w:lineRule="auto"/>
              <w:jc w:val="center"/>
              <w:rPr>
                <w:rFonts w:ascii="Times New Roman" w:hAnsi="Times New Roman"/>
                <w:b/>
                <w:sz w:val="20"/>
                <w:szCs w:val="20"/>
              </w:rPr>
            </w:pPr>
            <w:r>
              <w:rPr>
                <w:rFonts w:ascii="Times New Roman" w:hAnsi="Times New Roman"/>
                <w:b/>
                <w:sz w:val="20"/>
                <w:szCs w:val="20"/>
              </w:rPr>
              <w:t>31.12.2022</w:t>
            </w:r>
          </w:p>
        </w:tc>
      </w:tr>
      <w:tr w:rsidR="002449C2" w14:paraId="42C01D53" w14:textId="77777777">
        <w:trPr>
          <w:trHeight w:val="699"/>
        </w:trPr>
        <w:tc>
          <w:tcPr>
            <w:tcW w:w="3962" w:type="dxa"/>
            <w:tcBorders>
              <w:top w:val="single" w:sz="4" w:space="0" w:color="000000"/>
              <w:left w:val="single" w:sz="4" w:space="0" w:color="000000"/>
              <w:bottom w:val="single" w:sz="4" w:space="0" w:color="000000"/>
              <w:right w:val="single" w:sz="4" w:space="0" w:color="000000"/>
            </w:tcBorders>
            <w:vAlign w:val="center"/>
          </w:tcPr>
          <w:p w14:paraId="2BCD41FE" w14:textId="77777777" w:rsidR="002449C2" w:rsidRDefault="00123961">
            <w:pPr>
              <w:shd w:val="clear" w:color="auto" w:fill="FFFFFF"/>
              <w:spacing w:after="0" w:line="240" w:lineRule="auto"/>
              <w:rPr>
                <w:rFonts w:ascii="Times New Roman" w:hAnsi="Times New Roman"/>
              </w:rPr>
            </w:pPr>
            <w:r>
              <w:rPr>
                <w:rFonts w:ascii="Times New Roman" w:hAnsi="Times New Roman"/>
              </w:rPr>
              <w:t>Чистые активы, тыс. руб.</w:t>
            </w:r>
          </w:p>
        </w:tc>
        <w:tc>
          <w:tcPr>
            <w:tcW w:w="1917" w:type="dxa"/>
            <w:tcBorders>
              <w:top w:val="single" w:sz="4" w:space="0" w:color="000000"/>
              <w:left w:val="single" w:sz="4" w:space="0" w:color="000000"/>
              <w:bottom w:val="single" w:sz="4" w:space="0" w:color="000000"/>
              <w:right w:val="single" w:sz="4" w:space="0" w:color="000000"/>
            </w:tcBorders>
            <w:vAlign w:val="center"/>
          </w:tcPr>
          <w:p w14:paraId="7C6971C1" w14:textId="77777777" w:rsidR="002449C2" w:rsidRDefault="00123961">
            <w:pPr>
              <w:shd w:val="clear" w:color="auto" w:fill="FFFFFF"/>
              <w:spacing w:after="0" w:line="240" w:lineRule="auto"/>
              <w:jc w:val="center"/>
              <w:rPr>
                <w:rFonts w:ascii="Times New Roman" w:hAnsi="Times New Roman"/>
                <w:sz w:val="20"/>
                <w:szCs w:val="20"/>
              </w:rPr>
            </w:pPr>
            <w:r>
              <w:rPr>
                <w:rFonts w:ascii="Times New Roman" w:hAnsi="Times New Roman"/>
                <w:sz w:val="20"/>
                <w:szCs w:val="20"/>
              </w:rPr>
              <w:t>12 436 536</w:t>
            </w:r>
          </w:p>
        </w:tc>
        <w:tc>
          <w:tcPr>
            <w:tcW w:w="1839" w:type="dxa"/>
            <w:tcBorders>
              <w:top w:val="single" w:sz="4" w:space="0" w:color="000000"/>
              <w:left w:val="single" w:sz="4" w:space="0" w:color="000000"/>
              <w:bottom w:val="single" w:sz="4" w:space="0" w:color="000000"/>
              <w:right w:val="single" w:sz="4" w:space="0" w:color="000000"/>
            </w:tcBorders>
            <w:vAlign w:val="center"/>
          </w:tcPr>
          <w:p w14:paraId="743DFA10" w14:textId="77777777" w:rsidR="002449C2" w:rsidRDefault="00123961">
            <w:pPr>
              <w:shd w:val="clear" w:color="auto" w:fill="FFFFFF"/>
              <w:spacing w:after="0" w:line="240" w:lineRule="auto"/>
              <w:jc w:val="center"/>
              <w:rPr>
                <w:rFonts w:ascii="Times New Roman" w:hAnsi="Times New Roman"/>
                <w:sz w:val="20"/>
                <w:szCs w:val="20"/>
              </w:rPr>
            </w:pPr>
            <w:r>
              <w:rPr>
                <w:rFonts w:ascii="Times New Roman" w:hAnsi="Times New Roman"/>
                <w:sz w:val="20"/>
                <w:szCs w:val="20"/>
              </w:rPr>
              <w:t>5 236 841</w:t>
            </w:r>
          </w:p>
        </w:tc>
        <w:tc>
          <w:tcPr>
            <w:tcW w:w="1701" w:type="dxa"/>
            <w:tcBorders>
              <w:top w:val="single" w:sz="4" w:space="0" w:color="000000"/>
              <w:left w:val="single" w:sz="4" w:space="0" w:color="000000"/>
              <w:bottom w:val="single" w:sz="4" w:space="0" w:color="000000"/>
              <w:right w:val="single" w:sz="4" w:space="0" w:color="000000"/>
            </w:tcBorders>
            <w:vAlign w:val="center"/>
          </w:tcPr>
          <w:p w14:paraId="08AF28E2" w14:textId="77777777" w:rsidR="002449C2" w:rsidRDefault="00123961">
            <w:pPr>
              <w:shd w:val="clear" w:color="auto" w:fill="FFFFFF"/>
              <w:spacing w:after="0" w:line="240" w:lineRule="auto"/>
              <w:jc w:val="center"/>
              <w:rPr>
                <w:rFonts w:ascii="Times New Roman" w:hAnsi="Times New Roman"/>
                <w:sz w:val="20"/>
                <w:szCs w:val="20"/>
              </w:rPr>
            </w:pPr>
            <w:r>
              <w:rPr>
                <w:rFonts w:ascii="Times New Roman" w:hAnsi="Times New Roman"/>
                <w:sz w:val="20"/>
                <w:szCs w:val="20"/>
              </w:rPr>
              <w:t>2 811 149</w:t>
            </w:r>
          </w:p>
        </w:tc>
      </w:tr>
      <w:tr w:rsidR="002449C2" w14:paraId="568D6457" w14:textId="77777777">
        <w:trPr>
          <w:trHeight w:val="426"/>
        </w:trPr>
        <w:tc>
          <w:tcPr>
            <w:tcW w:w="3962" w:type="dxa"/>
            <w:tcBorders>
              <w:top w:val="single" w:sz="4" w:space="0" w:color="000000"/>
              <w:left w:val="single" w:sz="4" w:space="0" w:color="000000"/>
              <w:bottom w:val="single" w:sz="4" w:space="0" w:color="000000"/>
              <w:right w:val="single" w:sz="4" w:space="0" w:color="000000"/>
            </w:tcBorders>
          </w:tcPr>
          <w:p w14:paraId="5F31CDF8" w14:textId="77777777" w:rsidR="002449C2" w:rsidRDefault="00123961">
            <w:pPr>
              <w:shd w:val="clear" w:color="auto" w:fill="FFFFFF"/>
              <w:spacing w:after="0" w:line="240" w:lineRule="auto"/>
              <w:rPr>
                <w:rFonts w:ascii="Times New Roman" w:hAnsi="Times New Roman"/>
              </w:rPr>
            </w:pPr>
            <w:r>
              <w:rPr>
                <w:rFonts w:ascii="Times New Roman" w:hAnsi="Times New Roman"/>
              </w:rPr>
              <w:t>Уставный капитал, тыс. руб.</w:t>
            </w:r>
          </w:p>
        </w:tc>
        <w:tc>
          <w:tcPr>
            <w:tcW w:w="1917" w:type="dxa"/>
            <w:tcBorders>
              <w:top w:val="single" w:sz="4" w:space="0" w:color="000000"/>
              <w:left w:val="single" w:sz="4" w:space="0" w:color="000000"/>
              <w:bottom w:val="single" w:sz="4" w:space="0" w:color="000000"/>
              <w:right w:val="single" w:sz="4" w:space="0" w:color="000000"/>
            </w:tcBorders>
            <w:vAlign w:val="center"/>
          </w:tcPr>
          <w:p w14:paraId="14B7949D" w14:textId="77777777" w:rsidR="002449C2" w:rsidRDefault="00123961">
            <w:pPr>
              <w:shd w:val="clear" w:color="auto" w:fill="FFFFFF"/>
              <w:spacing w:after="0" w:line="240" w:lineRule="auto"/>
              <w:jc w:val="center"/>
              <w:rPr>
                <w:rFonts w:ascii="Times New Roman" w:hAnsi="Times New Roman"/>
                <w:sz w:val="20"/>
                <w:szCs w:val="20"/>
              </w:rPr>
            </w:pPr>
            <w:r>
              <w:rPr>
                <w:rFonts w:ascii="Times New Roman" w:hAnsi="Times New Roman"/>
                <w:sz w:val="20"/>
                <w:szCs w:val="20"/>
              </w:rPr>
              <w:t>15 164 143</w:t>
            </w:r>
          </w:p>
        </w:tc>
        <w:tc>
          <w:tcPr>
            <w:tcW w:w="1839" w:type="dxa"/>
            <w:tcBorders>
              <w:top w:val="single" w:sz="4" w:space="0" w:color="000000"/>
              <w:left w:val="single" w:sz="4" w:space="0" w:color="000000"/>
              <w:bottom w:val="single" w:sz="4" w:space="0" w:color="000000"/>
              <w:right w:val="single" w:sz="4" w:space="0" w:color="000000"/>
            </w:tcBorders>
            <w:vAlign w:val="center"/>
          </w:tcPr>
          <w:p w14:paraId="61CD05A1" w14:textId="77777777" w:rsidR="002449C2" w:rsidRDefault="00123961">
            <w:pPr>
              <w:shd w:val="clear" w:color="auto" w:fill="FFFFFF"/>
              <w:spacing w:after="0" w:line="240" w:lineRule="auto"/>
              <w:jc w:val="center"/>
              <w:rPr>
                <w:rFonts w:ascii="Times New Roman" w:hAnsi="Times New Roman"/>
                <w:sz w:val="20"/>
                <w:szCs w:val="20"/>
              </w:rPr>
            </w:pPr>
            <w:r>
              <w:rPr>
                <w:rFonts w:ascii="Times New Roman" w:hAnsi="Times New Roman"/>
                <w:sz w:val="20"/>
                <w:szCs w:val="20"/>
              </w:rPr>
              <w:t>15 164 143</w:t>
            </w:r>
          </w:p>
        </w:tc>
        <w:tc>
          <w:tcPr>
            <w:tcW w:w="1701" w:type="dxa"/>
            <w:tcBorders>
              <w:top w:val="single" w:sz="4" w:space="0" w:color="000000"/>
              <w:left w:val="single" w:sz="4" w:space="0" w:color="000000"/>
              <w:bottom w:val="single" w:sz="4" w:space="0" w:color="000000"/>
              <w:right w:val="single" w:sz="4" w:space="0" w:color="000000"/>
            </w:tcBorders>
            <w:vAlign w:val="center"/>
          </w:tcPr>
          <w:p w14:paraId="115DCCFB" w14:textId="77777777" w:rsidR="002449C2" w:rsidRDefault="00123961">
            <w:pPr>
              <w:shd w:val="clear" w:color="auto" w:fill="FFFFFF"/>
              <w:spacing w:after="0" w:line="240" w:lineRule="auto"/>
              <w:jc w:val="center"/>
              <w:rPr>
                <w:rFonts w:ascii="Times New Roman" w:hAnsi="Times New Roman"/>
                <w:sz w:val="20"/>
                <w:szCs w:val="20"/>
              </w:rPr>
            </w:pPr>
            <w:r>
              <w:rPr>
                <w:rFonts w:ascii="Times New Roman" w:hAnsi="Times New Roman"/>
                <w:sz w:val="20"/>
                <w:szCs w:val="20"/>
              </w:rPr>
              <w:t>15 164 143</w:t>
            </w:r>
          </w:p>
        </w:tc>
      </w:tr>
    </w:tbl>
    <w:p w14:paraId="094F4F6D" w14:textId="77777777" w:rsidR="002449C2" w:rsidRDefault="00123961">
      <w:pPr>
        <w:widowControl w:val="0"/>
        <w:shd w:val="clear" w:color="auto" w:fill="FFFFFF"/>
        <w:tabs>
          <w:tab w:val="left" w:pos="142"/>
        </w:tabs>
        <w:spacing w:before="40"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Чистые активы Общества по состоянию на 31.12.2024 оказались ниже величины уставного капитала на 2 728 млн руб. Причиной такого соотношения является:</w:t>
      </w:r>
    </w:p>
    <w:p w14:paraId="42A6B8B4" w14:textId="77777777" w:rsidR="002449C2" w:rsidRDefault="00123961">
      <w:pPr>
        <w:widowControl w:val="0"/>
        <w:shd w:val="clear" w:color="auto" w:fill="FFFFFF"/>
        <w:tabs>
          <w:tab w:val="left" w:pos="142"/>
        </w:tabs>
        <w:spacing w:before="40"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 - проведённая дополнительная эмиссия акций, позволившая увеличить уставной капитал ПАО «Россети Юг» на 6 960,2 млн рублей. путем размещения дополнительных обыкновенных именных бездокументарных акций в количестве </w:t>
      </w:r>
      <w:r>
        <w:rPr>
          <w:rFonts w:ascii="Times New Roman" w:eastAsia="Times New Roman" w:hAnsi="Times New Roman"/>
          <w:sz w:val="26"/>
          <w:szCs w:val="26"/>
          <w:lang w:eastAsia="ru-RU"/>
        </w:rPr>
        <w:br/>
        <w:t xml:space="preserve">69 601 830 929 (Шестьдесят девять миллиардов шестьсот один миллион восемьсот тридцать тысяч девятьсот двадцать девять) штук номинальной стоимостью </w:t>
      </w:r>
      <w:r>
        <w:rPr>
          <w:rFonts w:ascii="Times New Roman" w:eastAsia="Times New Roman" w:hAnsi="Times New Roman"/>
          <w:sz w:val="26"/>
          <w:szCs w:val="26"/>
          <w:lang w:eastAsia="ru-RU"/>
        </w:rPr>
        <w:br/>
        <w:t>10 (Десять) копеек каждая на общую сумму по номинальной стоимости 6 960 183 092 (Шесть миллиардов девятьсот шестьдесят миллионов сто восемьдесят три тысячи девяносто два) рубля 90 копеек;</w:t>
      </w:r>
    </w:p>
    <w:p w14:paraId="11089C66" w14:textId="77777777" w:rsidR="002449C2" w:rsidRDefault="00123961">
      <w:pPr>
        <w:widowControl w:val="0"/>
        <w:shd w:val="clear" w:color="auto" w:fill="FFFFFF"/>
        <w:tabs>
          <w:tab w:val="left" w:pos="142"/>
        </w:tabs>
        <w:spacing w:before="40"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 - признание убытка от обесценения электросетевых активов по состоянию на дату перехода на ФСБУ 6/2020 (корректировка показателей на 31.12.2021).</w:t>
      </w:r>
    </w:p>
    <w:p w14:paraId="1264A1B7"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Учитывая изменение экономической ситуации в стране, законодатель предусмотрел, что согласно п. 1 ст. 17 федерального закона от 08.08.2022 № 46-ФЗ «О внесении изменений в отдельные законодательные акты Российской Федерации» – снижение стоимости чистых активов акционерного общества ниже размера его уставного капитала по окончании 2022-2023 годов не учитывается для целей применения пунктов 4 и 6 статьи 35 Федерального закона от 26.12.1995 №208-ФЗ «Об акционерных обществах».</w:t>
      </w:r>
    </w:p>
    <w:p w14:paraId="399CA6D9" w14:textId="77777777" w:rsidR="002449C2" w:rsidRDefault="00123961">
      <w:pPr>
        <w:shd w:val="clear" w:color="auto" w:fill="FFFFFF"/>
        <w:spacing w:after="0" w:line="240" w:lineRule="auto"/>
        <w:ind w:firstLine="567"/>
        <w:jc w:val="both"/>
        <w:rPr>
          <w:rFonts w:ascii="Times New Roman" w:hAnsi="Times New Roman"/>
          <w:sz w:val="26"/>
          <w:szCs w:val="26"/>
          <w:lang w:eastAsia="ru-RU"/>
        </w:rPr>
      </w:pPr>
      <w:r>
        <w:rPr>
          <w:rFonts w:ascii="Times New Roman" w:hAnsi="Times New Roman"/>
          <w:sz w:val="26"/>
          <w:szCs w:val="26"/>
          <w:lang w:eastAsia="ru-RU"/>
        </w:rPr>
        <w:t>В целях улучшения финансово-экономических показателей деятельности ПАО «Россети Юг», в том числе приведения стоимости чистых активов в соответствие с величиной уставного капитала, менеджментом разработаны и исполняются мероприятия, в том числе по оспариванию в судебном порядке тарифно-балансовых решений по передаче электрической энергии.</w:t>
      </w:r>
    </w:p>
    <w:p w14:paraId="49B9A39B" w14:textId="77777777" w:rsidR="002449C2" w:rsidRDefault="00123961">
      <w:pPr>
        <w:shd w:val="clear" w:color="auto" w:fill="FFFFFF"/>
        <w:spacing w:after="0" w:line="240" w:lineRule="auto"/>
        <w:ind w:firstLine="567"/>
        <w:jc w:val="both"/>
        <w:rPr>
          <w:rFonts w:ascii="Times New Roman" w:hAnsi="Times New Roman"/>
          <w:sz w:val="26"/>
          <w:szCs w:val="26"/>
          <w:lang w:eastAsia="ru-RU"/>
        </w:rPr>
      </w:pPr>
      <w:r>
        <w:rPr>
          <w:rFonts w:ascii="Times New Roman" w:hAnsi="Times New Roman"/>
          <w:sz w:val="26"/>
          <w:szCs w:val="26"/>
          <w:lang w:eastAsia="ru-RU"/>
        </w:rPr>
        <w:t>В рамках оспаривания тарифно-балансовых решений по передаче электрической энергии, принятых на 2024 год, по филиалу ПАО «Россети Юг» - «Калмэнерго» требования Общества удовлетворены в полном объеме.</w:t>
      </w:r>
    </w:p>
    <w:p w14:paraId="71C643CD" w14:textId="77777777" w:rsidR="002449C2" w:rsidRDefault="002449C2">
      <w:pPr>
        <w:spacing w:after="0" w:line="240" w:lineRule="auto"/>
        <w:ind w:firstLine="567"/>
        <w:jc w:val="center"/>
        <w:rPr>
          <w:rFonts w:ascii="Times New Roman" w:hAnsi="Times New Roman"/>
          <w:b/>
          <w:sz w:val="26"/>
          <w:szCs w:val="26"/>
          <w:lang w:eastAsia="en-US"/>
        </w:rPr>
      </w:pPr>
    </w:p>
    <w:p w14:paraId="5E240F26" w14:textId="77777777" w:rsidR="002449C2" w:rsidRDefault="00123961">
      <w:pPr>
        <w:spacing w:after="0" w:line="240" w:lineRule="auto"/>
        <w:ind w:firstLine="567"/>
        <w:jc w:val="center"/>
        <w:rPr>
          <w:rFonts w:ascii="Times New Roman" w:eastAsia="Times New Roman" w:hAnsi="Times New Roman"/>
          <w:b/>
          <w:sz w:val="26"/>
          <w:szCs w:val="26"/>
          <w:lang w:eastAsia="ru-RU"/>
        </w:rPr>
      </w:pPr>
      <w:r>
        <w:rPr>
          <w:rFonts w:ascii="Times New Roman" w:hAnsi="Times New Roman"/>
          <w:b/>
          <w:sz w:val="26"/>
          <w:szCs w:val="26"/>
          <w:lang w:eastAsia="en-US"/>
        </w:rPr>
        <w:t>О структуре имущественного комплекса ПАО «Россети Юг» и его</w:t>
      </w:r>
      <w:r>
        <w:rPr>
          <w:rFonts w:ascii="Times New Roman" w:eastAsia="Times New Roman" w:hAnsi="Times New Roman"/>
          <w:b/>
          <w:sz w:val="26"/>
          <w:szCs w:val="26"/>
          <w:lang w:eastAsia="ru-RU"/>
        </w:rPr>
        <w:t xml:space="preserve"> изменениях за период с 01.01.2024 по 31.12.2024.</w:t>
      </w:r>
    </w:p>
    <w:p w14:paraId="2866126D" w14:textId="77777777" w:rsidR="002449C2" w:rsidRDefault="002449C2">
      <w:pPr>
        <w:spacing w:after="0" w:line="240" w:lineRule="auto"/>
        <w:ind w:firstLine="567"/>
        <w:jc w:val="both"/>
        <w:rPr>
          <w:rFonts w:ascii="Times New Roman" w:hAnsi="Times New Roman"/>
          <w:sz w:val="26"/>
          <w:szCs w:val="26"/>
          <w:lang w:eastAsia="en-US"/>
        </w:rPr>
      </w:pPr>
    </w:p>
    <w:p w14:paraId="6EDDAF78"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hAnsi="Times New Roman"/>
          <w:sz w:val="26"/>
          <w:szCs w:val="26"/>
          <w:lang w:eastAsia="en-US"/>
        </w:rPr>
        <w:t>Информация о структуре имущественного комплекса ПАО «Россети Юг» и его</w:t>
      </w:r>
      <w:r>
        <w:rPr>
          <w:rFonts w:ascii="Times New Roman" w:eastAsia="Times New Roman" w:hAnsi="Times New Roman"/>
          <w:sz w:val="26"/>
          <w:szCs w:val="26"/>
          <w:lang w:eastAsia="ru-RU"/>
        </w:rPr>
        <w:t xml:space="preserve"> изменениях за период с 01.01.2024 по 31.12.2024 приведена в приложении №3 к настоящему Годовому отчету.</w:t>
      </w:r>
    </w:p>
    <w:p w14:paraId="49A1808F" w14:textId="77777777" w:rsidR="002449C2" w:rsidRDefault="002449C2">
      <w:pPr>
        <w:spacing w:after="0" w:line="240" w:lineRule="auto"/>
        <w:contextualSpacing/>
        <w:jc w:val="center"/>
        <w:rPr>
          <w:rFonts w:ascii="Times New Roman" w:hAnsi="Times New Roman"/>
          <w:b/>
          <w:sz w:val="28"/>
          <w:szCs w:val="24"/>
        </w:rPr>
      </w:pPr>
    </w:p>
    <w:p w14:paraId="53CDD26D" w14:textId="77777777" w:rsidR="002449C2" w:rsidRDefault="00123961">
      <w:pPr>
        <w:spacing w:after="0" w:line="240" w:lineRule="auto"/>
        <w:contextualSpacing/>
        <w:jc w:val="center"/>
        <w:rPr>
          <w:rFonts w:ascii="Times New Roman" w:eastAsia="Times New Roman" w:hAnsi="Times New Roman"/>
          <w:b/>
          <w:bCs/>
          <w:sz w:val="28"/>
          <w:szCs w:val="24"/>
          <w:lang w:eastAsia="ru-RU"/>
        </w:rPr>
      </w:pPr>
      <w:r>
        <w:rPr>
          <w:rFonts w:ascii="Times New Roman" w:hAnsi="Times New Roman"/>
          <w:b/>
          <w:sz w:val="28"/>
          <w:szCs w:val="24"/>
        </w:rPr>
        <w:t xml:space="preserve">Информация об </w:t>
      </w:r>
      <w:r>
        <w:rPr>
          <w:rFonts w:ascii="Times New Roman" w:eastAsia="Times New Roman" w:hAnsi="Times New Roman"/>
          <w:b/>
          <w:bCs/>
          <w:sz w:val="28"/>
          <w:szCs w:val="24"/>
          <w:lang w:eastAsia="ru-RU"/>
        </w:rPr>
        <w:t>отчуждении непрофильных активов ПАО «Россети Юг» за 2024 год.</w:t>
      </w:r>
    </w:p>
    <w:p w14:paraId="1A0E8FB1"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Во исполнение Указа Президента Российской Федерации от 07.05.2012 № 596 и распоряжения Правительства Российской Федерации от 10.05.2017 № 894</w:t>
      </w:r>
      <w:r>
        <w:rPr>
          <w:rFonts w:ascii="Times New Roman" w:eastAsia="Times New Roman" w:hAnsi="Times New Roman"/>
          <w:sz w:val="26"/>
          <w:szCs w:val="26"/>
          <w:lang w:eastAsia="ru-RU"/>
        </w:rPr>
        <w:noBreakHyphen/>
        <w:t xml:space="preserve">р решением Совета директоров от 11.12.2023 (протокол от 13.12.2023 № 552/2023) утверждена новая редакция Программы отчуждения непрофильных активов ПАО «Россети Юг». </w:t>
      </w:r>
    </w:p>
    <w:p w14:paraId="3BAB48F3"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Программа определяет основные принципы, механизм выявления и отчуждения непрофильных активов, устанавливает критерии отнесения активов к непрофильным активам, порядок ведения реестра непрофильных активов и отчетности о ходе исполнения реестра непрофильных активов. </w:t>
      </w:r>
    </w:p>
    <w:p w14:paraId="351A6F57"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соответствии с Реестром непрофильных активов ПАО «Россети Юг» по состоянию на 31.12.2023, утвержденным решением Совета директоров Общества от 07.03.2024 (протокол от 07.03.2024 № 564/2024), с учетом изменений, внесенных решениями Совета директоров ПАО «Россети Юг» 14.06.2024 (протокол от 17.06.2024 № 577/2024), 14.08.2024 (протокол от 16.08.2024 № 586/2024), 29.11.2024 (протокол от 29.11.2024 №596/2024) Обществом в 2024 году проводились мероприятия по отчуждению непрофильных активов.</w:t>
      </w:r>
    </w:p>
    <w:p w14:paraId="522E2702"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Решением Совета директоров Общества от 24.02.2025 (протокол от 24.02.2025 № 607/2025) утвержден Реестр непрофильных активов Общества и план мероприятий по отчуждению непрофильных активов Общества по состоянию на 31.12.2024 и план мероприятий по отчуждению непрофильных активов на 2025 год. Информация о текущих процедурах продажи активов и их результатов раскрывается на сайте Общества </w:t>
      </w:r>
      <w:hyperlink r:id="rId85" w:tooltip="https://rosseti-yug.ru/zakupki/informatsiya-o-tekushchikh-protsedurakh-prodazhi/">
        <w:r>
          <w:rPr>
            <w:rFonts w:ascii="Times New Roman" w:eastAsia="Times New Roman" w:hAnsi="Times New Roman"/>
            <w:color w:val="0000FF"/>
            <w:sz w:val="26"/>
            <w:szCs w:val="26"/>
            <w:u w:val="single"/>
            <w:lang w:eastAsia="ru-RU"/>
          </w:rPr>
          <w:t>https://rosseti-yug.ru/zakupki/informatsiya-o-tekushchikh-protsedurakh-prodazhi/</w:t>
        </w:r>
      </w:hyperlink>
      <w:r>
        <w:rPr>
          <w:rFonts w:ascii="Times New Roman" w:eastAsia="Times New Roman" w:hAnsi="Times New Roman"/>
          <w:sz w:val="26"/>
          <w:szCs w:val="26"/>
          <w:lang w:eastAsia="ru-RU"/>
        </w:rPr>
        <w:t>.</w:t>
      </w:r>
    </w:p>
    <w:p w14:paraId="4F9B5FBA"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hAnsi="Times New Roman"/>
          <w:sz w:val="26"/>
          <w:szCs w:val="26"/>
          <w:lang w:eastAsia="en-US"/>
        </w:rPr>
        <w:t xml:space="preserve">Информация об отчуждении непрофильных активов ПАО «Россети Юг» за 2024 год </w:t>
      </w:r>
      <w:r>
        <w:rPr>
          <w:rFonts w:ascii="Times New Roman" w:eastAsia="Times New Roman" w:hAnsi="Times New Roman"/>
          <w:sz w:val="26"/>
          <w:szCs w:val="26"/>
          <w:lang w:eastAsia="ru-RU"/>
        </w:rPr>
        <w:t>приведена в приложении №8 к настоящему Годовому отчету.</w:t>
      </w:r>
    </w:p>
    <w:p w14:paraId="16B440E8" w14:textId="77777777" w:rsidR="002449C2" w:rsidRDefault="00123961" w:rsidP="00E64F3E">
      <w:pPr>
        <w:spacing w:after="0" w:line="240" w:lineRule="auto"/>
        <w:rPr>
          <w:rFonts w:ascii="Times New Roman" w:eastAsia="Times New Roman" w:hAnsi="Times New Roman"/>
          <w:b/>
          <w:bCs/>
          <w:sz w:val="28"/>
          <w:szCs w:val="24"/>
          <w:lang w:eastAsia="ru-RU"/>
        </w:rPr>
      </w:pPr>
      <w:r>
        <w:br w:type="page"/>
      </w:r>
    </w:p>
    <w:p w14:paraId="1C2AD20F"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70" w:name="_Toc195174933"/>
      <w:bookmarkStart w:id="71" w:name="_Toc196143025"/>
      <w:r>
        <w:rPr>
          <w:rFonts w:ascii="Times New Roman" w:eastAsia="Times New Roman" w:hAnsi="Times New Roman"/>
          <w:caps/>
          <w:color w:val="632423"/>
          <w:spacing w:val="15"/>
          <w:sz w:val="24"/>
          <w:szCs w:val="24"/>
          <w:lang w:eastAsia="en-US" w:bidi="en-US"/>
        </w:rPr>
        <w:t>Долговые обязательства</w:t>
      </w:r>
      <w:bookmarkEnd w:id="70"/>
      <w:bookmarkEnd w:id="71"/>
    </w:p>
    <w:p w14:paraId="31C951C2" w14:textId="77777777" w:rsidR="002449C2" w:rsidRDefault="002449C2">
      <w:pPr>
        <w:spacing w:after="0" w:line="240" w:lineRule="auto"/>
        <w:ind w:firstLine="567"/>
        <w:jc w:val="both"/>
        <w:rPr>
          <w:rFonts w:ascii="Arial Narrow" w:hAnsi="Arial Narrow"/>
          <w:b/>
          <w:sz w:val="24"/>
          <w:szCs w:val="24"/>
          <w:lang w:eastAsia="en-US"/>
        </w:rPr>
      </w:pPr>
    </w:p>
    <w:p w14:paraId="13523DD2" w14:textId="77777777" w:rsidR="002449C2" w:rsidRDefault="00123961">
      <w:pPr>
        <w:spacing w:after="0" w:line="240" w:lineRule="auto"/>
        <w:ind w:firstLine="567"/>
        <w:jc w:val="both"/>
        <w:rPr>
          <w:rFonts w:ascii="Arial Narrow" w:hAnsi="Arial Narrow"/>
          <w:b/>
          <w:sz w:val="24"/>
          <w:szCs w:val="24"/>
          <w:highlight w:val="yellow"/>
          <w:lang w:eastAsia="en-US"/>
        </w:rPr>
      </w:pPr>
      <w:r>
        <w:rPr>
          <w:noProof/>
          <w:lang w:eastAsia="ru-RU"/>
        </w:rPr>
        <mc:AlternateContent>
          <mc:Choice Requires="wps">
            <w:drawing>
              <wp:anchor distT="5080" distB="5080" distL="5080" distR="5080" simplePos="0" relativeHeight="99" behindDoc="0" locked="0" layoutInCell="1" allowOverlap="1" wp14:anchorId="68E05266" wp14:editId="00C5F24B">
                <wp:simplePos x="0" y="0"/>
                <wp:positionH relativeFrom="column">
                  <wp:posOffset>0</wp:posOffset>
                </wp:positionH>
                <wp:positionV relativeFrom="paragraph">
                  <wp:posOffset>635</wp:posOffset>
                </wp:positionV>
                <wp:extent cx="635000" cy="635000"/>
                <wp:effectExtent l="5080" t="5080" r="5080" b="5080"/>
                <wp:wrapNone/>
                <wp:docPr id="55" name="AutoShape 17" hidden="1"/>
                <wp:cNvGraphicFramePr/>
                <a:graphic xmlns:a="http://schemas.openxmlformats.org/drawingml/2006/main">
                  <a:graphicData uri="http://schemas.microsoft.com/office/word/2010/wordprocessingShape">
                    <wps:wsp>
                      <wps:cNvSpPr/>
                      <wps:spPr>
                        <a:xfrm>
                          <a:off x="0" y="0"/>
                          <a:ext cx="635040" cy="635040"/>
                        </a:xfrm>
                        <a:prstGeom prst="rect">
                          <a:avLst/>
                        </a:prstGeom>
                        <a:solidFill>
                          <a:srgbClr val="FFFFFF"/>
                        </a:solidFill>
                        <a:ln w="9525">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w:pict>
              <v:rect w14:anchorId="193A0995" id="AutoShape 17" o:spid="_x0000_s1026" style="position:absolute;margin-left:0;margin-top:.05pt;width:50pt;height:50pt;z-index:99;visibility:hidden;mso-wrap-style:square;mso-wrap-distance-left:.4pt;mso-wrap-distance-top:.4pt;mso-wrap-distance-right:.4pt;mso-wrap-distance-bottom:.4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">
                <v:stroke joinstyle="round"/>
              </v:rect>
            </w:pict>
          </mc:Fallback>
        </mc:AlternateContent>
      </w:r>
      <w:r>
        <w:rPr>
          <w:noProof/>
          <w:lang w:eastAsia="ru-RU"/>
        </w:rPr>
        <w:drawing>
          <wp:inline distT="0" distB="0" distL="0" distR="0" wp14:anchorId="44ECD58D" wp14:editId="4CC965CE">
            <wp:extent cx="5326380" cy="2933700"/>
            <wp:effectExtent l="0" t="0" r="0" b="0"/>
            <wp:docPr id="5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
                    <pic:cNvPicPr>
                      <a:picLocks noChangeAspect="1" noChangeArrowheads="1"/>
                    </pic:cNvPicPr>
                  </pic:nvPicPr>
                  <pic:blipFill>
                    <a:blip r:embed="rId86"/>
                    <a:stretch>
                      <a:fillRect/>
                    </a:stretch>
                  </pic:blipFill>
                  <pic:spPr bwMode="auto">
                    <a:xfrm>
                      <a:off x="0" y="0"/>
                      <a:ext cx="5326380" cy="2933700"/>
                    </a:xfrm>
                    <a:prstGeom prst="rect">
                      <a:avLst/>
                    </a:prstGeom>
                    <a:noFill/>
                  </pic:spPr>
                </pic:pic>
              </a:graphicData>
            </a:graphic>
          </wp:inline>
        </w:drawing>
      </w:r>
    </w:p>
    <w:p w14:paraId="551A598F" w14:textId="77777777" w:rsidR="002449C2" w:rsidRDefault="002449C2">
      <w:pPr>
        <w:shd w:val="clear" w:color="auto" w:fill="FFFFFF"/>
        <w:spacing w:after="0" w:line="240" w:lineRule="auto"/>
        <w:ind w:firstLine="567"/>
        <w:jc w:val="both"/>
        <w:rPr>
          <w:rFonts w:ascii="Arial Narrow" w:hAnsi="Arial Narrow"/>
          <w:b/>
          <w:sz w:val="24"/>
          <w:szCs w:val="24"/>
          <w:lang w:eastAsia="en-US"/>
        </w:rPr>
      </w:pPr>
    </w:p>
    <w:tbl>
      <w:tblPr>
        <w:tblW w:w="8699" w:type="dxa"/>
        <w:jc w:val="center"/>
        <w:tblLayout w:type="fixed"/>
        <w:tblLook w:val="04A0" w:firstRow="1" w:lastRow="0" w:firstColumn="1" w:lastColumn="0" w:noHBand="0" w:noVBand="1"/>
      </w:tblPr>
      <w:tblGrid>
        <w:gridCol w:w="4021"/>
        <w:gridCol w:w="1563"/>
        <w:gridCol w:w="1479"/>
        <w:gridCol w:w="1636"/>
      </w:tblGrid>
      <w:tr w:rsidR="002449C2" w14:paraId="660B825C" w14:textId="77777777">
        <w:trPr>
          <w:trHeight w:val="247"/>
          <w:tblHeader/>
          <w:jc w:val="center"/>
        </w:trPr>
        <w:tc>
          <w:tcPr>
            <w:tcW w:w="4020" w:type="dxa"/>
            <w:tcBorders>
              <w:top w:val="single" w:sz="8" w:space="0" w:color="000000"/>
              <w:left w:val="single" w:sz="8" w:space="0" w:color="000000"/>
              <w:bottom w:val="single" w:sz="4" w:space="0" w:color="000000"/>
              <w:right w:val="single" w:sz="8" w:space="0" w:color="000000"/>
            </w:tcBorders>
            <w:shd w:val="clear" w:color="auto" w:fill="FFFFFF"/>
            <w:vAlign w:val="center"/>
          </w:tcPr>
          <w:p w14:paraId="6EEAAC98" w14:textId="77777777" w:rsidR="002449C2" w:rsidRDefault="00123961">
            <w:pPr>
              <w:shd w:val="clear" w:color="auto" w:fill="FFFFFF"/>
              <w:spacing w:after="0" w:line="240" w:lineRule="auto"/>
              <w:jc w:val="both"/>
              <w:rPr>
                <w:rFonts w:ascii="Times New Roman" w:eastAsia="Times New Roman" w:hAnsi="Times New Roman"/>
                <w:lang w:eastAsia="ar-SA"/>
              </w:rPr>
            </w:pPr>
            <w:r>
              <w:rPr>
                <w:rFonts w:ascii="Times New Roman" w:eastAsia="Times New Roman" w:hAnsi="Times New Roman"/>
                <w:lang w:eastAsia="ar-SA"/>
              </w:rPr>
              <w:t>Показатель</w:t>
            </w:r>
          </w:p>
        </w:tc>
        <w:tc>
          <w:tcPr>
            <w:tcW w:w="1563" w:type="dxa"/>
            <w:tcBorders>
              <w:top w:val="single" w:sz="8" w:space="0" w:color="000000"/>
              <w:bottom w:val="single" w:sz="4" w:space="0" w:color="000000"/>
              <w:right w:val="single" w:sz="8" w:space="0" w:color="000000"/>
            </w:tcBorders>
            <w:shd w:val="clear" w:color="auto" w:fill="FFFFFF"/>
            <w:vAlign w:val="center"/>
          </w:tcPr>
          <w:p w14:paraId="3BEC47C4" w14:textId="77777777" w:rsidR="002449C2" w:rsidRDefault="00123961">
            <w:pPr>
              <w:shd w:val="clear" w:color="auto" w:fill="FFFFFF"/>
              <w:spacing w:after="0" w:line="240" w:lineRule="auto"/>
              <w:jc w:val="center"/>
              <w:rPr>
                <w:rFonts w:ascii="Times New Roman" w:eastAsia="Times New Roman" w:hAnsi="Times New Roman"/>
                <w:lang w:eastAsia="ar-SA"/>
              </w:rPr>
            </w:pPr>
            <w:r>
              <w:rPr>
                <w:rFonts w:ascii="Times New Roman" w:eastAsia="Times New Roman" w:hAnsi="Times New Roman"/>
                <w:lang w:eastAsia="ar-SA"/>
              </w:rPr>
              <w:t>на  31.12.2024</w:t>
            </w:r>
          </w:p>
        </w:tc>
        <w:tc>
          <w:tcPr>
            <w:tcW w:w="1479" w:type="dxa"/>
            <w:tcBorders>
              <w:top w:val="single" w:sz="8" w:space="0" w:color="000000"/>
              <w:bottom w:val="single" w:sz="4" w:space="0" w:color="000000"/>
              <w:right w:val="single" w:sz="8" w:space="0" w:color="000000"/>
            </w:tcBorders>
            <w:shd w:val="clear" w:color="auto" w:fill="FFFFFF"/>
          </w:tcPr>
          <w:p w14:paraId="728A107A" w14:textId="77777777" w:rsidR="002449C2" w:rsidRDefault="00123961">
            <w:pPr>
              <w:shd w:val="clear" w:color="auto" w:fill="FFFFFF"/>
              <w:spacing w:after="0" w:line="240" w:lineRule="auto"/>
              <w:jc w:val="center"/>
              <w:rPr>
                <w:rFonts w:ascii="Times New Roman" w:eastAsia="Times New Roman" w:hAnsi="Times New Roman"/>
                <w:lang w:eastAsia="ar-SA"/>
              </w:rPr>
            </w:pPr>
            <w:r>
              <w:rPr>
                <w:rFonts w:ascii="Times New Roman" w:eastAsia="Times New Roman" w:hAnsi="Times New Roman"/>
                <w:lang w:eastAsia="ar-SA"/>
              </w:rPr>
              <w:t>на 31.12.2023</w:t>
            </w:r>
          </w:p>
        </w:tc>
        <w:tc>
          <w:tcPr>
            <w:tcW w:w="1636" w:type="dxa"/>
            <w:tcBorders>
              <w:top w:val="single" w:sz="8" w:space="0" w:color="000000"/>
              <w:bottom w:val="single" w:sz="4" w:space="0" w:color="000000"/>
              <w:right w:val="single" w:sz="8" w:space="0" w:color="000000"/>
            </w:tcBorders>
            <w:shd w:val="clear" w:color="auto" w:fill="FFFFFF"/>
          </w:tcPr>
          <w:p w14:paraId="35A71633" w14:textId="77777777" w:rsidR="002449C2" w:rsidRDefault="00123961">
            <w:pPr>
              <w:shd w:val="clear" w:color="auto" w:fill="FFFFFF"/>
              <w:spacing w:after="0" w:line="240" w:lineRule="auto"/>
              <w:jc w:val="center"/>
              <w:rPr>
                <w:rFonts w:ascii="Times New Roman" w:eastAsia="Times New Roman" w:hAnsi="Times New Roman"/>
                <w:lang w:eastAsia="ar-SA"/>
              </w:rPr>
            </w:pPr>
            <w:r>
              <w:rPr>
                <w:rFonts w:ascii="Times New Roman" w:eastAsia="Times New Roman" w:hAnsi="Times New Roman"/>
                <w:lang w:eastAsia="ar-SA"/>
              </w:rPr>
              <w:t>на 31.12.2022</w:t>
            </w:r>
          </w:p>
        </w:tc>
      </w:tr>
      <w:tr w:rsidR="002449C2" w14:paraId="4B2C088B" w14:textId="77777777">
        <w:trPr>
          <w:trHeight w:val="131"/>
          <w:jc w:val="center"/>
        </w:trPr>
        <w:tc>
          <w:tcPr>
            <w:tcW w:w="4020" w:type="dxa"/>
            <w:tcBorders>
              <w:top w:val="single" w:sz="4" w:space="0" w:color="000000"/>
              <w:left w:val="single" w:sz="8" w:space="0" w:color="000000"/>
              <w:bottom w:val="single" w:sz="8" w:space="0" w:color="000000"/>
              <w:right w:val="single" w:sz="8" w:space="0" w:color="000000"/>
            </w:tcBorders>
            <w:shd w:val="clear" w:color="auto" w:fill="FFFFFF"/>
            <w:vAlign w:val="center"/>
          </w:tcPr>
          <w:p w14:paraId="6294E979" w14:textId="77777777" w:rsidR="002449C2" w:rsidRDefault="00123961">
            <w:pPr>
              <w:shd w:val="clear" w:color="auto" w:fill="FFFFFF"/>
              <w:spacing w:after="0" w:line="240" w:lineRule="auto"/>
              <w:jc w:val="both"/>
              <w:rPr>
                <w:rFonts w:ascii="Times New Roman" w:eastAsia="Times New Roman" w:hAnsi="Times New Roman"/>
                <w:lang w:eastAsia="ar-SA"/>
              </w:rPr>
            </w:pPr>
            <w:r>
              <w:rPr>
                <w:rFonts w:ascii="Times New Roman" w:eastAsia="Times New Roman" w:hAnsi="Times New Roman"/>
                <w:lang w:eastAsia="ar-SA"/>
              </w:rPr>
              <w:t>Дебиторская задолженность, млн руб.</w:t>
            </w:r>
          </w:p>
        </w:tc>
        <w:tc>
          <w:tcPr>
            <w:tcW w:w="1563" w:type="dxa"/>
            <w:tcBorders>
              <w:top w:val="single" w:sz="4" w:space="0" w:color="000000"/>
              <w:bottom w:val="single" w:sz="8" w:space="0" w:color="000000"/>
              <w:right w:val="single" w:sz="8" w:space="0" w:color="000000"/>
            </w:tcBorders>
            <w:shd w:val="clear" w:color="auto" w:fill="FFFFFF"/>
            <w:vAlign w:val="bottom"/>
          </w:tcPr>
          <w:p w14:paraId="05CDAFEF" w14:textId="77777777" w:rsidR="002449C2" w:rsidRDefault="00123961">
            <w:pPr>
              <w:shd w:val="clear" w:color="auto" w:fill="FFFFFF"/>
              <w:spacing w:after="0" w:line="240" w:lineRule="auto"/>
              <w:contextualSpacing/>
              <w:jc w:val="center"/>
              <w:rPr>
                <w:rFonts w:ascii="Times New Roman" w:eastAsia="Times New Roman" w:hAnsi="Times New Roman"/>
                <w:color w:val="000000"/>
                <w:lang w:eastAsia="ru-RU"/>
              </w:rPr>
            </w:pPr>
            <w:r>
              <w:rPr>
                <w:rFonts w:ascii="Times New Roman" w:hAnsi="Times New Roman"/>
                <w:color w:val="000000"/>
              </w:rPr>
              <w:t>6 930</w:t>
            </w:r>
          </w:p>
        </w:tc>
        <w:tc>
          <w:tcPr>
            <w:tcW w:w="1479" w:type="dxa"/>
            <w:tcBorders>
              <w:top w:val="single" w:sz="4" w:space="0" w:color="000000"/>
              <w:bottom w:val="single" w:sz="8" w:space="0" w:color="000000"/>
              <w:right w:val="single" w:sz="8" w:space="0" w:color="000000"/>
            </w:tcBorders>
            <w:shd w:val="clear" w:color="auto" w:fill="FFFFFF"/>
            <w:vAlign w:val="bottom"/>
          </w:tcPr>
          <w:p w14:paraId="3EE329A8"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7 454</w:t>
            </w:r>
          </w:p>
        </w:tc>
        <w:tc>
          <w:tcPr>
            <w:tcW w:w="1636" w:type="dxa"/>
            <w:tcBorders>
              <w:top w:val="single" w:sz="4" w:space="0" w:color="000000"/>
              <w:bottom w:val="single" w:sz="8" w:space="0" w:color="000000"/>
              <w:right w:val="single" w:sz="8" w:space="0" w:color="000000"/>
            </w:tcBorders>
            <w:shd w:val="clear" w:color="auto" w:fill="FFFFFF"/>
            <w:vAlign w:val="bottom"/>
          </w:tcPr>
          <w:p w14:paraId="2BC1F6F6"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8 052</w:t>
            </w:r>
          </w:p>
        </w:tc>
      </w:tr>
      <w:tr w:rsidR="002449C2" w14:paraId="684537C0" w14:textId="77777777">
        <w:trPr>
          <w:trHeight w:val="131"/>
          <w:jc w:val="center"/>
        </w:trPr>
        <w:tc>
          <w:tcPr>
            <w:tcW w:w="4020" w:type="dxa"/>
            <w:tcBorders>
              <w:left w:val="single" w:sz="8" w:space="0" w:color="000000"/>
              <w:bottom w:val="single" w:sz="8" w:space="0" w:color="000000"/>
              <w:right w:val="single" w:sz="8" w:space="0" w:color="000000"/>
            </w:tcBorders>
            <w:shd w:val="clear" w:color="auto" w:fill="FFFFFF"/>
            <w:vAlign w:val="center"/>
          </w:tcPr>
          <w:p w14:paraId="735099C7" w14:textId="77777777" w:rsidR="002449C2" w:rsidRDefault="00123961">
            <w:pPr>
              <w:shd w:val="clear" w:color="auto" w:fill="FFFFFF"/>
              <w:spacing w:after="0" w:line="240" w:lineRule="auto"/>
              <w:jc w:val="both"/>
              <w:rPr>
                <w:rFonts w:ascii="Times New Roman" w:eastAsia="Times New Roman" w:hAnsi="Times New Roman"/>
                <w:lang w:eastAsia="ar-SA"/>
              </w:rPr>
            </w:pPr>
            <w:r>
              <w:rPr>
                <w:rFonts w:ascii="Times New Roman" w:eastAsia="Times New Roman" w:hAnsi="Times New Roman"/>
                <w:lang w:eastAsia="ar-SA"/>
              </w:rPr>
              <w:t>Кредиторская задолженность, млн руб.</w:t>
            </w:r>
          </w:p>
        </w:tc>
        <w:tc>
          <w:tcPr>
            <w:tcW w:w="1563" w:type="dxa"/>
            <w:tcBorders>
              <w:bottom w:val="single" w:sz="8" w:space="0" w:color="000000"/>
              <w:right w:val="single" w:sz="8" w:space="0" w:color="000000"/>
            </w:tcBorders>
            <w:shd w:val="clear" w:color="auto" w:fill="FFFFFF"/>
            <w:vAlign w:val="bottom"/>
          </w:tcPr>
          <w:p w14:paraId="76286CF6"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11 318</w:t>
            </w:r>
          </w:p>
        </w:tc>
        <w:tc>
          <w:tcPr>
            <w:tcW w:w="1479" w:type="dxa"/>
            <w:tcBorders>
              <w:bottom w:val="single" w:sz="8" w:space="0" w:color="000000"/>
              <w:right w:val="single" w:sz="8" w:space="0" w:color="000000"/>
            </w:tcBorders>
            <w:shd w:val="clear" w:color="auto" w:fill="FFFFFF"/>
            <w:vAlign w:val="bottom"/>
          </w:tcPr>
          <w:p w14:paraId="07E91B5F"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10 341</w:t>
            </w:r>
          </w:p>
        </w:tc>
        <w:tc>
          <w:tcPr>
            <w:tcW w:w="1636" w:type="dxa"/>
            <w:tcBorders>
              <w:bottom w:val="single" w:sz="8" w:space="0" w:color="000000"/>
              <w:right w:val="single" w:sz="8" w:space="0" w:color="000000"/>
            </w:tcBorders>
            <w:shd w:val="clear" w:color="auto" w:fill="FFFFFF"/>
            <w:vAlign w:val="bottom"/>
          </w:tcPr>
          <w:p w14:paraId="14CBC4AF"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8 052</w:t>
            </w:r>
          </w:p>
        </w:tc>
      </w:tr>
    </w:tbl>
    <w:p w14:paraId="4278BA35" w14:textId="77777777" w:rsidR="002449C2" w:rsidRDefault="002449C2">
      <w:pPr>
        <w:shd w:val="clear" w:color="auto" w:fill="FFFFFF"/>
        <w:spacing w:after="0" w:line="240" w:lineRule="auto"/>
        <w:ind w:firstLine="567"/>
        <w:jc w:val="both"/>
        <w:rPr>
          <w:rFonts w:ascii="Arial Narrow" w:hAnsi="Arial Narrow"/>
          <w:b/>
          <w:sz w:val="24"/>
          <w:szCs w:val="24"/>
          <w:lang w:eastAsia="en-US"/>
        </w:rPr>
      </w:pPr>
    </w:p>
    <w:p w14:paraId="2C8C6DF4"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 итогам деятельности за 2024 год отмечается снижение дебиторской и рост кредиторской задолженности.</w:t>
      </w:r>
    </w:p>
    <w:p w14:paraId="2262F64B" w14:textId="77777777" w:rsidR="002449C2" w:rsidRDefault="00123961">
      <w:pPr>
        <w:spacing w:before="120" w:after="120" w:line="240" w:lineRule="auto"/>
        <w:ind w:firstLine="567"/>
        <w:jc w:val="both"/>
        <w:rPr>
          <w:rFonts w:ascii="Times New Roman" w:eastAsia="Times New Roman" w:hAnsi="Times New Roman"/>
          <w:b/>
          <w:sz w:val="26"/>
          <w:szCs w:val="26"/>
          <w:highlight w:val="yellow"/>
          <w:lang w:eastAsia="ru-RU"/>
        </w:rPr>
      </w:pPr>
      <w:r>
        <w:rPr>
          <w:rFonts w:ascii="Times New Roman" w:eastAsia="Times New Roman" w:hAnsi="Times New Roman"/>
          <w:b/>
          <w:sz w:val="26"/>
          <w:szCs w:val="26"/>
          <w:lang w:eastAsia="ru-RU"/>
        </w:rPr>
        <w:t>Дебиторская задолженность</w:t>
      </w:r>
    </w:p>
    <w:p w14:paraId="498F6E1E" w14:textId="77777777" w:rsidR="002449C2" w:rsidRDefault="00123961">
      <w:pPr>
        <w:spacing w:after="0" w:line="240" w:lineRule="auto"/>
        <w:jc w:val="center"/>
        <w:rPr>
          <w:rFonts w:ascii="Arial Narrow" w:eastAsia="Times New Roman" w:hAnsi="Arial Narrow"/>
          <w:b/>
          <w:sz w:val="24"/>
          <w:szCs w:val="24"/>
          <w:highlight w:val="yellow"/>
          <w:lang w:eastAsia="ru-RU"/>
        </w:rPr>
      </w:pPr>
      <w:r>
        <w:rPr>
          <w:noProof/>
          <w:lang w:eastAsia="ru-RU"/>
        </w:rPr>
        <mc:AlternateContent>
          <mc:Choice Requires="wps">
            <w:drawing>
              <wp:anchor distT="5080" distB="5080" distL="5080" distR="5080" simplePos="0" relativeHeight="101" behindDoc="0" locked="0" layoutInCell="1" allowOverlap="1" wp14:anchorId="65535E22" wp14:editId="4A4F376F">
                <wp:simplePos x="0" y="0"/>
                <wp:positionH relativeFrom="column">
                  <wp:posOffset>0</wp:posOffset>
                </wp:positionH>
                <wp:positionV relativeFrom="paragraph">
                  <wp:posOffset>635</wp:posOffset>
                </wp:positionV>
                <wp:extent cx="635000" cy="635000"/>
                <wp:effectExtent l="5080" t="5080" r="5080" b="5080"/>
                <wp:wrapNone/>
                <wp:docPr id="57" name="AutoShape 15" hidden="1"/>
                <wp:cNvGraphicFramePr/>
                <a:graphic xmlns:a="http://schemas.openxmlformats.org/drawingml/2006/main">
                  <a:graphicData uri="http://schemas.microsoft.com/office/word/2010/wordprocessingShape">
                    <wps:wsp>
                      <wps:cNvSpPr/>
                      <wps:spPr>
                        <a:xfrm>
                          <a:off x="0" y="0"/>
                          <a:ext cx="635040" cy="635040"/>
                        </a:xfrm>
                        <a:prstGeom prst="rect">
                          <a:avLst/>
                        </a:prstGeom>
                        <a:solidFill>
                          <a:srgbClr val="FFFFFF"/>
                        </a:solidFill>
                        <a:ln w="9525">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w:pict>
              <v:rect w14:anchorId="2376B800" id="AutoShape 15" o:spid="_x0000_s1026" style="position:absolute;margin-left:0;margin-top:.05pt;width:50pt;height:50pt;z-index:101;visibility:hidden;mso-wrap-style:square;mso-wrap-distance-left:.4pt;mso-wrap-distance-top:.4pt;mso-wrap-distance-right:.4pt;mso-wrap-distance-bottom:.4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">
                <v:stroke joinstyle="round"/>
              </v:rect>
            </w:pict>
          </mc:Fallback>
        </mc:AlternateContent>
      </w:r>
      <w:r>
        <w:rPr>
          <w:noProof/>
          <w:lang w:eastAsia="ru-RU"/>
        </w:rPr>
        <w:drawing>
          <wp:inline distT="0" distB="0" distL="0" distR="0" wp14:anchorId="5C0E8B8B" wp14:editId="350C34C1">
            <wp:extent cx="5623560" cy="2933700"/>
            <wp:effectExtent l="0" t="0" r="0" b="0"/>
            <wp:docPr id="5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6"/>
                    <pic:cNvPicPr>
                      <a:picLocks noChangeAspect="1" noChangeArrowheads="1"/>
                    </pic:cNvPicPr>
                  </pic:nvPicPr>
                  <pic:blipFill>
                    <a:blip r:embed="rId87"/>
                    <a:stretch>
                      <a:fillRect/>
                    </a:stretch>
                  </pic:blipFill>
                  <pic:spPr bwMode="auto">
                    <a:xfrm>
                      <a:off x="0" y="0"/>
                      <a:ext cx="5623560" cy="2933700"/>
                    </a:xfrm>
                    <a:prstGeom prst="rect">
                      <a:avLst/>
                    </a:prstGeom>
                    <a:noFill/>
                  </pic:spPr>
                </pic:pic>
              </a:graphicData>
            </a:graphic>
          </wp:inline>
        </w:drawing>
      </w:r>
    </w:p>
    <w:p w14:paraId="1E804AB2" w14:textId="77777777" w:rsidR="002449C2" w:rsidRDefault="002449C2">
      <w:pPr>
        <w:shd w:val="clear" w:color="auto" w:fill="FFFFFF"/>
        <w:spacing w:after="0" w:line="240" w:lineRule="auto"/>
        <w:ind w:firstLine="567"/>
        <w:jc w:val="both"/>
        <w:rPr>
          <w:rFonts w:ascii="Times New Roman" w:hAnsi="Times New Roman"/>
          <w:b/>
          <w:sz w:val="24"/>
          <w:szCs w:val="24"/>
          <w:lang w:eastAsia="en-US"/>
        </w:rPr>
      </w:pPr>
    </w:p>
    <w:p w14:paraId="3ABE4151" w14:textId="77777777" w:rsidR="002449C2" w:rsidRDefault="002449C2">
      <w:pPr>
        <w:shd w:val="clear" w:color="auto" w:fill="FFFFFF"/>
        <w:spacing w:after="0" w:line="240" w:lineRule="auto"/>
        <w:ind w:firstLine="567"/>
        <w:jc w:val="both"/>
        <w:rPr>
          <w:rFonts w:ascii="Times New Roman" w:hAnsi="Times New Roman"/>
          <w:b/>
          <w:sz w:val="24"/>
          <w:szCs w:val="24"/>
          <w:lang w:eastAsia="en-US"/>
        </w:rPr>
      </w:pPr>
    </w:p>
    <w:tbl>
      <w:tblPr>
        <w:tblW w:w="9498" w:type="dxa"/>
        <w:tblInd w:w="109" w:type="dxa"/>
        <w:tblLayout w:type="fixed"/>
        <w:tblLook w:val="04A0" w:firstRow="1" w:lastRow="0" w:firstColumn="1" w:lastColumn="0" w:noHBand="0" w:noVBand="1"/>
      </w:tblPr>
      <w:tblGrid>
        <w:gridCol w:w="5487"/>
        <w:gridCol w:w="1333"/>
        <w:gridCol w:w="1260"/>
        <w:gridCol w:w="1418"/>
      </w:tblGrid>
      <w:tr w:rsidR="002449C2" w14:paraId="360C9D08" w14:textId="77777777">
        <w:trPr>
          <w:trHeight w:val="654"/>
          <w:tblHeader/>
        </w:trPr>
        <w:tc>
          <w:tcPr>
            <w:tcW w:w="5486" w:type="dxa"/>
            <w:tcBorders>
              <w:top w:val="single" w:sz="8" w:space="0" w:color="000000"/>
              <w:left w:val="single" w:sz="8" w:space="0" w:color="000000"/>
              <w:bottom w:val="single" w:sz="4" w:space="0" w:color="000000"/>
              <w:right w:val="single" w:sz="8" w:space="0" w:color="000000"/>
            </w:tcBorders>
            <w:vAlign w:val="center"/>
          </w:tcPr>
          <w:p w14:paraId="2FDC922D" w14:textId="77777777" w:rsidR="002449C2" w:rsidRDefault="00123961">
            <w:pPr>
              <w:shd w:val="clear" w:color="auto" w:fill="FFFFFF"/>
              <w:tabs>
                <w:tab w:val="left" w:pos="9356"/>
              </w:tabs>
              <w:spacing w:after="0" w:line="240" w:lineRule="auto"/>
              <w:ind w:left="-426" w:firstLine="284"/>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Показатель</w:t>
            </w:r>
          </w:p>
        </w:tc>
        <w:tc>
          <w:tcPr>
            <w:tcW w:w="1333" w:type="dxa"/>
            <w:tcBorders>
              <w:top w:val="single" w:sz="8" w:space="0" w:color="000000"/>
              <w:bottom w:val="single" w:sz="4" w:space="0" w:color="000000"/>
              <w:right w:val="single" w:sz="8" w:space="0" w:color="000000"/>
            </w:tcBorders>
            <w:vAlign w:val="center"/>
          </w:tcPr>
          <w:p w14:paraId="3BE08258" w14:textId="77777777" w:rsidR="002449C2" w:rsidRDefault="00123961">
            <w:pPr>
              <w:shd w:val="clear" w:color="auto" w:fill="FFFFFF"/>
              <w:tabs>
                <w:tab w:val="left" w:pos="9356"/>
              </w:tabs>
              <w:spacing w:after="0" w:line="240" w:lineRule="auto"/>
              <w:ind w:left="-426" w:firstLine="284"/>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на</w:t>
            </w:r>
          </w:p>
          <w:p w14:paraId="2EF53413" w14:textId="77777777" w:rsidR="002449C2" w:rsidRDefault="00123961">
            <w:pPr>
              <w:shd w:val="clear" w:color="auto" w:fill="FFFFFF"/>
              <w:tabs>
                <w:tab w:val="left" w:pos="9356"/>
              </w:tabs>
              <w:spacing w:after="0" w:line="240" w:lineRule="auto"/>
              <w:ind w:left="-426" w:firstLine="284"/>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31.12.2024</w:t>
            </w:r>
          </w:p>
        </w:tc>
        <w:tc>
          <w:tcPr>
            <w:tcW w:w="1260" w:type="dxa"/>
            <w:tcBorders>
              <w:top w:val="single" w:sz="8" w:space="0" w:color="000000"/>
              <w:bottom w:val="single" w:sz="4" w:space="0" w:color="000000"/>
              <w:right w:val="single" w:sz="8" w:space="0" w:color="000000"/>
            </w:tcBorders>
            <w:vAlign w:val="center"/>
          </w:tcPr>
          <w:p w14:paraId="0FDB8908" w14:textId="77777777" w:rsidR="002449C2" w:rsidRDefault="00123961">
            <w:pPr>
              <w:shd w:val="clear" w:color="auto" w:fill="FFFFFF"/>
              <w:tabs>
                <w:tab w:val="left" w:pos="9356"/>
              </w:tabs>
              <w:spacing w:after="0" w:line="240" w:lineRule="auto"/>
              <w:ind w:left="-426" w:firstLine="284"/>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на</w:t>
            </w:r>
          </w:p>
          <w:p w14:paraId="7424C05C" w14:textId="77777777" w:rsidR="002449C2" w:rsidRDefault="00123961">
            <w:pPr>
              <w:shd w:val="clear" w:color="auto" w:fill="FFFFFF"/>
              <w:tabs>
                <w:tab w:val="left" w:pos="9356"/>
              </w:tabs>
              <w:spacing w:after="0" w:line="240" w:lineRule="auto"/>
              <w:ind w:left="-426" w:firstLine="284"/>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31.12.2023</w:t>
            </w:r>
          </w:p>
        </w:tc>
        <w:tc>
          <w:tcPr>
            <w:tcW w:w="1418" w:type="dxa"/>
            <w:tcBorders>
              <w:top w:val="single" w:sz="8" w:space="0" w:color="000000"/>
              <w:right w:val="single" w:sz="8" w:space="0" w:color="000000"/>
            </w:tcBorders>
            <w:vAlign w:val="center"/>
          </w:tcPr>
          <w:p w14:paraId="40F47C10" w14:textId="77777777" w:rsidR="002449C2" w:rsidRDefault="00123961">
            <w:pPr>
              <w:shd w:val="clear" w:color="auto" w:fill="FFFFFF"/>
              <w:tabs>
                <w:tab w:val="left" w:pos="9356"/>
              </w:tabs>
              <w:spacing w:after="0" w:line="240" w:lineRule="auto"/>
              <w:ind w:left="-426" w:firstLine="284"/>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на</w:t>
            </w:r>
          </w:p>
          <w:p w14:paraId="7E48485A" w14:textId="77777777" w:rsidR="002449C2" w:rsidRDefault="00123961">
            <w:pPr>
              <w:shd w:val="clear" w:color="auto" w:fill="FFFFFF"/>
              <w:tabs>
                <w:tab w:val="left" w:pos="9356"/>
              </w:tabs>
              <w:spacing w:after="0" w:line="240" w:lineRule="auto"/>
              <w:ind w:left="-426" w:firstLine="284"/>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31.12.2022</w:t>
            </w:r>
          </w:p>
        </w:tc>
      </w:tr>
      <w:tr w:rsidR="002449C2" w14:paraId="05CDC380" w14:textId="77777777">
        <w:trPr>
          <w:trHeight w:val="131"/>
        </w:trPr>
        <w:tc>
          <w:tcPr>
            <w:tcW w:w="5486" w:type="dxa"/>
            <w:tcBorders>
              <w:top w:val="single" w:sz="4" w:space="0" w:color="000000"/>
              <w:left w:val="single" w:sz="8" w:space="0" w:color="000000"/>
              <w:bottom w:val="single" w:sz="8" w:space="0" w:color="000000"/>
              <w:right w:val="single" w:sz="8" w:space="0" w:color="000000"/>
            </w:tcBorders>
          </w:tcPr>
          <w:p w14:paraId="1CF10AF5" w14:textId="77777777" w:rsidR="002449C2" w:rsidRDefault="00123961">
            <w:pPr>
              <w:shd w:val="clear" w:color="auto" w:fill="FFFFFF"/>
              <w:tabs>
                <w:tab w:val="left" w:pos="9356"/>
              </w:tabs>
              <w:spacing w:after="0" w:line="240" w:lineRule="auto"/>
              <w:ind w:left="-426" w:firstLine="284"/>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 xml:space="preserve"> Дебиторская задолженность, в том числе:</w:t>
            </w:r>
          </w:p>
        </w:tc>
        <w:tc>
          <w:tcPr>
            <w:tcW w:w="1333" w:type="dxa"/>
            <w:tcBorders>
              <w:top w:val="single" w:sz="4" w:space="0" w:color="000000"/>
              <w:bottom w:val="single" w:sz="8" w:space="0" w:color="000000"/>
              <w:right w:val="single" w:sz="8" w:space="0" w:color="000000"/>
            </w:tcBorders>
            <w:vAlign w:val="center"/>
          </w:tcPr>
          <w:p w14:paraId="663E24AE" w14:textId="77777777" w:rsidR="002449C2" w:rsidRDefault="00123961">
            <w:pPr>
              <w:shd w:val="clear" w:color="auto" w:fill="FFFFFF"/>
              <w:spacing w:after="0" w:line="240" w:lineRule="auto"/>
              <w:contextualSpacing/>
              <w:jc w:val="center"/>
              <w:rPr>
                <w:rFonts w:ascii="Times New Roman" w:eastAsia="Times New Roman" w:hAnsi="Times New Roman"/>
                <w:b/>
                <w:bCs/>
                <w:color w:val="000000"/>
                <w:sz w:val="24"/>
                <w:szCs w:val="24"/>
                <w:lang w:eastAsia="ru-RU"/>
              </w:rPr>
            </w:pPr>
            <w:r>
              <w:rPr>
                <w:rFonts w:ascii="Times New Roman" w:hAnsi="Times New Roman"/>
                <w:b/>
                <w:bCs/>
                <w:color w:val="000000"/>
              </w:rPr>
              <w:t>6 930</w:t>
            </w:r>
          </w:p>
        </w:tc>
        <w:tc>
          <w:tcPr>
            <w:tcW w:w="1260" w:type="dxa"/>
            <w:tcBorders>
              <w:top w:val="single" w:sz="4" w:space="0" w:color="000000"/>
              <w:bottom w:val="single" w:sz="8" w:space="0" w:color="000000"/>
              <w:right w:val="single" w:sz="8" w:space="0" w:color="000000"/>
            </w:tcBorders>
            <w:vAlign w:val="center"/>
          </w:tcPr>
          <w:p w14:paraId="79121294" w14:textId="77777777" w:rsidR="002449C2" w:rsidRDefault="00123961">
            <w:pPr>
              <w:shd w:val="clear" w:color="auto" w:fill="FFFFFF"/>
              <w:spacing w:after="0" w:line="240" w:lineRule="auto"/>
              <w:contextualSpacing/>
              <w:jc w:val="center"/>
              <w:rPr>
                <w:rFonts w:ascii="Times New Roman" w:eastAsia="Times New Roman" w:hAnsi="Times New Roman"/>
                <w:b/>
                <w:bCs/>
                <w:color w:val="000000"/>
                <w:sz w:val="24"/>
                <w:szCs w:val="24"/>
                <w:lang w:eastAsia="ru-RU"/>
              </w:rPr>
            </w:pPr>
            <w:r>
              <w:rPr>
                <w:rFonts w:ascii="Times New Roman" w:hAnsi="Times New Roman"/>
                <w:b/>
                <w:bCs/>
                <w:color w:val="000000"/>
              </w:rPr>
              <w:t>7 454</w:t>
            </w:r>
          </w:p>
        </w:tc>
        <w:tc>
          <w:tcPr>
            <w:tcW w:w="1418" w:type="dxa"/>
            <w:tcBorders>
              <w:top w:val="single" w:sz="4" w:space="0" w:color="000000"/>
              <w:bottom w:val="single" w:sz="8" w:space="0" w:color="000000"/>
              <w:right w:val="single" w:sz="8" w:space="0" w:color="000000"/>
            </w:tcBorders>
            <w:vAlign w:val="center"/>
          </w:tcPr>
          <w:p w14:paraId="455FC322" w14:textId="77777777" w:rsidR="002449C2" w:rsidRDefault="00123961">
            <w:pPr>
              <w:shd w:val="clear" w:color="auto" w:fill="FFFFFF"/>
              <w:spacing w:after="0" w:line="240" w:lineRule="auto"/>
              <w:contextualSpacing/>
              <w:jc w:val="center"/>
              <w:rPr>
                <w:rFonts w:ascii="Times New Roman" w:hAnsi="Times New Roman"/>
                <w:b/>
                <w:bCs/>
                <w:color w:val="000000"/>
              </w:rPr>
            </w:pPr>
            <w:r>
              <w:rPr>
                <w:rFonts w:ascii="Times New Roman" w:hAnsi="Times New Roman"/>
                <w:b/>
                <w:bCs/>
                <w:color w:val="000000"/>
              </w:rPr>
              <w:t>8 052</w:t>
            </w:r>
          </w:p>
        </w:tc>
      </w:tr>
      <w:tr w:rsidR="002449C2" w14:paraId="0E91567B" w14:textId="77777777">
        <w:trPr>
          <w:trHeight w:val="131"/>
        </w:trPr>
        <w:tc>
          <w:tcPr>
            <w:tcW w:w="5486" w:type="dxa"/>
            <w:tcBorders>
              <w:left w:val="single" w:sz="8" w:space="0" w:color="000000"/>
              <w:bottom w:val="single" w:sz="8" w:space="0" w:color="000000"/>
              <w:right w:val="single" w:sz="8" w:space="0" w:color="000000"/>
            </w:tcBorders>
          </w:tcPr>
          <w:p w14:paraId="41D1B84D" w14:textId="77777777" w:rsidR="002449C2" w:rsidRDefault="00123961">
            <w:pPr>
              <w:shd w:val="clear" w:color="auto" w:fill="FFFFFF"/>
              <w:tabs>
                <w:tab w:val="left" w:pos="9356"/>
              </w:tabs>
              <w:spacing w:after="0" w:line="240" w:lineRule="auto"/>
              <w:ind w:left="-426" w:firstLine="284"/>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Покупатели и заказчики</w:t>
            </w:r>
          </w:p>
        </w:tc>
        <w:tc>
          <w:tcPr>
            <w:tcW w:w="1333" w:type="dxa"/>
            <w:tcBorders>
              <w:bottom w:val="single" w:sz="8" w:space="0" w:color="000000"/>
              <w:right w:val="single" w:sz="8" w:space="0" w:color="000000"/>
            </w:tcBorders>
            <w:vAlign w:val="center"/>
          </w:tcPr>
          <w:p w14:paraId="259841A8"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4 813</w:t>
            </w:r>
          </w:p>
        </w:tc>
        <w:tc>
          <w:tcPr>
            <w:tcW w:w="1260" w:type="dxa"/>
            <w:tcBorders>
              <w:bottom w:val="single" w:sz="8" w:space="0" w:color="000000"/>
              <w:right w:val="single" w:sz="8" w:space="0" w:color="000000"/>
            </w:tcBorders>
            <w:vAlign w:val="center"/>
          </w:tcPr>
          <w:p w14:paraId="5D1BA225"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5 416</w:t>
            </w:r>
          </w:p>
        </w:tc>
        <w:tc>
          <w:tcPr>
            <w:tcW w:w="1418" w:type="dxa"/>
            <w:tcBorders>
              <w:bottom w:val="single" w:sz="8" w:space="0" w:color="000000"/>
              <w:right w:val="single" w:sz="8" w:space="0" w:color="000000"/>
            </w:tcBorders>
            <w:vAlign w:val="center"/>
          </w:tcPr>
          <w:p w14:paraId="082856A9"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6 357</w:t>
            </w:r>
          </w:p>
        </w:tc>
      </w:tr>
      <w:tr w:rsidR="002449C2" w14:paraId="6CE0C656" w14:textId="77777777">
        <w:trPr>
          <w:trHeight w:val="131"/>
        </w:trPr>
        <w:tc>
          <w:tcPr>
            <w:tcW w:w="5486" w:type="dxa"/>
            <w:tcBorders>
              <w:left w:val="single" w:sz="8" w:space="0" w:color="000000"/>
              <w:bottom w:val="single" w:sz="8" w:space="0" w:color="000000"/>
              <w:right w:val="single" w:sz="8" w:space="0" w:color="000000"/>
            </w:tcBorders>
          </w:tcPr>
          <w:p w14:paraId="78AF724A" w14:textId="77777777" w:rsidR="002449C2" w:rsidRDefault="00123961">
            <w:pPr>
              <w:shd w:val="clear" w:color="auto" w:fill="FFFFFF"/>
              <w:tabs>
                <w:tab w:val="left" w:pos="9356"/>
              </w:tabs>
              <w:spacing w:after="0" w:line="240" w:lineRule="auto"/>
              <w:ind w:left="-426" w:firstLine="284"/>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в т.ч. по передаче электроэнергии</w:t>
            </w:r>
          </w:p>
        </w:tc>
        <w:tc>
          <w:tcPr>
            <w:tcW w:w="1333" w:type="dxa"/>
            <w:tcBorders>
              <w:bottom w:val="single" w:sz="8" w:space="0" w:color="000000"/>
              <w:right w:val="single" w:sz="8" w:space="0" w:color="000000"/>
            </w:tcBorders>
            <w:vAlign w:val="center"/>
          </w:tcPr>
          <w:p w14:paraId="7DC07744"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4 612</w:t>
            </w:r>
          </w:p>
        </w:tc>
        <w:tc>
          <w:tcPr>
            <w:tcW w:w="1260" w:type="dxa"/>
            <w:tcBorders>
              <w:bottom w:val="single" w:sz="8" w:space="0" w:color="000000"/>
              <w:right w:val="single" w:sz="8" w:space="0" w:color="000000"/>
            </w:tcBorders>
            <w:vAlign w:val="center"/>
          </w:tcPr>
          <w:p w14:paraId="5BAC6B9B"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5 220</w:t>
            </w:r>
          </w:p>
        </w:tc>
        <w:tc>
          <w:tcPr>
            <w:tcW w:w="1418" w:type="dxa"/>
            <w:tcBorders>
              <w:bottom w:val="single" w:sz="8" w:space="0" w:color="000000"/>
              <w:right w:val="single" w:sz="8" w:space="0" w:color="000000"/>
            </w:tcBorders>
            <w:vAlign w:val="center"/>
          </w:tcPr>
          <w:p w14:paraId="00A8F58D"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5 949</w:t>
            </w:r>
          </w:p>
        </w:tc>
      </w:tr>
      <w:tr w:rsidR="002449C2" w14:paraId="7E71FB11" w14:textId="77777777">
        <w:trPr>
          <w:trHeight w:val="198"/>
        </w:trPr>
        <w:tc>
          <w:tcPr>
            <w:tcW w:w="5486" w:type="dxa"/>
            <w:tcBorders>
              <w:left w:val="single" w:sz="8" w:space="0" w:color="000000"/>
              <w:bottom w:val="single" w:sz="8" w:space="0" w:color="000000"/>
              <w:right w:val="single" w:sz="8" w:space="0" w:color="000000"/>
            </w:tcBorders>
          </w:tcPr>
          <w:p w14:paraId="0625C037" w14:textId="77777777" w:rsidR="002449C2" w:rsidRDefault="00123961">
            <w:pPr>
              <w:shd w:val="clear" w:color="auto" w:fill="FFFFFF"/>
              <w:tabs>
                <w:tab w:val="left" w:pos="9356"/>
              </w:tabs>
              <w:spacing w:after="0" w:line="240" w:lineRule="auto"/>
              <w:ind w:left="-426" w:firstLine="284"/>
              <w:rPr>
                <w:rFonts w:ascii="Times New Roman" w:eastAsia="Times New Roman" w:hAnsi="Times New Roman"/>
                <w:b/>
                <w:sz w:val="24"/>
                <w:szCs w:val="24"/>
                <w:lang w:eastAsia="ru-RU"/>
              </w:rPr>
            </w:pPr>
            <w:r>
              <w:rPr>
                <w:rFonts w:ascii="Times New Roman" w:eastAsia="Times New Roman" w:hAnsi="Times New Roman"/>
                <w:sz w:val="24"/>
                <w:szCs w:val="24"/>
                <w:lang w:eastAsia="ru-RU"/>
              </w:rPr>
              <w:t xml:space="preserve"> Векселя к получению</w:t>
            </w:r>
          </w:p>
        </w:tc>
        <w:tc>
          <w:tcPr>
            <w:tcW w:w="1333" w:type="dxa"/>
            <w:tcBorders>
              <w:bottom w:val="single" w:sz="8" w:space="0" w:color="000000"/>
              <w:right w:val="single" w:sz="8" w:space="0" w:color="000000"/>
            </w:tcBorders>
            <w:vAlign w:val="center"/>
          </w:tcPr>
          <w:p w14:paraId="714BBD71"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0</w:t>
            </w:r>
          </w:p>
        </w:tc>
        <w:tc>
          <w:tcPr>
            <w:tcW w:w="1260" w:type="dxa"/>
            <w:tcBorders>
              <w:bottom w:val="single" w:sz="8" w:space="0" w:color="000000"/>
              <w:right w:val="single" w:sz="8" w:space="0" w:color="000000"/>
            </w:tcBorders>
            <w:vAlign w:val="center"/>
          </w:tcPr>
          <w:p w14:paraId="01AF927D"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0</w:t>
            </w:r>
          </w:p>
        </w:tc>
        <w:tc>
          <w:tcPr>
            <w:tcW w:w="1418" w:type="dxa"/>
            <w:tcBorders>
              <w:bottom w:val="single" w:sz="8" w:space="0" w:color="000000"/>
              <w:right w:val="single" w:sz="8" w:space="0" w:color="000000"/>
            </w:tcBorders>
            <w:vAlign w:val="center"/>
          </w:tcPr>
          <w:p w14:paraId="47937165"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0</w:t>
            </w:r>
          </w:p>
        </w:tc>
      </w:tr>
      <w:tr w:rsidR="002449C2" w14:paraId="7A71C702" w14:textId="77777777">
        <w:trPr>
          <w:trHeight w:val="198"/>
        </w:trPr>
        <w:tc>
          <w:tcPr>
            <w:tcW w:w="5486" w:type="dxa"/>
            <w:tcBorders>
              <w:left w:val="single" w:sz="8" w:space="0" w:color="000000"/>
              <w:bottom w:val="single" w:sz="8" w:space="0" w:color="000000"/>
              <w:right w:val="single" w:sz="8" w:space="0" w:color="000000"/>
            </w:tcBorders>
          </w:tcPr>
          <w:p w14:paraId="75B9C80A" w14:textId="77777777" w:rsidR="002449C2" w:rsidRDefault="00123961">
            <w:pPr>
              <w:shd w:val="clear" w:color="auto" w:fill="FFFFFF"/>
              <w:tabs>
                <w:tab w:val="left" w:pos="9356"/>
              </w:tabs>
              <w:spacing w:after="0" w:line="240" w:lineRule="auto"/>
              <w:ind w:left="-426" w:firstLine="284"/>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Авансы выданные</w:t>
            </w:r>
          </w:p>
        </w:tc>
        <w:tc>
          <w:tcPr>
            <w:tcW w:w="1333" w:type="dxa"/>
            <w:tcBorders>
              <w:bottom w:val="single" w:sz="8" w:space="0" w:color="000000"/>
              <w:right w:val="single" w:sz="8" w:space="0" w:color="000000"/>
            </w:tcBorders>
            <w:vAlign w:val="center"/>
          </w:tcPr>
          <w:p w14:paraId="733C140D"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42</w:t>
            </w:r>
          </w:p>
        </w:tc>
        <w:tc>
          <w:tcPr>
            <w:tcW w:w="1260" w:type="dxa"/>
            <w:tcBorders>
              <w:bottom w:val="single" w:sz="8" w:space="0" w:color="000000"/>
              <w:right w:val="single" w:sz="8" w:space="0" w:color="000000"/>
            </w:tcBorders>
            <w:vAlign w:val="center"/>
          </w:tcPr>
          <w:p w14:paraId="62DA30A1"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43</w:t>
            </w:r>
          </w:p>
        </w:tc>
        <w:tc>
          <w:tcPr>
            <w:tcW w:w="1418" w:type="dxa"/>
            <w:tcBorders>
              <w:bottom w:val="single" w:sz="8" w:space="0" w:color="000000"/>
              <w:right w:val="single" w:sz="8" w:space="0" w:color="000000"/>
            </w:tcBorders>
            <w:vAlign w:val="center"/>
          </w:tcPr>
          <w:p w14:paraId="67887EB5"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27</w:t>
            </w:r>
          </w:p>
        </w:tc>
      </w:tr>
      <w:tr w:rsidR="002449C2" w14:paraId="03CCA590" w14:textId="77777777">
        <w:trPr>
          <w:trHeight w:val="198"/>
        </w:trPr>
        <w:tc>
          <w:tcPr>
            <w:tcW w:w="5486" w:type="dxa"/>
            <w:tcBorders>
              <w:left w:val="single" w:sz="8" w:space="0" w:color="000000"/>
              <w:bottom w:val="single" w:sz="8" w:space="0" w:color="000000"/>
              <w:right w:val="single" w:sz="8" w:space="0" w:color="000000"/>
            </w:tcBorders>
          </w:tcPr>
          <w:p w14:paraId="79EC8F16" w14:textId="77777777" w:rsidR="002449C2" w:rsidRDefault="00123961">
            <w:pPr>
              <w:shd w:val="clear" w:color="auto" w:fill="FFFFFF"/>
              <w:tabs>
                <w:tab w:val="left" w:pos="9356"/>
              </w:tabs>
              <w:spacing w:after="0" w:line="240" w:lineRule="auto"/>
              <w:ind w:left="-426" w:firstLine="284"/>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Прочая дебиторская задолженность</w:t>
            </w:r>
          </w:p>
        </w:tc>
        <w:tc>
          <w:tcPr>
            <w:tcW w:w="1333" w:type="dxa"/>
            <w:tcBorders>
              <w:bottom w:val="single" w:sz="8" w:space="0" w:color="000000"/>
              <w:right w:val="single" w:sz="8" w:space="0" w:color="000000"/>
            </w:tcBorders>
            <w:vAlign w:val="center"/>
          </w:tcPr>
          <w:p w14:paraId="033A2679"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2 075</w:t>
            </w:r>
          </w:p>
        </w:tc>
        <w:tc>
          <w:tcPr>
            <w:tcW w:w="1260" w:type="dxa"/>
            <w:tcBorders>
              <w:bottom w:val="single" w:sz="8" w:space="0" w:color="000000"/>
              <w:right w:val="single" w:sz="8" w:space="0" w:color="000000"/>
            </w:tcBorders>
            <w:vAlign w:val="center"/>
          </w:tcPr>
          <w:p w14:paraId="68E29D96"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1 995</w:t>
            </w:r>
          </w:p>
        </w:tc>
        <w:tc>
          <w:tcPr>
            <w:tcW w:w="1418" w:type="dxa"/>
            <w:tcBorders>
              <w:bottom w:val="single" w:sz="8" w:space="0" w:color="000000"/>
              <w:right w:val="single" w:sz="8" w:space="0" w:color="000000"/>
            </w:tcBorders>
            <w:vAlign w:val="center"/>
          </w:tcPr>
          <w:p w14:paraId="58C47516"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1 668</w:t>
            </w:r>
          </w:p>
        </w:tc>
      </w:tr>
    </w:tbl>
    <w:p w14:paraId="5CF82D3F" w14:textId="77777777" w:rsidR="002449C2" w:rsidRDefault="00123961">
      <w:pPr>
        <w:shd w:val="clear" w:color="auto" w:fill="FFFFFF"/>
        <w:tabs>
          <w:tab w:val="left" w:pos="9356"/>
        </w:tabs>
        <w:spacing w:before="120" w:after="120" w:line="240" w:lineRule="auto"/>
        <w:rPr>
          <w:rFonts w:ascii="Times New Roman" w:hAnsi="Times New Roman"/>
          <w:i/>
          <w:sz w:val="16"/>
          <w:szCs w:val="16"/>
          <w:lang w:eastAsia="en-US"/>
        </w:rPr>
      </w:pPr>
      <w:r>
        <w:rPr>
          <w:rFonts w:ascii="Times New Roman" w:hAnsi="Times New Roman"/>
          <w:i/>
          <w:sz w:val="16"/>
          <w:szCs w:val="16"/>
          <w:lang w:eastAsia="en-US"/>
        </w:rPr>
        <w:t>Показатели указаны в соответствии с бухгалтерской отчетностью Общества за отчетный период.</w:t>
      </w:r>
    </w:p>
    <w:p w14:paraId="37ECC2F9" w14:textId="77777777" w:rsidR="002449C2" w:rsidRDefault="00123961">
      <w:pPr>
        <w:shd w:val="clear" w:color="auto" w:fill="FFFFFF"/>
        <w:tabs>
          <w:tab w:val="left" w:pos="9356"/>
        </w:tabs>
        <w:spacing w:after="0" w:line="240" w:lineRule="auto"/>
        <w:ind w:firstLine="567"/>
        <w:jc w:val="both"/>
        <w:rPr>
          <w:rFonts w:ascii="Times New Roman" w:hAnsi="Times New Roman"/>
          <w:sz w:val="26"/>
          <w:szCs w:val="26"/>
        </w:rPr>
      </w:pPr>
      <w:r>
        <w:rPr>
          <w:rFonts w:ascii="Times New Roman" w:hAnsi="Times New Roman"/>
          <w:sz w:val="26"/>
          <w:szCs w:val="26"/>
        </w:rPr>
        <w:t>Общая сумма дебиторской задолженности ПАО «Россети Юг» на конец отчётного периода составила 6 930 млн рублей, по состоянию на 31.12.2023 – 7 454 млн рублей. Снижение составило 524 млн рублей и сложилось в основном по задолженности покупателей и заказчиков за оказанные услуги по передаче электроэнергии.</w:t>
      </w:r>
    </w:p>
    <w:p w14:paraId="11009251" w14:textId="77777777" w:rsidR="00EC7CB2" w:rsidRDefault="00EC7CB2" w:rsidP="00EC7CB2">
      <w:pPr>
        <w:shd w:val="clear" w:color="auto" w:fill="FFFFFF"/>
        <w:tabs>
          <w:tab w:val="left" w:pos="9356"/>
        </w:tabs>
        <w:spacing w:after="0" w:line="240" w:lineRule="auto"/>
        <w:ind w:firstLine="567"/>
        <w:jc w:val="both"/>
        <w:rPr>
          <w:rFonts w:ascii="Times New Roman" w:hAnsi="Times New Roman"/>
          <w:sz w:val="26"/>
          <w:szCs w:val="26"/>
        </w:rPr>
      </w:pPr>
      <w:r>
        <w:rPr>
          <w:rFonts w:ascii="Times New Roman" w:hAnsi="Times New Roman"/>
          <w:sz w:val="26"/>
          <w:szCs w:val="26"/>
        </w:rPr>
        <w:t>Дебиторская задолженность покупателей и заказчиков составила 4 813 млн рублей, что на 603 млн рублей (11,1%) ниже уровня по состоянию на 31.12.2023 – 5 416 млн рублей. Снижение обусловлено исполнением обязательств по оплате за оказанные услуги по передаче электроэнергии и сокращением задолженности ПАО «ТНС энерго» на 290 млн рублей, АО «ВМЭС» на 272 млн рублей, ООО «Независимая энергосбытовая компания Юга» 69 млн рублей, ООО «Энергосистема» на 61 млн рублей, ПАО «Астраханская энергосбытовая компания» на 31 млн рублей, ГУП «УРСВ» на 27 млн рублей, ООО «МИФПК-Берс» на 27 млн рублей, при росте задолженности ПАО «Волгоградэнергосбыт» на 66 млн рублей, ООО «Новая энергосбытовая компания» на 33 млн рублей, ООО «ЧПЭК» на 22 млн рублей, ООО «ЕЭС-Гарант» на 17 млн рублей.</w:t>
      </w:r>
    </w:p>
    <w:p w14:paraId="5DF9E851" w14:textId="77777777" w:rsidR="002449C2" w:rsidRDefault="00123961">
      <w:pPr>
        <w:shd w:val="clear" w:color="auto" w:fill="FFFFFF"/>
        <w:tabs>
          <w:tab w:val="left" w:pos="9356"/>
        </w:tabs>
        <w:spacing w:after="0" w:line="240" w:lineRule="auto"/>
        <w:ind w:firstLine="567"/>
        <w:jc w:val="both"/>
        <w:rPr>
          <w:rFonts w:ascii="Times New Roman" w:hAnsi="Times New Roman"/>
          <w:sz w:val="26"/>
          <w:szCs w:val="26"/>
        </w:rPr>
      </w:pPr>
      <w:r>
        <w:rPr>
          <w:rFonts w:ascii="Times New Roman" w:hAnsi="Times New Roman"/>
          <w:sz w:val="26"/>
          <w:szCs w:val="26"/>
        </w:rPr>
        <w:t>Основная доля 66,6% дебиторской задолженности Общества сложилась в расчетах за оказанные услуги по передаче электрической энергии.</w:t>
      </w:r>
    </w:p>
    <w:p w14:paraId="575262C9" w14:textId="77777777" w:rsidR="002449C2" w:rsidRDefault="00123961">
      <w:pPr>
        <w:shd w:val="clear" w:color="auto" w:fill="FFFFFF"/>
        <w:tabs>
          <w:tab w:val="left" w:pos="9356"/>
        </w:tabs>
        <w:spacing w:after="0" w:line="240" w:lineRule="auto"/>
        <w:ind w:firstLine="567"/>
        <w:jc w:val="both"/>
        <w:rPr>
          <w:rFonts w:ascii="Times New Roman" w:hAnsi="Times New Roman"/>
          <w:sz w:val="26"/>
          <w:szCs w:val="26"/>
        </w:rPr>
      </w:pPr>
      <w:r>
        <w:rPr>
          <w:rFonts w:ascii="Times New Roman" w:hAnsi="Times New Roman"/>
          <w:sz w:val="26"/>
          <w:szCs w:val="26"/>
        </w:rPr>
        <w:t xml:space="preserve">Общая сумма дебиторской задолженности ПАО «Россети Юг» за оказанные услуги по передаче электрической энергии (до вычета резерва по сомнительным долгам) на 31.12.2024 составляет 5 272 млн рублей, в том числе реструктуризированная – 749,1 млн рублей, просроченная – 771,8 млн рублей. В сравнении с итогом 2023 года дебиторская задолженность на 31.12.2023, снизилась на 1 596,41 млн рублей. Указанное снижение достигнуто, в том числе, по результатам погашения реструктуризированной, текущей задолженности, а также принудительного взыскания долгов и штрафных санкций, побуждающих недобросовестных контрагентов своевременно исполнять принятые на себя денежные обязательства. </w:t>
      </w:r>
    </w:p>
    <w:p w14:paraId="0EA4A06D" w14:textId="77777777" w:rsidR="002449C2" w:rsidRDefault="00123961">
      <w:pPr>
        <w:shd w:val="clear" w:color="auto" w:fill="FFFFFF"/>
        <w:spacing w:after="0" w:line="240" w:lineRule="auto"/>
        <w:ind w:firstLine="567"/>
        <w:jc w:val="both"/>
        <w:rPr>
          <w:rFonts w:ascii="Times New Roman" w:hAnsi="Times New Roman"/>
          <w:b/>
          <w:color w:val="000000"/>
          <w:sz w:val="26"/>
          <w:szCs w:val="26"/>
          <w:lang w:eastAsia="en-US"/>
        </w:rPr>
      </w:pPr>
      <w:r>
        <w:rPr>
          <w:rFonts w:ascii="Times New Roman" w:hAnsi="Times New Roman"/>
          <w:b/>
          <w:color w:val="000000"/>
          <w:sz w:val="26"/>
          <w:szCs w:val="26"/>
          <w:lang w:eastAsia="en-US"/>
        </w:rPr>
        <w:t>Динамика задолженности, млн руб.</w:t>
      </w:r>
    </w:p>
    <w:tbl>
      <w:tblPr>
        <w:tblW w:w="9359" w:type="dxa"/>
        <w:tblInd w:w="-5" w:type="dxa"/>
        <w:tblLayout w:type="fixed"/>
        <w:tblLook w:val="04A0" w:firstRow="1" w:lastRow="0" w:firstColumn="1" w:lastColumn="0" w:noHBand="0" w:noVBand="1"/>
      </w:tblPr>
      <w:tblGrid>
        <w:gridCol w:w="2414"/>
        <w:gridCol w:w="2273"/>
        <w:gridCol w:w="2409"/>
        <w:gridCol w:w="2263"/>
      </w:tblGrid>
      <w:tr w:rsidR="002449C2" w14:paraId="2566C8BF" w14:textId="77777777">
        <w:trPr>
          <w:trHeight w:val="150"/>
        </w:trPr>
        <w:tc>
          <w:tcPr>
            <w:tcW w:w="2413" w:type="dxa"/>
            <w:tcBorders>
              <w:top w:val="single" w:sz="4" w:space="0" w:color="000000"/>
              <w:left w:val="single" w:sz="4" w:space="0" w:color="000000"/>
              <w:bottom w:val="single" w:sz="4" w:space="0" w:color="000000"/>
              <w:right w:val="single" w:sz="4" w:space="0" w:color="000000"/>
            </w:tcBorders>
            <w:vAlign w:val="center"/>
          </w:tcPr>
          <w:p w14:paraId="5CAB1C2F" w14:textId="77777777" w:rsidR="002449C2" w:rsidRDefault="00123961">
            <w:pPr>
              <w:shd w:val="clear" w:color="auto" w:fill="FFFFFF"/>
              <w:spacing w:after="0" w:line="240" w:lineRule="auto"/>
              <w:jc w:val="center"/>
              <w:rPr>
                <w:rFonts w:ascii="Times New Roman" w:eastAsia="Times New Roman" w:hAnsi="Times New Roman"/>
                <w:sz w:val="24"/>
                <w:szCs w:val="20"/>
                <w:highlight w:val="white"/>
                <w:lang w:eastAsia="ru-RU"/>
              </w:rPr>
            </w:pPr>
            <w:r>
              <w:rPr>
                <w:rFonts w:ascii="Times New Roman" w:eastAsia="Times New Roman" w:hAnsi="Times New Roman"/>
                <w:sz w:val="24"/>
                <w:szCs w:val="20"/>
                <w:highlight w:val="white"/>
                <w:lang w:eastAsia="ru-RU"/>
              </w:rPr>
              <w:t>Показатели</w:t>
            </w:r>
          </w:p>
        </w:tc>
        <w:tc>
          <w:tcPr>
            <w:tcW w:w="2273" w:type="dxa"/>
            <w:tcBorders>
              <w:top w:val="single" w:sz="4" w:space="0" w:color="000000"/>
              <w:left w:val="single" w:sz="4" w:space="0" w:color="000000"/>
              <w:bottom w:val="single" w:sz="4" w:space="0" w:color="000000"/>
              <w:right w:val="single" w:sz="4" w:space="0" w:color="000000"/>
            </w:tcBorders>
            <w:vAlign w:val="center"/>
          </w:tcPr>
          <w:p w14:paraId="2B6525D2" w14:textId="77777777" w:rsidR="002449C2" w:rsidRDefault="00123961">
            <w:pPr>
              <w:shd w:val="clear" w:color="auto" w:fill="FFFFFF"/>
              <w:spacing w:after="0" w:line="240" w:lineRule="auto"/>
              <w:jc w:val="center"/>
              <w:rPr>
                <w:rFonts w:ascii="Times New Roman" w:eastAsia="Times New Roman" w:hAnsi="Times New Roman"/>
                <w:sz w:val="24"/>
                <w:szCs w:val="20"/>
                <w:highlight w:val="white"/>
                <w:lang w:eastAsia="ru-RU"/>
              </w:rPr>
            </w:pPr>
            <w:r>
              <w:rPr>
                <w:rFonts w:ascii="Times New Roman" w:eastAsia="Times New Roman" w:hAnsi="Times New Roman"/>
                <w:sz w:val="24"/>
                <w:szCs w:val="20"/>
                <w:highlight w:val="white"/>
                <w:lang w:eastAsia="ru-RU"/>
              </w:rPr>
              <w:t>31.12.2022</w:t>
            </w:r>
          </w:p>
        </w:tc>
        <w:tc>
          <w:tcPr>
            <w:tcW w:w="2409" w:type="dxa"/>
            <w:tcBorders>
              <w:top w:val="single" w:sz="4" w:space="0" w:color="000000"/>
              <w:left w:val="single" w:sz="4" w:space="0" w:color="000000"/>
              <w:bottom w:val="single" w:sz="4" w:space="0" w:color="000000"/>
              <w:right w:val="single" w:sz="4" w:space="0" w:color="000000"/>
            </w:tcBorders>
            <w:vAlign w:val="center"/>
          </w:tcPr>
          <w:p w14:paraId="6268AE99" w14:textId="77777777" w:rsidR="002449C2" w:rsidRDefault="00123961">
            <w:pPr>
              <w:shd w:val="clear" w:color="auto" w:fill="FFFFFF"/>
              <w:spacing w:after="0" w:line="240" w:lineRule="auto"/>
              <w:ind w:left="2" w:hanging="7"/>
              <w:jc w:val="center"/>
              <w:rPr>
                <w:rFonts w:ascii="Times New Roman" w:eastAsia="Times New Roman" w:hAnsi="Times New Roman"/>
                <w:sz w:val="24"/>
                <w:szCs w:val="20"/>
                <w:highlight w:val="white"/>
                <w:lang w:eastAsia="ru-RU"/>
              </w:rPr>
            </w:pPr>
            <w:r>
              <w:rPr>
                <w:rFonts w:ascii="Times New Roman" w:eastAsia="Times New Roman" w:hAnsi="Times New Roman"/>
                <w:sz w:val="24"/>
                <w:szCs w:val="20"/>
                <w:highlight w:val="white"/>
                <w:lang w:eastAsia="ru-RU"/>
              </w:rPr>
              <w:t>31.12.2023</w:t>
            </w:r>
          </w:p>
        </w:tc>
        <w:tc>
          <w:tcPr>
            <w:tcW w:w="2263" w:type="dxa"/>
            <w:tcBorders>
              <w:top w:val="single" w:sz="4" w:space="0" w:color="000000"/>
              <w:left w:val="single" w:sz="4" w:space="0" w:color="000000"/>
              <w:bottom w:val="single" w:sz="4" w:space="0" w:color="000000"/>
              <w:right w:val="single" w:sz="4" w:space="0" w:color="000000"/>
            </w:tcBorders>
            <w:vAlign w:val="center"/>
          </w:tcPr>
          <w:p w14:paraId="64FEFE18" w14:textId="77777777" w:rsidR="002449C2" w:rsidRDefault="00123961">
            <w:pPr>
              <w:shd w:val="clear" w:color="auto" w:fill="FFFFFF"/>
              <w:spacing w:after="0" w:line="240" w:lineRule="auto"/>
              <w:jc w:val="center"/>
              <w:rPr>
                <w:rFonts w:ascii="Times New Roman" w:eastAsia="Times New Roman" w:hAnsi="Times New Roman"/>
                <w:sz w:val="24"/>
                <w:szCs w:val="20"/>
                <w:highlight w:val="white"/>
                <w:lang w:eastAsia="ru-RU"/>
              </w:rPr>
            </w:pPr>
            <w:r>
              <w:rPr>
                <w:rFonts w:ascii="Times New Roman" w:eastAsia="Times New Roman" w:hAnsi="Times New Roman"/>
                <w:sz w:val="24"/>
                <w:szCs w:val="20"/>
                <w:highlight w:val="white"/>
                <w:lang w:eastAsia="ru-RU"/>
              </w:rPr>
              <w:t>31.12.2024</w:t>
            </w:r>
          </w:p>
        </w:tc>
      </w:tr>
      <w:tr w:rsidR="002449C2" w14:paraId="70DCA5AB" w14:textId="77777777">
        <w:trPr>
          <w:trHeight w:val="417"/>
        </w:trPr>
        <w:tc>
          <w:tcPr>
            <w:tcW w:w="2413" w:type="dxa"/>
            <w:tcBorders>
              <w:top w:val="single" w:sz="4" w:space="0" w:color="000000"/>
              <w:left w:val="single" w:sz="4" w:space="0" w:color="000000"/>
              <w:bottom w:val="single" w:sz="4" w:space="0" w:color="000000"/>
              <w:right w:val="single" w:sz="4" w:space="0" w:color="000000"/>
            </w:tcBorders>
            <w:vAlign w:val="center"/>
          </w:tcPr>
          <w:p w14:paraId="732FFBAF" w14:textId="77777777" w:rsidR="002449C2" w:rsidRDefault="00123961">
            <w:pPr>
              <w:shd w:val="clear" w:color="auto" w:fill="FFFFFF"/>
              <w:spacing w:after="0" w:line="240" w:lineRule="auto"/>
              <w:jc w:val="center"/>
              <w:rPr>
                <w:rFonts w:ascii="Times New Roman" w:eastAsia="Times New Roman" w:hAnsi="Times New Roman"/>
                <w:sz w:val="24"/>
                <w:szCs w:val="20"/>
                <w:highlight w:val="white"/>
                <w:lang w:eastAsia="ru-RU"/>
              </w:rPr>
            </w:pPr>
            <w:r>
              <w:rPr>
                <w:rFonts w:ascii="Times New Roman" w:eastAsia="Times New Roman" w:hAnsi="Times New Roman"/>
                <w:sz w:val="24"/>
                <w:szCs w:val="20"/>
                <w:highlight w:val="white"/>
                <w:lang w:eastAsia="ru-RU"/>
              </w:rPr>
              <w:t>Дебиторская задолженность</w:t>
            </w:r>
          </w:p>
        </w:tc>
        <w:tc>
          <w:tcPr>
            <w:tcW w:w="2273" w:type="dxa"/>
            <w:tcBorders>
              <w:top w:val="single" w:sz="4" w:space="0" w:color="000000"/>
              <w:left w:val="single" w:sz="4" w:space="0" w:color="000000"/>
              <w:bottom w:val="single" w:sz="4" w:space="0" w:color="000000"/>
              <w:right w:val="single" w:sz="4" w:space="0" w:color="000000"/>
            </w:tcBorders>
            <w:vAlign w:val="center"/>
          </w:tcPr>
          <w:p w14:paraId="12D7608A" w14:textId="77777777" w:rsidR="002449C2" w:rsidRDefault="00123961">
            <w:pPr>
              <w:shd w:val="clear" w:color="auto" w:fill="FFFFFF"/>
              <w:spacing w:after="0" w:line="240" w:lineRule="auto"/>
              <w:jc w:val="center"/>
              <w:rPr>
                <w:rFonts w:ascii="Times New Roman" w:eastAsia="Times New Roman" w:hAnsi="Times New Roman"/>
                <w:sz w:val="24"/>
                <w:szCs w:val="20"/>
                <w:highlight w:val="white"/>
                <w:lang w:eastAsia="ru-RU"/>
              </w:rPr>
            </w:pPr>
            <w:r>
              <w:rPr>
                <w:rFonts w:ascii="Times New Roman" w:eastAsia="Times New Roman" w:hAnsi="Times New Roman"/>
                <w:sz w:val="24"/>
                <w:szCs w:val="20"/>
                <w:highlight w:val="white"/>
                <w:lang w:eastAsia="ru-RU"/>
              </w:rPr>
              <w:t>8 508,72</w:t>
            </w:r>
          </w:p>
          <w:p w14:paraId="6B9F3A43" w14:textId="77777777" w:rsidR="002449C2" w:rsidRDefault="00123961">
            <w:pPr>
              <w:shd w:val="clear" w:color="auto" w:fill="FFFFFF"/>
              <w:spacing w:after="0" w:line="240" w:lineRule="auto"/>
              <w:jc w:val="center"/>
              <w:rPr>
                <w:rFonts w:ascii="Times New Roman" w:eastAsia="Times New Roman" w:hAnsi="Times New Roman"/>
                <w:sz w:val="24"/>
                <w:szCs w:val="20"/>
                <w:highlight w:val="white"/>
                <w:lang w:eastAsia="ru-RU"/>
              </w:rPr>
            </w:pPr>
            <w:r>
              <w:rPr>
                <w:rFonts w:ascii="Times New Roman" w:eastAsia="Times New Roman" w:hAnsi="Times New Roman"/>
                <w:sz w:val="20"/>
                <w:szCs w:val="20"/>
                <w:highlight w:val="white"/>
                <w:lang w:eastAsia="ru-RU"/>
              </w:rPr>
              <w:t>(снижение на 1 176,18)</w:t>
            </w:r>
          </w:p>
        </w:tc>
        <w:tc>
          <w:tcPr>
            <w:tcW w:w="2409" w:type="dxa"/>
            <w:tcBorders>
              <w:top w:val="single" w:sz="4" w:space="0" w:color="000000"/>
              <w:left w:val="single" w:sz="4" w:space="0" w:color="000000"/>
              <w:bottom w:val="single" w:sz="4" w:space="0" w:color="000000"/>
              <w:right w:val="single" w:sz="4" w:space="0" w:color="000000"/>
            </w:tcBorders>
            <w:vAlign w:val="center"/>
          </w:tcPr>
          <w:p w14:paraId="568B1C04" w14:textId="77777777" w:rsidR="002449C2" w:rsidRDefault="00123961">
            <w:pPr>
              <w:shd w:val="clear" w:color="auto" w:fill="FFFFFF"/>
              <w:spacing w:after="0" w:line="240" w:lineRule="auto"/>
              <w:jc w:val="center"/>
              <w:rPr>
                <w:rFonts w:ascii="Times New Roman" w:eastAsia="Times New Roman" w:hAnsi="Times New Roman"/>
                <w:sz w:val="24"/>
                <w:szCs w:val="20"/>
                <w:highlight w:val="white"/>
                <w:lang w:eastAsia="ru-RU"/>
              </w:rPr>
            </w:pPr>
            <w:r>
              <w:rPr>
                <w:rFonts w:ascii="Times New Roman" w:eastAsia="Times New Roman" w:hAnsi="Times New Roman"/>
                <w:sz w:val="24"/>
                <w:szCs w:val="20"/>
                <w:highlight w:val="white"/>
                <w:lang w:eastAsia="ru-RU"/>
              </w:rPr>
              <w:t>6 841,70</w:t>
            </w:r>
          </w:p>
          <w:p w14:paraId="31BEB313" w14:textId="77777777" w:rsidR="002449C2" w:rsidRDefault="00123961">
            <w:pPr>
              <w:shd w:val="clear" w:color="auto" w:fill="FFFFFF"/>
              <w:spacing w:after="0" w:line="240" w:lineRule="auto"/>
              <w:jc w:val="center"/>
              <w:rPr>
                <w:rFonts w:ascii="Times New Roman" w:eastAsia="Times New Roman" w:hAnsi="Times New Roman"/>
                <w:sz w:val="24"/>
                <w:szCs w:val="20"/>
                <w:highlight w:val="white"/>
                <w:lang w:eastAsia="ru-RU"/>
              </w:rPr>
            </w:pPr>
            <w:r>
              <w:rPr>
                <w:rFonts w:ascii="Times New Roman" w:eastAsia="Times New Roman" w:hAnsi="Times New Roman"/>
                <w:sz w:val="20"/>
                <w:szCs w:val="20"/>
                <w:highlight w:val="white"/>
                <w:lang w:eastAsia="ru-RU"/>
              </w:rPr>
              <w:t>(снижение на 1667,03)</w:t>
            </w:r>
          </w:p>
        </w:tc>
        <w:tc>
          <w:tcPr>
            <w:tcW w:w="2263" w:type="dxa"/>
            <w:tcBorders>
              <w:top w:val="single" w:sz="4" w:space="0" w:color="000000"/>
              <w:left w:val="single" w:sz="4" w:space="0" w:color="000000"/>
              <w:bottom w:val="single" w:sz="4" w:space="0" w:color="000000"/>
              <w:right w:val="single" w:sz="4" w:space="0" w:color="000000"/>
            </w:tcBorders>
            <w:vAlign w:val="center"/>
          </w:tcPr>
          <w:p w14:paraId="7BE8AFC6" w14:textId="77777777" w:rsidR="002449C2" w:rsidRDefault="00123961">
            <w:pPr>
              <w:shd w:val="clear" w:color="auto" w:fill="FFFFFF"/>
              <w:spacing w:after="0" w:line="240" w:lineRule="auto"/>
              <w:jc w:val="center"/>
              <w:rPr>
                <w:rFonts w:ascii="Times New Roman" w:eastAsia="Times New Roman" w:hAnsi="Times New Roman"/>
                <w:sz w:val="24"/>
                <w:szCs w:val="24"/>
                <w:highlight w:val="white"/>
                <w:lang w:eastAsia="ru-RU"/>
              </w:rPr>
            </w:pPr>
            <w:r>
              <w:rPr>
                <w:rFonts w:ascii="Times New Roman" w:eastAsia="Times New Roman" w:hAnsi="Times New Roman"/>
                <w:sz w:val="24"/>
                <w:szCs w:val="24"/>
                <w:highlight w:val="white"/>
                <w:lang w:eastAsia="ru-RU"/>
              </w:rPr>
              <w:t>5 272,29</w:t>
            </w:r>
          </w:p>
          <w:p w14:paraId="28AC30E6" w14:textId="77777777" w:rsidR="002449C2" w:rsidRDefault="00123961">
            <w:pPr>
              <w:shd w:val="clear" w:color="auto" w:fill="FFFFFF"/>
              <w:spacing w:after="0" w:line="240" w:lineRule="auto"/>
              <w:jc w:val="center"/>
              <w:rPr>
                <w:rFonts w:ascii="Times New Roman" w:eastAsia="Times New Roman" w:hAnsi="Times New Roman"/>
                <w:sz w:val="24"/>
                <w:szCs w:val="24"/>
                <w:highlight w:val="white"/>
                <w:lang w:eastAsia="ru-RU"/>
              </w:rPr>
            </w:pPr>
            <w:r>
              <w:rPr>
                <w:rFonts w:ascii="Times New Roman" w:eastAsia="Times New Roman" w:hAnsi="Times New Roman"/>
                <w:sz w:val="20"/>
                <w:szCs w:val="20"/>
                <w:highlight w:val="white"/>
                <w:lang w:eastAsia="ru-RU"/>
              </w:rPr>
              <w:t>(снижение на 1 596,41)</w:t>
            </w:r>
          </w:p>
        </w:tc>
      </w:tr>
      <w:tr w:rsidR="002449C2" w14:paraId="6CE95B9E" w14:textId="77777777">
        <w:trPr>
          <w:trHeight w:val="401"/>
        </w:trPr>
        <w:tc>
          <w:tcPr>
            <w:tcW w:w="2413" w:type="dxa"/>
            <w:tcBorders>
              <w:top w:val="single" w:sz="4" w:space="0" w:color="000000"/>
              <w:left w:val="single" w:sz="4" w:space="0" w:color="000000"/>
              <w:bottom w:val="single" w:sz="4" w:space="0" w:color="000000"/>
              <w:right w:val="single" w:sz="4" w:space="0" w:color="000000"/>
            </w:tcBorders>
            <w:vAlign w:val="center"/>
          </w:tcPr>
          <w:p w14:paraId="5BCC8136" w14:textId="77777777" w:rsidR="002449C2" w:rsidRDefault="00123961">
            <w:pPr>
              <w:shd w:val="clear" w:color="auto" w:fill="FFFFFF"/>
              <w:spacing w:after="0" w:line="240" w:lineRule="auto"/>
              <w:jc w:val="center"/>
              <w:rPr>
                <w:rFonts w:ascii="Times New Roman" w:eastAsia="Times New Roman" w:hAnsi="Times New Roman"/>
                <w:sz w:val="24"/>
                <w:szCs w:val="20"/>
                <w:highlight w:val="white"/>
                <w:lang w:eastAsia="ru-RU"/>
              </w:rPr>
            </w:pPr>
            <w:r>
              <w:rPr>
                <w:rFonts w:ascii="Times New Roman" w:eastAsia="Times New Roman" w:hAnsi="Times New Roman"/>
                <w:sz w:val="24"/>
                <w:szCs w:val="20"/>
                <w:highlight w:val="white"/>
                <w:lang w:eastAsia="ru-RU"/>
              </w:rPr>
              <w:t>Просроченная дебиторская задолженность</w:t>
            </w:r>
          </w:p>
        </w:tc>
        <w:tc>
          <w:tcPr>
            <w:tcW w:w="2273" w:type="dxa"/>
            <w:tcBorders>
              <w:top w:val="single" w:sz="4" w:space="0" w:color="000000"/>
              <w:left w:val="single" w:sz="4" w:space="0" w:color="000000"/>
              <w:bottom w:val="single" w:sz="4" w:space="0" w:color="000000"/>
              <w:right w:val="single" w:sz="4" w:space="0" w:color="000000"/>
            </w:tcBorders>
            <w:vAlign w:val="center"/>
          </w:tcPr>
          <w:p w14:paraId="4F85EAA1" w14:textId="77777777" w:rsidR="002449C2" w:rsidRDefault="00123961">
            <w:pPr>
              <w:shd w:val="clear" w:color="auto" w:fill="FFFFFF"/>
              <w:spacing w:after="0" w:line="240" w:lineRule="auto"/>
              <w:jc w:val="center"/>
              <w:rPr>
                <w:rFonts w:ascii="Times New Roman" w:eastAsia="Times New Roman" w:hAnsi="Times New Roman"/>
                <w:sz w:val="24"/>
                <w:szCs w:val="20"/>
                <w:highlight w:val="white"/>
                <w:lang w:eastAsia="ru-RU"/>
              </w:rPr>
            </w:pPr>
            <w:r>
              <w:rPr>
                <w:rFonts w:ascii="Times New Roman" w:eastAsia="Times New Roman" w:hAnsi="Times New Roman"/>
                <w:sz w:val="24"/>
                <w:szCs w:val="20"/>
                <w:highlight w:val="white"/>
                <w:lang w:eastAsia="ru-RU"/>
              </w:rPr>
              <w:t>3 161,45</w:t>
            </w:r>
          </w:p>
          <w:p w14:paraId="5F86FF8C" w14:textId="77777777" w:rsidR="002449C2" w:rsidRDefault="00123961">
            <w:pPr>
              <w:shd w:val="clear" w:color="auto" w:fill="FFFFFF"/>
              <w:spacing w:after="0" w:line="240" w:lineRule="auto"/>
              <w:jc w:val="center"/>
              <w:rPr>
                <w:rFonts w:ascii="Times New Roman" w:eastAsia="Times New Roman" w:hAnsi="Times New Roman"/>
                <w:sz w:val="24"/>
                <w:szCs w:val="20"/>
                <w:highlight w:val="white"/>
                <w:lang w:eastAsia="ru-RU"/>
              </w:rPr>
            </w:pPr>
            <w:r>
              <w:rPr>
                <w:rFonts w:ascii="Times New Roman" w:eastAsia="Times New Roman" w:hAnsi="Times New Roman"/>
                <w:sz w:val="20"/>
                <w:szCs w:val="20"/>
                <w:highlight w:val="white"/>
                <w:lang w:eastAsia="ru-RU"/>
              </w:rPr>
              <w:t>(снижение на 659,29)</w:t>
            </w:r>
          </w:p>
        </w:tc>
        <w:tc>
          <w:tcPr>
            <w:tcW w:w="2409" w:type="dxa"/>
            <w:tcBorders>
              <w:top w:val="single" w:sz="4" w:space="0" w:color="000000"/>
              <w:left w:val="single" w:sz="4" w:space="0" w:color="000000"/>
              <w:bottom w:val="single" w:sz="4" w:space="0" w:color="000000"/>
              <w:right w:val="single" w:sz="4" w:space="0" w:color="000000"/>
            </w:tcBorders>
            <w:vAlign w:val="center"/>
          </w:tcPr>
          <w:p w14:paraId="59068EA0" w14:textId="77777777" w:rsidR="002449C2" w:rsidRDefault="00123961">
            <w:pPr>
              <w:shd w:val="clear" w:color="auto" w:fill="FFFFFF"/>
              <w:spacing w:after="0" w:line="240" w:lineRule="auto"/>
              <w:jc w:val="center"/>
              <w:rPr>
                <w:rFonts w:ascii="Times New Roman" w:eastAsia="Times New Roman" w:hAnsi="Times New Roman"/>
                <w:sz w:val="24"/>
                <w:szCs w:val="20"/>
                <w:highlight w:val="white"/>
                <w:lang w:eastAsia="ru-RU"/>
              </w:rPr>
            </w:pPr>
            <w:r>
              <w:rPr>
                <w:rFonts w:ascii="Times New Roman" w:eastAsia="Times New Roman" w:hAnsi="Times New Roman"/>
                <w:sz w:val="24"/>
                <w:szCs w:val="20"/>
                <w:highlight w:val="white"/>
                <w:lang w:eastAsia="ru-RU"/>
              </w:rPr>
              <w:t>1 908,06</w:t>
            </w:r>
          </w:p>
          <w:p w14:paraId="6B9A7820" w14:textId="77777777" w:rsidR="002449C2" w:rsidRDefault="00123961">
            <w:pPr>
              <w:shd w:val="clear" w:color="auto" w:fill="FFFFFF"/>
              <w:spacing w:after="0" w:line="240" w:lineRule="auto"/>
              <w:jc w:val="center"/>
              <w:rPr>
                <w:rFonts w:ascii="Times New Roman" w:eastAsia="Times New Roman" w:hAnsi="Times New Roman"/>
                <w:sz w:val="24"/>
                <w:szCs w:val="20"/>
                <w:highlight w:val="white"/>
                <w:lang w:eastAsia="ru-RU"/>
              </w:rPr>
            </w:pPr>
            <w:r>
              <w:rPr>
                <w:rFonts w:ascii="Times New Roman" w:eastAsia="Times New Roman" w:hAnsi="Times New Roman"/>
                <w:sz w:val="20"/>
                <w:szCs w:val="20"/>
                <w:highlight w:val="white"/>
                <w:lang w:eastAsia="ru-RU"/>
              </w:rPr>
              <w:t>(снижение на 1 253,40)</w:t>
            </w:r>
          </w:p>
        </w:tc>
        <w:tc>
          <w:tcPr>
            <w:tcW w:w="2263" w:type="dxa"/>
            <w:tcBorders>
              <w:top w:val="single" w:sz="4" w:space="0" w:color="000000"/>
              <w:left w:val="single" w:sz="4" w:space="0" w:color="000000"/>
              <w:bottom w:val="single" w:sz="4" w:space="0" w:color="000000"/>
              <w:right w:val="single" w:sz="4" w:space="0" w:color="000000"/>
            </w:tcBorders>
            <w:vAlign w:val="center"/>
          </w:tcPr>
          <w:p w14:paraId="1FFF41F6" w14:textId="77777777" w:rsidR="002449C2" w:rsidRDefault="00123961">
            <w:pPr>
              <w:shd w:val="clear" w:color="auto" w:fill="FFFFFF"/>
              <w:spacing w:after="0" w:line="240" w:lineRule="auto"/>
              <w:jc w:val="center"/>
              <w:rPr>
                <w:rFonts w:ascii="Times New Roman" w:eastAsia="Times New Roman" w:hAnsi="Times New Roman"/>
                <w:sz w:val="24"/>
                <w:szCs w:val="24"/>
                <w:highlight w:val="white"/>
                <w:lang w:eastAsia="ru-RU"/>
              </w:rPr>
            </w:pPr>
            <w:r>
              <w:rPr>
                <w:rFonts w:ascii="Times New Roman" w:eastAsia="Times New Roman" w:hAnsi="Times New Roman"/>
                <w:sz w:val="24"/>
                <w:szCs w:val="24"/>
                <w:highlight w:val="white"/>
                <w:lang w:eastAsia="ru-RU"/>
              </w:rPr>
              <w:t>771,844</w:t>
            </w:r>
          </w:p>
          <w:p w14:paraId="1E924838" w14:textId="77777777" w:rsidR="002449C2" w:rsidRDefault="00123961">
            <w:pPr>
              <w:shd w:val="clear" w:color="auto" w:fill="FFFFFF"/>
              <w:spacing w:after="0" w:line="240" w:lineRule="auto"/>
              <w:jc w:val="center"/>
              <w:rPr>
                <w:rFonts w:ascii="Times New Roman" w:eastAsia="Times New Roman" w:hAnsi="Times New Roman"/>
                <w:sz w:val="24"/>
                <w:szCs w:val="24"/>
                <w:highlight w:val="white"/>
                <w:lang w:eastAsia="ru-RU"/>
              </w:rPr>
            </w:pPr>
            <w:r>
              <w:rPr>
                <w:rFonts w:ascii="Times New Roman" w:eastAsia="Times New Roman" w:hAnsi="Times New Roman"/>
                <w:sz w:val="20"/>
                <w:szCs w:val="20"/>
                <w:highlight w:val="white"/>
                <w:lang w:eastAsia="ru-RU"/>
              </w:rPr>
              <w:t>(снижение на 1 136,21)</w:t>
            </w:r>
          </w:p>
        </w:tc>
      </w:tr>
      <w:tr w:rsidR="002449C2" w14:paraId="2458071C" w14:textId="77777777">
        <w:trPr>
          <w:trHeight w:val="401"/>
        </w:trPr>
        <w:tc>
          <w:tcPr>
            <w:tcW w:w="2413" w:type="dxa"/>
            <w:tcBorders>
              <w:top w:val="single" w:sz="4" w:space="0" w:color="000000"/>
              <w:left w:val="single" w:sz="4" w:space="0" w:color="000000"/>
              <w:bottom w:val="single" w:sz="4" w:space="0" w:color="000000"/>
              <w:right w:val="single" w:sz="4" w:space="0" w:color="000000"/>
            </w:tcBorders>
            <w:vAlign w:val="center"/>
          </w:tcPr>
          <w:p w14:paraId="4F6C9CFB" w14:textId="77777777" w:rsidR="002449C2" w:rsidRDefault="00123961">
            <w:pPr>
              <w:shd w:val="clear" w:color="auto" w:fill="FFFFFF"/>
              <w:spacing w:after="0" w:line="240" w:lineRule="auto"/>
              <w:jc w:val="center"/>
              <w:rPr>
                <w:rFonts w:ascii="Times New Roman" w:eastAsia="Times New Roman" w:hAnsi="Times New Roman"/>
                <w:sz w:val="24"/>
                <w:szCs w:val="20"/>
                <w:highlight w:val="white"/>
                <w:lang w:eastAsia="ru-RU"/>
              </w:rPr>
            </w:pPr>
            <w:r>
              <w:rPr>
                <w:rFonts w:ascii="Times New Roman" w:eastAsia="Times New Roman" w:hAnsi="Times New Roman"/>
                <w:sz w:val="24"/>
                <w:szCs w:val="20"/>
                <w:highlight w:val="white"/>
                <w:lang w:eastAsia="ru-RU"/>
              </w:rPr>
              <w:t>Реструктуризированная дебиторская задолженность</w:t>
            </w:r>
          </w:p>
        </w:tc>
        <w:tc>
          <w:tcPr>
            <w:tcW w:w="2273" w:type="dxa"/>
            <w:tcBorders>
              <w:top w:val="single" w:sz="4" w:space="0" w:color="000000"/>
              <w:left w:val="single" w:sz="4" w:space="0" w:color="000000"/>
              <w:bottom w:val="single" w:sz="4" w:space="0" w:color="000000"/>
              <w:right w:val="single" w:sz="4" w:space="0" w:color="000000"/>
            </w:tcBorders>
            <w:vAlign w:val="center"/>
          </w:tcPr>
          <w:p w14:paraId="14CF2845" w14:textId="77777777" w:rsidR="002449C2" w:rsidRDefault="00123961">
            <w:pPr>
              <w:shd w:val="clear" w:color="auto" w:fill="FFFFFF"/>
              <w:spacing w:after="0" w:line="240" w:lineRule="auto"/>
              <w:jc w:val="center"/>
              <w:rPr>
                <w:rFonts w:ascii="Times New Roman" w:eastAsia="Times New Roman" w:hAnsi="Times New Roman"/>
                <w:sz w:val="24"/>
                <w:szCs w:val="24"/>
                <w:highlight w:val="white"/>
                <w:lang w:eastAsia="ru-RU"/>
              </w:rPr>
            </w:pPr>
            <w:r>
              <w:rPr>
                <w:rFonts w:ascii="Times New Roman" w:eastAsia="Times New Roman" w:hAnsi="Times New Roman"/>
                <w:sz w:val="24"/>
                <w:szCs w:val="20"/>
                <w:highlight w:val="white"/>
                <w:lang w:eastAsia="ru-RU"/>
              </w:rPr>
              <w:t>1 493,35</w:t>
            </w:r>
          </w:p>
          <w:p w14:paraId="6A48A5CC" w14:textId="77777777" w:rsidR="002449C2" w:rsidRDefault="00123961">
            <w:pPr>
              <w:shd w:val="clear" w:color="auto" w:fill="FFFFFF"/>
              <w:spacing w:after="0" w:line="240" w:lineRule="auto"/>
              <w:jc w:val="center"/>
              <w:rPr>
                <w:rFonts w:ascii="Times New Roman" w:eastAsia="Times New Roman" w:hAnsi="Times New Roman"/>
                <w:sz w:val="24"/>
                <w:szCs w:val="24"/>
                <w:highlight w:val="white"/>
                <w:lang w:eastAsia="ru-RU"/>
              </w:rPr>
            </w:pPr>
            <w:r>
              <w:rPr>
                <w:rFonts w:ascii="Times New Roman" w:eastAsia="Times New Roman" w:hAnsi="Times New Roman"/>
                <w:sz w:val="20"/>
                <w:szCs w:val="20"/>
                <w:highlight w:val="white"/>
                <w:lang w:eastAsia="ru-RU"/>
              </w:rPr>
              <w:t>(снижение на 1 293,04)</w:t>
            </w:r>
          </w:p>
        </w:tc>
        <w:tc>
          <w:tcPr>
            <w:tcW w:w="2409" w:type="dxa"/>
            <w:tcBorders>
              <w:top w:val="single" w:sz="4" w:space="0" w:color="000000"/>
              <w:left w:val="single" w:sz="4" w:space="0" w:color="000000"/>
              <w:bottom w:val="single" w:sz="4" w:space="0" w:color="000000"/>
              <w:right w:val="single" w:sz="4" w:space="0" w:color="000000"/>
            </w:tcBorders>
            <w:vAlign w:val="center"/>
          </w:tcPr>
          <w:p w14:paraId="000D6EEF" w14:textId="77777777" w:rsidR="002449C2" w:rsidRDefault="00123961">
            <w:pPr>
              <w:shd w:val="clear" w:color="auto" w:fill="FFFFFF"/>
              <w:spacing w:after="0" w:line="240" w:lineRule="auto"/>
              <w:jc w:val="center"/>
              <w:rPr>
                <w:rFonts w:ascii="Times New Roman" w:eastAsia="Times New Roman" w:hAnsi="Times New Roman"/>
                <w:sz w:val="24"/>
                <w:szCs w:val="24"/>
                <w:highlight w:val="white"/>
                <w:lang w:eastAsia="ru-RU"/>
              </w:rPr>
            </w:pPr>
            <w:r>
              <w:rPr>
                <w:rFonts w:ascii="Times New Roman" w:eastAsia="Times New Roman" w:hAnsi="Times New Roman"/>
                <w:sz w:val="24"/>
                <w:szCs w:val="20"/>
                <w:highlight w:val="white"/>
                <w:lang w:eastAsia="ru-RU"/>
              </w:rPr>
              <w:t>1 043,41</w:t>
            </w:r>
          </w:p>
          <w:p w14:paraId="1E6588EA" w14:textId="77777777" w:rsidR="002449C2" w:rsidRDefault="00123961">
            <w:pPr>
              <w:shd w:val="clear" w:color="auto" w:fill="FFFFFF"/>
              <w:spacing w:after="0" w:line="240" w:lineRule="auto"/>
              <w:jc w:val="center"/>
              <w:rPr>
                <w:rFonts w:ascii="Times New Roman" w:eastAsia="Times New Roman" w:hAnsi="Times New Roman"/>
                <w:sz w:val="24"/>
                <w:szCs w:val="24"/>
                <w:highlight w:val="white"/>
                <w:lang w:eastAsia="ru-RU"/>
              </w:rPr>
            </w:pPr>
            <w:r>
              <w:rPr>
                <w:rFonts w:ascii="Times New Roman" w:eastAsia="Times New Roman" w:hAnsi="Times New Roman"/>
                <w:sz w:val="20"/>
                <w:szCs w:val="20"/>
                <w:highlight w:val="white"/>
                <w:lang w:eastAsia="ru-RU"/>
              </w:rPr>
              <w:t>(снижение на 449,95)</w:t>
            </w:r>
          </w:p>
        </w:tc>
        <w:tc>
          <w:tcPr>
            <w:tcW w:w="2263" w:type="dxa"/>
            <w:tcBorders>
              <w:top w:val="single" w:sz="4" w:space="0" w:color="000000"/>
              <w:left w:val="single" w:sz="4" w:space="0" w:color="000000"/>
              <w:bottom w:val="single" w:sz="4" w:space="0" w:color="000000"/>
              <w:right w:val="single" w:sz="4" w:space="0" w:color="000000"/>
            </w:tcBorders>
            <w:vAlign w:val="center"/>
          </w:tcPr>
          <w:p w14:paraId="3842346E" w14:textId="77777777" w:rsidR="002449C2" w:rsidRDefault="00123961">
            <w:pPr>
              <w:shd w:val="clear" w:color="auto" w:fill="FFFFFF"/>
              <w:spacing w:after="0" w:line="240" w:lineRule="auto"/>
              <w:jc w:val="center"/>
              <w:rPr>
                <w:rFonts w:ascii="Times New Roman" w:eastAsia="Times New Roman" w:hAnsi="Times New Roman"/>
                <w:sz w:val="24"/>
                <w:szCs w:val="24"/>
                <w:highlight w:val="white"/>
                <w:lang w:eastAsia="ru-RU"/>
              </w:rPr>
            </w:pPr>
            <w:r>
              <w:rPr>
                <w:rFonts w:ascii="Times New Roman" w:eastAsia="Times New Roman" w:hAnsi="Times New Roman"/>
                <w:sz w:val="24"/>
                <w:szCs w:val="24"/>
                <w:highlight w:val="white"/>
                <w:lang w:eastAsia="ru-RU"/>
              </w:rPr>
              <w:t>749,14</w:t>
            </w:r>
          </w:p>
          <w:p w14:paraId="5EE222A5" w14:textId="77777777" w:rsidR="002449C2" w:rsidRDefault="00123961">
            <w:pPr>
              <w:shd w:val="clear" w:color="auto" w:fill="FFFFFF"/>
              <w:spacing w:after="0" w:line="240" w:lineRule="auto"/>
              <w:jc w:val="center"/>
              <w:rPr>
                <w:rFonts w:ascii="Times New Roman" w:eastAsia="Times New Roman" w:hAnsi="Times New Roman"/>
                <w:sz w:val="24"/>
                <w:szCs w:val="24"/>
                <w:highlight w:val="white"/>
                <w:lang w:eastAsia="ru-RU"/>
              </w:rPr>
            </w:pPr>
            <w:r>
              <w:rPr>
                <w:rFonts w:ascii="Times New Roman" w:eastAsia="Times New Roman" w:hAnsi="Times New Roman"/>
                <w:sz w:val="20"/>
                <w:szCs w:val="20"/>
                <w:highlight w:val="white"/>
                <w:lang w:eastAsia="ru-RU"/>
              </w:rPr>
              <w:t>(снижение на 294,27)</w:t>
            </w:r>
          </w:p>
        </w:tc>
      </w:tr>
    </w:tbl>
    <w:p w14:paraId="6015779D" w14:textId="77777777" w:rsidR="002449C2" w:rsidRDefault="00123961">
      <w:pPr>
        <w:shd w:val="clear" w:color="auto" w:fill="FFFFFF"/>
        <w:tabs>
          <w:tab w:val="left" w:pos="9356"/>
        </w:tabs>
        <w:spacing w:before="120" w:after="120" w:line="240" w:lineRule="auto"/>
        <w:ind w:firstLine="426"/>
        <w:rPr>
          <w:rFonts w:ascii="Cambria" w:hAnsi="Cambria"/>
          <w:i/>
          <w:sz w:val="16"/>
          <w:szCs w:val="16"/>
          <w:lang w:eastAsia="en-US"/>
        </w:rPr>
      </w:pPr>
      <w:r>
        <w:rPr>
          <w:rFonts w:ascii="Cambria" w:hAnsi="Cambria"/>
          <w:i/>
          <w:sz w:val="16"/>
          <w:szCs w:val="16"/>
          <w:lang w:eastAsia="en-US"/>
        </w:rPr>
        <w:t>*- просроченная задолженность указана за вычетом реструктуризированной задолженности</w:t>
      </w:r>
    </w:p>
    <w:p w14:paraId="329AB5F3" w14:textId="77777777" w:rsidR="002449C2" w:rsidRDefault="00123961">
      <w:pPr>
        <w:shd w:val="clear" w:color="auto" w:fill="FFFFFF"/>
        <w:tabs>
          <w:tab w:val="left" w:pos="9356"/>
        </w:tabs>
        <w:spacing w:after="0" w:line="240" w:lineRule="auto"/>
        <w:ind w:firstLine="709"/>
        <w:jc w:val="both"/>
        <w:rPr>
          <w:rFonts w:ascii="Times New Roman" w:hAnsi="Times New Roman" w:cs="Calibri"/>
          <w:sz w:val="26"/>
          <w:szCs w:val="26"/>
          <w:lang w:eastAsia="en-US"/>
        </w:rPr>
      </w:pPr>
      <w:r>
        <w:rPr>
          <w:rFonts w:ascii="Times New Roman" w:hAnsi="Times New Roman" w:cs="Calibri"/>
          <w:sz w:val="26"/>
          <w:szCs w:val="26"/>
          <w:lang w:eastAsia="en-US"/>
        </w:rPr>
        <w:t>Основная часть просроченной дебиторской задолженности приходится на энергосбытовые компании (266,9 млн рублей или 34,6%) и прочих прямых потребителей, в основном банкротов (216,9 млн рублей или 28%). Задолженность потребителей-банкротов взыскивается в рамках конкурсных производств, и при этом в полном объеме включена в состав резерва по сомнительным долгам. Остальная задолженность, образованная по причине нарушения контрагентами условий договоров в части сроков оплаты оказанных услуг, взыскивается в судебном порядке и в рамках исполнительных производств.</w:t>
      </w:r>
    </w:p>
    <w:p w14:paraId="7443050A" w14:textId="77777777" w:rsidR="002449C2" w:rsidRDefault="00123961">
      <w:pPr>
        <w:shd w:val="clear" w:color="auto" w:fill="FFFFFF"/>
        <w:spacing w:after="0" w:line="240" w:lineRule="auto"/>
        <w:ind w:firstLine="567"/>
        <w:jc w:val="both"/>
        <w:rPr>
          <w:rFonts w:ascii="Times New Roman" w:hAnsi="Times New Roman" w:cs="Calibri"/>
          <w:sz w:val="26"/>
          <w:szCs w:val="26"/>
          <w:lang w:eastAsia="en-US"/>
        </w:rPr>
      </w:pPr>
      <w:r>
        <w:rPr>
          <w:rFonts w:ascii="Times New Roman" w:hAnsi="Times New Roman" w:cs="Calibri"/>
          <w:sz w:val="26"/>
          <w:szCs w:val="26"/>
          <w:lang w:eastAsia="en-US"/>
        </w:rPr>
        <w:t>Дебиторская задолженность по статье «авансы выданные» составила 42 млн рублей, что на 1 млн рублей (1,2%) ниже уровня по состоянию на конец 2023</w:t>
      </w:r>
      <w:r w:rsidR="007F70A4">
        <w:rPr>
          <w:rFonts w:ascii="Times New Roman" w:hAnsi="Times New Roman" w:cs="Calibri"/>
          <w:sz w:val="26"/>
          <w:szCs w:val="26"/>
          <w:lang w:eastAsia="en-US"/>
        </w:rPr>
        <w:t xml:space="preserve"> года</w:t>
      </w:r>
      <w:r>
        <w:rPr>
          <w:rFonts w:ascii="Times New Roman" w:hAnsi="Times New Roman" w:cs="Calibri"/>
          <w:sz w:val="26"/>
          <w:szCs w:val="26"/>
          <w:lang w:eastAsia="en-US"/>
        </w:rPr>
        <w:t xml:space="preserve">. </w:t>
      </w:r>
    </w:p>
    <w:p w14:paraId="4A2541B3" w14:textId="77777777" w:rsidR="002449C2" w:rsidRDefault="00123961">
      <w:pPr>
        <w:shd w:val="clear" w:color="auto" w:fill="FFFFFF"/>
        <w:spacing w:after="0" w:line="240" w:lineRule="auto"/>
        <w:ind w:firstLine="567"/>
        <w:contextualSpacing/>
        <w:jc w:val="both"/>
        <w:rPr>
          <w:rFonts w:ascii="Times New Roman" w:hAnsi="Times New Roman" w:cs="Calibri"/>
          <w:sz w:val="26"/>
          <w:szCs w:val="26"/>
          <w:lang w:eastAsia="en-US"/>
        </w:rPr>
      </w:pPr>
      <w:r>
        <w:rPr>
          <w:rFonts w:ascii="Times New Roman" w:hAnsi="Times New Roman" w:cs="Calibri"/>
          <w:sz w:val="26"/>
          <w:szCs w:val="26"/>
          <w:lang w:eastAsia="en-US"/>
        </w:rPr>
        <w:t>Прочая дебиторская задолженность составила 2 075 млн рублей, что на 80 млн рублей (4,0%) выше уровня по состоянию на конец 2023 года. Рост дебиторской задолженностей в 2024 году сложился по переуступке прав требований на 64 млн рублей, по налогам и сборам на 35 млн рублей, по пеням, штрафам, неустойкам на 6 млн рублей, и по прочим на 5 млн рублей, при снижении задолженности по процентам за пользование чужими денежными средствами по соглашениям реструктуризации на 15 млн рублей, по бездоговорному потреблению электрической энергии на 15 млн рублей.</w:t>
      </w:r>
    </w:p>
    <w:p w14:paraId="12564D9E" w14:textId="77777777" w:rsidR="002449C2" w:rsidRDefault="00123961">
      <w:pPr>
        <w:shd w:val="clear" w:color="auto" w:fill="FFFFFF"/>
        <w:spacing w:after="0" w:line="240" w:lineRule="auto"/>
        <w:ind w:firstLine="567"/>
        <w:jc w:val="both"/>
        <w:rPr>
          <w:rFonts w:ascii="Times New Roman" w:hAnsi="Times New Roman" w:cs="Calibri"/>
          <w:sz w:val="26"/>
          <w:szCs w:val="26"/>
          <w:lang w:eastAsia="en-US"/>
        </w:rPr>
      </w:pPr>
      <w:r>
        <w:rPr>
          <w:rFonts w:ascii="Times New Roman" w:hAnsi="Times New Roman" w:cs="Calibri"/>
          <w:sz w:val="26"/>
          <w:szCs w:val="26"/>
          <w:lang w:eastAsia="en-US"/>
        </w:rPr>
        <w:t>С целью взыскания задолженности Обществом реализуются мероприятия досудебного (проведение переговоров, обращения в органы исполнительной власти, заключение «прямых» договоров оказания услуг по передаче электроэнергии с потребителями) и судебного характера в соответствии с Планом-графиком мероприятий, утвержденным Советом директоров Общества.</w:t>
      </w:r>
    </w:p>
    <w:p w14:paraId="13EC54DB" w14:textId="77777777" w:rsidR="002449C2" w:rsidRDefault="00123961">
      <w:pPr>
        <w:shd w:val="clear" w:color="auto" w:fill="FFFFFF"/>
        <w:spacing w:after="0" w:line="240" w:lineRule="auto"/>
        <w:ind w:firstLine="708"/>
        <w:jc w:val="both"/>
        <w:rPr>
          <w:rFonts w:ascii="Times New Roman" w:eastAsia="Times New Roman" w:hAnsi="Times New Roman"/>
          <w:sz w:val="26"/>
          <w:szCs w:val="26"/>
          <w:highlight w:val="white"/>
          <w:lang w:eastAsia="ru-RU"/>
        </w:rPr>
      </w:pPr>
      <w:r>
        <w:rPr>
          <w:rFonts w:ascii="Times New Roman" w:eastAsia="Times New Roman" w:hAnsi="Times New Roman"/>
          <w:sz w:val="26"/>
          <w:szCs w:val="26"/>
          <w:highlight w:val="white"/>
          <w:lang w:eastAsia="ru-RU"/>
        </w:rPr>
        <w:t xml:space="preserve">Указанное снижение достигнуто, в том числе, по результатам погашения реструктуризированной, текущей задолженности, а также принудительного взыскания долгов и штрафных санкций, побуждающих недобросовестных контрагентов своевременно исполнять принятые на себя денежные обязательства.  </w:t>
      </w:r>
    </w:p>
    <w:p w14:paraId="6C8020B6" w14:textId="77777777" w:rsidR="002449C2" w:rsidRDefault="00123961">
      <w:pPr>
        <w:shd w:val="clear" w:color="auto" w:fill="FFFFFF"/>
        <w:spacing w:after="0" w:line="240" w:lineRule="auto"/>
        <w:ind w:firstLine="708"/>
        <w:jc w:val="both"/>
        <w:rPr>
          <w:rFonts w:ascii="Times New Roman" w:hAnsi="Times New Roman"/>
          <w:bCs/>
          <w:color w:val="000000"/>
          <w:sz w:val="26"/>
          <w:szCs w:val="26"/>
          <w:highlight w:val="white"/>
          <w:lang w:eastAsia="ru-RU"/>
        </w:rPr>
      </w:pPr>
      <w:r>
        <w:rPr>
          <w:rFonts w:ascii="Times New Roman" w:eastAsia="Times New Roman" w:hAnsi="Times New Roman"/>
          <w:sz w:val="26"/>
          <w:szCs w:val="26"/>
          <w:highlight w:val="white"/>
          <w:lang w:eastAsia="ru-RU"/>
        </w:rPr>
        <w:t xml:space="preserve">В 2024 году блоком безопасности осуществлялось </w:t>
      </w:r>
      <w:r>
        <w:rPr>
          <w:rFonts w:ascii="Times New Roman" w:hAnsi="Times New Roman"/>
          <w:bCs/>
          <w:color w:val="000000"/>
          <w:sz w:val="26"/>
          <w:szCs w:val="26"/>
          <w:highlight w:val="white"/>
          <w:lang w:eastAsia="en-US"/>
        </w:rPr>
        <w:t>взыскание просроченной задолженности за оказанные услуги по передаче электроэнергии по 280 исполнительным листам на общую сумму 1 054,43 млн руб.</w:t>
      </w:r>
    </w:p>
    <w:p w14:paraId="0A73C714" w14:textId="77777777" w:rsidR="002449C2" w:rsidRDefault="00123961">
      <w:pPr>
        <w:shd w:val="clear" w:color="auto" w:fill="FFFFFF"/>
        <w:spacing w:after="0" w:line="240" w:lineRule="auto"/>
        <w:ind w:firstLine="709"/>
        <w:contextualSpacing/>
        <w:jc w:val="both"/>
        <w:rPr>
          <w:rFonts w:ascii="Times New Roman" w:eastAsia="Times New Roman" w:hAnsi="Times New Roman"/>
          <w:color w:val="000000"/>
          <w:sz w:val="26"/>
          <w:szCs w:val="26"/>
          <w:highlight w:val="white"/>
          <w:lang w:eastAsia="ru-RU"/>
        </w:rPr>
      </w:pPr>
      <w:r>
        <w:rPr>
          <w:rFonts w:ascii="Times New Roman" w:eastAsia="Times New Roman" w:hAnsi="Times New Roman"/>
          <w:color w:val="000000"/>
          <w:sz w:val="26"/>
          <w:szCs w:val="26"/>
          <w:highlight w:val="white"/>
          <w:lang w:eastAsia="ru-RU"/>
        </w:rPr>
        <w:t>Основными должниками ПАО «Россети Юг» по исполнительным документам являются предприятия – банкроты (883,24 млн руб., 83,8% от всего объема задолженности), из них:</w:t>
      </w:r>
    </w:p>
    <w:p w14:paraId="16A8FF8B" w14:textId="77777777" w:rsidR="002449C2" w:rsidRDefault="00123961">
      <w:pPr>
        <w:shd w:val="clear" w:color="auto" w:fill="FFFFFF"/>
        <w:spacing w:after="0" w:line="240" w:lineRule="auto"/>
        <w:ind w:firstLine="709"/>
        <w:contextualSpacing/>
        <w:jc w:val="both"/>
        <w:rPr>
          <w:rFonts w:ascii="Times New Roman" w:eastAsia="Times New Roman" w:hAnsi="Times New Roman"/>
          <w:color w:val="000000"/>
          <w:sz w:val="26"/>
          <w:szCs w:val="26"/>
          <w:highlight w:val="white"/>
          <w:lang w:eastAsia="ru-RU"/>
        </w:rPr>
      </w:pPr>
      <w:r>
        <w:rPr>
          <w:rFonts w:ascii="Times New Roman" w:eastAsia="Times New Roman" w:hAnsi="Times New Roman"/>
          <w:color w:val="000000"/>
          <w:sz w:val="26"/>
          <w:szCs w:val="26"/>
          <w:highlight w:val="white"/>
          <w:lang w:eastAsia="ru-RU"/>
        </w:rPr>
        <w:t>-  ЗАО ВМЗ «Красный Октябрь», дебиторская задолженность (далее – ДЗ) составила 548,41 млн руб.;</w:t>
      </w:r>
    </w:p>
    <w:p w14:paraId="6C603097" w14:textId="77777777" w:rsidR="002449C2" w:rsidRDefault="00123961">
      <w:pPr>
        <w:shd w:val="clear" w:color="auto" w:fill="FFFFFF"/>
        <w:spacing w:after="0" w:line="240" w:lineRule="auto"/>
        <w:ind w:firstLine="709"/>
        <w:contextualSpacing/>
        <w:jc w:val="both"/>
        <w:rPr>
          <w:rFonts w:ascii="Times New Roman" w:eastAsia="Times New Roman" w:hAnsi="Times New Roman"/>
          <w:color w:val="000000"/>
          <w:sz w:val="26"/>
          <w:szCs w:val="26"/>
          <w:highlight w:val="white"/>
          <w:lang w:eastAsia="ru-RU"/>
        </w:rPr>
      </w:pPr>
      <w:r>
        <w:rPr>
          <w:rFonts w:ascii="Times New Roman" w:eastAsia="Times New Roman" w:hAnsi="Times New Roman"/>
          <w:color w:val="000000"/>
          <w:sz w:val="26"/>
          <w:szCs w:val="26"/>
          <w:highlight w:val="white"/>
          <w:lang w:eastAsia="ru-RU"/>
        </w:rPr>
        <w:t>- ООО «Южная энергетическая компания» (далее –ЮЭК), ДЗ – 98,46 млн руб.;</w:t>
      </w:r>
    </w:p>
    <w:p w14:paraId="4134FA6E" w14:textId="77777777" w:rsidR="002449C2" w:rsidRDefault="00123961">
      <w:pPr>
        <w:shd w:val="clear" w:color="auto" w:fill="FFFFFF"/>
        <w:spacing w:after="0" w:line="240" w:lineRule="auto"/>
        <w:ind w:firstLine="709"/>
        <w:contextualSpacing/>
        <w:jc w:val="both"/>
        <w:rPr>
          <w:rFonts w:ascii="Times New Roman" w:eastAsia="Times New Roman" w:hAnsi="Times New Roman"/>
          <w:color w:val="000000"/>
          <w:sz w:val="26"/>
          <w:szCs w:val="26"/>
          <w:highlight w:val="white"/>
          <w:lang w:eastAsia="ru-RU"/>
        </w:rPr>
      </w:pPr>
      <w:r>
        <w:rPr>
          <w:rFonts w:ascii="Times New Roman" w:eastAsia="Times New Roman" w:hAnsi="Times New Roman"/>
          <w:color w:val="000000"/>
          <w:sz w:val="26"/>
          <w:szCs w:val="26"/>
          <w:highlight w:val="white"/>
          <w:lang w:eastAsia="ru-RU"/>
        </w:rPr>
        <w:t>- АО «Оборонэнергосбыт», ДЗ – 84,12 млн руб.;</w:t>
      </w:r>
    </w:p>
    <w:p w14:paraId="28782541" w14:textId="77777777" w:rsidR="002449C2" w:rsidRDefault="00123961">
      <w:pPr>
        <w:shd w:val="clear" w:color="auto" w:fill="FFFFFF"/>
        <w:spacing w:after="0" w:line="240" w:lineRule="auto"/>
        <w:ind w:firstLine="709"/>
        <w:contextualSpacing/>
        <w:jc w:val="both"/>
        <w:rPr>
          <w:rFonts w:ascii="Times New Roman" w:eastAsia="Times New Roman" w:hAnsi="Times New Roman"/>
          <w:color w:val="000000"/>
          <w:sz w:val="26"/>
          <w:szCs w:val="26"/>
          <w:highlight w:val="white"/>
          <w:lang w:eastAsia="ru-RU"/>
        </w:rPr>
      </w:pPr>
      <w:r>
        <w:rPr>
          <w:rFonts w:ascii="Times New Roman" w:eastAsia="Times New Roman" w:hAnsi="Times New Roman"/>
          <w:color w:val="000000"/>
          <w:sz w:val="26"/>
          <w:szCs w:val="26"/>
          <w:highlight w:val="white"/>
          <w:lang w:eastAsia="ru-RU"/>
        </w:rPr>
        <w:t>- ОАО «Волгоградский судостроительный завод», ДЗ - 52,46 млн руб.</w:t>
      </w:r>
    </w:p>
    <w:p w14:paraId="2439F98B" w14:textId="77777777" w:rsidR="002449C2" w:rsidRDefault="00123961">
      <w:pPr>
        <w:shd w:val="clear" w:color="auto" w:fill="FFFFFF"/>
        <w:spacing w:after="0" w:line="240" w:lineRule="auto"/>
        <w:ind w:firstLine="708"/>
        <w:jc w:val="both"/>
        <w:rPr>
          <w:rFonts w:ascii="Times New Roman" w:eastAsia="Times New Roman" w:hAnsi="Times New Roman"/>
          <w:sz w:val="26"/>
          <w:szCs w:val="26"/>
          <w:highlight w:val="white"/>
          <w:lang w:eastAsia="ru-RU"/>
        </w:rPr>
      </w:pPr>
      <w:r>
        <w:rPr>
          <w:rFonts w:ascii="Times New Roman" w:eastAsia="Times New Roman" w:hAnsi="Times New Roman"/>
          <w:sz w:val="26"/>
          <w:szCs w:val="26"/>
          <w:highlight w:val="white"/>
          <w:lang w:eastAsia="ru-RU"/>
        </w:rPr>
        <w:t>В целях снижения задолженности несостоятельных должников блоком безопасности осуществляется тесное взаимодействие со службами судебных приставов и арбитражными управляющими, ведется контроль за работой с текущей задолженностью, анализируются денежные потоки, инициируются мероприятия по оспариванию сделок, которые могут негативно повлиять на интересы Общества.</w:t>
      </w:r>
    </w:p>
    <w:p w14:paraId="5F27158C" w14:textId="77777777" w:rsidR="002449C2" w:rsidRDefault="00123961">
      <w:pPr>
        <w:shd w:val="clear" w:color="auto" w:fill="FFFFFF"/>
        <w:spacing w:after="0" w:line="240" w:lineRule="auto"/>
        <w:ind w:firstLine="708"/>
        <w:jc w:val="both"/>
        <w:rPr>
          <w:rFonts w:ascii="Times New Roman" w:eastAsia="Times New Roman" w:hAnsi="Times New Roman"/>
          <w:sz w:val="26"/>
          <w:szCs w:val="26"/>
          <w:highlight w:val="white"/>
          <w:lang w:eastAsia="ru-RU"/>
        </w:rPr>
      </w:pPr>
      <w:r>
        <w:rPr>
          <w:rFonts w:ascii="Times New Roman" w:eastAsia="Times New Roman" w:hAnsi="Times New Roman"/>
          <w:sz w:val="26"/>
          <w:szCs w:val="26"/>
          <w:highlight w:val="white"/>
          <w:lang w:eastAsia="ru-RU"/>
        </w:rPr>
        <w:t>По исполнительным листам с предприятий-банкротов в пользу Общества поступило в 2022 году – 12,90 млн руб., в 2023 году – 9,95 млн руб., в 2024 году - 0,57 млн руб. При этом, в 2024 году не взыскано с предприятий банкротов 689,51 млн руб. по причине приостановления исполнительных производств по реестровым требованиям (ООО «НЭСК Юга», ООО «ЮЭК») и завершения процедур банкротства основных должников Общества (</w:t>
      </w:r>
      <w:r>
        <w:rPr>
          <w:rFonts w:ascii="Times New Roman" w:eastAsia="Times New Roman" w:hAnsi="Times New Roman"/>
          <w:color w:val="000000"/>
          <w:sz w:val="26"/>
          <w:szCs w:val="26"/>
          <w:highlight w:val="white"/>
          <w:lang w:eastAsia="ru-RU"/>
        </w:rPr>
        <w:t>ЗАО ВМЗ «Красный Октябрь»</w:t>
      </w:r>
      <w:r>
        <w:rPr>
          <w:rFonts w:ascii="Times New Roman" w:eastAsia="Times New Roman" w:hAnsi="Times New Roman"/>
          <w:sz w:val="26"/>
          <w:szCs w:val="26"/>
          <w:highlight w:val="white"/>
          <w:lang w:eastAsia="ru-RU"/>
        </w:rPr>
        <w:t xml:space="preserve">, </w:t>
      </w:r>
      <w:r>
        <w:rPr>
          <w:rFonts w:ascii="Times New Roman" w:eastAsia="Times New Roman" w:hAnsi="Times New Roman"/>
          <w:color w:val="000000"/>
          <w:sz w:val="26"/>
          <w:szCs w:val="26"/>
          <w:highlight w:val="white"/>
          <w:lang w:eastAsia="ru-RU"/>
        </w:rPr>
        <w:br/>
        <w:t>АО «Оборонэнергосбыт»</w:t>
      </w:r>
      <w:r>
        <w:rPr>
          <w:rFonts w:ascii="Times New Roman" w:eastAsia="Times New Roman" w:hAnsi="Times New Roman"/>
          <w:sz w:val="26"/>
          <w:szCs w:val="26"/>
          <w:highlight w:val="white"/>
          <w:lang w:eastAsia="ru-RU"/>
        </w:rPr>
        <w:t xml:space="preserve">, </w:t>
      </w:r>
      <w:r>
        <w:rPr>
          <w:rFonts w:ascii="Times New Roman" w:eastAsia="Times New Roman" w:hAnsi="Times New Roman"/>
          <w:color w:val="000000"/>
          <w:sz w:val="26"/>
          <w:szCs w:val="26"/>
          <w:highlight w:val="white"/>
          <w:lang w:eastAsia="ru-RU"/>
        </w:rPr>
        <w:t>ОАО «Волгоградский судостроительный завод»</w:t>
      </w:r>
      <w:r>
        <w:rPr>
          <w:rFonts w:ascii="Times New Roman" w:eastAsia="Times New Roman" w:hAnsi="Times New Roman"/>
          <w:sz w:val="26"/>
          <w:szCs w:val="26"/>
          <w:highlight w:val="white"/>
          <w:lang w:eastAsia="ru-RU"/>
        </w:rPr>
        <w:t>).</w:t>
      </w:r>
    </w:p>
    <w:p w14:paraId="797283B5" w14:textId="77777777" w:rsidR="002449C2" w:rsidRDefault="00123961">
      <w:pPr>
        <w:shd w:val="clear" w:color="auto" w:fill="FFFFFF"/>
        <w:spacing w:after="0" w:line="240" w:lineRule="auto"/>
        <w:ind w:firstLine="708"/>
        <w:jc w:val="both"/>
        <w:rPr>
          <w:rFonts w:ascii="Times New Roman" w:eastAsia="Times New Roman" w:hAnsi="Times New Roman"/>
          <w:sz w:val="26"/>
          <w:szCs w:val="26"/>
          <w:highlight w:val="white"/>
          <w:lang w:eastAsia="ru-RU"/>
        </w:rPr>
      </w:pPr>
      <w:r>
        <w:rPr>
          <w:rFonts w:ascii="Times New Roman" w:eastAsia="Times New Roman" w:hAnsi="Times New Roman"/>
          <w:sz w:val="26"/>
          <w:szCs w:val="26"/>
          <w:highlight w:val="white"/>
          <w:lang w:eastAsia="ru-RU"/>
        </w:rPr>
        <w:t>Отсуженная задолженность остальных контрагентов (ПАО «ТНС энерго Ростов-на-Дону», ООО «Энергосистема», ООО «КС энергосбыт», ООО «Восток») по договоренности погашается добровольно в полном объеме, проблемные вопросы отсутствуют.</w:t>
      </w:r>
    </w:p>
    <w:p w14:paraId="3933AD84" w14:textId="77777777" w:rsidR="002449C2" w:rsidRDefault="00123961">
      <w:pPr>
        <w:shd w:val="clear" w:color="auto" w:fill="FFFFFF"/>
        <w:spacing w:after="0" w:line="240" w:lineRule="auto"/>
        <w:ind w:firstLine="708"/>
        <w:jc w:val="both"/>
        <w:rPr>
          <w:rFonts w:ascii="Times New Roman" w:eastAsia="Times New Roman" w:hAnsi="Times New Roman"/>
          <w:sz w:val="26"/>
          <w:szCs w:val="26"/>
          <w:highlight w:val="white"/>
          <w:lang w:eastAsia="ru-RU"/>
        </w:rPr>
      </w:pPr>
      <w:r>
        <w:rPr>
          <w:rFonts w:ascii="Times New Roman" w:eastAsia="Times New Roman" w:hAnsi="Times New Roman"/>
          <w:sz w:val="26"/>
          <w:szCs w:val="26"/>
          <w:highlight w:val="white"/>
          <w:lang w:eastAsia="ru-RU"/>
        </w:rPr>
        <w:t>По результатам проведенных мероприятий в работе с исполнительными документами в отношении задолженности за оказанные услуги по передаче электроэнергии в 2024 году блоком безопасности ПАО «Россети Юг» взыскано 148,69 млн руб., из них:</w:t>
      </w:r>
    </w:p>
    <w:p w14:paraId="0E94770D" w14:textId="77777777" w:rsidR="002449C2" w:rsidRDefault="00123961">
      <w:pPr>
        <w:shd w:val="clear" w:color="auto" w:fill="FFFFFF"/>
        <w:spacing w:after="0" w:line="240" w:lineRule="auto"/>
        <w:jc w:val="both"/>
        <w:rPr>
          <w:rFonts w:ascii="Times New Roman" w:eastAsia="Times New Roman" w:hAnsi="Times New Roman"/>
          <w:sz w:val="26"/>
          <w:szCs w:val="26"/>
          <w:highlight w:val="white"/>
          <w:lang w:eastAsia="ru-RU"/>
        </w:rPr>
      </w:pPr>
      <w:r>
        <w:rPr>
          <w:rFonts w:ascii="Times New Roman" w:eastAsia="Times New Roman" w:hAnsi="Times New Roman"/>
          <w:sz w:val="26"/>
          <w:szCs w:val="26"/>
          <w:highlight w:val="white"/>
          <w:lang w:eastAsia="ru-RU"/>
        </w:rPr>
        <w:tab/>
        <w:t>- 75,6 млн руб. возвращено добровольно;</w:t>
      </w:r>
    </w:p>
    <w:p w14:paraId="70A7D5E2" w14:textId="77777777" w:rsidR="002449C2" w:rsidRDefault="00123961">
      <w:pPr>
        <w:shd w:val="clear" w:color="auto" w:fill="FFFFFF"/>
        <w:spacing w:after="0" w:line="240" w:lineRule="auto"/>
        <w:jc w:val="both"/>
        <w:rPr>
          <w:rFonts w:ascii="Times New Roman" w:eastAsia="Times New Roman" w:hAnsi="Times New Roman"/>
          <w:sz w:val="26"/>
          <w:szCs w:val="26"/>
          <w:highlight w:val="white"/>
          <w:lang w:eastAsia="ru-RU"/>
        </w:rPr>
      </w:pPr>
      <w:r>
        <w:rPr>
          <w:rFonts w:ascii="Times New Roman" w:eastAsia="Times New Roman" w:hAnsi="Times New Roman"/>
          <w:sz w:val="26"/>
          <w:szCs w:val="26"/>
          <w:highlight w:val="white"/>
          <w:lang w:eastAsia="ru-RU"/>
        </w:rPr>
        <w:tab/>
        <w:t>- 46,6 млн руб. списано с расчетных счетов кредитными организациями и финансовыми органами;</w:t>
      </w:r>
    </w:p>
    <w:p w14:paraId="71C526BA" w14:textId="77777777" w:rsidR="002449C2" w:rsidRDefault="00123961">
      <w:pPr>
        <w:shd w:val="clear" w:color="auto" w:fill="FFFFFF"/>
        <w:spacing w:after="0" w:line="240" w:lineRule="auto"/>
        <w:jc w:val="both"/>
        <w:rPr>
          <w:rFonts w:ascii="Times New Roman" w:eastAsia="Times New Roman" w:hAnsi="Times New Roman"/>
          <w:sz w:val="26"/>
          <w:szCs w:val="26"/>
          <w:highlight w:val="white"/>
          <w:lang w:eastAsia="ru-RU"/>
        </w:rPr>
      </w:pPr>
      <w:r>
        <w:rPr>
          <w:rFonts w:ascii="Times New Roman" w:eastAsia="Times New Roman" w:hAnsi="Times New Roman"/>
          <w:sz w:val="26"/>
          <w:szCs w:val="26"/>
          <w:highlight w:val="white"/>
          <w:lang w:eastAsia="ru-RU"/>
        </w:rPr>
        <w:tab/>
        <w:t>- 26,49 млн руб. взыскано во взаимодействии со службами судебных приставов.</w:t>
      </w:r>
    </w:p>
    <w:p w14:paraId="336B8F81" w14:textId="77777777" w:rsidR="002449C2" w:rsidRDefault="00123961">
      <w:pPr>
        <w:shd w:val="clear" w:color="auto" w:fill="FFFFFF"/>
        <w:spacing w:after="0" w:line="240" w:lineRule="auto"/>
        <w:jc w:val="both"/>
        <w:rPr>
          <w:rFonts w:ascii="Times New Roman" w:eastAsia="Times New Roman" w:hAnsi="Times New Roman"/>
          <w:sz w:val="26"/>
          <w:szCs w:val="26"/>
          <w:highlight w:val="white"/>
          <w:lang w:eastAsia="ru-RU"/>
        </w:rPr>
      </w:pPr>
      <w:r>
        <w:rPr>
          <w:rFonts w:ascii="Times New Roman" w:eastAsia="Times New Roman" w:hAnsi="Times New Roman"/>
          <w:sz w:val="26"/>
          <w:szCs w:val="26"/>
          <w:highlight w:val="white"/>
          <w:lang w:eastAsia="ru-RU"/>
        </w:rPr>
        <w:tab/>
        <w:t>Остаток требований по исполнительным документам по состоянию на 01.01.2024 составил 814,87 млн руб., по состоянию на 01.01.2025 - 211,28 млн руб.</w:t>
      </w:r>
    </w:p>
    <w:p w14:paraId="406D0AED" w14:textId="77777777" w:rsidR="002449C2" w:rsidRDefault="00123961">
      <w:pPr>
        <w:shd w:val="clear" w:color="auto" w:fill="FFFFFF"/>
        <w:spacing w:after="0" w:line="240" w:lineRule="auto"/>
        <w:jc w:val="both"/>
        <w:rPr>
          <w:rFonts w:ascii="Times New Roman" w:eastAsia="Times New Roman" w:hAnsi="Times New Roman"/>
          <w:sz w:val="26"/>
          <w:szCs w:val="26"/>
          <w:highlight w:val="white"/>
          <w:lang w:eastAsia="ru-RU"/>
        </w:rPr>
      </w:pPr>
      <w:r>
        <w:rPr>
          <w:rFonts w:ascii="Times New Roman" w:eastAsia="Times New Roman" w:hAnsi="Times New Roman"/>
          <w:sz w:val="26"/>
          <w:szCs w:val="26"/>
          <w:highlight w:val="white"/>
          <w:lang w:eastAsia="ru-RU"/>
        </w:rPr>
        <w:tab/>
        <w:t>Таким образом, в 2024 году остаток задолженности по исполнительным листам снизился на 603,59 млн руб.</w:t>
      </w:r>
    </w:p>
    <w:p w14:paraId="3248EF61" w14:textId="77777777" w:rsidR="002449C2" w:rsidRDefault="002449C2">
      <w:pPr>
        <w:shd w:val="clear" w:color="auto" w:fill="FFFFFF"/>
        <w:spacing w:after="0" w:line="240" w:lineRule="auto"/>
        <w:ind w:firstLine="708"/>
        <w:jc w:val="both"/>
        <w:rPr>
          <w:rFonts w:ascii="Times New Roman" w:eastAsia="Times New Roman" w:hAnsi="Times New Roman"/>
          <w:sz w:val="26"/>
          <w:szCs w:val="26"/>
          <w:highlight w:val="white"/>
          <w:lang w:eastAsia="ru-RU"/>
        </w:rPr>
      </w:pPr>
    </w:p>
    <w:p w14:paraId="33142871" w14:textId="77777777" w:rsidR="002449C2" w:rsidRDefault="00123961">
      <w:pPr>
        <w:shd w:val="clear" w:color="auto" w:fill="FFFFFF"/>
        <w:spacing w:after="0" w:line="240" w:lineRule="auto"/>
        <w:ind w:firstLine="708"/>
        <w:jc w:val="both"/>
        <w:rPr>
          <w:rFonts w:ascii="Times New Roman" w:eastAsia="Times New Roman" w:hAnsi="Times New Roman"/>
          <w:b/>
          <w:sz w:val="26"/>
          <w:szCs w:val="26"/>
          <w:highlight w:val="white"/>
          <w:lang w:eastAsia="ru-RU"/>
        </w:rPr>
      </w:pPr>
      <w:r>
        <w:rPr>
          <w:rFonts w:ascii="Times New Roman" w:eastAsia="Times New Roman" w:hAnsi="Times New Roman"/>
          <w:b/>
          <w:sz w:val="26"/>
          <w:szCs w:val="26"/>
          <w:highlight w:val="white"/>
          <w:lang w:eastAsia="ru-RU"/>
        </w:rPr>
        <w:t xml:space="preserve">Информация о снижении остатка отсуженной задолженности </w:t>
      </w:r>
    </w:p>
    <w:p w14:paraId="2760467A" w14:textId="77777777" w:rsidR="002449C2" w:rsidRDefault="00123961">
      <w:pPr>
        <w:shd w:val="clear" w:color="auto" w:fill="FFFFFF"/>
        <w:spacing w:after="0" w:line="240" w:lineRule="auto"/>
        <w:ind w:firstLine="708"/>
        <w:jc w:val="right"/>
        <w:rPr>
          <w:rFonts w:ascii="Times New Roman" w:eastAsia="Times New Roman" w:hAnsi="Times New Roman"/>
          <w:sz w:val="28"/>
          <w:szCs w:val="28"/>
          <w:highlight w:val="white"/>
          <w:lang w:eastAsia="ru-RU"/>
        </w:rPr>
      </w:pPr>
      <w:r>
        <w:rPr>
          <w:rFonts w:ascii="Times New Roman" w:eastAsia="Times New Roman" w:hAnsi="Times New Roman"/>
          <w:bCs/>
          <w:iCs/>
          <w:color w:val="000000"/>
          <w:sz w:val="24"/>
          <w:szCs w:val="24"/>
          <w:highlight w:val="white"/>
          <w:lang w:eastAsia="ru-RU"/>
        </w:rPr>
        <w:t>млн руб.</w:t>
      </w:r>
    </w:p>
    <w:tbl>
      <w:tblPr>
        <w:tblW w:w="9351" w:type="dxa"/>
        <w:tblLayout w:type="fixed"/>
        <w:tblLook w:val="04A0" w:firstRow="1" w:lastRow="0" w:firstColumn="1" w:lastColumn="0" w:noHBand="0" w:noVBand="1"/>
      </w:tblPr>
      <w:tblGrid>
        <w:gridCol w:w="2972"/>
        <w:gridCol w:w="2129"/>
        <w:gridCol w:w="2124"/>
        <w:gridCol w:w="2126"/>
      </w:tblGrid>
      <w:tr w:rsidR="002449C2" w14:paraId="1C5FF417" w14:textId="77777777">
        <w:tc>
          <w:tcPr>
            <w:tcW w:w="2971" w:type="dxa"/>
            <w:tcBorders>
              <w:top w:val="single" w:sz="4" w:space="0" w:color="000000"/>
              <w:left w:val="single" w:sz="4" w:space="0" w:color="000000"/>
              <w:bottom w:val="single" w:sz="4" w:space="0" w:color="000000"/>
              <w:right w:val="single" w:sz="4" w:space="0" w:color="000000"/>
            </w:tcBorders>
          </w:tcPr>
          <w:p w14:paraId="337C7E7A" w14:textId="77777777" w:rsidR="002449C2" w:rsidRDefault="00123961">
            <w:pPr>
              <w:shd w:val="clear" w:color="auto" w:fill="FFFFFF"/>
              <w:spacing w:after="0" w:line="240" w:lineRule="auto"/>
              <w:jc w:val="both"/>
              <w:rPr>
                <w:rFonts w:ascii="Times New Roman" w:eastAsia="Times New Roman" w:hAnsi="Times New Roman"/>
                <w:sz w:val="24"/>
                <w:szCs w:val="24"/>
                <w:highlight w:val="white"/>
                <w:lang w:eastAsia="ru-RU"/>
              </w:rPr>
            </w:pPr>
            <w:r>
              <w:rPr>
                <w:rFonts w:ascii="Times New Roman" w:eastAsia="Times New Roman" w:hAnsi="Times New Roman"/>
                <w:sz w:val="24"/>
                <w:szCs w:val="24"/>
                <w:highlight w:val="white"/>
                <w:lang w:eastAsia="ru-RU"/>
              </w:rPr>
              <w:t>Показатели работы с исп. документами</w:t>
            </w:r>
          </w:p>
        </w:tc>
        <w:tc>
          <w:tcPr>
            <w:tcW w:w="2129" w:type="dxa"/>
            <w:tcBorders>
              <w:top w:val="single" w:sz="4" w:space="0" w:color="000000"/>
              <w:left w:val="single" w:sz="4" w:space="0" w:color="000000"/>
              <w:bottom w:val="single" w:sz="4" w:space="0" w:color="000000"/>
              <w:right w:val="single" w:sz="4" w:space="0" w:color="000000"/>
            </w:tcBorders>
            <w:vAlign w:val="center"/>
          </w:tcPr>
          <w:p w14:paraId="4A0CE516" w14:textId="77777777" w:rsidR="002449C2" w:rsidRDefault="00123961">
            <w:pPr>
              <w:shd w:val="clear" w:color="auto" w:fill="FFFFFF"/>
              <w:spacing w:after="0" w:line="240" w:lineRule="auto"/>
              <w:jc w:val="center"/>
              <w:rPr>
                <w:rFonts w:ascii="Times New Roman" w:eastAsia="Times New Roman" w:hAnsi="Times New Roman"/>
                <w:sz w:val="24"/>
                <w:szCs w:val="24"/>
                <w:highlight w:val="white"/>
                <w:lang w:eastAsia="ru-RU"/>
              </w:rPr>
            </w:pPr>
            <w:r>
              <w:rPr>
                <w:rFonts w:ascii="Times New Roman" w:eastAsia="Times New Roman" w:hAnsi="Times New Roman"/>
                <w:sz w:val="24"/>
                <w:szCs w:val="24"/>
                <w:highlight w:val="white"/>
                <w:lang w:eastAsia="ru-RU"/>
              </w:rPr>
              <w:t>2022 год</w:t>
            </w:r>
          </w:p>
        </w:tc>
        <w:tc>
          <w:tcPr>
            <w:tcW w:w="2124" w:type="dxa"/>
            <w:tcBorders>
              <w:top w:val="single" w:sz="4" w:space="0" w:color="000000"/>
              <w:left w:val="single" w:sz="4" w:space="0" w:color="000000"/>
              <w:bottom w:val="single" w:sz="4" w:space="0" w:color="000000"/>
              <w:right w:val="single" w:sz="4" w:space="0" w:color="000000"/>
            </w:tcBorders>
            <w:vAlign w:val="center"/>
          </w:tcPr>
          <w:p w14:paraId="6BBD63DE" w14:textId="77777777" w:rsidR="002449C2" w:rsidRDefault="00123961">
            <w:pPr>
              <w:shd w:val="clear" w:color="auto" w:fill="FFFFFF"/>
              <w:spacing w:after="0" w:line="240" w:lineRule="auto"/>
              <w:jc w:val="center"/>
              <w:rPr>
                <w:rFonts w:ascii="Times New Roman" w:eastAsia="Times New Roman" w:hAnsi="Times New Roman"/>
                <w:sz w:val="24"/>
                <w:szCs w:val="24"/>
                <w:highlight w:val="white"/>
                <w:lang w:eastAsia="ru-RU"/>
              </w:rPr>
            </w:pPr>
            <w:r>
              <w:rPr>
                <w:rFonts w:ascii="Times New Roman" w:eastAsia="Times New Roman" w:hAnsi="Times New Roman"/>
                <w:sz w:val="24"/>
                <w:szCs w:val="24"/>
                <w:highlight w:val="white"/>
                <w:lang w:eastAsia="ru-RU"/>
              </w:rPr>
              <w:t>2023 год</w:t>
            </w:r>
          </w:p>
        </w:tc>
        <w:tc>
          <w:tcPr>
            <w:tcW w:w="2126" w:type="dxa"/>
            <w:tcBorders>
              <w:top w:val="single" w:sz="4" w:space="0" w:color="000000"/>
              <w:left w:val="single" w:sz="4" w:space="0" w:color="000000"/>
              <w:bottom w:val="single" w:sz="4" w:space="0" w:color="000000"/>
              <w:right w:val="single" w:sz="4" w:space="0" w:color="000000"/>
            </w:tcBorders>
            <w:vAlign w:val="center"/>
          </w:tcPr>
          <w:p w14:paraId="5BAD248C" w14:textId="77777777" w:rsidR="002449C2" w:rsidRDefault="00123961">
            <w:pPr>
              <w:shd w:val="clear" w:color="auto" w:fill="FFFFFF"/>
              <w:spacing w:after="0" w:line="240" w:lineRule="auto"/>
              <w:jc w:val="center"/>
              <w:rPr>
                <w:rFonts w:ascii="Times New Roman" w:eastAsia="Times New Roman" w:hAnsi="Times New Roman"/>
                <w:sz w:val="24"/>
                <w:szCs w:val="24"/>
                <w:highlight w:val="white"/>
                <w:lang w:eastAsia="ru-RU"/>
              </w:rPr>
            </w:pPr>
            <w:r>
              <w:rPr>
                <w:rFonts w:ascii="Times New Roman" w:eastAsia="Times New Roman" w:hAnsi="Times New Roman"/>
                <w:sz w:val="24"/>
                <w:szCs w:val="24"/>
                <w:highlight w:val="white"/>
                <w:lang w:eastAsia="ru-RU"/>
              </w:rPr>
              <w:t>2024 год</w:t>
            </w:r>
          </w:p>
        </w:tc>
      </w:tr>
      <w:tr w:rsidR="002449C2" w14:paraId="2A6BA781" w14:textId="77777777">
        <w:tc>
          <w:tcPr>
            <w:tcW w:w="2971" w:type="dxa"/>
            <w:tcBorders>
              <w:top w:val="single" w:sz="4" w:space="0" w:color="000000"/>
              <w:left w:val="single" w:sz="4" w:space="0" w:color="000000"/>
              <w:bottom w:val="single" w:sz="4" w:space="0" w:color="000000"/>
              <w:right w:val="single" w:sz="4" w:space="0" w:color="000000"/>
            </w:tcBorders>
          </w:tcPr>
          <w:p w14:paraId="2823D90B" w14:textId="77777777" w:rsidR="002449C2" w:rsidRDefault="00123961">
            <w:pPr>
              <w:shd w:val="clear" w:color="auto" w:fill="FFFFFF"/>
              <w:spacing w:after="0" w:line="240" w:lineRule="auto"/>
              <w:rPr>
                <w:rFonts w:ascii="Times New Roman" w:eastAsia="Times New Roman" w:hAnsi="Times New Roman"/>
                <w:sz w:val="24"/>
                <w:szCs w:val="24"/>
                <w:highlight w:val="white"/>
                <w:lang w:eastAsia="ru-RU"/>
              </w:rPr>
            </w:pPr>
            <w:r>
              <w:rPr>
                <w:rFonts w:ascii="Times New Roman" w:eastAsia="Times New Roman" w:hAnsi="Times New Roman"/>
                <w:sz w:val="24"/>
                <w:szCs w:val="24"/>
                <w:highlight w:val="white"/>
                <w:lang w:eastAsia="ru-RU"/>
              </w:rPr>
              <w:t>Остаток требований по итогам года</w:t>
            </w:r>
          </w:p>
        </w:tc>
        <w:tc>
          <w:tcPr>
            <w:tcW w:w="2129" w:type="dxa"/>
            <w:tcBorders>
              <w:top w:val="single" w:sz="4" w:space="0" w:color="000000"/>
              <w:left w:val="single" w:sz="4" w:space="0" w:color="000000"/>
              <w:bottom w:val="single" w:sz="4" w:space="0" w:color="000000"/>
              <w:right w:val="single" w:sz="4" w:space="0" w:color="000000"/>
            </w:tcBorders>
            <w:vAlign w:val="center"/>
          </w:tcPr>
          <w:p w14:paraId="024A47CD" w14:textId="77777777" w:rsidR="002449C2" w:rsidRDefault="00123961">
            <w:pPr>
              <w:shd w:val="clear" w:color="auto" w:fill="FFFFFF"/>
              <w:spacing w:after="0" w:line="240" w:lineRule="auto"/>
              <w:jc w:val="center"/>
              <w:rPr>
                <w:rFonts w:ascii="Times New Roman" w:eastAsia="Times New Roman" w:hAnsi="Times New Roman"/>
                <w:sz w:val="24"/>
                <w:szCs w:val="24"/>
                <w:highlight w:val="white"/>
                <w:lang w:eastAsia="ru-RU"/>
              </w:rPr>
            </w:pPr>
            <w:r>
              <w:rPr>
                <w:rFonts w:ascii="Times New Roman" w:eastAsia="Times New Roman" w:hAnsi="Times New Roman"/>
                <w:sz w:val="24"/>
                <w:szCs w:val="24"/>
                <w:highlight w:val="white"/>
                <w:lang w:eastAsia="ru-RU"/>
              </w:rPr>
              <w:t>852,30</w:t>
            </w:r>
          </w:p>
        </w:tc>
        <w:tc>
          <w:tcPr>
            <w:tcW w:w="2124" w:type="dxa"/>
            <w:tcBorders>
              <w:top w:val="single" w:sz="4" w:space="0" w:color="000000"/>
              <w:left w:val="single" w:sz="4" w:space="0" w:color="000000"/>
              <w:bottom w:val="single" w:sz="4" w:space="0" w:color="000000"/>
              <w:right w:val="single" w:sz="4" w:space="0" w:color="000000"/>
            </w:tcBorders>
            <w:vAlign w:val="center"/>
          </w:tcPr>
          <w:p w14:paraId="76B13DEA" w14:textId="77777777" w:rsidR="002449C2" w:rsidRDefault="00123961">
            <w:pPr>
              <w:shd w:val="clear" w:color="auto" w:fill="FFFFFF"/>
              <w:spacing w:after="0" w:line="240" w:lineRule="auto"/>
              <w:jc w:val="center"/>
              <w:rPr>
                <w:rFonts w:ascii="Times New Roman" w:eastAsia="Times New Roman" w:hAnsi="Times New Roman"/>
                <w:sz w:val="24"/>
                <w:szCs w:val="24"/>
                <w:highlight w:val="white"/>
                <w:lang w:eastAsia="ru-RU"/>
              </w:rPr>
            </w:pPr>
            <w:r>
              <w:rPr>
                <w:rFonts w:ascii="Times New Roman" w:eastAsia="Times New Roman" w:hAnsi="Times New Roman"/>
                <w:sz w:val="24"/>
                <w:szCs w:val="24"/>
                <w:highlight w:val="white"/>
                <w:lang w:eastAsia="ru-RU"/>
              </w:rPr>
              <w:t>814,87</w:t>
            </w:r>
          </w:p>
        </w:tc>
        <w:tc>
          <w:tcPr>
            <w:tcW w:w="2126" w:type="dxa"/>
            <w:tcBorders>
              <w:top w:val="single" w:sz="4" w:space="0" w:color="000000"/>
              <w:left w:val="single" w:sz="4" w:space="0" w:color="000000"/>
              <w:bottom w:val="single" w:sz="4" w:space="0" w:color="000000"/>
              <w:right w:val="single" w:sz="4" w:space="0" w:color="000000"/>
            </w:tcBorders>
            <w:vAlign w:val="center"/>
          </w:tcPr>
          <w:p w14:paraId="08A12DEE" w14:textId="77777777" w:rsidR="002449C2" w:rsidRDefault="00123961">
            <w:pPr>
              <w:shd w:val="clear" w:color="auto" w:fill="FFFFFF"/>
              <w:spacing w:after="0" w:line="240" w:lineRule="auto"/>
              <w:jc w:val="center"/>
              <w:rPr>
                <w:rFonts w:ascii="Times New Roman" w:eastAsia="Times New Roman" w:hAnsi="Times New Roman"/>
                <w:sz w:val="24"/>
                <w:szCs w:val="24"/>
                <w:highlight w:val="white"/>
                <w:lang w:eastAsia="ru-RU"/>
              </w:rPr>
            </w:pPr>
            <w:r>
              <w:rPr>
                <w:rFonts w:ascii="Times New Roman" w:eastAsia="Times New Roman" w:hAnsi="Times New Roman"/>
                <w:sz w:val="24"/>
                <w:szCs w:val="24"/>
                <w:highlight w:val="white"/>
                <w:lang w:eastAsia="ru-RU"/>
              </w:rPr>
              <w:t>211,28</w:t>
            </w:r>
          </w:p>
        </w:tc>
      </w:tr>
      <w:tr w:rsidR="002449C2" w14:paraId="3089245B" w14:textId="77777777">
        <w:tc>
          <w:tcPr>
            <w:tcW w:w="2971" w:type="dxa"/>
            <w:tcBorders>
              <w:top w:val="single" w:sz="4" w:space="0" w:color="000000"/>
              <w:left w:val="single" w:sz="4" w:space="0" w:color="000000"/>
              <w:bottom w:val="single" w:sz="4" w:space="0" w:color="000000"/>
              <w:right w:val="single" w:sz="4" w:space="0" w:color="000000"/>
            </w:tcBorders>
          </w:tcPr>
          <w:p w14:paraId="7F05C17F" w14:textId="77777777" w:rsidR="002449C2" w:rsidRDefault="00123961">
            <w:pPr>
              <w:shd w:val="clear" w:color="auto" w:fill="FFFFFF"/>
              <w:spacing w:after="0" w:line="240" w:lineRule="auto"/>
              <w:rPr>
                <w:rFonts w:ascii="Times New Roman" w:eastAsia="Times New Roman" w:hAnsi="Times New Roman"/>
                <w:sz w:val="24"/>
                <w:szCs w:val="24"/>
                <w:highlight w:val="white"/>
                <w:lang w:eastAsia="ru-RU"/>
              </w:rPr>
            </w:pPr>
            <w:r>
              <w:rPr>
                <w:rFonts w:ascii="Times New Roman" w:eastAsia="Times New Roman" w:hAnsi="Times New Roman"/>
                <w:sz w:val="24"/>
                <w:szCs w:val="24"/>
                <w:highlight w:val="white"/>
                <w:lang w:eastAsia="ru-RU"/>
              </w:rPr>
              <w:t>Динамика - снижение остатка задолженности</w:t>
            </w:r>
          </w:p>
        </w:tc>
        <w:tc>
          <w:tcPr>
            <w:tcW w:w="2129" w:type="dxa"/>
            <w:tcBorders>
              <w:top w:val="single" w:sz="4" w:space="0" w:color="000000"/>
              <w:left w:val="single" w:sz="4" w:space="0" w:color="000000"/>
              <w:bottom w:val="single" w:sz="4" w:space="0" w:color="000000"/>
              <w:right w:val="single" w:sz="4" w:space="0" w:color="000000"/>
            </w:tcBorders>
            <w:vAlign w:val="center"/>
          </w:tcPr>
          <w:p w14:paraId="1ADD29D6" w14:textId="77777777" w:rsidR="002449C2" w:rsidRDefault="00123961">
            <w:pPr>
              <w:shd w:val="clear" w:color="auto" w:fill="FFFFFF"/>
              <w:spacing w:after="0" w:line="240" w:lineRule="auto"/>
              <w:jc w:val="center"/>
              <w:rPr>
                <w:rFonts w:ascii="Times New Roman" w:eastAsia="Times New Roman" w:hAnsi="Times New Roman"/>
                <w:sz w:val="24"/>
                <w:szCs w:val="24"/>
                <w:highlight w:val="white"/>
                <w:lang w:eastAsia="ru-RU"/>
              </w:rPr>
            </w:pPr>
            <w:r>
              <w:rPr>
                <w:rFonts w:ascii="Times New Roman" w:eastAsia="Times New Roman" w:hAnsi="Times New Roman"/>
                <w:sz w:val="24"/>
                <w:szCs w:val="24"/>
                <w:highlight w:val="white"/>
                <w:lang w:eastAsia="ru-RU"/>
              </w:rPr>
              <w:t>172,99</w:t>
            </w:r>
          </w:p>
        </w:tc>
        <w:tc>
          <w:tcPr>
            <w:tcW w:w="2124" w:type="dxa"/>
            <w:tcBorders>
              <w:top w:val="single" w:sz="4" w:space="0" w:color="000000"/>
              <w:left w:val="single" w:sz="4" w:space="0" w:color="000000"/>
              <w:bottom w:val="single" w:sz="4" w:space="0" w:color="000000"/>
              <w:right w:val="single" w:sz="4" w:space="0" w:color="000000"/>
            </w:tcBorders>
            <w:vAlign w:val="center"/>
          </w:tcPr>
          <w:p w14:paraId="319AC498" w14:textId="77777777" w:rsidR="002449C2" w:rsidRDefault="00123961">
            <w:pPr>
              <w:shd w:val="clear" w:color="auto" w:fill="FFFFFF"/>
              <w:spacing w:after="0" w:line="240" w:lineRule="auto"/>
              <w:jc w:val="center"/>
              <w:rPr>
                <w:rFonts w:ascii="Times New Roman" w:eastAsia="Times New Roman" w:hAnsi="Times New Roman"/>
                <w:sz w:val="24"/>
                <w:szCs w:val="24"/>
                <w:highlight w:val="white"/>
                <w:lang w:eastAsia="ru-RU"/>
              </w:rPr>
            </w:pPr>
            <w:r>
              <w:rPr>
                <w:rFonts w:ascii="Times New Roman" w:eastAsia="Times New Roman" w:hAnsi="Times New Roman"/>
                <w:sz w:val="24"/>
                <w:szCs w:val="24"/>
                <w:highlight w:val="white"/>
                <w:lang w:eastAsia="ru-RU"/>
              </w:rPr>
              <w:t>37,71</w:t>
            </w:r>
          </w:p>
        </w:tc>
        <w:tc>
          <w:tcPr>
            <w:tcW w:w="2126" w:type="dxa"/>
            <w:tcBorders>
              <w:top w:val="single" w:sz="4" w:space="0" w:color="000000"/>
              <w:left w:val="single" w:sz="4" w:space="0" w:color="000000"/>
              <w:bottom w:val="single" w:sz="4" w:space="0" w:color="000000"/>
              <w:right w:val="single" w:sz="4" w:space="0" w:color="000000"/>
            </w:tcBorders>
            <w:vAlign w:val="center"/>
          </w:tcPr>
          <w:p w14:paraId="1974CA7F" w14:textId="77777777" w:rsidR="002449C2" w:rsidRDefault="00123961">
            <w:pPr>
              <w:shd w:val="clear" w:color="auto" w:fill="FFFFFF"/>
              <w:spacing w:after="0" w:line="240" w:lineRule="auto"/>
              <w:jc w:val="center"/>
              <w:rPr>
                <w:rFonts w:ascii="Times New Roman" w:eastAsia="Times New Roman" w:hAnsi="Times New Roman"/>
                <w:sz w:val="24"/>
                <w:szCs w:val="24"/>
                <w:highlight w:val="white"/>
                <w:lang w:eastAsia="ru-RU"/>
              </w:rPr>
            </w:pPr>
            <w:r>
              <w:rPr>
                <w:rFonts w:ascii="Times New Roman" w:eastAsia="Times New Roman" w:hAnsi="Times New Roman"/>
                <w:sz w:val="24"/>
                <w:szCs w:val="24"/>
                <w:highlight w:val="white"/>
                <w:lang w:eastAsia="ru-RU"/>
              </w:rPr>
              <w:t>603,59</w:t>
            </w:r>
          </w:p>
        </w:tc>
      </w:tr>
    </w:tbl>
    <w:p w14:paraId="18449612" w14:textId="77777777" w:rsidR="002449C2" w:rsidRDefault="00123961">
      <w:pPr>
        <w:shd w:val="clear" w:color="auto" w:fill="FFFFFF"/>
        <w:tabs>
          <w:tab w:val="left" w:pos="9356"/>
        </w:tabs>
        <w:spacing w:after="0" w:line="240" w:lineRule="auto"/>
        <w:ind w:firstLine="709"/>
        <w:jc w:val="both"/>
        <w:rPr>
          <w:rFonts w:ascii="Times New Roman" w:hAnsi="Times New Roman" w:cs="Calibri"/>
          <w:sz w:val="26"/>
          <w:szCs w:val="26"/>
          <w:lang w:eastAsia="en-US"/>
        </w:rPr>
      </w:pPr>
      <w:r>
        <w:rPr>
          <w:rFonts w:ascii="Times New Roman" w:hAnsi="Times New Roman" w:cs="Calibri"/>
          <w:sz w:val="26"/>
          <w:szCs w:val="26"/>
          <w:lang w:eastAsia="en-US"/>
        </w:rPr>
        <w:t xml:space="preserve">Работа по снижению дебиторской задолженности за услуги по передаче электроэнергии в Обществе ведется в соответствии с положениями Регламента работы с дебиторской задолженностью за услуги по передаче электрической энергии, </w:t>
      </w:r>
      <w:r>
        <w:rPr>
          <w:rFonts w:ascii="Times New Roman" w:hAnsi="Times New Roman" w:cs="Calibri"/>
          <w:sz w:val="26"/>
          <w:szCs w:val="26"/>
          <w:shd w:val="clear" w:color="auto" w:fill="FFFFFF"/>
          <w:lang w:eastAsia="en-US"/>
        </w:rPr>
        <w:t>числящейся на балансе ПАО «Россети Юг», утвержденного приказом Общества от 03.10.2023 № 594</w:t>
      </w:r>
      <w:r>
        <w:rPr>
          <w:rFonts w:ascii="Times New Roman" w:hAnsi="Times New Roman" w:cs="Calibri"/>
          <w:sz w:val="26"/>
          <w:szCs w:val="26"/>
          <w:lang w:eastAsia="en-US"/>
        </w:rPr>
        <w:t>.</w:t>
      </w:r>
    </w:p>
    <w:p w14:paraId="1A3DF04E" w14:textId="77777777" w:rsidR="002449C2" w:rsidRDefault="00123961">
      <w:pPr>
        <w:shd w:val="clear" w:color="auto" w:fill="FFFFFF"/>
        <w:tabs>
          <w:tab w:val="left" w:pos="851"/>
        </w:tabs>
        <w:spacing w:before="120" w:after="120" w:line="240" w:lineRule="auto"/>
        <w:ind w:firstLine="567"/>
        <w:jc w:val="center"/>
        <w:rPr>
          <w:rFonts w:ascii="Times New Roman" w:hAnsi="Times New Roman"/>
          <w:b/>
          <w:color w:val="000000"/>
          <w:sz w:val="26"/>
          <w:szCs w:val="26"/>
          <w:lang w:eastAsia="en-US"/>
        </w:rPr>
      </w:pPr>
      <w:r>
        <w:rPr>
          <w:rFonts w:ascii="Times New Roman" w:hAnsi="Times New Roman"/>
          <w:b/>
          <w:color w:val="000000"/>
          <w:sz w:val="26"/>
          <w:szCs w:val="26"/>
          <w:lang w:eastAsia="en-US"/>
        </w:rPr>
        <w:t>Меры по возврату дебиторской задолженности</w:t>
      </w:r>
    </w:p>
    <w:p w14:paraId="5538A9EA" w14:textId="77777777" w:rsidR="002449C2" w:rsidRDefault="00123961">
      <w:pPr>
        <w:shd w:val="clear" w:color="auto" w:fill="FFFFFF"/>
        <w:tabs>
          <w:tab w:val="left" w:pos="9356"/>
        </w:tabs>
        <w:spacing w:after="0" w:line="240" w:lineRule="auto"/>
        <w:ind w:firstLine="709"/>
        <w:jc w:val="both"/>
        <w:rPr>
          <w:rFonts w:ascii="Times New Roman" w:hAnsi="Times New Roman" w:cs="Calibri"/>
          <w:sz w:val="26"/>
          <w:szCs w:val="26"/>
          <w:lang w:eastAsia="en-US"/>
        </w:rPr>
      </w:pPr>
      <w:r>
        <w:rPr>
          <w:rFonts w:ascii="Times New Roman" w:hAnsi="Times New Roman" w:cs="Calibri"/>
          <w:sz w:val="26"/>
          <w:szCs w:val="26"/>
          <w:lang w:eastAsia="en-US"/>
        </w:rPr>
        <w:t xml:space="preserve">В 2024 году в Обществе реализованы следующие мероприятия в отношении просроченной дебиторской задолженности: </w:t>
      </w:r>
    </w:p>
    <w:p w14:paraId="79DB5E14" w14:textId="77777777" w:rsidR="002449C2" w:rsidRDefault="00123961">
      <w:pPr>
        <w:shd w:val="clear" w:color="auto" w:fill="FFFFFF"/>
        <w:tabs>
          <w:tab w:val="left" w:pos="9356"/>
        </w:tabs>
        <w:spacing w:after="0" w:line="240" w:lineRule="auto"/>
        <w:ind w:firstLine="709"/>
        <w:jc w:val="both"/>
        <w:rPr>
          <w:rFonts w:ascii="Times New Roman" w:hAnsi="Times New Roman"/>
          <w:sz w:val="26"/>
          <w:szCs w:val="26"/>
          <w:lang w:eastAsia="en-US"/>
        </w:rPr>
      </w:pPr>
      <w:r>
        <w:rPr>
          <w:rFonts w:ascii="Times New Roman" w:hAnsi="Times New Roman"/>
          <w:sz w:val="24"/>
          <w:szCs w:val="24"/>
          <w:lang w:eastAsia="en-US"/>
        </w:rPr>
        <w:t xml:space="preserve">1. </w:t>
      </w:r>
      <w:r>
        <w:rPr>
          <w:rFonts w:ascii="Times New Roman" w:hAnsi="Times New Roman"/>
          <w:sz w:val="26"/>
          <w:szCs w:val="26"/>
          <w:lang w:eastAsia="en-US"/>
        </w:rPr>
        <w:t xml:space="preserve">Взыскание просроченной задолженности в судебном порядке. По состоянию на 31.12.2024 в судебном порядке в пользу Общества взыскана задолженность с общим объемом исковых требований на сумму 145,2 млн рублей. </w:t>
      </w:r>
    </w:p>
    <w:p w14:paraId="6FB530EE" w14:textId="77777777" w:rsidR="002449C2" w:rsidRDefault="00123961">
      <w:pPr>
        <w:shd w:val="clear" w:color="auto" w:fill="FFFFFF"/>
        <w:spacing w:after="0" w:line="240" w:lineRule="auto"/>
        <w:ind w:firstLine="708"/>
        <w:jc w:val="both"/>
        <w:rPr>
          <w:rFonts w:ascii="Times New Roman" w:hAnsi="Times New Roman"/>
          <w:sz w:val="26"/>
          <w:szCs w:val="26"/>
          <w:lang w:eastAsia="en-US"/>
        </w:rPr>
      </w:pPr>
      <w:r>
        <w:rPr>
          <w:rFonts w:ascii="Times New Roman" w:hAnsi="Times New Roman"/>
          <w:sz w:val="26"/>
          <w:szCs w:val="26"/>
          <w:lang w:eastAsia="en-US"/>
        </w:rPr>
        <w:t xml:space="preserve">2. Контроль взаимодействия с конкурсными управляющими в рамках процедуры банкротства (АО «Калмэнергосбыт», </w:t>
      </w:r>
      <w:r>
        <w:rPr>
          <w:rFonts w:ascii="Times New Roman" w:hAnsi="Times New Roman"/>
          <w:sz w:val="26"/>
          <w:szCs w:val="26"/>
        </w:rPr>
        <w:t xml:space="preserve">ООО «Ростовэнергосбыт», </w:t>
      </w:r>
      <w:r>
        <w:rPr>
          <w:rFonts w:ascii="Times New Roman" w:hAnsi="Times New Roman"/>
          <w:sz w:val="26"/>
          <w:szCs w:val="26"/>
          <w:lang w:eastAsia="en-US"/>
        </w:rPr>
        <w:t xml:space="preserve">МУП «Элиставодоканал», МУП «Коммунальное хозяйство» МРМО РК, МУП «Благоустройство», СНТ «Заря», ООО «ЮЭК», ООО «Орион», ООО «Камышинский ферросплавный завод», ООО «ЖКХ-Сервис», ЗАО «КЛФЗ»). </w:t>
      </w:r>
    </w:p>
    <w:p w14:paraId="15230A7B" w14:textId="77777777" w:rsidR="002449C2" w:rsidRDefault="00123961">
      <w:pPr>
        <w:shd w:val="clear" w:color="auto" w:fill="FFFFFF"/>
        <w:spacing w:after="0" w:line="240" w:lineRule="auto"/>
        <w:ind w:firstLine="708"/>
        <w:jc w:val="both"/>
        <w:rPr>
          <w:rFonts w:ascii="Times New Roman" w:hAnsi="Times New Roman"/>
          <w:sz w:val="26"/>
          <w:szCs w:val="26"/>
          <w:lang w:eastAsia="en-US"/>
        </w:rPr>
      </w:pPr>
      <w:r>
        <w:rPr>
          <w:rFonts w:ascii="Times New Roman" w:hAnsi="Times New Roman"/>
          <w:sz w:val="26"/>
          <w:szCs w:val="26"/>
          <w:lang w:eastAsia="en-US"/>
        </w:rPr>
        <w:t>3. В рамках процедуры банкротства от АО «Калмэнергосбыт» поступили денежные средства в размере 30,0 млн рублей в счет оплаты просроченной задолженности, включенной в реестр требований кредиторов.</w:t>
      </w:r>
    </w:p>
    <w:p w14:paraId="7C55D970" w14:textId="77777777" w:rsidR="002449C2" w:rsidRDefault="00123961">
      <w:pPr>
        <w:shd w:val="clear" w:color="auto" w:fill="FFFFFF"/>
        <w:tabs>
          <w:tab w:val="left" w:pos="9356"/>
        </w:tabs>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 xml:space="preserve">4. Участие в заседаниях рабочей группы при Наблюдательном совете Ассоциации «НП Совет рынка» с целью проведения анализа ситуации с расчетами ПАО «Волгоградэнергосбыт» на оптовом и розничных рынках электроэнергии, а также с сетевыми организациями региона.  </w:t>
      </w:r>
    </w:p>
    <w:p w14:paraId="048385D7" w14:textId="77777777" w:rsidR="002449C2" w:rsidRDefault="00123961">
      <w:pPr>
        <w:shd w:val="clear" w:color="auto" w:fill="FFFFFF"/>
        <w:tabs>
          <w:tab w:val="left" w:pos="9356"/>
        </w:tabs>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 xml:space="preserve">5. В рамках заключенного соглашения о реструктуризации задолженности между ПАО «Россети Юг» и АО «ВМЭС» в течение 2024 года контрагентом погашено 240,0 млн рублей просроченной реструктуризированной задолженности. </w:t>
      </w:r>
    </w:p>
    <w:p w14:paraId="44B24F2A" w14:textId="77777777" w:rsidR="002449C2" w:rsidRDefault="00123961">
      <w:pPr>
        <w:shd w:val="clear" w:color="auto" w:fill="FFFFFF"/>
        <w:tabs>
          <w:tab w:val="left" w:pos="9356"/>
        </w:tabs>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 xml:space="preserve">6. В рамках заключенного соглашения об урегулировании разногласий и реструктуризации задолженности между ПАО «Россети Юг» и ГУП РО «УРСВ» в течение 2024 года контрагентом погашено 45,9 млн рублей просроченной реструктуризированной задолженности. </w:t>
      </w:r>
    </w:p>
    <w:p w14:paraId="0793D1BB" w14:textId="77777777" w:rsidR="002449C2" w:rsidRDefault="00123961">
      <w:pPr>
        <w:shd w:val="clear" w:color="auto" w:fill="FFFFFF"/>
        <w:tabs>
          <w:tab w:val="left" w:pos="284"/>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10. В полном объеме урегулированы разногласия с ПАО «Астраханская энергосбытовая компания» за все расчетные периоды в размере 50,9 млн рублей.</w:t>
      </w:r>
    </w:p>
    <w:p w14:paraId="4CE1B3BF" w14:textId="77777777" w:rsidR="002449C2" w:rsidRDefault="00123961">
      <w:pPr>
        <w:shd w:val="clear" w:color="auto" w:fill="FFFFFF"/>
        <w:tabs>
          <w:tab w:val="left" w:pos="284"/>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11. Урегулированы разногласия с ПАО «Волгоградэнергосбыт» за периоды: май 2020 года - май 2021 года, июнь 2021 года - сентябрь 2021 года, октябрь 2021 года - июль 2022 года в размере 118,6 млн рублей.</w:t>
      </w:r>
    </w:p>
    <w:p w14:paraId="09B984CD" w14:textId="77777777" w:rsidR="002449C2" w:rsidRDefault="00123961">
      <w:pPr>
        <w:shd w:val="clear" w:color="auto" w:fill="FFFFFF"/>
        <w:tabs>
          <w:tab w:val="left" w:pos="284"/>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xml:space="preserve">12. Произведено списание просроченной дебиторской задолженности потребителей-банкротов: АО «Оборонэнергосбыт» в размере 53,9 млн рублей, ЗАО «ВМЗ «Красный Октябрь» в размере 523,4 млн рублей, ОАО «Нижноватомэнергосбыт» в размере 302,6 млн рублей, АО «Волгоградский судостроительный завод» в размере 50,4 млн рублей, ООО «ЖКХ Сервис» в размере 5,2 млн рублей, СНТ «Заря» в размере 1,5 млн рублей и ООО «Орион» в размере 0,5 млн рублей в виду завершения процедуры банкротства. </w:t>
      </w:r>
    </w:p>
    <w:p w14:paraId="2D285ADB" w14:textId="77777777" w:rsidR="002449C2" w:rsidRDefault="002449C2">
      <w:pPr>
        <w:shd w:val="clear" w:color="auto" w:fill="FFFFFF"/>
        <w:tabs>
          <w:tab w:val="left" w:pos="284"/>
        </w:tabs>
        <w:spacing w:after="0" w:line="240" w:lineRule="auto"/>
        <w:ind w:firstLine="567"/>
        <w:jc w:val="both"/>
        <w:rPr>
          <w:rFonts w:ascii="Times New Roman" w:hAnsi="Times New Roman"/>
          <w:sz w:val="26"/>
          <w:szCs w:val="26"/>
          <w:lang w:eastAsia="en-US"/>
        </w:rPr>
      </w:pPr>
    </w:p>
    <w:p w14:paraId="003247BF" w14:textId="77777777" w:rsidR="002449C2" w:rsidRDefault="00123961">
      <w:pPr>
        <w:shd w:val="clear" w:color="auto" w:fill="FFFFFF"/>
        <w:tabs>
          <w:tab w:val="left" w:pos="9356"/>
        </w:tabs>
        <w:spacing w:after="0" w:line="240" w:lineRule="auto"/>
        <w:ind w:firstLine="709"/>
        <w:jc w:val="both"/>
        <w:rPr>
          <w:rFonts w:cs="Calibri"/>
          <w:sz w:val="26"/>
          <w:szCs w:val="26"/>
          <w:lang w:eastAsia="en-US"/>
        </w:rPr>
      </w:pPr>
      <w:r>
        <w:rPr>
          <w:rFonts w:ascii="Times New Roman" w:hAnsi="Times New Roman" w:cs="Calibri"/>
          <w:sz w:val="26"/>
          <w:szCs w:val="26"/>
          <w:lang w:eastAsia="en-US"/>
        </w:rPr>
        <w:t xml:space="preserve">В результате </w:t>
      </w:r>
      <w:r>
        <w:rPr>
          <w:rFonts w:ascii="Times New Roman" w:hAnsi="Times New Roman"/>
          <w:sz w:val="26"/>
          <w:szCs w:val="26"/>
          <w:lang w:eastAsia="en-US"/>
        </w:rPr>
        <w:t>проведенной</w:t>
      </w:r>
      <w:r>
        <w:rPr>
          <w:rFonts w:ascii="Times New Roman" w:hAnsi="Times New Roman" w:cs="Calibri"/>
          <w:sz w:val="26"/>
          <w:szCs w:val="26"/>
          <w:lang w:eastAsia="en-US"/>
        </w:rPr>
        <w:t xml:space="preserve"> Обществом работы по взысканию просроченной дебиторской задолженности за оказанные услуги по передаче электроэнергии в </w:t>
      </w:r>
      <w:r>
        <w:rPr>
          <w:rFonts w:ascii="Times New Roman" w:hAnsi="Times New Roman"/>
          <w:sz w:val="26"/>
          <w:szCs w:val="26"/>
          <w:lang w:eastAsia="en-US"/>
        </w:rPr>
        <w:t>отчетном</w:t>
      </w:r>
      <w:r>
        <w:rPr>
          <w:rFonts w:ascii="Times New Roman" w:hAnsi="Times New Roman" w:cs="Calibri"/>
          <w:sz w:val="26"/>
          <w:szCs w:val="26"/>
          <w:lang w:eastAsia="en-US"/>
        </w:rPr>
        <w:t xml:space="preserve"> году получены положительные судебные решения в рамках 154 судебных дел на общую сумму требований 145,2 млн рублей, отказано во взыскании 26,6 млн рублей в рамках 15 дел. Доля удовлетворенных в пользу Общества требований составила 85%, что выше значения указанного показателя за </w:t>
      </w:r>
      <w:r>
        <w:rPr>
          <w:rFonts w:ascii="Times New Roman" w:hAnsi="Times New Roman"/>
          <w:sz w:val="26"/>
          <w:szCs w:val="26"/>
          <w:lang w:eastAsia="en-US"/>
        </w:rPr>
        <w:t>предыдущий год</w:t>
      </w:r>
      <w:r>
        <w:rPr>
          <w:rFonts w:ascii="Times New Roman" w:hAnsi="Times New Roman" w:cs="Calibri"/>
          <w:sz w:val="26"/>
          <w:szCs w:val="26"/>
          <w:lang w:eastAsia="en-US"/>
        </w:rPr>
        <w:t xml:space="preserve"> на 15 процентных пунктов.</w:t>
      </w:r>
    </w:p>
    <w:p w14:paraId="23F7291B" w14:textId="77777777" w:rsidR="002449C2" w:rsidRDefault="00123961">
      <w:pPr>
        <w:shd w:val="clear" w:color="auto" w:fill="FFFFFF"/>
        <w:tabs>
          <w:tab w:val="left" w:pos="9356"/>
        </w:tabs>
        <w:spacing w:after="0" w:line="240" w:lineRule="auto"/>
        <w:ind w:firstLine="709"/>
        <w:jc w:val="both"/>
        <w:rPr>
          <w:rFonts w:cs="Calibri"/>
          <w:sz w:val="26"/>
          <w:szCs w:val="26"/>
          <w:lang w:eastAsia="en-US"/>
        </w:rPr>
      </w:pPr>
      <w:r>
        <w:rPr>
          <w:rFonts w:ascii="Times New Roman" w:hAnsi="Times New Roman"/>
          <w:sz w:val="26"/>
          <w:szCs w:val="26"/>
          <w:lang w:eastAsia="en-US"/>
        </w:rPr>
        <w:t>За предыдущий отчетный год</w:t>
      </w:r>
      <w:r>
        <w:rPr>
          <w:rFonts w:ascii="Times New Roman" w:hAnsi="Times New Roman" w:cs="Calibri"/>
          <w:sz w:val="26"/>
          <w:szCs w:val="26"/>
          <w:lang w:eastAsia="en-US"/>
        </w:rPr>
        <w:t xml:space="preserve"> положительные судебные решения вынесены в отношении требований на сумму 1 166,3 млн рублей (128 дел), отказано на сумму 497,1 млн рублей (28 дел).</w:t>
      </w:r>
    </w:p>
    <w:p w14:paraId="5BF0A58F" w14:textId="77777777" w:rsidR="002449C2" w:rsidRDefault="00123961">
      <w:pPr>
        <w:shd w:val="clear" w:color="auto" w:fill="FFFFFF"/>
        <w:spacing w:after="0" w:line="240" w:lineRule="auto"/>
        <w:ind w:firstLine="708"/>
        <w:jc w:val="both"/>
        <w:rPr>
          <w:rFonts w:ascii="Times New Roman" w:hAnsi="Times New Roman"/>
          <w:sz w:val="26"/>
          <w:szCs w:val="26"/>
          <w:lang w:eastAsia="en-US"/>
        </w:rPr>
      </w:pPr>
      <w:r>
        <w:rPr>
          <w:rFonts w:ascii="Times New Roman" w:hAnsi="Times New Roman"/>
          <w:sz w:val="26"/>
          <w:szCs w:val="26"/>
          <w:lang w:eastAsia="en-US"/>
        </w:rPr>
        <w:t>Принудительное взыскание в отчетном году осуществлялось по исполнительным листам на сумму требований 1 054,43 млн рублей, из которых погашено 148,69 млн рублей (14,1%). В предыдущем году принудительное взыскание осуществлялось на сумму требований 1 208,55 млн рублей, из которых погашено 188,28 млн рублей (15,6%).</w:t>
      </w:r>
      <w:r>
        <w:rPr>
          <w:szCs w:val="21"/>
          <w:lang w:eastAsia="en-US"/>
        </w:rPr>
        <w:t xml:space="preserve"> </w:t>
      </w:r>
      <w:r>
        <w:rPr>
          <w:rFonts w:ascii="Times New Roman" w:hAnsi="Times New Roman"/>
          <w:sz w:val="26"/>
          <w:szCs w:val="26"/>
          <w:lang w:eastAsia="en-US"/>
        </w:rPr>
        <w:t>При этом, остаток требований по исполнительным листам снизился в 2024 году на 603,59 млн руб.</w:t>
      </w:r>
    </w:p>
    <w:p w14:paraId="3A0C4261" w14:textId="77777777" w:rsidR="002449C2" w:rsidRDefault="00123961">
      <w:pPr>
        <w:shd w:val="clear" w:color="auto" w:fill="FFFFFF"/>
        <w:spacing w:after="0" w:line="240" w:lineRule="auto"/>
        <w:ind w:firstLine="708"/>
        <w:jc w:val="both"/>
        <w:rPr>
          <w:color w:val="1F497D"/>
        </w:rPr>
      </w:pPr>
      <w:r>
        <w:rPr>
          <w:rFonts w:ascii="Times New Roman" w:hAnsi="Times New Roman"/>
          <w:sz w:val="26"/>
          <w:szCs w:val="26"/>
          <w:lang w:eastAsia="en-US"/>
        </w:rPr>
        <w:t>Охват просроченной задолженности мероприятиями, направленными на ее снижение, по состоянию на 31.12.2024 составляет 81,7%.</w:t>
      </w:r>
      <w:r>
        <w:rPr>
          <w:rFonts w:ascii="Times New Roman" w:hAnsi="Times New Roman"/>
          <w:sz w:val="24"/>
          <w:szCs w:val="24"/>
          <w:lang w:eastAsia="en-US"/>
        </w:rPr>
        <w:t xml:space="preserve"> </w:t>
      </w:r>
      <w:r>
        <w:rPr>
          <w:rFonts w:ascii="Times New Roman" w:hAnsi="Times New Roman"/>
          <w:sz w:val="26"/>
          <w:szCs w:val="26"/>
          <w:lang w:eastAsia="en-US"/>
        </w:rPr>
        <w:t xml:space="preserve">Невысокий процент охвата претензионно-исковой работой обусловлен наличием задолженности, сложившейся по актам неучтенного потребления, включенных в объем услуг на «отлагательных» условиях оплаты (задолженность, подлежащая оплате по условиям заключенных договоров после получения Гарантирующим поставщиком решения суда об истребовании такой задолженности с конечного потребителя). </w:t>
      </w:r>
    </w:p>
    <w:p w14:paraId="035B5E81" w14:textId="77777777" w:rsidR="002449C2" w:rsidRDefault="00123961">
      <w:pPr>
        <w:shd w:val="clear" w:color="auto" w:fill="FFFFFF"/>
        <w:tabs>
          <w:tab w:val="left" w:pos="851"/>
        </w:tabs>
        <w:spacing w:before="120" w:after="120" w:line="240" w:lineRule="auto"/>
        <w:ind w:firstLine="567"/>
        <w:jc w:val="center"/>
        <w:rPr>
          <w:rFonts w:ascii="Times New Roman" w:hAnsi="Times New Roman"/>
          <w:b/>
          <w:color w:val="000000"/>
          <w:sz w:val="26"/>
          <w:szCs w:val="26"/>
          <w:lang w:eastAsia="en-US"/>
        </w:rPr>
      </w:pPr>
      <w:r>
        <w:br w:type="page"/>
      </w:r>
    </w:p>
    <w:p w14:paraId="6345377A" w14:textId="77777777" w:rsidR="002449C2" w:rsidRDefault="00123961">
      <w:pPr>
        <w:shd w:val="clear" w:color="auto" w:fill="FFFFFF"/>
        <w:tabs>
          <w:tab w:val="left" w:pos="851"/>
        </w:tabs>
        <w:spacing w:after="120" w:line="240" w:lineRule="auto"/>
        <w:ind w:firstLine="567"/>
        <w:jc w:val="center"/>
        <w:rPr>
          <w:rFonts w:ascii="Times New Roman" w:hAnsi="Times New Roman"/>
          <w:b/>
          <w:color w:val="000000"/>
          <w:sz w:val="26"/>
          <w:szCs w:val="26"/>
          <w:lang w:eastAsia="en-US"/>
        </w:rPr>
      </w:pPr>
      <w:r>
        <w:rPr>
          <w:rFonts w:ascii="Times New Roman" w:hAnsi="Times New Roman"/>
          <w:b/>
          <w:color w:val="000000"/>
          <w:sz w:val="26"/>
          <w:szCs w:val="26"/>
          <w:lang w:eastAsia="en-US"/>
        </w:rPr>
        <w:t>Кредиторская задолженность</w:t>
      </w:r>
    </w:p>
    <w:p w14:paraId="716E417F" w14:textId="77777777" w:rsidR="002449C2" w:rsidRDefault="00123961">
      <w:pPr>
        <w:shd w:val="clear" w:color="auto" w:fill="FFFFFF"/>
        <w:spacing w:after="0" w:line="240" w:lineRule="auto"/>
        <w:jc w:val="center"/>
        <w:rPr>
          <w:rFonts w:ascii="Arial Narrow" w:eastAsia="Times New Roman" w:hAnsi="Arial Narrow"/>
          <w:b/>
          <w:sz w:val="24"/>
          <w:szCs w:val="24"/>
          <w:lang w:eastAsia="ru-RU"/>
        </w:rPr>
      </w:pPr>
      <w:r>
        <w:rPr>
          <w:noProof/>
          <w:lang w:eastAsia="ru-RU"/>
        </w:rPr>
        <mc:AlternateContent>
          <mc:Choice Requires="wps">
            <w:drawing>
              <wp:anchor distT="5080" distB="5080" distL="5080" distR="5080" simplePos="0" relativeHeight="103" behindDoc="0" locked="0" layoutInCell="1" allowOverlap="1" wp14:anchorId="3050A11D" wp14:editId="20419693">
                <wp:simplePos x="0" y="0"/>
                <wp:positionH relativeFrom="column">
                  <wp:posOffset>0</wp:posOffset>
                </wp:positionH>
                <wp:positionV relativeFrom="paragraph">
                  <wp:posOffset>635</wp:posOffset>
                </wp:positionV>
                <wp:extent cx="635000" cy="635000"/>
                <wp:effectExtent l="5080" t="5080" r="5080" b="5080"/>
                <wp:wrapNone/>
                <wp:docPr id="59" name="AutoShape 13" hidden="1"/>
                <wp:cNvGraphicFramePr/>
                <a:graphic xmlns:a="http://schemas.openxmlformats.org/drawingml/2006/main">
                  <a:graphicData uri="http://schemas.microsoft.com/office/word/2010/wordprocessingShape">
                    <wps:wsp>
                      <wps:cNvSpPr/>
                      <wps:spPr>
                        <a:xfrm>
                          <a:off x="0" y="0"/>
                          <a:ext cx="635040" cy="635040"/>
                        </a:xfrm>
                        <a:prstGeom prst="rect">
                          <a:avLst/>
                        </a:prstGeom>
                        <a:solidFill>
                          <a:srgbClr val="FFFFFF"/>
                        </a:solidFill>
                        <a:ln w="9525">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w:pict>
              <v:rect w14:anchorId="618D6DEF" id="AutoShape 13" o:spid="_x0000_s1026" style="position:absolute;margin-left:0;margin-top:.05pt;width:50pt;height:50pt;z-index:103;visibility:hidden;mso-wrap-style:square;mso-wrap-distance-left:.4pt;mso-wrap-distance-top:.4pt;mso-wrap-distance-right:.4pt;mso-wrap-distance-bottom:.4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">
                <v:stroke joinstyle="round"/>
              </v:rect>
            </w:pict>
          </mc:Fallback>
        </mc:AlternateContent>
      </w:r>
      <w:r>
        <w:rPr>
          <w:noProof/>
          <w:lang w:eastAsia="ru-RU"/>
        </w:rPr>
        <w:drawing>
          <wp:inline distT="0" distB="0" distL="0" distR="0" wp14:anchorId="0F3A525B" wp14:editId="4B763570">
            <wp:extent cx="5013960" cy="2705100"/>
            <wp:effectExtent l="0" t="0" r="0" b="0"/>
            <wp:docPr id="6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7"/>
                    <pic:cNvPicPr>
                      <a:picLocks noChangeAspect="1" noChangeArrowheads="1"/>
                    </pic:cNvPicPr>
                  </pic:nvPicPr>
                  <pic:blipFill>
                    <a:blip r:embed="rId88"/>
                    <a:stretch>
                      <a:fillRect/>
                    </a:stretch>
                  </pic:blipFill>
                  <pic:spPr bwMode="auto">
                    <a:xfrm>
                      <a:off x="0" y="0"/>
                      <a:ext cx="5013960" cy="2705100"/>
                    </a:xfrm>
                    <a:prstGeom prst="rect">
                      <a:avLst/>
                    </a:prstGeom>
                    <a:noFill/>
                  </pic:spPr>
                </pic:pic>
              </a:graphicData>
            </a:graphic>
          </wp:inline>
        </w:drawing>
      </w:r>
    </w:p>
    <w:p w14:paraId="2DD3A0D8" w14:textId="77777777" w:rsidR="002449C2" w:rsidRDefault="002449C2">
      <w:pPr>
        <w:shd w:val="clear" w:color="auto" w:fill="FFFFFF"/>
        <w:spacing w:after="0" w:line="240" w:lineRule="auto"/>
        <w:ind w:firstLine="567"/>
        <w:jc w:val="both"/>
        <w:rPr>
          <w:rFonts w:ascii="Times New Roman" w:hAnsi="Times New Roman"/>
          <w:b/>
          <w:sz w:val="24"/>
          <w:szCs w:val="24"/>
          <w:lang w:eastAsia="en-US"/>
        </w:rPr>
      </w:pPr>
    </w:p>
    <w:tbl>
      <w:tblPr>
        <w:tblW w:w="9639" w:type="dxa"/>
        <w:tblInd w:w="109" w:type="dxa"/>
        <w:tblLayout w:type="fixed"/>
        <w:tblLook w:val="04A0" w:firstRow="1" w:lastRow="0" w:firstColumn="1" w:lastColumn="0" w:noHBand="0" w:noVBand="1"/>
      </w:tblPr>
      <w:tblGrid>
        <w:gridCol w:w="4967"/>
        <w:gridCol w:w="1415"/>
        <w:gridCol w:w="1415"/>
        <w:gridCol w:w="1842"/>
      </w:tblGrid>
      <w:tr w:rsidR="002449C2" w14:paraId="3E831388" w14:textId="77777777">
        <w:trPr>
          <w:trHeight w:val="593"/>
          <w:tblHeader/>
        </w:trPr>
        <w:tc>
          <w:tcPr>
            <w:tcW w:w="4966" w:type="dxa"/>
            <w:tcBorders>
              <w:top w:val="single" w:sz="8" w:space="0" w:color="000000"/>
              <w:left w:val="single" w:sz="8" w:space="0" w:color="000000"/>
              <w:bottom w:val="single" w:sz="8" w:space="0" w:color="000000"/>
              <w:right w:val="single" w:sz="8" w:space="0" w:color="000000"/>
            </w:tcBorders>
            <w:vAlign w:val="center"/>
          </w:tcPr>
          <w:p w14:paraId="2ACE541D" w14:textId="77777777" w:rsidR="002449C2" w:rsidRDefault="00123961">
            <w:pPr>
              <w:shd w:val="clear" w:color="auto" w:fill="FFFFFF"/>
              <w:spacing w:after="0" w:line="240" w:lineRule="auto"/>
              <w:ind w:firstLine="284"/>
              <w:jc w:val="center"/>
              <w:rPr>
                <w:rFonts w:ascii="Times New Roman" w:hAnsi="Times New Roman"/>
                <w:bCs/>
                <w:sz w:val="24"/>
                <w:szCs w:val="24"/>
              </w:rPr>
            </w:pPr>
            <w:r>
              <w:rPr>
                <w:rFonts w:ascii="Times New Roman" w:hAnsi="Times New Roman"/>
                <w:bCs/>
                <w:sz w:val="24"/>
                <w:szCs w:val="24"/>
              </w:rPr>
              <w:t>Показатель</w:t>
            </w:r>
          </w:p>
        </w:tc>
        <w:tc>
          <w:tcPr>
            <w:tcW w:w="1415" w:type="dxa"/>
            <w:tcBorders>
              <w:top w:val="single" w:sz="8" w:space="0" w:color="000000"/>
              <w:left w:val="single" w:sz="8" w:space="0" w:color="000000"/>
              <w:bottom w:val="single" w:sz="8" w:space="0" w:color="000000"/>
              <w:right w:val="single" w:sz="8" w:space="0" w:color="000000"/>
            </w:tcBorders>
            <w:vAlign w:val="center"/>
          </w:tcPr>
          <w:p w14:paraId="487DA79D" w14:textId="77777777" w:rsidR="002449C2" w:rsidRDefault="00123961">
            <w:pPr>
              <w:shd w:val="clear" w:color="auto" w:fill="FFFFFF"/>
              <w:spacing w:after="0" w:line="240" w:lineRule="auto"/>
              <w:ind w:firstLine="284"/>
              <w:jc w:val="center"/>
              <w:rPr>
                <w:rFonts w:ascii="Times New Roman" w:hAnsi="Times New Roman"/>
                <w:bCs/>
                <w:sz w:val="24"/>
                <w:szCs w:val="24"/>
              </w:rPr>
            </w:pPr>
            <w:r>
              <w:rPr>
                <w:rFonts w:ascii="Times New Roman" w:hAnsi="Times New Roman"/>
                <w:bCs/>
                <w:sz w:val="24"/>
                <w:szCs w:val="24"/>
              </w:rPr>
              <w:t>на 31.12.2024</w:t>
            </w:r>
          </w:p>
        </w:tc>
        <w:tc>
          <w:tcPr>
            <w:tcW w:w="1415" w:type="dxa"/>
            <w:tcBorders>
              <w:top w:val="single" w:sz="8" w:space="0" w:color="000000"/>
              <w:left w:val="single" w:sz="8" w:space="0" w:color="000000"/>
              <w:bottom w:val="single" w:sz="8" w:space="0" w:color="000000"/>
              <w:right w:val="single" w:sz="8" w:space="0" w:color="000000"/>
            </w:tcBorders>
            <w:vAlign w:val="center"/>
          </w:tcPr>
          <w:p w14:paraId="17940C07" w14:textId="77777777" w:rsidR="002449C2" w:rsidRDefault="00123961">
            <w:pPr>
              <w:shd w:val="clear" w:color="auto" w:fill="FFFFFF"/>
              <w:spacing w:after="0" w:line="240" w:lineRule="auto"/>
              <w:ind w:firstLine="284"/>
              <w:jc w:val="center"/>
              <w:rPr>
                <w:rFonts w:ascii="Times New Roman" w:hAnsi="Times New Roman"/>
                <w:bCs/>
                <w:sz w:val="24"/>
                <w:szCs w:val="24"/>
              </w:rPr>
            </w:pPr>
            <w:r>
              <w:rPr>
                <w:rFonts w:ascii="Times New Roman" w:hAnsi="Times New Roman"/>
                <w:bCs/>
                <w:sz w:val="24"/>
                <w:szCs w:val="24"/>
              </w:rPr>
              <w:t>на 31.12.2023</w:t>
            </w:r>
          </w:p>
        </w:tc>
        <w:tc>
          <w:tcPr>
            <w:tcW w:w="1842" w:type="dxa"/>
            <w:tcBorders>
              <w:top w:val="single" w:sz="8" w:space="0" w:color="000000"/>
              <w:left w:val="single" w:sz="8" w:space="0" w:color="000000"/>
              <w:bottom w:val="single" w:sz="8" w:space="0" w:color="000000"/>
              <w:right w:val="single" w:sz="8" w:space="0" w:color="000000"/>
            </w:tcBorders>
            <w:vAlign w:val="center"/>
          </w:tcPr>
          <w:p w14:paraId="259E21CA" w14:textId="77777777" w:rsidR="002449C2" w:rsidRDefault="00123961">
            <w:pPr>
              <w:shd w:val="clear" w:color="auto" w:fill="FFFFFF"/>
              <w:spacing w:after="0" w:line="240" w:lineRule="auto"/>
              <w:ind w:firstLine="284"/>
              <w:jc w:val="center"/>
              <w:rPr>
                <w:rFonts w:ascii="Times New Roman" w:hAnsi="Times New Roman"/>
                <w:bCs/>
                <w:sz w:val="24"/>
                <w:szCs w:val="24"/>
              </w:rPr>
            </w:pPr>
            <w:r>
              <w:rPr>
                <w:rFonts w:ascii="Times New Roman" w:hAnsi="Times New Roman"/>
                <w:bCs/>
                <w:sz w:val="24"/>
                <w:szCs w:val="24"/>
              </w:rPr>
              <w:t>на 31.12.2022</w:t>
            </w:r>
          </w:p>
        </w:tc>
      </w:tr>
      <w:tr w:rsidR="002449C2" w14:paraId="5EDEA0B3" w14:textId="77777777">
        <w:trPr>
          <w:trHeight w:val="133"/>
        </w:trPr>
        <w:tc>
          <w:tcPr>
            <w:tcW w:w="4966" w:type="dxa"/>
            <w:tcBorders>
              <w:left w:val="single" w:sz="8" w:space="0" w:color="000000"/>
              <w:bottom w:val="single" w:sz="8" w:space="0" w:color="000000"/>
              <w:right w:val="single" w:sz="8" w:space="0" w:color="000000"/>
            </w:tcBorders>
          </w:tcPr>
          <w:p w14:paraId="45911761" w14:textId="77777777" w:rsidR="002449C2" w:rsidRDefault="00123961">
            <w:pPr>
              <w:shd w:val="clear" w:color="auto" w:fill="FFFFFF"/>
              <w:spacing w:after="0" w:line="240" w:lineRule="auto"/>
              <w:ind w:firstLine="284"/>
              <w:rPr>
                <w:rFonts w:ascii="Times New Roman" w:hAnsi="Times New Roman"/>
                <w:b/>
                <w:bCs/>
                <w:sz w:val="24"/>
                <w:szCs w:val="24"/>
              </w:rPr>
            </w:pPr>
            <w:r>
              <w:rPr>
                <w:rFonts w:ascii="Times New Roman" w:hAnsi="Times New Roman"/>
                <w:b/>
                <w:bCs/>
                <w:sz w:val="24"/>
                <w:szCs w:val="24"/>
              </w:rPr>
              <w:t xml:space="preserve"> Кредиторская задолженность, в том числе:</w:t>
            </w:r>
          </w:p>
        </w:tc>
        <w:tc>
          <w:tcPr>
            <w:tcW w:w="1415" w:type="dxa"/>
            <w:tcBorders>
              <w:top w:val="single" w:sz="8" w:space="0" w:color="000000"/>
              <w:bottom w:val="single" w:sz="8" w:space="0" w:color="000000"/>
              <w:right w:val="single" w:sz="8" w:space="0" w:color="000000"/>
            </w:tcBorders>
            <w:vAlign w:val="center"/>
          </w:tcPr>
          <w:p w14:paraId="6A3ACF4F" w14:textId="77777777" w:rsidR="002449C2" w:rsidRDefault="00123961">
            <w:pPr>
              <w:shd w:val="clear" w:color="auto" w:fill="FFFFFF"/>
              <w:spacing w:after="0" w:line="240" w:lineRule="auto"/>
              <w:contextualSpacing/>
              <w:jc w:val="center"/>
              <w:rPr>
                <w:rFonts w:ascii="Times New Roman" w:hAnsi="Times New Roman"/>
                <w:b/>
                <w:color w:val="000000"/>
              </w:rPr>
            </w:pPr>
            <w:r>
              <w:rPr>
                <w:rFonts w:ascii="Times New Roman" w:hAnsi="Times New Roman"/>
                <w:b/>
                <w:color w:val="000000"/>
              </w:rPr>
              <w:t>11 318</w:t>
            </w:r>
          </w:p>
        </w:tc>
        <w:tc>
          <w:tcPr>
            <w:tcW w:w="1415" w:type="dxa"/>
            <w:tcBorders>
              <w:top w:val="single" w:sz="8" w:space="0" w:color="000000"/>
              <w:bottom w:val="single" w:sz="8" w:space="0" w:color="000000"/>
              <w:right w:val="single" w:sz="8" w:space="0" w:color="000000"/>
            </w:tcBorders>
            <w:vAlign w:val="center"/>
          </w:tcPr>
          <w:p w14:paraId="6D2FF931" w14:textId="77777777" w:rsidR="002449C2" w:rsidRDefault="00123961">
            <w:pPr>
              <w:shd w:val="clear" w:color="auto" w:fill="FFFFFF"/>
              <w:spacing w:after="0" w:line="240" w:lineRule="auto"/>
              <w:contextualSpacing/>
              <w:jc w:val="center"/>
              <w:rPr>
                <w:rFonts w:ascii="Times New Roman" w:eastAsia="Times New Roman" w:hAnsi="Times New Roman"/>
                <w:b/>
                <w:bCs/>
                <w:color w:val="000000"/>
                <w:sz w:val="24"/>
                <w:szCs w:val="24"/>
                <w:lang w:eastAsia="ru-RU"/>
              </w:rPr>
            </w:pPr>
            <w:r>
              <w:rPr>
                <w:rFonts w:ascii="Times New Roman" w:hAnsi="Times New Roman"/>
                <w:b/>
                <w:bCs/>
                <w:color w:val="000000"/>
              </w:rPr>
              <w:t>10 341</w:t>
            </w:r>
          </w:p>
        </w:tc>
        <w:tc>
          <w:tcPr>
            <w:tcW w:w="1842" w:type="dxa"/>
            <w:tcBorders>
              <w:top w:val="single" w:sz="8" w:space="0" w:color="000000"/>
              <w:bottom w:val="single" w:sz="8" w:space="0" w:color="000000"/>
              <w:right w:val="single" w:sz="8" w:space="0" w:color="000000"/>
            </w:tcBorders>
            <w:vAlign w:val="center"/>
          </w:tcPr>
          <w:p w14:paraId="6477B16D" w14:textId="77777777" w:rsidR="002449C2" w:rsidRDefault="00123961">
            <w:pPr>
              <w:shd w:val="clear" w:color="auto" w:fill="FFFFFF"/>
              <w:spacing w:after="0" w:line="240" w:lineRule="auto"/>
              <w:contextualSpacing/>
              <w:jc w:val="center"/>
              <w:rPr>
                <w:rFonts w:ascii="Times New Roman" w:hAnsi="Times New Roman"/>
                <w:b/>
                <w:bCs/>
                <w:color w:val="000000"/>
              </w:rPr>
            </w:pPr>
            <w:r>
              <w:rPr>
                <w:rFonts w:ascii="Times New Roman" w:hAnsi="Times New Roman"/>
                <w:b/>
                <w:bCs/>
                <w:color w:val="000000"/>
              </w:rPr>
              <w:t>12 463</w:t>
            </w:r>
          </w:p>
        </w:tc>
      </w:tr>
      <w:tr w:rsidR="002449C2" w14:paraId="7A2DE768" w14:textId="77777777">
        <w:trPr>
          <w:trHeight w:val="135"/>
        </w:trPr>
        <w:tc>
          <w:tcPr>
            <w:tcW w:w="4966" w:type="dxa"/>
            <w:tcBorders>
              <w:left w:val="single" w:sz="8" w:space="0" w:color="000000"/>
              <w:bottom w:val="single" w:sz="8" w:space="0" w:color="000000"/>
              <w:right w:val="single" w:sz="8" w:space="0" w:color="000000"/>
            </w:tcBorders>
          </w:tcPr>
          <w:p w14:paraId="1DC7E7C5" w14:textId="77777777" w:rsidR="002449C2" w:rsidRDefault="00123961">
            <w:pPr>
              <w:shd w:val="clear" w:color="auto" w:fill="FFFFFF"/>
              <w:spacing w:after="0" w:line="240" w:lineRule="auto"/>
              <w:ind w:firstLine="284"/>
              <w:rPr>
                <w:rFonts w:ascii="Times New Roman" w:hAnsi="Times New Roman"/>
                <w:bCs/>
                <w:sz w:val="24"/>
                <w:szCs w:val="24"/>
              </w:rPr>
            </w:pPr>
            <w:r>
              <w:rPr>
                <w:rFonts w:ascii="Times New Roman" w:hAnsi="Times New Roman"/>
                <w:bCs/>
                <w:sz w:val="24"/>
                <w:szCs w:val="24"/>
              </w:rPr>
              <w:t xml:space="preserve"> Поставщики и подрядчики</w:t>
            </w:r>
          </w:p>
        </w:tc>
        <w:tc>
          <w:tcPr>
            <w:tcW w:w="1415" w:type="dxa"/>
            <w:tcBorders>
              <w:bottom w:val="single" w:sz="8" w:space="0" w:color="000000"/>
              <w:right w:val="single" w:sz="8" w:space="0" w:color="000000"/>
            </w:tcBorders>
            <w:vAlign w:val="center"/>
          </w:tcPr>
          <w:p w14:paraId="191323E5"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5 097</w:t>
            </w:r>
          </w:p>
        </w:tc>
        <w:tc>
          <w:tcPr>
            <w:tcW w:w="1415" w:type="dxa"/>
            <w:tcBorders>
              <w:bottom w:val="single" w:sz="8" w:space="0" w:color="000000"/>
              <w:right w:val="single" w:sz="8" w:space="0" w:color="000000"/>
            </w:tcBorders>
            <w:vAlign w:val="center"/>
          </w:tcPr>
          <w:p w14:paraId="0E54CBEE"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4 920</w:t>
            </w:r>
          </w:p>
        </w:tc>
        <w:tc>
          <w:tcPr>
            <w:tcW w:w="1842" w:type="dxa"/>
            <w:tcBorders>
              <w:bottom w:val="single" w:sz="8" w:space="0" w:color="000000"/>
              <w:right w:val="single" w:sz="8" w:space="0" w:color="000000"/>
            </w:tcBorders>
            <w:vAlign w:val="center"/>
          </w:tcPr>
          <w:p w14:paraId="662024BA"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8 085</w:t>
            </w:r>
          </w:p>
        </w:tc>
      </w:tr>
      <w:tr w:rsidR="002449C2" w14:paraId="08E33BF4" w14:textId="77777777">
        <w:trPr>
          <w:trHeight w:val="201"/>
        </w:trPr>
        <w:tc>
          <w:tcPr>
            <w:tcW w:w="4966" w:type="dxa"/>
            <w:tcBorders>
              <w:left w:val="single" w:sz="8" w:space="0" w:color="000000"/>
              <w:bottom w:val="single" w:sz="8" w:space="0" w:color="000000"/>
              <w:right w:val="single" w:sz="8" w:space="0" w:color="000000"/>
            </w:tcBorders>
          </w:tcPr>
          <w:p w14:paraId="4E1379F1" w14:textId="77777777" w:rsidR="002449C2" w:rsidRDefault="00123961">
            <w:pPr>
              <w:shd w:val="clear" w:color="auto" w:fill="FFFFFF"/>
              <w:spacing w:after="0" w:line="240" w:lineRule="auto"/>
              <w:ind w:firstLine="284"/>
              <w:rPr>
                <w:rFonts w:ascii="Times New Roman" w:hAnsi="Times New Roman"/>
                <w:bCs/>
                <w:sz w:val="24"/>
                <w:szCs w:val="24"/>
              </w:rPr>
            </w:pPr>
            <w:r>
              <w:rPr>
                <w:rFonts w:ascii="Times New Roman" w:hAnsi="Times New Roman"/>
                <w:bCs/>
                <w:sz w:val="24"/>
                <w:szCs w:val="24"/>
              </w:rPr>
              <w:t xml:space="preserve"> Векселя к уплате</w:t>
            </w:r>
          </w:p>
        </w:tc>
        <w:tc>
          <w:tcPr>
            <w:tcW w:w="1415" w:type="dxa"/>
            <w:tcBorders>
              <w:bottom w:val="single" w:sz="8" w:space="0" w:color="000000"/>
              <w:right w:val="single" w:sz="8" w:space="0" w:color="000000"/>
            </w:tcBorders>
            <w:vAlign w:val="center"/>
          </w:tcPr>
          <w:p w14:paraId="5C39E173"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0</w:t>
            </w:r>
          </w:p>
        </w:tc>
        <w:tc>
          <w:tcPr>
            <w:tcW w:w="1415" w:type="dxa"/>
            <w:tcBorders>
              <w:bottom w:val="single" w:sz="8" w:space="0" w:color="000000"/>
              <w:right w:val="single" w:sz="8" w:space="0" w:color="000000"/>
            </w:tcBorders>
            <w:vAlign w:val="center"/>
          </w:tcPr>
          <w:p w14:paraId="338ADCE2"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0</w:t>
            </w:r>
          </w:p>
        </w:tc>
        <w:tc>
          <w:tcPr>
            <w:tcW w:w="1842" w:type="dxa"/>
            <w:tcBorders>
              <w:bottom w:val="single" w:sz="8" w:space="0" w:color="000000"/>
              <w:right w:val="single" w:sz="8" w:space="0" w:color="000000"/>
            </w:tcBorders>
            <w:vAlign w:val="center"/>
          </w:tcPr>
          <w:p w14:paraId="7148975A"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0</w:t>
            </w:r>
          </w:p>
        </w:tc>
      </w:tr>
      <w:tr w:rsidR="002449C2" w14:paraId="40F76F92" w14:textId="77777777">
        <w:trPr>
          <w:trHeight w:val="63"/>
        </w:trPr>
        <w:tc>
          <w:tcPr>
            <w:tcW w:w="4966" w:type="dxa"/>
            <w:tcBorders>
              <w:left w:val="single" w:sz="8" w:space="0" w:color="000000"/>
              <w:bottom w:val="single" w:sz="8" w:space="0" w:color="000000"/>
              <w:right w:val="single" w:sz="8" w:space="0" w:color="000000"/>
            </w:tcBorders>
          </w:tcPr>
          <w:p w14:paraId="107FB49E" w14:textId="77777777" w:rsidR="002449C2" w:rsidRDefault="00123961">
            <w:pPr>
              <w:shd w:val="clear" w:color="auto" w:fill="FFFFFF"/>
              <w:spacing w:after="0" w:line="240" w:lineRule="auto"/>
              <w:ind w:firstLine="284"/>
              <w:rPr>
                <w:rFonts w:ascii="Times New Roman" w:hAnsi="Times New Roman"/>
                <w:bCs/>
                <w:sz w:val="24"/>
                <w:szCs w:val="24"/>
              </w:rPr>
            </w:pPr>
            <w:r>
              <w:rPr>
                <w:rFonts w:ascii="Times New Roman" w:hAnsi="Times New Roman"/>
                <w:bCs/>
                <w:sz w:val="24"/>
                <w:szCs w:val="24"/>
              </w:rPr>
              <w:t xml:space="preserve"> Авансы полученные</w:t>
            </w:r>
          </w:p>
        </w:tc>
        <w:tc>
          <w:tcPr>
            <w:tcW w:w="1415" w:type="dxa"/>
            <w:tcBorders>
              <w:bottom w:val="single" w:sz="8" w:space="0" w:color="000000"/>
              <w:right w:val="single" w:sz="8" w:space="0" w:color="000000"/>
            </w:tcBorders>
            <w:vAlign w:val="center"/>
          </w:tcPr>
          <w:p w14:paraId="0E40D4FD"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2 971</w:t>
            </w:r>
          </w:p>
        </w:tc>
        <w:tc>
          <w:tcPr>
            <w:tcW w:w="1415" w:type="dxa"/>
            <w:tcBorders>
              <w:bottom w:val="single" w:sz="8" w:space="0" w:color="000000"/>
              <w:right w:val="single" w:sz="8" w:space="0" w:color="000000"/>
            </w:tcBorders>
            <w:vAlign w:val="center"/>
          </w:tcPr>
          <w:p w14:paraId="68379B3D"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2 207</w:t>
            </w:r>
          </w:p>
        </w:tc>
        <w:tc>
          <w:tcPr>
            <w:tcW w:w="1842" w:type="dxa"/>
            <w:tcBorders>
              <w:bottom w:val="single" w:sz="8" w:space="0" w:color="000000"/>
              <w:right w:val="single" w:sz="8" w:space="0" w:color="000000"/>
            </w:tcBorders>
            <w:vAlign w:val="center"/>
          </w:tcPr>
          <w:p w14:paraId="384B6F3E"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1 437</w:t>
            </w:r>
          </w:p>
        </w:tc>
      </w:tr>
      <w:tr w:rsidR="002449C2" w14:paraId="010EFDBA" w14:textId="77777777">
        <w:trPr>
          <w:trHeight w:val="63"/>
        </w:trPr>
        <w:tc>
          <w:tcPr>
            <w:tcW w:w="4966" w:type="dxa"/>
            <w:tcBorders>
              <w:top w:val="single" w:sz="4" w:space="0" w:color="000000"/>
              <w:left w:val="single" w:sz="4" w:space="0" w:color="000000"/>
              <w:bottom w:val="single" w:sz="4" w:space="0" w:color="000000"/>
              <w:right w:val="single" w:sz="4" w:space="0" w:color="000000"/>
            </w:tcBorders>
          </w:tcPr>
          <w:p w14:paraId="6F8009E8" w14:textId="77777777" w:rsidR="002449C2" w:rsidRDefault="00123961">
            <w:pPr>
              <w:shd w:val="clear" w:color="auto" w:fill="FFFFFF"/>
              <w:spacing w:after="0" w:line="240" w:lineRule="auto"/>
              <w:ind w:firstLine="284"/>
              <w:rPr>
                <w:rFonts w:ascii="Times New Roman" w:hAnsi="Times New Roman"/>
                <w:bCs/>
                <w:sz w:val="24"/>
                <w:szCs w:val="24"/>
              </w:rPr>
            </w:pPr>
            <w:r>
              <w:rPr>
                <w:rFonts w:ascii="Times New Roman" w:hAnsi="Times New Roman"/>
                <w:bCs/>
                <w:sz w:val="24"/>
                <w:szCs w:val="24"/>
              </w:rPr>
              <w:t xml:space="preserve"> Налоги и сборы</w:t>
            </w:r>
          </w:p>
        </w:tc>
        <w:tc>
          <w:tcPr>
            <w:tcW w:w="1415" w:type="dxa"/>
            <w:tcBorders>
              <w:top w:val="single" w:sz="4" w:space="0" w:color="000000"/>
              <w:left w:val="single" w:sz="4" w:space="0" w:color="000000"/>
              <w:bottom w:val="single" w:sz="4" w:space="0" w:color="000000"/>
              <w:right w:val="single" w:sz="4" w:space="0" w:color="000000"/>
            </w:tcBorders>
            <w:vAlign w:val="center"/>
          </w:tcPr>
          <w:p w14:paraId="1E08E944"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705</w:t>
            </w:r>
          </w:p>
        </w:tc>
        <w:tc>
          <w:tcPr>
            <w:tcW w:w="1415" w:type="dxa"/>
            <w:tcBorders>
              <w:top w:val="single" w:sz="4" w:space="0" w:color="000000"/>
              <w:left w:val="single" w:sz="4" w:space="0" w:color="000000"/>
              <w:bottom w:val="single" w:sz="4" w:space="0" w:color="000000"/>
              <w:right w:val="single" w:sz="4" w:space="0" w:color="000000"/>
            </w:tcBorders>
            <w:vAlign w:val="center"/>
          </w:tcPr>
          <w:p w14:paraId="56E9A367"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895</w:t>
            </w:r>
          </w:p>
        </w:tc>
        <w:tc>
          <w:tcPr>
            <w:tcW w:w="1842" w:type="dxa"/>
            <w:tcBorders>
              <w:top w:val="single" w:sz="4" w:space="0" w:color="000000"/>
              <w:left w:val="single" w:sz="4" w:space="0" w:color="000000"/>
              <w:bottom w:val="single" w:sz="4" w:space="0" w:color="000000"/>
              <w:right w:val="single" w:sz="4" w:space="0" w:color="000000"/>
            </w:tcBorders>
            <w:vAlign w:val="center"/>
          </w:tcPr>
          <w:p w14:paraId="5C2E8E1E"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759</w:t>
            </w:r>
          </w:p>
        </w:tc>
      </w:tr>
      <w:tr w:rsidR="002449C2" w14:paraId="08F1548A" w14:textId="77777777">
        <w:trPr>
          <w:trHeight w:val="63"/>
        </w:trPr>
        <w:tc>
          <w:tcPr>
            <w:tcW w:w="4966" w:type="dxa"/>
            <w:tcBorders>
              <w:top w:val="single" w:sz="4" w:space="0" w:color="000000"/>
              <w:left w:val="single" w:sz="4" w:space="0" w:color="000000"/>
              <w:bottom w:val="single" w:sz="4" w:space="0" w:color="000000"/>
              <w:right w:val="single" w:sz="4" w:space="0" w:color="000000"/>
            </w:tcBorders>
          </w:tcPr>
          <w:p w14:paraId="37288078" w14:textId="77777777" w:rsidR="002449C2" w:rsidRDefault="00123961">
            <w:pPr>
              <w:shd w:val="clear" w:color="auto" w:fill="FFFFFF"/>
              <w:spacing w:after="0" w:line="240" w:lineRule="auto"/>
              <w:ind w:firstLine="284"/>
              <w:rPr>
                <w:rFonts w:ascii="Times New Roman" w:hAnsi="Times New Roman"/>
                <w:bCs/>
                <w:sz w:val="24"/>
                <w:szCs w:val="24"/>
              </w:rPr>
            </w:pPr>
            <w:r>
              <w:rPr>
                <w:rFonts w:ascii="Times New Roman" w:hAnsi="Times New Roman"/>
                <w:bCs/>
                <w:sz w:val="24"/>
                <w:szCs w:val="24"/>
              </w:rPr>
              <w:t xml:space="preserve"> Прочая кредиторская задолженность</w:t>
            </w:r>
          </w:p>
        </w:tc>
        <w:tc>
          <w:tcPr>
            <w:tcW w:w="1415" w:type="dxa"/>
            <w:tcBorders>
              <w:top w:val="single" w:sz="4" w:space="0" w:color="000000"/>
              <w:left w:val="single" w:sz="4" w:space="0" w:color="000000"/>
              <w:bottom w:val="single" w:sz="4" w:space="0" w:color="000000"/>
              <w:right w:val="single" w:sz="4" w:space="0" w:color="000000"/>
            </w:tcBorders>
            <w:vAlign w:val="center"/>
          </w:tcPr>
          <w:p w14:paraId="27D54267"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2 545</w:t>
            </w:r>
          </w:p>
        </w:tc>
        <w:tc>
          <w:tcPr>
            <w:tcW w:w="1415" w:type="dxa"/>
            <w:tcBorders>
              <w:top w:val="single" w:sz="4" w:space="0" w:color="000000"/>
              <w:left w:val="single" w:sz="4" w:space="0" w:color="000000"/>
              <w:bottom w:val="single" w:sz="4" w:space="0" w:color="000000"/>
              <w:right w:val="single" w:sz="4" w:space="0" w:color="000000"/>
            </w:tcBorders>
            <w:vAlign w:val="center"/>
          </w:tcPr>
          <w:p w14:paraId="3B61414F"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2 319</w:t>
            </w:r>
          </w:p>
        </w:tc>
        <w:tc>
          <w:tcPr>
            <w:tcW w:w="1842" w:type="dxa"/>
            <w:tcBorders>
              <w:top w:val="single" w:sz="4" w:space="0" w:color="000000"/>
              <w:left w:val="single" w:sz="4" w:space="0" w:color="000000"/>
              <w:bottom w:val="single" w:sz="4" w:space="0" w:color="000000"/>
              <w:right w:val="single" w:sz="4" w:space="0" w:color="000000"/>
            </w:tcBorders>
            <w:vAlign w:val="center"/>
          </w:tcPr>
          <w:p w14:paraId="1D135003" w14:textId="77777777" w:rsidR="002449C2" w:rsidRDefault="00123961">
            <w:pPr>
              <w:shd w:val="clear" w:color="auto" w:fill="FFFFFF"/>
              <w:spacing w:after="0" w:line="240" w:lineRule="auto"/>
              <w:contextualSpacing/>
              <w:jc w:val="center"/>
              <w:rPr>
                <w:rFonts w:ascii="Times New Roman" w:hAnsi="Times New Roman"/>
                <w:color w:val="000000"/>
              </w:rPr>
            </w:pPr>
            <w:r>
              <w:rPr>
                <w:rFonts w:ascii="Times New Roman" w:hAnsi="Times New Roman"/>
                <w:color w:val="000000"/>
              </w:rPr>
              <w:t>2 182</w:t>
            </w:r>
          </w:p>
        </w:tc>
      </w:tr>
    </w:tbl>
    <w:p w14:paraId="2D44F69E" w14:textId="77777777" w:rsidR="002449C2" w:rsidRDefault="00123961">
      <w:pPr>
        <w:shd w:val="clear" w:color="auto" w:fill="FFFFFF"/>
        <w:spacing w:after="0" w:line="240" w:lineRule="auto"/>
        <w:ind w:firstLine="567"/>
        <w:jc w:val="both"/>
        <w:rPr>
          <w:rFonts w:ascii="Times New Roman" w:eastAsia="Times New Roman" w:hAnsi="Times New Roman"/>
          <w:sz w:val="16"/>
          <w:szCs w:val="16"/>
          <w:lang w:eastAsia="ru-RU"/>
        </w:rPr>
      </w:pPr>
      <w:r>
        <w:rPr>
          <w:rFonts w:ascii="Times New Roman" w:eastAsia="Times New Roman" w:hAnsi="Times New Roman"/>
          <w:sz w:val="16"/>
          <w:szCs w:val="16"/>
          <w:lang w:eastAsia="ru-RU"/>
        </w:rPr>
        <w:t>Показатели указываются в соответствии с бухгалтерской отчетностью Общества за 2024 год, включают в себя сумму строк баланса «Прочие обязательства» 1450 и «Кредиторская задолженность» стр. 1520.</w:t>
      </w:r>
    </w:p>
    <w:p w14:paraId="49B5E5FD" w14:textId="77777777" w:rsidR="002449C2" w:rsidRDefault="00123961">
      <w:pPr>
        <w:shd w:val="clear" w:color="auto" w:fill="FFFFFF"/>
        <w:tabs>
          <w:tab w:val="left" w:pos="9356"/>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xml:space="preserve">Кредиторская задолженность на конец отчетного периода выше на 977 млн рублей (9,5%) по сравнению с началом года и по состоянию на 31.12.2024 составила 11 318 млн рублей. </w:t>
      </w:r>
    </w:p>
    <w:p w14:paraId="6244E589" w14:textId="77777777" w:rsidR="002449C2" w:rsidRDefault="00123961">
      <w:pPr>
        <w:shd w:val="clear" w:color="auto" w:fill="FFFFFF"/>
        <w:tabs>
          <w:tab w:val="left" w:pos="9356"/>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xml:space="preserve">На конец 2024 года сформировались следующие изменения по сравнению с началом года: </w:t>
      </w:r>
    </w:p>
    <w:p w14:paraId="0826B5AE" w14:textId="77777777" w:rsidR="002449C2" w:rsidRDefault="00123961">
      <w:pPr>
        <w:shd w:val="clear" w:color="auto" w:fill="FFFFFF"/>
        <w:tabs>
          <w:tab w:val="left" w:pos="9356"/>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задолженность по статье поставщики и подрядчики выше на 177 млн рублей в основном за счет роста задолженности по оплате потерь на 222 млн рублей, по оплате услуг ПАО «Россети» на 116 млн рублей, по оплате услуг территориальных сетевых организаций на 41 млн рублей, при снижении задолженности по инвестиционной деятельности на 111 млн рублей, перед поставщиками и подрядчиками товарно-материальных ценностей на 44 млн рублей, перед поставщиками и подрядчиками услуг на 20 млн рублей и перед прочими поставщикам и подрядчикам на 27 млн рублей.</w:t>
      </w:r>
    </w:p>
    <w:p w14:paraId="50147FD2" w14:textId="77777777" w:rsidR="002449C2" w:rsidRDefault="00123961">
      <w:pPr>
        <w:shd w:val="clear" w:color="auto" w:fill="FFFFFF"/>
        <w:tabs>
          <w:tab w:val="left" w:pos="9356"/>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xml:space="preserve">задолженность </w:t>
      </w:r>
      <w:proofErr w:type="gramStart"/>
      <w:r>
        <w:rPr>
          <w:rFonts w:ascii="Times New Roman" w:hAnsi="Times New Roman"/>
          <w:sz w:val="26"/>
          <w:szCs w:val="26"/>
          <w:lang w:eastAsia="en-US"/>
        </w:rPr>
        <w:t>по авансам</w:t>
      </w:r>
      <w:proofErr w:type="gramEnd"/>
      <w:r>
        <w:rPr>
          <w:rFonts w:ascii="Times New Roman" w:hAnsi="Times New Roman"/>
          <w:sz w:val="26"/>
          <w:szCs w:val="26"/>
          <w:lang w:eastAsia="en-US"/>
        </w:rPr>
        <w:t xml:space="preserve"> полученным составила 2 971 млн рублей, что на 764 млн рублей (34,6%) выше уровня по состоянию на 31.12.2023. В основном рост сложился в связи с поступлением авансовых платежей по заключенным договорам услуг технологического присоединения.</w:t>
      </w:r>
    </w:p>
    <w:p w14:paraId="3D786A30" w14:textId="77777777" w:rsidR="002449C2" w:rsidRDefault="00123961">
      <w:pPr>
        <w:shd w:val="clear" w:color="auto" w:fill="FFFFFF"/>
        <w:tabs>
          <w:tab w:val="left" w:pos="9356"/>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задолженность по налогам и сборам на 31.12.2024 составила 705 млн рублей, что ниже уровня по состоянию на конец 2023 года на 190 млн рублей (21,2%). В основном снижение задолженности сложилось по НДС и обусловлено увеличением суммы вычетов по НДС из бюджета в 4 кв.2024 года.</w:t>
      </w:r>
    </w:p>
    <w:p w14:paraId="4F8E978B" w14:textId="77777777" w:rsidR="002449C2" w:rsidRDefault="00123961">
      <w:pPr>
        <w:shd w:val="clear" w:color="auto" w:fill="FFFFFF"/>
        <w:tabs>
          <w:tab w:val="left" w:pos="9356"/>
        </w:tabs>
        <w:spacing w:after="0" w:line="240" w:lineRule="auto"/>
        <w:ind w:firstLine="567"/>
        <w:contextualSpacing/>
        <w:jc w:val="both"/>
        <w:rPr>
          <w:rFonts w:ascii="Times New Roman" w:hAnsi="Times New Roman"/>
          <w:sz w:val="26"/>
          <w:szCs w:val="26"/>
          <w:lang w:eastAsia="en-US"/>
        </w:rPr>
      </w:pPr>
      <w:r>
        <w:rPr>
          <w:rFonts w:ascii="Times New Roman" w:hAnsi="Times New Roman"/>
          <w:sz w:val="26"/>
          <w:szCs w:val="26"/>
          <w:lang w:eastAsia="en-US"/>
        </w:rPr>
        <w:t>прочая кредиторская задолженность на 31.12.2024 составила 2 545 млн рублей и по сравнению с 2023 годом выросла на 226 млн рублей (9,8%), что обусловлено ростом задолженности по аренде на 205 млн рублей,</w:t>
      </w:r>
      <w:r>
        <w:rPr>
          <w:rFonts w:ascii="Times New Roman" w:hAnsi="Times New Roman"/>
          <w:sz w:val="26"/>
          <w:szCs w:val="26"/>
        </w:rPr>
        <w:t xml:space="preserve"> </w:t>
      </w:r>
      <w:r>
        <w:rPr>
          <w:rFonts w:ascii="Times New Roman" w:hAnsi="Times New Roman"/>
          <w:sz w:val="26"/>
          <w:szCs w:val="26"/>
          <w:lang w:eastAsia="en-US"/>
        </w:rPr>
        <w:t xml:space="preserve">по финансированию проектов энергосбережения на 162 млн рублей, по компенсации затрат на выполнение работ по переносу ЛЭП на 51 млн рублей, по оплате труда на 33 млн рублей, при снижении задолженности перед внебюджетными фондами на 174 млн рублей, по агентским договорам на 23 млн рублей, </w:t>
      </w:r>
      <w:r>
        <w:rPr>
          <w:rFonts w:ascii="Times New Roman" w:hAnsi="Times New Roman"/>
          <w:sz w:val="26"/>
          <w:szCs w:val="26"/>
        </w:rPr>
        <w:t xml:space="preserve">по процентам за пользование чужими денежными средствами на 8 млн рублей, по компенсации ущерба, причиненного сторонним лицам на 6 млн рублей, </w:t>
      </w:r>
      <w:r>
        <w:rPr>
          <w:rFonts w:ascii="Times New Roman" w:hAnsi="Times New Roman"/>
          <w:sz w:val="26"/>
          <w:szCs w:val="26"/>
          <w:lang w:eastAsia="en-US"/>
        </w:rPr>
        <w:t>по пеням, штрафам, неустойкам на 3 млн рублей и на 11 млн рублей по прочим.</w:t>
      </w:r>
    </w:p>
    <w:p w14:paraId="2C587CC0" w14:textId="77777777" w:rsidR="002449C2" w:rsidRDefault="00123961">
      <w:pPr>
        <w:keepNext/>
        <w:widowControl w:val="0"/>
        <w:shd w:val="clear" w:color="auto" w:fill="FFFFFF"/>
        <w:spacing w:before="120" w:after="120" w:line="240" w:lineRule="auto"/>
        <w:ind w:firstLine="567"/>
        <w:jc w:val="both"/>
        <w:rPr>
          <w:rFonts w:ascii="Times New Roman" w:hAnsi="Times New Roman"/>
          <w:b/>
          <w:bCs/>
          <w:color w:val="000000"/>
          <w:sz w:val="26"/>
          <w:szCs w:val="26"/>
          <w:lang w:eastAsia="ru-RU"/>
        </w:rPr>
      </w:pPr>
      <w:r>
        <w:rPr>
          <w:rFonts w:ascii="Times New Roman" w:eastAsia="Times New Roman" w:hAnsi="Times New Roman"/>
          <w:b/>
          <w:sz w:val="26"/>
          <w:szCs w:val="26"/>
          <w:lang w:eastAsia="ar-SA"/>
        </w:rPr>
        <w:t>Облигации</w:t>
      </w:r>
    </w:p>
    <w:tbl>
      <w:tblPr>
        <w:tblW w:w="9406" w:type="dxa"/>
        <w:tblInd w:w="72" w:type="dxa"/>
        <w:tblLayout w:type="fixed"/>
        <w:tblCellMar>
          <w:left w:w="72" w:type="dxa"/>
          <w:right w:w="72" w:type="dxa"/>
        </w:tblCellMar>
        <w:tblLook w:val="04A0" w:firstRow="1" w:lastRow="0" w:firstColumn="1" w:lastColumn="0" w:noHBand="0" w:noVBand="1"/>
      </w:tblPr>
      <w:tblGrid>
        <w:gridCol w:w="4916"/>
        <w:gridCol w:w="4490"/>
      </w:tblGrid>
      <w:tr w:rsidR="002449C2" w14:paraId="4BB161C4" w14:textId="77777777">
        <w:tc>
          <w:tcPr>
            <w:tcW w:w="9405" w:type="dxa"/>
            <w:gridSpan w:val="2"/>
            <w:tcBorders>
              <w:left w:val="single" w:sz="8" w:space="0" w:color="000000"/>
              <w:bottom w:val="single" w:sz="8" w:space="0" w:color="000000"/>
              <w:right w:val="single" w:sz="8" w:space="0" w:color="000000"/>
            </w:tcBorders>
          </w:tcPr>
          <w:p w14:paraId="59B68FA4" w14:textId="77777777" w:rsidR="002449C2" w:rsidRDefault="00123961">
            <w:pPr>
              <w:pBdr>
                <w:top w:val="single" w:sz="4" w:space="1" w:color="000000"/>
                <w:left w:val="single" w:sz="4" w:space="4" w:color="000000"/>
                <w:bottom w:val="single" w:sz="4" w:space="1" w:color="000000"/>
                <w:right w:val="single" w:sz="4" w:space="4" w:color="000000"/>
              </w:pBdr>
              <w:shd w:val="clear" w:color="auto" w:fill="FFFFFF"/>
              <w:spacing w:before="20" w:after="40" w:line="240" w:lineRule="auto"/>
              <w:jc w:val="center"/>
              <w:rPr>
                <w:rFonts w:ascii="Times New Roman" w:hAnsi="Times New Roman"/>
                <w:sz w:val="24"/>
                <w:szCs w:val="24"/>
                <w:lang w:eastAsia="ru-RU"/>
              </w:rPr>
            </w:pPr>
            <w:r>
              <w:rPr>
                <w:rFonts w:ascii="Times New Roman" w:hAnsi="Times New Roman"/>
                <w:b/>
                <w:bCs/>
                <w:sz w:val="24"/>
                <w:szCs w:val="24"/>
                <w:lang w:eastAsia="ru-RU"/>
              </w:rPr>
              <w:t>Программа биржевых облигаций серии 001Р (идентификационный номер выпуска и дата его присвоения: 4-34956-Е-001Р-02Е от 12.08.2016)</w:t>
            </w:r>
          </w:p>
        </w:tc>
      </w:tr>
      <w:tr w:rsidR="002449C2" w14:paraId="1B86596B" w14:textId="77777777">
        <w:tc>
          <w:tcPr>
            <w:tcW w:w="4915" w:type="dxa"/>
            <w:tcBorders>
              <w:left w:val="single" w:sz="8" w:space="0" w:color="000000"/>
              <w:bottom w:val="single" w:sz="8" w:space="0" w:color="000000"/>
              <w:right w:val="single" w:sz="8" w:space="0" w:color="000000"/>
            </w:tcBorders>
          </w:tcPr>
          <w:p w14:paraId="6F007836" w14:textId="77777777" w:rsidR="002449C2" w:rsidRDefault="00123961">
            <w:pPr>
              <w:shd w:val="clear" w:color="auto" w:fill="FFFFFF"/>
              <w:spacing w:before="20" w:after="40" w:line="240" w:lineRule="auto"/>
              <w:rPr>
                <w:rFonts w:ascii="Times New Roman" w:hAnsi="Times New Roman"/>
                <w:sz w:val="24"/>
                <w:szCs w:val="24"/>
                <w:lang w:eastAsia="ru-RU"/>
              </w:rPr>
            </w:pPr>
            <w:r>
              <w:rPr>
                <w:rFonts w:ascii="Times New Roman" w:hAnsi="Times New Roman"/>
                <w:sz w:val="24"/>
                <w:szCs w:val="24"/>
                <w:lang w:eastAsia="ru-RU"/>
              </w:rPr>
              <w:t>Вид ценной бумаги</w:t>
            </w:r>
          </w:p>
        </w:tc>
        <w:tc>
          <w:tcPr>
            <w:tcW w:w="4490" w:type="dxa"/>
            <w:tcBorders>
              <w:bottom w:val="single" w:sz="8" w:space="0" w:color="000000"/>
              <w:right w:val="single" w:sz="8" w:space="0" w:color="000000"/>
            </w:tcBorders>
          </w:tcPr>
          <w:p w14:paraId="0010B1EC" w14:textId="77777777" w:rsidR="002449C2" w:rsidRDefault="00123961">
            <w:pPr>
              <w:shd w:val="clear" w:color="auto" w:fill="FFFFFF"/>
              <w:spacing w:before="20" w:after="40" w:line="240" w:lineRule="auto"/>
              <w:rPr>
                <w:rFonts w:ascii="Times New Roman" w:hAnsi="Times New Roman"/>
                <w:sz w:val="24"/>
                <w:szCs w:val="24"/>
                <w:lang w:eastAsia="ru-RU"/>
              </w:rPr>
            </w:pPr>
            <w:r>
              <w:rPr>
                <w:rFonts w:ascii="Times New Roman" w:hAnsi="Times New Roman"/>
                <w:sz w:val="24"/>
                <w:szCs w:val="24"/>
                <w:lang w:eastAsia="ru-RU"/>
              </w:rPr>
              <w:t>биржевые облигации</w:t>
            </w:r>
          </w:p>
        </w:tc>
      </w:tr>
      <w:tr w:rsidR="002449C2" w14:paraId="36E05E24" w14:textId="77777777">
        <w:tc>
          <w:tcPr>
            <w:tcW w:w="4915" w:type="dxa"/>
            <w:tcBorders>
              <w:left w:val="single" w:sz="8" w:space="0" w:color="000000"/>
              <w:bottom w:val="single" w:sz="8" w:space="0" w:color="000000"/>
              <w:right w:val="single" w:sz="8" w:space="0" w:color="000000"/>
            </w:tcBorders>
          </w:tcPr>
          <w:p w14:paraId="0C211792" w14:textId="77777777" w:rsidR="002449C2" w:rsidRDefault="00123961">
            <w:pPr>
              <w:shd w:val="clear" w:color="auto" w:fill="FFFFFF"/>
              <w:spacing w:before="20" w:after="40" w:line="240" w:lineRule="auto"/>
              <w:rPr>
                <w:rFonts w:ascii="Times New Roman" w:hAnsi="Times New Roman"/>
                <w:sz w:val="24"/>
                <w:szCs w:val="24"/>
                <w:lang w:eastAsia="ru-RU"/>
              </w:rPr>
            </w:pPr>
            <w:r>
              <w:rPr>
                <w:rFonts w:ascii="Times New Roman" w:hAnsi="Times New Roman"/>
                <w:sz w:val="24"/>
                <w:szCs w:val="24"/>
                <w:lang w:eastAsia="ru-RU"/>
              </w:rPr>
              <w:t>Орган, присвоивший выпуску идентификационный номер</w:t>
            </w:r>
          </w:p>
        </w:tc>
        <w:tc>
          <w:tcPr>
            <w:tcW w:w="4490" w:type="dxa"/>
            <w:tcBorders>
              <w:bottom w:val="single" w:sz="8" w:space="0" w:color="000000"/>
              <w:right w:val="single" w:sz="8" w:space="0" w:color="000000"/>
            </w:tcBorders>
          </w:tcPr>
          <w:p w14:paraId="6C91F7E8" w14:textId="77777777" w:rsidR="002449C2" w:rsidRDefault="00123961">
            <w:pPr>
              <w:shd w:val="clear" w:color="auto" w:fill="FFFFFF"/>
              <w:spacing w:before="20" w:after="40" w:line="240" w:lineRule="auto"/>
              <w:rPr>
                <w:rFonts w:ascii="Times New Roman" w:hAnsi="Times New Roman"/>
                <w:sz w:val="24"/>
                <w:szCs w:val="24"/>
                <w:lang w:eastAsia="ru-RU"/>
              </w:rPr>
            </w:pPr>
            <w:r>
              <w:rPr>
                <w:rFonts w:ascii="Times New Roman" w:hAnsi="Times New Roman"/>
                <w:sz w:val="24"/>
                <w:szCs w:val="24"/>
                <w:lang w:eastAsia="ru-RU"/>
              </w:rPr>
              <w:t>Публичное акционерное общество «Московская Биржа ММВБ-РТС»</w:t>
            </w:r>
          </w:p>
        </w:tc>
      </w:tr>
      <w:tr w:rsidR="002449C2" w14:paraId="50420292" w14:textId="77777777">
        <w:tc>
          <w:tcPr>
            <w:tcW w:w="4915" w:type="dxa"/>
            <w:tcBorders>
              <w:left w:val="single" w:sz="8" w:space="0" w:color="000000"/>
              <w:bottom w:val="single" w:sz="8" w:space="0" w:color="000000"/>
              <w:right w:val="single" w:sz="8" w:space="0" w:color="000000"/>
            </w:tcBorders>
          </w:tcPr>
          <w:p w14:paraId="5888636B" w14:textId="77777777" w:rsidR="002449C2" w:rsidRDefault="00123961">
            <w:pPr>
              <w:shd w:val="clear" w:color="auto" w:fill="FFFFFF"/>
              <w:spacing w:before="20" w:after="40" w:line="240" w:lineRule="auto"/>
              <w:rPr>
                <w:rFonts w:ascii="Times New Roman" w:hAnsi="Times New Roman"/>
                <w:sz w:val="24"/>
                <w:szCs w:val="24"/>
                <w:lang w:eastAsia="ru-RU"/>
              </w:rPr>
            </w:pPr>
            <w:r>
              <w:rPr>
                <w:rFonts w:ascii="Times New Roman" w:hAnsi="Times New Roman"/>
                <w:sz w:val="24"/>
                <w:szCs w:val="24"/>
                <w:lang w:eastAsia="ru-RU"/>
              </w:rPr>
              <w:t>Количество купонных периодов, за которые осуществляется выплата доходов по ценным бумагам выпуска:</w:t>
            </w:r>
          </w:p>
        </w:tc>
        <w:tc>
          <w:tcPr>
            <w:tcW w:w="4490" w:type="dxa"/>
            <w:tcBorders>
              <w:bottom w:val="single" w:sz="8" w:space="0" w:color="000000"/>
              <w:right w:val="single" w:sz="8" w:space="0" w:color="000000"/>
            </w:tcBorders>
          </w:tcPr>
          <w:p w14:paraId="035ADFA2" w14:textId="77777777" w:rsidR="002449C2" w:rsidRDefault="00123961">
            <w:pPr>
              <w:shd w:val="clear" w:color="auto" w:fill="FFFFFF"/>
              <w:spacing w:before="20" w:after="40" w:line="240" w:lineRule="auto"/>
              <w:rPr>
                <w:rFonts w:ascii="Times New Roman" w:hAnsi="Times New Roman"/>
                <w:sz w:val="24"/>
                <w:szCs w:val="24"/>
                <w:lang w:eastAsia="ru-RU"/>
              </w:rPr>
            </w:pPr>
            <w:r>
              <w:rPr>
                <w:rFonts w:ascii="Times New Roman" w:hAnsi="Times New Roman"/>
                <w:sz w:val="24"/>
                <w:szCs w:val="24"/>
                <w:lang w:eastAsia="ru-RU"/>
              </w:rPr>
              <w:t>устанавливается условиями выпуска</w:t>
            </w:r>
          </w:p>
        </w:tc>
      </w:tr>
      <w:tr w:rsidR="002449C2" w14:paraId="187ABC70" w14:textId="77777777">
        <w:tc>
          <w:tcPr>
            <w:tcW w:w="4915" w:type="dxa"/>
            <w:tcBorders>
              <w:left w:val="single" w:sz="8" w:space="0" w:color="000000"/>
              <w:bottom w:val="single" w:sz="8" w:space="0" w:color="000000"/>
              <w:right w:val="single" w:sz="8" w:space="0" w:color="000000"/>
            </w:tcBorders>
          </w:tcPr>
          <w:p w14:paraId="0F698823" w14:textId="77777777" w:rsidR="002449C2" w:rsidRDefault="00123961">
            <w:pPr>
              <w:shd w:val="clear" w:color="auto" w:fill="FFFFFF"/>
              <w:spacing w:before="20" w:after="40" w:line="240" w:lineRule="auto"/>
              <w:rPr>
                <w:rFonts w:ascii="Times New Roman" w:hAnsi="Times New Roman"/>
                <w:sz w:val="24"/>
                <w:szCs w:val="24"/>
                <w:lang w:eastAsia="ru-RU"/>
              </w:rPr>
            </w:pPr>
            <w:r>
              <w:rPr>
                <w:rFonts w:ascii="Times New Roman" w:hAnsi="Times New Roman"/>
                <w:sz w:val="24"/>
                <w:szCs w:val="24"/>
                <w:lang w:eastAsia="ru-RU"/>
              </w:rPr>
              <w:t>Объем выпуска ценных бумаг - стоимость всех выпусков биржевых облигаций, в рамках программы, руб.</w:t>
            </w:r>
          </w:p>
        </w:tc>
        <w:tc>
          <w:tcPr>
            <w:tcW w:w="4490" w:type="dxa"/>
            <w:tcBorders>
              <w:bottom w:val="single" w:sz="8" w:space="0" w:color="000000"/>
              <w:right w:val="single" w:sz="8" w:space="0" w:color="000000"/>
            </w:tcBorders>
          </w:tcPr>
          <w:p w14:paraId="5E986C2C" w14:textId="77777777" w:rsidR="002449C2" w:rsidRDefault="00123961">
            <w:pPr>
              <w:shd w:val="clear" w:color="auto" w:fill="FFFFFF"/>
              <w:spacing w:before="20" w:after="40" w:line="240" w:lineRule="auto"/>
              <w:rPr>
                <w:rFonts w:ascii="Times New Roman" w:hAnsi="Times New Roman"/>
                <w:sz w:val="24"/>
                <w:szCs w:val="24"/>
                <w:lang w:eastAsia="ru-RU"/>
              </w:rPr>
            </w:pPr>
            <w:r>
              <w:rPr>
                <w:rFonts w:ascii="Times New Roman" w:hAnsi="Times New Roman"/>
                <w:sz w:val="24"/>
                <w:szCs w:val="24"/>
                <w:lang w:eastAsia="ru-RU"/>
              </w:rPr>
              <w:t>до 25 000 млн рублей включительно</w:t>
            </w:r>
          </w:p>
        </w:tc>
      </w:tr>
      <w:tr w:rsidR="002449C2" w14:paraId="54699043" w14:textId="77777777">
        <w:tc>
          <w:tcPr>
            <w:tcW w:w="4915" w:type="dxa"/>
            <w:tcBorders>
              <w:left w:val="single" w:sz="8" w:space="0" w:color="000000"/>
              <w:bottom w:val="single" w:sz="8" w:space="0" w:color="000000"/>
              <w:right w:val="single" w:sz="8" w:space="0" w:color="000000"/>
            </w:tcBorders>
          </w:tcPr>
          <w:p w14:paraId="379BD01B" w14:textId="77777777" w:rsidR="002449C2" w:rsidRDefault="00123961">
            <w:pPr>
              <w:shd w:val="clear" w:color="auto" w:fill="FFFFFF"/>
              <w:spacing w:before="20" w:after="40" w:line="240" w:lineRule="auto"/>
              <w:rPr>
                <w:rFonts w:ascii="Times New Roman" w:hAnsi="Times New Roman"/>
                <w:sz w:val="24"/>
                <w:szCs w:val="24"/>
                <w:lang w:eastAsia="ru-RU"/>
              </w:rPr>
            </w:pPr>
            <w:r>
              <w:rPr>
                <w:rFonts w:ascii="Times New Roman" w:hAnsi="Times New Roman"/>
                <w:sz w:val="24"/>
                <w:szCs w:val="24"/>
                <w:lang w:eastAsia="ru-RU"/>
              </w:rPr>
              <w:t>Состояние ценных бумаг выпуска</w:t>
            </w:r>
          </w:p>
        </w:tc>
        <w:tc>
          <w:tcPr>
            <w:tcW w:w="4490" w:type="dxa"/>
            <w:tcBorders>
              <w:bottom w:val="single" w:sz="8" w:space="0" w:color="000000"/>
              <w:right w:val="single" w:sz="8" w:space="0" w:color="000000"/>
            </w:tcBorders>
          </w:tcPr>
          <w:p w14:paraId="6F8B7738" w14:textId="77777777" w:rsidR="002449C2" w:rsidRDefault="00123961">
            <w:pPr>
              <w:shd w:val="clear" w:color="auto" w:fill="FFFFFF"/>
              <w:spacing w:before="20" w:after="40" w:line="240" w:lineRule="auto"/>
              <w:rPr>
                <w:rFonts w:ascii="Times New Roman" w:hAnsi="Times New Roman"/>
                <w:sz w:val="24"/>
                <w:szCs w:val="24"/>
                <w:lang w:eastAsia="ru-RU"/>
              </w:rPr>
            </w:pPr>
            <w:r>
              <w:rPr>
                <w:rFonts w:ascii="Times New Roman" w:hAnsi="Times New Roman"/>
                <w:sz w:val="24"/>
                <w:szCs w:val="24"/>
                <w:lang w:eastAsia="ru-RU"/>
              </w:rPr>
              <w:t>размещение не началось</w:t>
            </w:r>
          </w:p>
        </w:tc>
      </w:tr>
      <w:tr w:rsidR="002449C2" w14:paraId="5EBD3A02" w14:textId="77777777">
        <w:tc>
          <w:tcPr>
            <w:tcW w:w="4915" w:type="dxa"/>
            <w:tcBorders>
              <w:left w:val="single" w:sz="8" w:space="0" w:color="000000"/>
              <w:bottom w:val="single" w:sz="8" w:space="0" w:color="000000"/>
              <w:right w:val="single" w:sz="8" w:space="0" w:color="000000"/>
            </w:tcBorders>
          </w:tcPr>
          <w:p w14:paraId="70D029FC" w14:textId="77777777" w:rsidR="002449C2" w:rsidRDefault="00123961">
            <w:pPr>
              <w:shd w:val="clear" w:color="auto" w:fill="FFFFFF"/>
              <w:spacing w:before="20" w:after="40" w:line="240" w:lineRule="auto"/>
              <w:rPr>
                <w:rFonts w:ascii="Times New Roman" w:hAnsi="Times New Roman"/>
                <w:sz w:val="24"/>
                <w:szCs w:val="24"/>
                <w:lang w:eastAsia="ru-RU"/>
              </w:rPr>
            </w:pPr>
            <w:r>
              <w:rPr>
                <w:rFonts w:ascii="Times New Roman" w:hAnsi="Times New Roman"/>
                <w:sz w:val="24"/>
                <w:szCs w:val="24"/>
                <w:lang w:eastAsia="ru-RU"/>
              </w:rPr>
              <w:t>Максимальный срок обращения выпуска в рамках программы</w:t>
            </w:r>
          </w:p>
        </w:tc>
        <w:tc>
          <w:tcPr>
            <w:tcW w:w="4490" w:type="dxa"/>
            <w:tcBorders>
              <w:bottom w:val="single" w:sz="8" w:space="0" w:color="000000"/>
              <w:right w:val="single" w:sz="8" w:space="0" w:color="000000"/>
            </w:tcBorders>
          </w:tcPr>
          <w:p w14:paraId="7CE7ABF8" w14:textId="77777777" w:rsidR="002449C2" w:rsidRDefault="00123961">
            <w:pPr>
              <w:shd w:val="clear" w:color="auto" w:fill="FFFFFF"/>
              <w:spacing w:before="20" w:after="40" w:line="240" w:lineRule="auto"/>
              <w:rPr>
                <w:rFonts w:ascii="Times New Roman" w:hAnsi="Times New Roman"/>
                <w:b/>
                <w:bCs/>
                <w:i/>
                <w:iCs/>
                <w:sz w:val="24"/>
                <w:szCs w:val="24"/>
                <w:lang w:eastAsia="ru-RU"/>
              </w:rPr>
            </w:pPr>
            <w:r>
              <w:rPr>
                <w:rFonts w:ascii="Times New Roman" w:hAnsi="Times New Roman"/>
                <w:i/>
                <w:iCs/>
                <w:sz w:val="24"/>
                <w:szCs w:val="24"/>
                <w:lang w:eastAsia="ru-RU"/>
              </w:rPr>
              <w:t>не позднее 10 920 дня с даты начала размещения выпуска биржевых облигаций в рамках программы</w:t>
            </w:r>
          </w:p>
        </w:tc>
      </w:tr>
      <w:tr w:rsidR="002449C2" w14:paraId="583D8A9C" w14:textId="77777777">
        <w:tc>
          <w:tcPr>
            <w:tcW w:w="4915" w:type="dxa"/>
            <w:tcBorders>
              <w:left w:val="single" w:sz="8" w:space="0" w:color="000000"/>
              <w:bottom w:val="single" w:sz="8" w:space="0" w:color="000000"/>
              <w:right w:val="single" w:sz="8" w:space="0" w:color="000000"/>
            </w:tcBorders>
          </w:tcPr>
          <w:p w14:paraId="1C6754BE" w14:textId="77777777" w:rsidR="002449C2" w:rsidRDefault="00123961">
            <w:pPr>
              <w:shd w:val="clear" w:color="auto" w:fill="FFFFFF"/>
              <w:spacing w:before="20" w:after="40" w:line="240" w:lineRule="auto"/>
              <w:rPr>
                <w:rFonts w:ascii="Times New Roman" w:hAnsi="Times New Roman"/>
                <w:sz w:val="24"/>
                <w:szCs w:val="24"/>
                <w:lang w:eastAsia="ru-RU"/>
              </w:rPr>
            </w:pPr>
            <w:r>
              <w:rPr>
                <w:rFonts w:ascii="Times New Roman" w:hAnsi="Times New Roman"/>
                <w:sz w:val="24"/>
                <w:szCs w:val="24"/>
                <w:lang w:eastAsia="ru-RU"/>
              </w:rPr>
              <w:t>Срок действия программы</w:t>
            </w:r>
          </w:p>
        </w:tc>
        <w:tc>
          <w:tcPr>
            <w:tcW w:w="4490" w:type="dxa"/>
            <w:tcBorders>
              <w:bottom w:val="single" w:sz="8" w:space="0" w:color="000000"/>
              <w:right w:val="single" w:sz="8" w:space="0" w:color="000000"/>
            </w:tcBorders>
          </w:tcPr>
          <w:p w14:paraId="432AB3B9" w14:textId="77777777" w:rsidR="002449C2" w:rsidRDefault="00123961">
            <w:pPr>
              <w:shd w:val="clear" w:color="auto" w:fill="FFFFFF"/>
              <w:spacing w:before="20" w:after="40" w:line="240" w:lineRule="auto"/>
              <w:rPr>
                <w:rFonts w:ascii="Times New Roman" w:hAnsi="Times New Roman"/>
                <w:sz w:val="24"/>
                <w:szCs w:val="24"/>
                <w:lang w:eastAsia="ru-RU"/>
              </w:rPr>
            </w:pPr>
            <w:r>
              <w:rPr>
                <w:rFonts w:ascii="Times New Roman" w:hAnsi="Times New Roman"/>
                <w:sz w:val="24"/>
                <w:szCs w:val="24"/>
                <w:lang w:eastAsia="ru-RU"/>
              </w:rPr>
              <w:t>бессрочная</w:t>
            </w:r>
          </w:p>
        </w:tc>
      </w:tr>
      <w:tr w:rsidR="002449C2" w14:paraId="10361411" w14:textId="77777777">
        <w:tc>
          <w:tcPr>
            <w:tcW w:w="4915" w:type="dxa"/>
            <w:tcBorders>
              <w:left w:val="single" w:sz="8" w:space="0" w:color="000000"/>
              <w:bottom w:val="single" w:sz="8" w:space="0" w:color="000000"/>
              <w:right w:val="single" w:sz="8" w:space="0" w:color="000000"/>
            </w:tcBorders>
          </w:tcPr>
          <w:p w14:paraId="4BFB6AAC" w14:textId="77777777" w:rsidR="002449C2" w:rsidRDefault="00123961">
            <w:pPr>
              <w:shd w:val="clear" w:color="auto" w:fill="FFFFFF"/>
              <w:spacing w:before="20" w:after="40" w:line="240" w:lineRule="auto"/>
              <w:rPr>
                <w:rFonts w:ascii="Times New Roman" w:hAnsi="Times New Roman"/>
                <w:sz w:val="24"/>
                <w:szCs w:val="24"/>
                <w:lang w:eastAsia="ru-RU"/>
              </w:rPr>
            </w:pPr>
            <w:r>
              <w:rPr>
                <w:rFonts w:ascii="Times New Roman" w:hAnsi="Times New Roman"/>
                <w:sz w:val="24"/>
                <w:szCs w:val="24"/>
                <w:lang w:eastAsia="ru-RU"/>
              </w:rPr>
              <w:t>Выпуски в рамках Программы</w:t>
            </w:r>
          </w:p>
        </w:tc>
        <w:tc>
          <w:tcPr>
            <w:tcW w:w="4490" w:type="dxa"/>
            <w:tcBorders>
              <w:bottom w:val="single" w:sz="8" w:space="0" w:color="000000"/>
              <w:right w:val="single" w:sz="8" w:space="0" w:color="000000"/>
            </w:tcBorders>
          </w:tcPr>
          <w:p w14:paraId="073826D3" w14:textId="77777777" w:rsidR="002449C2" w:rsidRDefault="00123961">
            <w:pPr>
              <w:shd w:val="clear" w:color="auto" w:fill="FFFFFF"/>
              <w:spacing w:before="20" w:after="40" w:line="240" w:lineRule="auto"/>
              <w:rPr>
                <w:rFonts w:ascii="Times New Roman" w:hAnsi="Times New Roman"/>
                <w:sz w:val="24"/>
                <w:szCs w:val="24"/>
                <w:lang w:eastAsia="ru-RU"/>
              </w:rPr>
            </w:pPr>
            <w:r>
              <w:rPr>
                <w:rFonts w:ascii="Times New Roman" w:hAnsi="Times New Roman"/>
                <w:sz w:val="24"/>
                <w:szCs w:val="24"/>
                <w:lang w:eastAsia="ru-RU"/>
              </w:rPr>
              <w:t>не размещались</w:t>
            </w:r>
          </w:p>
        </w:tc>
      </w:tr>
      <w:tr w:rsidR="002449C2" w14:paraId="648A3399" w14:textId="77777777">
        <w:tc>
          <w:tcPr>
            <w:tcW w:w="4915" w:type="dxa"/>
            <w:tcBorders>
              <w:left w:val="single" w:sz="8" w:space="0" w:color="000000"/>
              <w:bottom w:val="single" w:sz="8" w:space="0" w:color="000000"/>
              <w:right w:val="single" w:sz="8" w:space="0" w:color="000000"/>
            </w:tcBorders>
          </w:tcPr>
          <w:p w14:paraId="05AC987C" w14:textId="77777777" w:rsidR="002449C2" w:rsidRDefault="00123961">
            <w:pPr>
              <w:shd w:val="clear" w:color="auto" w:fill="FFFFFF"/>
              <w:spacing w:before="20" w:after="40" w:line="240" w:lineRule="auto"/>
              <w:rPr>
                <w:rFonts w:ascii="Times New Roman" w:hAnsi="Times New Roman"/>
                <w:sz w:val="24"/>
                <w:szCs w:val="24"/>
                <w:lang w:eastAsia="ru-RU"/>
              </w:rPr>
            </w:pPr>
            <w:r>
              <w:rPr>
                <w:rFonts w:ascii="Times New Roman" w:hAnsi="Times New Roman"/>
                <w:sz w:val="24"/>
                <w:szCs w:val="24"/>
                <w:lang w:eastAsia="ru-RU"/>
              </w:rPr>
              <w:t>Задолженность на 31.12.2024</w:t>
            </w:r>
          </w:p>
        </w:tc>
        <w:tc>
          <w:tcPr>
            <w:tcW w:w="4490" w:type="dxa"/>
            <w:tcBorders>
              <w:bottom w:val="single" w:sz="8" w:space="0" w:color="000000"/>
              <w:right w:val="single" w:sz="8" w:space="0" w:color="000000"/>
            </w:tcBorders>
          </w:tcPr>
          <w:p w14:paraId="49628B63" w14:textId="77777777" w:rsidR="002449C2" w:rsidRDefault="00123961">
            <w:pPr>
              <w:shd w:val="clear" w:color="auto" w:fill="FFFFFF"/>
              <w:spacing w:before="20" w:after="40" w:line="240" w:lineRule="auto"/>
              <w:rPr>
                <w:rFonts w:ascii="Times New Roman" w:hAnsi="Times New Roman"/>
                <w:sz w:val="24"/>
                <w:szCs w:val="24"/>
                <w:lang w:eastAsia="ru-RU"/>
              </w:rPr>
            </w:pPr>
            <w:r>
              <w:rPr>
                <w:rFonts w:ascii="Times New Roman" w:hAnsi="Times New Roman"/>
                <w:sz w:val="24"/>
                <w:szCs w:val="24"/>
                <w:lang w:eastAsia="ru-RU"/>
              </w:rPr>
              <w:t>отсутствует</w:t>
            </w:r>
          </w:p>
        </w:tc>
      </w:tr>
    </w:tbl>
    <w:p w14:paraId="24EA5E3C" w14:textId="77777777" w:rsidR="002449C2" w:rsidRDefault="00123961">
      <w:pPr>
        <w:shd w:val="clear" w:color="auto" w:fill="FFFFFF"/>
        <w:spacing w:after="0" w:line="240" w:lineRule="auto"/>
        <w:ind w:firstLine="567"/>
        <w:jc w:val="both"/>
        <w:rPr>
          <w:rFonts w:ascii="Times New Roman" w:hAnsi="Times New Roman"/>
          <w:sz w:val="26"/>
          <w:szCs w:val="26"/>
          <w:lang w:eastAsia="ru-RU"/>
        </w:rPr>
      </w:pPr>
      <w:r>
        <w:rPr>
          <w:rFonts w:ascii="Times New Roman" w:hAnsi="Times New Roman"/>
          <w:sz w:val="26"/>
          <w:szCs w:val="26"/>
          <w:lang w:eastAsia="ru-RU"/>
        </w:rPr>
        <w:t>Кредитные рейтинги Обществу в отчетном году не присваивались.</w:t>
      </w:r>
    </w:p>
    <w:p w14:paraId="4E2DDB9E" w14:textId="77777777" w:rsidR="002449C2" w:rsidRDefault="002449C2">
      <w:pPr>
        <w:shd w:val="clear" w:color="auto" w:fill="FFFFFF"/>
        <w:tabs>
          <w:tab w:val="left" w:pos="720"/>
        </w:tabs>
        <w:spacing w:after="0" w:line="240" w:lineRule="auto"/>
        <w:ind w:firstLine="709"/>
        <w:jc w:val="both"/>
        <w:rPr>
          <w:rFonts w:ascii="Times New Roman" w:eastAsia="Times New Roman" w:hAnsi="Times New Roman"/>
          <w:iCs/>
          <w:color w:val="365F91"/>
          <w:sz w:val="16"/>
          <w:szCs w:val="16"/>
          <w:lang w:eastAsia="ru-RU"/>
        </w:rPr>
      </w:pPr>
    </w:p>
    <w:p w14:paraId="504F229A"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72" w:name="_Toc195174934"/>
      <w:bookmarkStart w:id="73" w:name="_Toc196143026"/>
      <w:r>
        <w:rPr>
          <w:rFonts w:ascii="Times New Roman" w:eastAsia="Times New Roman" w:hAnsi="Times New Roman"/>
          <w:caps/>
          <w:color w:val="632423"/>
          <w:spacing w:val="15"/>
          <w:sz w:val="24"/>
          <w:szCs w:val="24"/>
          <w:lang w:eastAsia="en-US" w:bidi="en-US"/>
        </w:rPr>
        <w:t>Тарифная политика</w:t>
      </w:r>
      <w:bookmarkEnd w:id="72"/>
      <w:bookmarkEnd w:id="73"/>
    </w:p>
    <w:p w14:paraId="06EF3E7F"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Методические указания по расчету тарифов на услуги по передаче электроэнергии и услуги по технологическому присоединению утверждаются федеральным органом исполнительной власти в области регулирования тарифов, функции которого осуществляет Федеральная антимонопольная служба Российской Федерации (ФАС России). </w:t>
      </w:r>
    </w:p>
    <w:p w14:paraId="233D4BBB"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Предельные уровни тарифов на услуги по передаче электрической энергии утверждаются ФАС России.</w:t>
      </w:r>
    </w:p>
    <w:p w14:paraId="018F0441" w14:textId="77777777" w:rsidR="002449C2" w:rsidRDefault="002449C2">
      <w:pPr>
        <w:tabs>
          <w:tab w:val="left" w:pos="851"/>
        </w:tabs>
        <w:spacing w:before="120" w:after="120" w:line="240" w:lineRule="auto"/>
        <w:ind w:firstLine="567"/>
        <w:jc w:val="center"/>
        <w:rPr>
          <w:rFonts w:ascii="Times New Roman" w:hAnsi="Times New Roman"/>
          <w:b/>
          <w:color w:val="000000"/>
          <w:sz w:val="26"/>
          <w:szCs w:val="26"/>
          <w:lang w:eastAsia="en-US"/>
        </w:rPr>
      </w:pPr>
    </w:p>
    <w:p w14:paraId="66A2D161" w14:textId="77777777" w:rsidR="002449C2" w:rsidRDefault="00123961">
      <w:pPr>
        <w:tabs>
          <w:tab w:val="left" w:pos="851"/>
        </w:tabs>
        <w:spacing w:before="120" w:after="120" w:line="240" w:lineRule="auto"/>
        <w:ind w:firstLine="567"/>
        <w:jc w:val="center"/>
        <w:rPr>
          <w:rFonts w:ascii="Times New Roman" w:hAnsi="Times New Roman"/>
          <w:b/>
          <w:color w:val="000000"/>
          <w:sz w:val="26"/>
          <w:szCs w:val="26"/>
          <w:lang w:eastAsia="en-US"/>
        </w:rPr>
      </w:pPr>
      <w:r>
        <w:rPr>
          <w:rFonts w:ascii="Times New Roman" w:hAnsi="Times New Roman"/>
          <w:b/>
          <w:color w:val="000000"/>
          <w:sz w:val="26"/>
          <w:szCs w:val="26"/>
          <w:lang w:eastAsia="en-US"/>
        </w:rPr>
        <w:t>Тарифы на услуги по передаче электроэнергии</w:t>
      </w:r>
    </w:p>
    <w:p w14:paraId="0F47770B"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2024 году на территории всех субъектов Российской Федерации, входящих в зону ответственности ПАО «Россети Юг», действовали единые («котловые») тарифы на услуги по передаче электроэнергии. Особенностью данной схемы ценообразования является то, что для всех потребителей одного класса напряжения передача электрической энергии осуществляется по единому тарифу, независимо от того, к сетям какой организации они присоединены.</w:t>
      </w:r>
    </w:p>
    <w:p w14:paraId="43AEA927"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регионах присутствия ПАО «Россети Юг» утверждены единые (котловые) тарифы на услуги по передаче электрической энергии на период с 01.12.2024 по 31.12.2024 с разбивкой по полугодиям. На 2024 год тарифы на передачу электрической энергии по всем регионам присутствия ПАО «Россети Юг» утверждены </w:t>
      </w:r>
      <w:proofErr w:type="gramStart"/>
      <w:r>
        <w:rPr>
          <w:rFonts w:ascii="Times New Roman" w:eastAsia="Times New Roman" w:hAnsi="Times New Roman"/>
          <w:sz w:val="26"/>
          <w:szCs w:val="26"/>
          <w:lang w:eastAsia="ru-RU"/>
        </w:rPr>
        <w:t>в рамках</w:t>
      </w:r>
      <w:proofErr w:type="gramEnd"/>
      <w:r>
        <w:rPr>
          <w:rFonts w:ascii="Times New Roman" w:eastAsia="Times New Roman" w:hAnsi="Times New Roman"/>
          <w:sz w:val="26"/>
          <w:szCs w:val="26"/>
          <w:lang w:eastAsia="ru-RU"/>
        </w:rPr>
        <w:t xml:space="preserve"> утвержденных ФАС России предельных минимальных и максимальных уровней тарифов. </w:t>
      </w:r>
    </w:p>
    <w:p w14:paraId="1E9C13F0"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Основными потребителями услуг Общества по передаче электрической энергии являются:</w:t>
      </w:r>
    </w:p>
    <w:p w14:paraId="64B59EB3"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энергосбытовые компании - субъекты оптового и розничного рынков, осуществляющие деятельность по реализации электроэнергии конечным потребителям, присоединенным к электрическим сетям филиалов Общества и сетям других сетевых организаций;</w:t>
      </w:r>
    </w:p>
    <w:p w14:paraId="269621EE"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конечные потребители электрической энергии;</w:t>
      </w:r>
    </w:p>
    <w:p w14:paraId="68A06653"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территориальные сетевые организации - субъекты розничного рынка электроэнергии, осуществляющие передачу электрической энергии электроэнергии до конечного потребителя по своим сетям.</w:t>
      </w:r>
    </w:p>
    <w:p w14:paraId="6C826733" w14:textId="77777777" w:rsidR="002449C2" w:rsidRDefault="00123961">
      <w:pPr>
        <w:spacing w:before="120" w:after="120" w:line="240" w:lineRule="auto"/>
        <w:ind w:firstLine="709"/>
        <w:jc w:val="both"/>
        <w:rPr>
          <w:rFonts w:ascii="Times New Roman" w:eastAsia="Times New Roman" w:hAnsi="Times New Roman"/>
          <w:b/>
          <w:color w:val="2E74B5"/>
          <w:sz w:val="26"/>
          <w:szCs w:val="26"/>
          <w:lang w:eastAsia="ru-RU"/>
        </w:rPr>
      </w:pPr>
      <w:r>
        <w:rPr>
          <w:rFonts w:ascii="Times New Roman" w:eastAsia="Times New Roman" w:hAnsi="Times New Roman"/>
          <w:b/>
          <w:color w:val="2E74B5"/>
          <w:sz w:val="26"/>
          <w:szCs w:val="26"/>
          <w:lang w:eastAsia="ru-RU"/>
        </w:rPr>
        <w:t>Филиал ПАО «Россети Юг» - «Астраханьэнерго»</w:t>
      </w:r>
    </w:p>
    <w:p w14:paraId="61BE02B1" w14:textId="77777777" w:rsidR="002449C2" w:rsidRDefault="00123961">
      <w:pPr>
        <w:spacing w:before="120" w:after="12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Модель «котла» в регионе - «котел сверху». Держатель «котла» - филиал ПАО «Россети Юг» - «Астраханьэнерго». Филиал ПАО «Россети Юг» - «Астраханьэнерго» собирает всю сетевую НВВ от энергосбытовых компаний (далее - ЭСК) региона, «прямых потребителей» по «котловым» тарифам и оплачивает транзит по сетям территориальных сетевых организаций (далее - ТСО) по индивидуальным тарифам. </w:t>
      </w:r>
    </w:p>
    <w:p w14:paraId="517A212F" w14:textId="77777777" w:rsidR="002449C2" w:rsidRDefault="00123961">
      <w:pPr>
        <w:spacing w:before="120" w:after="12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«Котловые» тарифы на 2024 год утверждены постановлением Службы по тарифам Астраханской области от 27.12.2023 № 159;</w:t>
      </w:r>
    </w:p>
    <w:p w14:paraId="5557DC98" w14:textId="77777777" w:rsidR="002449C2" w:rsidRDefault="00123961">
      <w:pPr>
        <w:spacing w:before="120" w:after="12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Необходимая валовая выручка филиала ПАО «Россети Юг» - «Астраханьэнерго» сформирована методом долгосрочной индексации необходимой валовой выручки с долгосрочным периодом регулирования 2023-2027 годы.</w:t>
      </w:r>
    </w:p>
    <w:p w14:paraId="26B688DD" w14:textId="77777777" w:rsidR="002449C2" w:rsidRDefault="00123961">
      <w:pPr>
        <w:spacing w:before="120" w:after="120" w:line="240" w:lineRule="auto"/>
        <w:ind w:firstLine="709"/>
        <w:jc w:val="both"/>
        <w:rPr>
          <w:rFonts w:ascii="Times New Roman" w:eastAsia="Times New Roman" w:hAnsi="Times New Roman"/>
          <w:b/>
          <w:color w:val="2E74B5"/>
          <w:sz w:val="26"/>
          <w:szCs w:val="26"/>
          <w:lang w:eastAsia="ru-RU"/>
        </w:rPr>
      </w:pPr>
      <w:r>
        <w:rPr>
          <w:rFonts w:ascii="Times New Roman" w:eastAsia="Times New Roman" w:hAnsi="Times New Roman"/>
          <w:b/>
          <w:color w:val="2E74B5"/>
          <w:sz w:val="26"/>
          <w:szCs w:val="26"/>
          <w:lang w:eastAsia="ru-RU"/>
        </w:rPr>
        <w:t>Филиал ПАО «Россети Юг» - «Волгоградэнерго»</w:t>
      </w:r>
    </w:p>
    <w:p w14:paraId="43AD515D"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регионе в 2024 году реализована схема расчётов «смешанный котел», основной держатель котла - филиал ПАО «Россети Юг» - «Волгоградэнерго». Филиал ПАО «Россети Юг» - «Волгоградэнерго» получает выручку от потребителей услуг по передаче электроэнергии по котловым и индивидуальным тарифам. </w:t>
      </w:r>
    </w:p>
    <w:p w14:paraId="6B1736C6"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«Котловые» тарифы на 2024 год утверждены приказом Комитета тарифного регулирования Волгоградской области от 28.11.2022 № 45/15 (с изменениями и дополнениями от 27.12.2023, 27.04.2024, 31.07.2024, 18.09.2024, 10.12.2024).</w:t>
      </w:r>
    </w:p>
    <w:p w14:paraId="749D2989"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Индивидуальные тарифы взаиморасчетов между территориальными сетевыми организациями утверждены приказом Комитета тарифного регулирования Волгоградской области от 28.11.2022 №45/16 (с изменениями и дополнениями от </w:t>
      </w:r>
      <w:r>
        <w:rPr>
          <w:rFonts w:ascii="Times New Roman" w:eastAsia="Times New Roman" w:hAnsi="Times New Roman"/>
          <w:sz w:val="26"/>
          <w:szCs w:val="26"/>
          <w:lang w:eastAsia="ru-RU"/>
        </w:rPr>
        <w:br/>
        <w:t>27.12.2023, 27.04.2024, 31.07.2024, 18.09.2</w:t>
      </w:r>
      <w:r w:rsidR="00EC7CB2">
        <w:rPr>
          <w:rFonts w:ascii="Times New Roman" w:eastAsia="Times New Roman" w:hAnsi="Times New Roman"/>
          <w:sz w:val="26"/>
          <w:szCs w:val="26"/>
          <w:lang w:eastAsia="ru-RU"/>
        </w:rPr>
        <w:t>024, 23.10.2024, 30.10.2024</w:t>
      </w:r>
      <w:r>
        <w:rPr>
          <w:rFonts w:ascii="Times New Roman" w:eastAsia="Times New Roman" w:hAnsi="Times New Roman"/>
          <w:sz w:val="26"/>
          <w:szCs w:val="26"/>
          <w:lang w:eastAsia="ru-RU"/>
        </w:rPr>
        <w:t>).</w:t>
      </w:r>
    </w:p>
    <w:p w14:paraId="4C4F6448"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Необходимая валовая выручка филиала ПАО «Россети Юг» - «Волгоградэнерго» сформирована методом долгосрочной индексации необходимой валовой выручки с долгосрочным периодом 2024-2028 годы.</w:t>
      </w:r>
    </w:p>
    <w:p w14:paraId="1CC6ED35" w14:textId="77777777" w:rsidR="002449C2" w:rsidRDefault="00123961">
      <w:pPr>
        <w:spacing w:before="120" w:after="120" w:line="240" w:lineRule="auto"/>
        <w:ind w:firstLine="709"/>
        <w:jc w:val="both"/>
        <w:rPr>
          <w:rFonts w:ascii="Times New Roman" w:eastAsia="Times New Roman" w:hAnsi="Times New Roman"/>
          <w:b/>
          <w:color w:val="2E74B5"/>
          <w:sz w:val="26"/>
          <w:szCs w:val="26"/>
          <w:lang w:eastAsia="ru-RU"/>
        </w:rPr>
      </w:pPr>
      <w:r>
        <w:rPr>
          <w:rFonts w:ascii="Times New Roman" w:eastAsia="Times New Roman" w:hAnsi="Times New Roman"/>
          <w:b/>
          <w:color w:val="2E74B5"/>
          <w:sz w:val="26"/>
          <w:szCs w:val="26"/>
          <w:lang w:eastAsia="ru-RU"/>
        </w:rPr>
        <w:t>Филиал ПАО «Россети Юг» - «Калмэнерго»</w:t>
      </w:r>
    </w:p>
    <w:p w14:paraId="1686D5EF"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регионе деятельность по передаче электрической энергии осуществляет единственная ТСО - филиал ПАО «Россети Юг» - «Калмэнерго». </w:t>
      </w:r>
    </w:p>
    <w:p w14:paraId="4DC9F6D5"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рамках исполнения указания Президента Российской Федерации от 04.11.2020 № Пр-1792, распоряжения Правительства Российской Федерации от 27.05.2021 № 1384-р, с 01.07.2021 постановлением Региональной службы по тарифам Республики Калмыкия от 17.06.2021 № 34-п/э утверждены и введены в действие равные по величине единые (котловые) тарифы на услуги по передаче электрической энергии по сетям Ростовской области и Республики Калмыкия, за исключением единых (котловых) тарифов на услуги по передаче электрической энергии, поставляемой населению и приравненным к нему категориям потребителей.</w:t>
      </w:r>
    </w:p>
    <w:p w14:paraId="580F2E62"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«Котловые» тарифы на 2024 год утверждены приказом Региональной службы по тарифам Республики Калмыкия от 06.12.2023 № 85-п/э, который приказом ФАС России от 25.01.2024 № 39/24 отменен с 01.05.2024.</w:t>
      </w:r>
    </w:p>
    <w:p w14:paraId="597339BF"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На основании требований пункта 10</w:t>
      </w:r>
      <w:r>
        <w:rPr>
          <w:rFonts w:ascii="Times New Roman" w:eastAsia="Times New Roman" w:hAnsi="Times New Roman"/>
          <w:sz w:val="26"/>
          <w:szCs w:val="26"/>
          <w:vertAlign w:val="superscript"/>
          <w:lang w:eastAsia="ru-RU"/>
        </w:rPr>
        <w:t> 1</w:t>
      </w:r>
      <w:r>
        <w:rPr>
          <w:rFonts w:ascii="Times New Roman" w:eastAsia="Times New Roman" w:hAnsi="Times New Roman"/>
          <w:sz w:val="26"/>
          <w:szCs w:val="26"/>
          <w:lang w:eastAsia="ru-RU"/>
        </w:rPr>
        <w:t xml:space="preserve"> Основ ценообразования в области регулируемых цен (тарифов) в электроэнергетике, утвержденных постановлением Правительства Российской Федерации от 29.12.2011 № 1178, единые (котловые) тарифы на передачу электрической энергии на территории Республики Калмыкия для потребителей, не относящихся к населению и приравненным к нему категориям на период с 01.05.2024 по 31.12.2024 утверждены постановлением Региональной службы по тарифам  Ростовской области от 26.04.2024 № 57.</w:t>
      </w:r>
    </w:p>
    <w:p w14:paraId="347B2D8D"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Необходимая валовая выручка филиала ПАО «Россети Юг» - «Калмэнерго» сформирована методом долгосрочной индексации необходимой валовой выручки с долгосрочным периодом 2023-2027 годы.</w:t>
      </w:r>
    </w:p>
    <w:p w14:paraId="748F59E7"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соответствии с приказами Минэнерго России от 27.07.2023 № 564, от 30.07.2024 № 923 филиал ПАО «Россети Юг» - «Калмэнерго» исполняет функции гарантирующего поставщика в зоне деятельности «территория внутри административных границ Республики Калмыкия, за исключением зоны - «город Элиста» (ГП 2). </w:t>
      </w:r>
    </w:p>
    <w:p w14:paraId="3A78F166"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Сбытовые надбавки на 2024 год утверждены приказом Региональной службы по тарифам Республики Калмыкия от 01.12.2023 № 82-п/э.</w:t>
      </w:r>
    </w:p>
    <w:p w14:paraId="4CD1A0E8" w14:textId="77777777" w:rsidR="002449C2" w:rsidRDefault="00123961">
      <w:pPr>
        <w:spacing w:before="120" w:after="120" w:line="240" w:lineRule="auto"/>
        <w:ind w:firstLine="709"/>
        <w:jc w:val="both"/>
        <w:rPr>
          <w:rFonts w:ascii="Times New Roman" w:eastAsia="Times New Roman" w:hAnsi="Times New Roman"/>
          <w:b/>
          <w:color w:val="2E74B5"/>
          <w:sz w:val="26"/>
          <w:szCs w:val="26"/>
          <w:lang w:eastAsia="ru-RU"/>
        </w:rPr>
      </w:pPr>
      <w:r>
        <w:rPr>
          <w:rFonts w:ascii="Times New Roman" w:eastAsia="Times New Roman" w:hAnsi="Times New Roman"/>
          <w:b/>
          <w:color w:val="2E74B5"/>
          <w:sz w:val="26"/>
          <w:szCs w:val="26"/>
          <w:lang w:eastAsia="ru-RU"/>
        </w:rPr>
        <w:t>Филиал ПАО «Россети Юг» - «Ростовэнерго»</w:t>
      </w:r>
    </w:p>
    <w:p w14:paraId="2116CFBB"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регионе в 2024 году реализована схема расчётов «смешанный котёл» («два котла»). В регионе две крупные сетевые компании - держатели «котла»: филиал ПАО «Россети Юг» - «Ростовэнерго» и АО «Донэнерго». Филиал ПАО «Россети Юг» - «Ростовэнерго» собирает свою часть сетевого «котла» от всех ЭСК, «прямых потребителей» по котловым тарифам и от АО «Донэнерго» по индивидуальным тарифам и отдает часть сетевой выручки своим нижестоящим ТСО по индивидуальным тарифам. АО «Донэнерго» собирает свою часть сетевого котла от ПАО «ТНС Энерго Ростов-на-Дону» и прочих энергосбытовых компаний по единым (котловым) тарифам и отдает часть выручки в филиал ПАО «Россети Юг» - «Ростовэнерго» и нижестоящие ТСО по индивидуальным тарифам. </w:t>
      </w:r>
    </w:p>
    <w:p w14:paraId="032BFE8C"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рамках исполнения указания Президента Российской Федерации от 04.11.2020 № Пр-1792, распоряжения Правительства Российской Федерации от 27.05.2021 № 1384-р на территории Ростовской области и Республики Калмыкия действуют равные по величине единые (котловые) тарифы на услуги по передаче электрической энергии, за исключением единых (котловых) тарифов на услуги по передаче электрической энергии, поставляемой населению и приравненным к нему категориям потребителей.</w:t>
      </w:r>
    </w:p>
    <w:p w14:paraId="49D0EA85"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«Котловые» тарифы на 2024 год утверждены постановлением Региональной службы по тарифам Ростовской области от 06.12.2023 № 790 с учетом изменений, внесенных постановлением Региональной службы по тарифам Ростовской области от 26.04.2024 № 57.</w:t>
      </w:r>
    </w:p>
    <w:p w14:paraId="6EC1C9DB"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Индивидуальные тарифы для взаиморасчетов с АО «Донэнерго» утверждены постановлением Региональной службы по тарифам Ростовской области от 06.12.2023 № 791.</w:t>
      </w:r>
    </w:p>
    <w:p w14:paraId="1B69C9BA"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Необходимая валовая выручка филиала ПАО «Россети Юг» - «Ростовэнерго» сформирована методом долгосрочной индексации необходимой валовой выручки с долгосрочным периодом 2023-2027 годы.</w:t>
      </w:r>
    </w:p>
    <w:p w14:paraId="446C9F17" w14:textId="250303BC" w:rsidR="002449C2" w:rsidRDefault="002449C2">
      <w:pPr>
        <w:spacing w:after="0" w:line="240" w:lineRule="auto"/>
        <w:ind w:left="426" w:right="-143"/>
        <w:contextualSpacing/>
        <w:jc w:val="both"/>
        <w:rPr>
          <w:rFonts w:ascii="Times New Roman" w:eastAsia="Times New Roman" w:hAnsi="Times New Roman"/>
          <w:b/>
          <w:sz w:val="26"/>
          <w:szCs w:val="26"/>
          <w:lang w:eastAsia="ru-RU"/>
        </w:rPr>
      </w:pPr>
    </w:p>
    <w:p w14:paraId="162009E1" w14:textId="77777777" w:rsidR="002449C2" w:rsidRDefault="00123961">
      <w:pPr>
        <w:tabs>
          <w:tab w:val="left" w:pos="851"/>
        </w:tabs>
        <w:spacing w:after="0" w:line="240" w:lineRule="auto"/>
        <w:ind w:firstLine="567"/>
        <w:jc w:val="center"/>
        <w:rPr>
          <w:rFonts w:ascii="Times New Roman" w:hAnsi="Times New Roman"/>
          <w:b/>
          <w:color w:val="000000"/>
          <w:sz w:val="26"/>
          <w:szCs w:val="26"/>
          <w:lang w:eastAsia="en-US"/>
        </w:rPr>
      </w:pPr>
      <w:r>
        <w:rPr>
          <w:rFonts w:ascii="Times New Roman" w:hAnsi="Times New Roman"/>
          <w:b/>
          <w:color w:val="000000"/>
          <w:sz w:val="26"/>
          <w:szCs w:val="26"/>
          <w:lang w:eastAsia="en-US"/>
        </w:rPr>
        <w:t>Показатели по тарифам на услуги по передаче электрической энергии</w:t>
      </w:r>
    </w:p>
    <w:p w14:paraId="6627AC04" w14:textId="77777777" w:rsidR="002449C2" w:rsidRDefault="00123961">
      <w:pPr>
        <w:tabs>
          <w:tab w:val="left" w:pos="851"/>
        </w:tabs>
        <w:spacing w:after="0" w:line="240" w:lineRule="auto"/>
        <w:ind w:firstLine="567"/>
        <w:jc w:val="center"/>
        <w:rPr>
          <w:rFonts w:ascii="Times New Roman" w:hAnsi="Times New Roman"/>
          <w:b/>
          <w:color w:val="000000"/>
          <w:sz w:val="26"/>
          <w:szCs w:val="26"/>
          <w:lang w:eastAsia="en-US"/>
        </w:rPr>
      </w:pPr>
      <w:r>
        <w:rPr>
          <w:rFonts w:ascii="Times New Roman" w:hAnsi="Times New Roman"/>
          <w:b/>
          <w:color w:val="000000"/>
          <w:sz w:val="26"/>
          <w:szCs w:val="26"/>
          <w:lang w:eastAsia="en-US"/>
        </w:rPr>
        <w:t>и платы за технологическое присоединение</w:t>
      </w:r>
    </w:p>
    <w:p w14:paraId="1AFF06E6" w14:textId="77777777" w:rsidR="002449C2" w:rsidRDefault="002449C2">
      <w:pPr>
        <w:spacing w:after="0" w:line="240" w:lineRule="auto"/>
        <w:jc w:val="center"/>
        <w:rPr>
          <w:rFonts w:ascii="Times New Roman" w:eastAsia="Times New Roman" w:hAnsi="Times New Roman"/>
          <w:sz w:val="24"/>
          <w:szCs w:val="26"/>
          <w:lang w:eastAsia="ru-RU"/>
        </w:rPr>
      </w:pPr>
    </w:p>
    <w:tbl>
      <w:tblPr>
        <w:tblW w:w="5000" w:type="pct"/>
        <w:jc w:val="center"/>
        <w:tblLayout w:type="fixed"/>
        <w:tblLook w:val="04A0" w:firstRow="1" w:lastRow="0" w:firstColumn="1" w:lastColumn="0" w:noHBand="0" w:noVBand="1"/>
      </w:tblPr>
      <w:tblGrid>
        <w:gridCol w:w="3474"/>
        <w:gridCol w:w="1691"/>
        <w:gridCol w:w="1186"/>
        <w:gridCol w:w="1021"/>
        <w:gridCol w:w="1103"/>
        <w:gridCol w:w="1013"/>
      </w:tblGrid>
      <w:tr w:rsidR="002449C2" w14:paraId="7B85D93C" w14:textId="77777777">
        <w:trPr>
          <w:trHeight w:val="300"/>
          <w:jc w:val="center"/>
        </w:trPr>
        <w:tc>
          <w:tcPr>
            <w:tcW w:w="3477" w:type="dxa"/>
            <w:vMerge w:val="restart"/>
            <w:tcBorders>
              <w:top w:val="single" w:sz="4" w:space="0" w:color="000000"/>
              <w:left w:val="single" w:sz="4" w:space="0" w:color="000000"/>
              <w:bottom w:val="single" w:sz="4" w:space="0" w:color="000000"/>
              <w:right w:val="single" w:sz="4" w:space="0" w:color="000000"/>
            </w:tcBorders>
            <w:vAlign w:val="center"/>
          </w:tcPr>
          <w:p w14:paraId="44B8592E" w14:textId="77777777" w:rsidR="002449C2" w:rsidRDefault="00123961">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Показатели</w:t>
            </w:r>
          </w:p>
        </w:tc>
        <w:tc>
          <w:tcPr>
            <w:tcW w:w="1693" w:type="dxa"/>
            <w:vMerge w:val="restart"/>
            <w:tcBorders>
              <w:top w:val="single" w:sz="4" w:space="0" w:color="000000"/>
              <w:left w:val="single" w:sz="4" w:space="0" w:color="000000"/>
              <w:bottom w:val="single" w:sz="4" w:space="0" w:color="000000"/>
              <w:right w:val="single" w:sz="4" w:space="0" w:color="000000"/>
            </w:tcBorders>
            <w:vAlign w:val="center"/>
          </w:tcPr>
          <w:p w14:paraId="6F421951" w14:textId="77777777" w:rsidR="002449C2" w:rsidRDefault="00123961">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Единицы измерения</w:t>
            </w:r>
          </w:p>
        </w:tc>
        <w:tc>
          <w:tcPr>
            <w:tcW w:w="4327" w:type="dxa"/>
            <w:gridSpan w:val="4"/>
            <w:tcBorders>
              <w:top w:val="single" w:sz="4" w:space="0" w:color="000000"/>
              <w:left w:val="single" w:sz="4" w:space="0" w:color="000000"/>
              <w:bottom w:val="single" w:sz="4" w:space="0" w:color="000000"/>
              <w:right w:val="single" w:sz="4" w:space="0" w:color="000000"/>
            </w:tcBorders>
            <w:vAlign w:val="center"/>
          </w:tcPr>
          <w:p w14:paraId="55D22FEF" w14:textId="77777777" w:rsidR="002449C2" w:rsidRDefault="00123961">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Период</w:t>
            </w:r>
          </w:p>
        </w:tc>
      </w:tr>
      <w:tr w:rsidR="002449C2" w14:paraId="47C54BDE" w14:textId="77777777">
        <w:trPr>
          <w:trHeight w:val="162"/>
          <w:jc w:val="center"/>
        </w:trPr>
        <w:tc>
          <w:tcPr>
            <w:tcW w:w="3477" w:type="dxa"/>
            <w:vMerge/>
            <w:tcBorders>
              <w:top w:val="single" w:sz="4" w:space="0" w:color="000000"/>
              <w:left w:val="single" w:sz="4" w:space="0" w:color="000000"/>
              <w:bottom w:val="single" w:sz="4" w:space="0" w:color="000000"/>
              <w:right w:val="single" w:sz="4" w:space="0" w:color="000000"/>
            </w:tcBorders>
            <w:vAlign w:val="center"/>
          </w:tcPr>
          <w:p w14:paraId="58EBC4D6" w14:textId="77777777" w:rsidR="002449C2" w:rsidRDefault="002449C2">
            <w:pPr>
              <w:spacing w:after="0" w:line="240" w:lineRule="auto"/>
              <w:rPr>
                <w:rFonts w:ascii="Times New Roman" w:eastAsia="Times New Roman" w:hAnsi="Times New Roman"/>
                <w:b/>
                <w:bCs/>
                <w:color w:val="000000"/>
                <w:sz w:val="16"/>
                <w:szCs w:val="16"/>
                <w:lang w:eastAsia="ru-RU"/>
              </w:rPr>
            </w:pPr>
          </w:p>
        </w:tc>
        <w:tc>
          <w:tcPr>
            <w:tcW w:w="1693" w:type="dxa"/>
            <w:vMerge/>
            <w:tcBorders>
              <w:top w:val="single" w:sz="4" w:space="0" w:color="000000"/>
              <w:left w:val="single" w:sz="4" w:space="0" w:color="000000"/>
              <w:bottom w:val="single" w:sz="4" w:space="0" w:color="000000"/>
              <w:right w:val="single" w:sz="4" w:space="0" w:color="000000"/>
            </w:tcBorders>
            <w:vAlign w:val="center"/>
          </w:tcPr>
          <w:p w14:paraId="67EB3143" w14:textId="77777777" w:rsidR="002449C2" w:rsidRDefault="002449C2">
            <w:pPr>
              <w:spacing w:after="0" w:line="240" w:lineRule="auto"/>
              <w:rPr>
                <w:rFonts w:ascii="Times New Roman" w:eastAsia="Times New Roman" w:hAnsi="Times New Roman"/>
                <w:b/>
                <w:bCs/>
                <w:color w:val="000000"/>
                <w:sz w:val="16"/>
                <w:szCs w:val="16"/>
                <w:lang w:eastAsia="ru-RU"/>
              </w:rPr>
            </w:pPr>
          </w:p>
        </w:tc>
        <w:tc>
          <w:tcPr>
            <w:tcW w:w="1187" w:type="dxa"/>
            <w:tcBorders>
              <w:bottom w:val="single" w:sz="4" w:space="0" w:color="000000"/>
              <w:right w:val="single" w:sz="4" w:space="0" w:color="000000"/>
            </w:tcBorders>
            <w:vAlign w:val="center"/>
          </w:tcPr>
          <w:p w14:paraId="44CDCA48" w14:textId="77777777" w:rsidR="002449C2" w:rsidRDefault="00123961">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2022 год</w:t>
            </w:r>
          </w:p>
        </w:tc>
        <w:tc>
          <w:tcPr>
            <w:tcW w:w="1022" w:type="dxa"/>
            <w:tcBorders>
              <w:bottom w:val="single" w:sz="4" w:space="0" w:color="000000"/>
              <w:right w:val="single" w:sz="4" w:space="0" w:color="000000"/>
            </w:tcBorders>
            <w:vAlign w:val="center"/>
          </w:tcPr>
          <w:p w14:paraId="25D5F80F" w14:textId="77777777" w:rsidR="002449C2" w:rsidRDefault="00123961">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2023 год</w:t>
            </w:r>
          </w:p>
        </w:tc>
        <w:tc>
          <w:tcPr>
            <w:tcW w:w="1104" w:type="dxa"/>
            <w:tcBorders>
              <w:bottom w:val="single" w:sz="4" w:space="0" w:color="000000"/>
              <w:right w:val="single" w:sz="4" w:space="0" w:color="000000"/>
            </w:tcBorders>
            <w:vAlign w:val="center"/>
          </w:tcPr>
          <w:p w14:paraId="1C9A315E" w14:textId="77777777" w:rsidR="002449C2" w:rsidRDefault="00123961">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2024 год</w:t>
            </w:r>
          </w:p>
        </w:tc>
        <w:tc>
          <w:tcPr>
            <w:tcW w:w="1014" w:type="dxa"/>
            <w:tcBorders>
              <w:bottom w:val="single" w:sz="4" w:space="0" w:color="000000"/>
              <w:right w:val="single" w:sz="4" w:space="0" w:color="000000"/>
            </w:tcBorders>
            <w:vAlign w:val="center"/>
          </w:tcPr>
          <w:p w14:paraId="6264956C" w14:textId="77777777" w:rsidR="002449C2" w:rsidRDefault="00123961">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изменение 2024/2023, %</w:t>
            </w:r>
          </w:p>
        </w:tc>
      </w:tr>
      <w:tr w:rsidR="002449C2" w14:paraId="66362248" w14:textId="77777777">
        <w:trPr>
          <w:trHeight w:val="945"/>
          <w:jc w:val="center"/>
        </w:trPr>
        <w:tc>
          <w:tcPr>
            <w:tcW w:w="3477" w:type="dxa"/>
            <w:tcBorders>
              <w:left w:val="single" w:sz="4" w:space="0" w:color="000000"/>
              <w:bottom w:val="single" w:sz="4" w:space="0" w:color="000000"/>
              <w:right w:val="single" w:sz="4" w:space="0" w:color="000000"/>
            </w:tcBorders>
            <w:vAlign w:val="center"/>
          </w:tcPr>
          <w:p w14:paraId="76FC523F" w14:textId="77777777" w:rsidR="002449C2" w:rsidRDefault="00123961">
            <w:pPr>
              <w:spacing w:after="0" w:line="240" w:lineRule="auto"/>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НВВ по передаче электрической энергии, утвержденная в рамках тарифно-балансовых решений, в том числе:</w:t>
            </w:r>
          </w:p>
        </w:tc>
        <w:tc>
          <w:tcPr>
            <w:tcW w:w="1693" w:type="dxa"/>
            <w:vMerge w:val="restart"/>
            <w:tcBorders>
              <w:bottom w:val="single" w:sz="4" w:space="0" w:color="000000"/>
              <w:right w:val="single" w:sz="4" w:space="0" w:color="000000"/>
            </w:tcBorders>
            <w:vAlign w:val="center"/>
          </w:tcPr>
          <w:p w14:paraId="48EC297B" w14:textId="77777777" w:rsidR="002449C2" w:rsidRDefault="00123961">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color w:val="000000"/>
                <w:sz w:val="20"/>
                <w:szCs w:val="20"/>
                <w:lang w:eastAsia="ru-RU"/>
              </w:rPr>
              <w:t>млн руб.</w:t>
            </w:r>
          </w:p>
        </w:tc>
        <w:tc>
          <w:tcPr>
            <w:tcW w:w="1187" w:type="dxa"/>
            <w:tcBorders>
              <w:bottom w:val="single" w:sz="8" w:space="0" w:color="000000"/>
              <w:right w:val="single" w:sz="8" w:space="0" w:color="000000"/>
            </w:tcBorders>
            <w:vAlign w:val="center"/>
          </w:tcPr>
          <w:p w14:paraId="2700316C"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40 208,83</w:t>
            </w:r>
          </w:p>
        </w:tc>
        <w:tc>
          <w:tcPr>
            <w:tcW w:w="1022" w:type="dxa"/>
            <w:tcBorders>
              <w:bottom w:val="single" w:sz="8" w:space="0" w:color="000000"/>
              <w:right w:val="single" w:sz="8" w:space="0" w:color="000000"/>
            </w:tcBorders>
            <w:vAlign w:val="center"/>
          </w:tcPr>
          <w:p w14:paraId="4D74B8A0"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46 091,96</w:t>
            </w:r>
          </w:p>
        </w:tc>
        <w:tc>
          <w:tcPr>
            <w:tcW w:w="1104" w:type="dxa"/>
            <w:tcBorders>
              <w:bottom w:val="single" w:sz="8" w:space="0" w:color="000000"/>
              <w:right w:val="single" w:sz="8" w:space="0" w:color="000000"/>
            </w:tcBorders>
            <w:vAlign w:val="center"/>
          </w:tcPr>
          <w:p w14:paraId="11DBBB67"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48 414,47</w:t>
            </w:r>
          </w:p>
        </w:tc>
        <w:tc>
          <w:tcPr>
            <w:tcW w:w="1014" w:type="dxa"/>
            <w:tcBorders>
              <w:bottom w:val="single" w:sz="8" w:space="0" w:color="000000"/>
              <w:right w:val="single" w:sz="8" w:space="0" w:color="000000"/>
            </w:tcBorders>
            <w:vAlign w:val="center"/>
          </w:tcPr>
          <w:p w14:paraId="35B119C3"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5,04%</w:t>
            </w:r>
          </w:p>
        </w:tc>
      </w:tr>
      <w:tr w:rsidR="002449C2" w14:paraId="0B377E38"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45CE1932"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Астраханьэнерго</w:t>
            </w:r>
          </w:p>
        </w:tc>
        <w:tc>
          <w:tcPr>
            <w:tcW w:w="1693" w:type="dxa"/>
            <w:vMerge/>
            <w:tcBorders>
              <w:right w:val="single" w:sz="4" w:space="0" w:color="000000"/>
            </w:tcBorders>
            <w:vAlign w:val="center"/>
          </w:tcPr>
          <w:p w14:paraId="0EA9625E"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132F6367"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6 254,92</w:t>
            </w:r>
          </w:p>
        </w:tc>
        <w:tc>
          <w:tcPr>
            <w:tcW w:w="1022" w:type="dxa"/>
            <w:tcBorders>
              <w:bottom w:val="single" w:sz="8" w:space="0" w:color="000000"/>
              <w:right w:val="single" w:sz="8" w:space="0" w:color="000000"/>
            </w:tcBorders>
          </w:tcPr>
          <w:p w14:paraId="1C052330"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7 078,14</w:t>
            </w:r>
          </w:p>
        </w:tc>
        <w:tc>
          <w:tcPr>
            <w:tcW w:w="1104" w:type="dxa"/>
            <w:tcBorders>
              <w:bottom w:val="single" w:sz="8" w:space="0" w:color="000000"/>
              <w:right w:val="single" w:sz="8" w:space="0" w:color="000000"/>
            </w:tcBorders>
          </w:tcPr>
          <w:p w14:paraId="0C23A7D5"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7 319,26</w:t>
            </w:r>
          </w:p>
        </w:tc>
        <w:tc>
          <w:tcPr>
            <w:tcW w:w="1014" w:type="dxa"/>
            <w:tcBorders>
              <w:bottom w:val="single" w:sz="8" w:space="0" w:color="000000"/>
              <w:right w:val="single" w:sz="8" w:space="0" w:color="000000"/>
            </w:tcBorders>
          </w:tcPr>
          <w:p w14:paraId="4EEA3D1E"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3,41%</w:t>
            </w:r>
          </w:p>
        </w:tc>
      </w:tr>
      <w:tr w:rsidR="002449C2" w14:paraId="4F681443"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6AF1E768"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Волгоградэнерго</w:t>
            </w:r>
          </w:p>
        </w:tc>
        <w:tc>
          <w:tcPr>
            <w:tcW w:w="1693" w:type="dxa"/>
            <w:vMerge/>
            <w:tcBorders>
              <w:right w:val="single" w:sz="4" w:space="0" w:color="000000"/>
            </w:tcBorders>
            <w:vAlign w:val="center"/>
          </w:tcPr>
          <w:p w14:paraId="5D478268"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1B62B2EA"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10 798,42</w:t>
            </w:r>
          </w:p>
        </w:tc>
        <w:tc>
          <w:tcPr>
            <w:tcW w:w="1022" w:type="dxa"/>
            <w:tcBorders>
              <w:bottom w:val="single" w:sz="8" w:space="0" w:color="000000"/>
              <w:right w:val="single" w:sz="8" w:space="0" w:color="000000"/>
            </w:tcBorders>
          </w:tcPr>
          <w:p w14:paraId="34767A66"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12 410,43</w:t>
            </w:r>
          </w:p>
        </w:tc>
        <w:tc>
          <w:tcPr>
            <w:tcW w:w="1104" w:type="dxa"/>
            <w:tcBorders>
              <w:bottom w:val="single" w:sz="8" w:space="0" w:color="000000"/>
              <w:right w:val="single" w:sz="8" w:space="0" w:color="000000"/>
            </w:tcBorders>
          </w:tcPr>
          <w:p w14:paraId="40426828"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12 906,33</w:t>
            </w:r>
          </w:p>
        </w:tc>
        <w:tc>
          <w:tcPr>
            <w:tcW w:w="1014" w:type="dxa"/>
            <w:tcBorders>
              <w:bottom w:val="single" w:sz="8" w:space="0" w:color="000000"/>
              <w:right w:val="single" w:sz="8" w:space="0" w:color="000000"/>
            </w:tcBorders>
          </w:tcPr>
          <w:p w14:paraId="4EA29CD9"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4,00%</w:t>
            </w:r>
          </w:p>
        </w:tc>
      </w:tr>
      <w:tr w:rsidR="002449C2" w14:paraId="62A05769"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66DE299A"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Калмэнерго</w:t>
            </w:r>
          </w:p>
        </w:tc>
        <w:tc>
          <w:tcPr>
            <w:tcW w:w="1693" w:type="dxa"/>
            <w:vMerge/>
            <w:tcBorders>
              <w:right w:val="single" w:sz="4" w:space="0" w:color="000000"/>
            </w:tcBorders>
            <w:vAlign w:val="center"/>
          </w:tcPr>
          <w:p w14:paraId="73EEDBEC"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2D77EAEA"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2 633,45</w:t>
            </w:r>
          </w:p>
        </w:tc>
        <w:tc>
          <w:tcPr>
            <w:tcW w:w="1022" w:type="dxa"/>
            <w:tcBorders>
              <w:bottom w:val="single" w:sz="8" w:space="0" w:color="000000"/>
              <w:right w:val="single" w:sz="8" w:space="0" w:color="000000"/>
            </w:tcBorders>
          </w:tcPr>
          <w:p w14:paraId="6C7BE859"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2 980,19</w:t>
            </w:r>
          </w:p>
        </w:tc>
        <w:tc>
          <w:tcPr>
            <w:tcW w:w="1104" w:type="dxa"/>
            <w:tcBorders>
              <w:bottom w:val="single" w:sz="8" w:space="0" w:color="000000"/>
              <w:right w:val="single" w:sz="8" w:space="0" w:color="000000"/>
            </w:tcBorders>
          </w:tcPr>
          <w:p w14:paraId="688D9A43"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2 392,95</w:t>
            </w:r>
          </w:p>
        </w:tc>
        <w:tc>
          <w:tcPr>
            <w:tcW w:w="1014" w:type="dxa"/>
            <w:tcBorders>
              <w:bottom w:val="single" w:sz="8" w:space="0" w:color="000000"/>
              <w:right w:val="single" w:sz="8" w:space="0" w:color="000000"/>
            </w:tcBorders>
          </w:tcPr>
          <w:p w14:paraId="1B63E6F7"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-19,71%</w:t>
            </w:r>
          </w:p>
        </w:tc>
      </w:tr>
      <w:tr w:rsidR="002449C2" w14:paraId="411EAA45"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3C465480"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Ростовэнерго</w:t>
            </w:r>
          </w:p>
        </w:tc>
        <w:tc>
          <w:tcPr>
            <w:tcW w:w="1693" w:type="dxa"/>
            <w:vMerge/>
            <w:tcBorders>
              <w:bottom w:val="single" w:sz="4" w:space="0" w:color="000000"/>
              <w:right w:val="single" w:sz="4" w:space="0" w:color="000000"/>
            </w:tcBorders>
            <w:vAlign w:val="center"/>
          </w:tcPr>
          <w:p w14:paraId="712487EA"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217F1EE9"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20 522,04</w:t>
            </w:r>
          </w:p>
        </w:tc>
        <w:tc>
          <w:tcPr>
            <w:tcW w:w="1022" w:type="dxa"/>
            <w:tcBorders>
              <w:bottom w:val="single" w:sz="8" w:space="0" w:color="000000"/>
              <w:right w:val="single" w:sz="8" w:space="0" w:color="000000"/>
            </w:tcBorders>
          </w:tcPr>
          <w:p w14:paraId="24D190B6"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23 623,19</w:t>
            </w:r>
          </w:p>
        </w:tc>
        <w:tc>
          <w:tcPr>
            <w:tcW w:w="1104" w:type="dxa"/>
            <w:tcBorders>
              <w:bottom w:val="single" w:sz="8" w:space="0" w:color="000000"/>
              <w:right w:val="single" w:sz="8" w:space="0" w:color="000000"/>
            </w:tcBorders>
          </w:tcPr>
          <w:p w14:paraId="16A95536"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25 795,93</w:t>
            </w:r>
          </w:p>
        </w:tc>
        <w:tc>
          <w:tcPr>
            <w:tcW w:w="1014" w:type="dxa"/>
            <w:tcBorders>
              <w:bottom w:val="single" w:sz="8" w:space="0" w:color="000000"/>
              <w:right w:val="single" w:sz="8" w:space="0" w:color="000000"/>
            </w:tcBorders>
          </w:tcPr>
          <w:p w14:paraId="7936A9D8"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9,20%</w:t>
            </w:r>
          </w:p>
        </w:tc>
      </w:tr>
      <w:tr w:rsidR="002449C2" w14:paraId="2F62A1CA"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5076FAFF" w14:textId="77777777" w:rsidR="002449C2" w:rsidRDefault="00123961">
            <w:pPr>
              <w:spacing w:after="0" w:line="240" w:lineRule="auto"/>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НВВ собственная</w:t>
            </w:r>
          </w:p>
        </w:tc>
        <w:tc>
          <w:tcPr>
            <w:tcW w:w="1693" w:type="dxa"/>
            <w:vMerge w:val="restart"/>
            <w:tcBorders>
              <w:bottom w:val="single" w:sz="4" w:space="0" w:color="000000"/>
              <w:right w:val="single" w:sz="4" w:space="0" w:color="000000"/>
            </w:tcBorders>
            <w:vAlign w:val="center"/>
          </w:tcPr>
          <w:p w14:paraId="7F87F1FB" w14:textId="77777777" w:rsidR="002449C2" w:rsidRDefault="00123961">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color w:val="000000"/>
                <w:sz w:val="20"/>
                <w:szCs w:val="20"/>
                <w:lang w:eastAsia="ru-RU"/>
              </w:rPr>
              <w:t>млн руб.</w:t>
            </w:r>
          </w:p>
        </w:tc>
        <w:tc>
          <w:tcPr>
            <w:tcW w:w="1187" w:type="dxa"/>
            <w:tcBorders>
              <w:bottom w:val="single" w:sz="8" w:space="0" w:color="000000"/>
              <w:right w:val="single" w:sz="8" w:space="0" w:color="000000"/>
            </w:tcBorders>
          </w:tcPr>
          <w:p w14:paraId="1D5B3939"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19 960,22</w:t>
            </w:r>
          </w:p>
        </w:tc>
        <w:tc>
          <w:tcPr>
            <w:tcW w:w="1022" w:type="dxa"/>
            <w:tcBorders>
              <w:bottom w:val="single" w:sz="8" w:space="0" w:color="000000"/>
              <w:right w:val="single" w:sz="8" w:space="0" w:color="000000"/>
            </w:tcBorders>
          </w:tcPr>
          <w:p w14:paraId="4FAF101B"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23 762,16</w:t>
            </w:r>
          </w:p>
        </w:tc>
        <w:tc>
          <w:tcPr>
            <w:tcW w:w="1104" w:type="dxa"/>
            <w:tcBorders>
              <w:bottom w:val="single" w:sz="8" w:space="0" w:color="000000"/>
              <w:right w:val="single" w:sz="8" w:space="0" w:color="000000"/>
            </w:tcBorders>
          </w:tcPr>
          <w:p w14:paraId="0A09B1D4"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24 187,73</w:t>
            </w:r>
          </w:p>
        </w:tc>
        <w:tc>
          <w:tcPr>
            <w:tcW w:w="1014" w:type="dxa"/>
            <w:tcBorders>
              <w:bottom w:val="single" w:sz="8" w:space="0" w:color="000000"/>
              <w:right w:val="single" w:sz="8" w:space="0" w:color="000000"/>
            </w:tcBorders>
          </w:tcPr>
          <w:p w14:paraId="30F7D993"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1,79%</w:t>
            </w:r>
          </w:p>
        </w:tc>
      </w:tr>
      <w:tr w:rsidR="002449C2" w14:paraId="772AF65D"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75E57D80"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Астраханьэнерго</w:t>
            </w:r>
          </w:p>
        </w:tc>
        <w:tc>
          <w:tcPr>
            <w:tcW w:w="1693" w:type="dxa"/>
            <w:vMerge/>
            <w:tcBorders>
              <w:right w:val="single" w:sz="4" w:space="0" w:color="000000"/>
            </w:tcBorders>
            <w:vAlign w:val="center"/>
          </w:tcPr>
          <w:p w14:paraId="000C7D68"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7A33B374"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3 459,67</w:t>
            </w:r>
          </w:p>
        </w:tc>
        <w:tc>
          <w:tcPr>
            <w:tcW w:w="1022" w:type="dxa"/>
            <w:tcBorders>
              <w:bottom w:val="single" w:sz="8" w:space="0" w:color="000000"/>
              <w:right w:val="single" w:sz="8" w:space="0" w:color="000000"/>
            </w:tcBorders>
          </w:tcPr>
          <w:p w14:paraId="2C785D95"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3 837,45</w:t>
            </w:r>
          </w:p>
        </w:tc>
        <w:tc>
          <w:tcPr>
            <w:tcW w:w="1104" w:type="dxa"/>
            <w:tcBorders>
              <w:bottom w:val="single" w:sz="8" w:space="0" w:color="000000"/>
              <w:right w:val="single" w:sz="8" w:space="0" w:color="000000"/>
            </w:tcBorders>
          </w:tcPr>
          <w:p w14:paraId="20AAE8BC"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3 817,19</w:t>
            </w:r>
          </w:p>
        </w:tc>
        <w:tc>
          <w:tcPr>
            <w:tcW w:w="1014" w:type="dxa"/>
            <w:tcBorders>
              <w:bottom w:val="single" w:sz="8" w:space="0" w:color="000000"/>
              <w:right w:val="single" w:sz="8" w:space="0" w:color="000000"/>
            </w:tcBorders>
          </w:tcPr>
          <w:p w14:paraId="57AF3256"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-0,53%</w:t>
            </w:r>
          </w:p>
        </w:tc>
      </w:tr>
      <w:tr w:rsidR="002449C2" w14:paraId="268EEF42"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463A47EB"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Волгоградэнерго</w:t>
            </w:r>
          </w:p>
        </w:tc>
        <w:tc>
          <w:tcPr>
            <w:tcW w:w="1693" w:type="dxa"/>
            <w:vMerge/>
            <w:tcBorders>
              <w:right w:val="single" w:sz="4" w:space="0" w:color="000000"/>
            </w:tcBorders>
            <w:vAlign w:val="center"/>
          </w:tcPr>
          <w:p w14:paraId="44E5DF35"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41B0D01E"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4 701,13</w:t>
            </w:r>
          </w:p>
        </w:tc>
        <w:tc>
          <w:tcPr>
            <w:tcW w:w="1022" w:type="dxa"/>
            <w:tcBorders>
              <w:bottom w:val="single" w:sz="8" w:space="0" w:color="000000"/>
              <w:right w:val="single" w:sz="8" w:space="0" w:color="000000"/>
            </w:tcBorders>
          </w:tcPr>
          <w:p w14:paraId="372CDCE6"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5 804,64</w:t>
            </w:r>
          </w:p>
        </w:tc>
        <w:tc>
          <w:tcPr>
            <w:tcW w:w="1104" w:type="dxa"/>
            <w:tcBorders>
              <w:bottom w:val="single" w:sz="8" w:space="0" w:color="000000"/>
              <w:right w:val="single" w:sz="8" w:space="0" w:color="000000"/>
            </w:tcBorders>
          </w:tcPr>
          <w:p w14:paraId="4F2340C4"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6 017,63</w:t>
            </w:r>
          </w:p>
        </w:tc>
        <w:tc>
          <w:tcPr>
            <w:tcW w:w="1014" w:type="dxa"/>
            <w:tcBorders>
              <w:bottom w:val="single" w:sz="8" w:space="0" w:color="000000"/>
              <w:right w:val="single" w:sz="8" w:space="0" w:color="000000"/>
            </w:tcBorders>
          </w:tcPr>
          <w:p w14:paraId="1678778C"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3,67%</w:t>
            </w:r>
          </w:p>
        </w:tc>
      </w:tr>
      <w:tr w:rsidR="002449C2" w14:paraId="3BCD8897"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547D6FB2"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Калмэнерго</w:t>
            </w:r>
          </w:p>
        </w:tc>
        <w:tc>
          <w:tcPr>
            <w:tcW w:w="1693" w:type="dxa"/>
            <w:vMerge/>
            <w:tcBorders>
              <w:right w:val="single" w:sz="4" w:space="0" w:color="000000"/>
            </w:tcBorders>
            <w:vAlign w:val="center"/>
          </w:tcPr>
          <w:p w14:paraId="6B32ECC2"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1BB1BA4D"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1 926,99</w:t>
            </w:r>
          </w:p>
        </w:tc>
        <w:tc>
          <w:tcPr>
            <w:tcW w:w="1022" w:type="dxa"/>
            <w:tcBorders>
              <w:bottom w:val="single" w:sz="8" w:space="0" w:color="000000"/>
              <w:right w:val="single" w:sz="8" w:space="0" w:color="000000"/>
            </w:tcBorders>
          </w:tcPr>
          <w:p w14:paraId="0C44DE23"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2 225,43</w:t>
            </w:r>
          </w:p>
        </w:tc>
        <w:tc>
          <w:tcPr>
            <w:tcW w:w="1104" w:type="dxa"/>
            <w:tcBorders>
              <w:bottom w:val="single" w:sz="8" w:space="0" w:color="000000"/>
              <w:right w:val="single" w:sz="8" w:space="0" w:color="000000"/>
            </w:tcBorders>
          </w:tcPr>
          <w:p w14:paraId="490AA71A"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1 581,33</w:t>
            </w:r>
          </w:p>
        </w:tc>
        <w:tc>
          <w:tcPr>
            <w:tcW w:w="1014" w:type="dxa"/>
            <w:tcBorders>
              <w:bottom w:val="single" w:sz="8" w:space="0" w:color="000000"/>
              <w:right w:val="single" w:sz="8" w:space="0" w:color="000000"/>
            </w:tcBorders>
          </w:tcPr>
          <w:p w14:paraId="38B967BD"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-28,94%</w:t>
            </w:r>
          </w:p>
        </w:tc>
      </w:tr>
      <w:tr w:rsidR="002449C2" w14:paraId="1A5EAF36" w14:textId="77777777">
        <w:trPr>
          <w:trHeight w:val="285"/>
          <w:jc w:val="center"/>
        </w:trPr>
        <w:tc>
          <w:tcPr>
            <w:tcW w:w="3477" w:type="dxa"/>
            <w:tcBorders>
              <w:left w:val="single" w:sz="4" w:space="0" w:color="000000"/>
              <w:bottom w:val="single" w:sz="4" w:space="0" w:color="000000"/>
              <w:right w:val="single" w:sz="4" w:space="0" w:color="000000"/>
            </w:tcBorders>
            <w:vAlign w:val="center"/>
          </w:tcPr>
          <w:p w14:paraId="56FDD4E8"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Ростовэнерго</w:t>
            </w:r>
          </w:p>
        </w:tc>
        <w:tc>
          <w:tcPr>
            <w:tcW w:w="1693" w:type="dxa"/>
            <w:vMerge/>
            <w:tcBorders>
              <w:bottom w:val="single" w:sz="4" w:space="0" w:color="000000"/>
              <w:right w:val="single" w:sz="4" w:space="0" w:color="000000"/>
            </w:tcBorders>
            <w:vAlign w:val="center"/>
          </w:tcPr>
          <w:p w14:paraId="62DDB021"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6DBAD8BF"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9 872,43</w:t>
            </w:r>
          </w:p>
        </w:tc>
        <w:tc>
          <w:tcPr>
            <w:tcW w:w="1022" w:type="dxa"/>
            <w:tcBorders>
              <w:bottom w:val="single" w:sz="8" w:space="0" w:color="000000"/>
              <w:right w:val="single" w:sz="8" w:space="0" w:color="000000"/>
            </w:tcBorders>
          </w:tcPr>
          <w:p w14:paraId="341A13C5"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11 894,64</w:t>
            </w:r>
          </w:p>
        </w:tc>
        <w:tc>
          <w:tcPr>
            <w:tcW w:w="1104" w:type="dxa"/>
            <w:tcBorders>
              <w:bottom w:val="single" w:sz="8" w:space="0" w:color="000000"/>
              <w:right w:val="single" w:sz="8" w:space="0" w:color="000000"/>
            </w:tcBorders>
          </w:tcPr>
          <w:p w14:paraId="6775341F"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12 771,59</w:t>
            </w:r>
          </w:p>
        </w:tc>
        <w:tc>
          <w:tcPr>
            <w:tcW w:w="1014" w:type="dxa"/>
            <w:tcBorders>
              <w:bottom w:val="single" w:sz="8" w:space="0" w:color="000000"/>
              <w:right w:val="single" w:sz="8" w:space="0" w:color="000000"/>
            </w:tcBorders>
          </w:tcPr>
          <w:p w14:paraId="165D7503"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7,37%</w:t>
            </w:r>
          </w:p>
        </w:tc>
      </w:tr>
      <w:tr w:rsidR="002449C2" w14:paraId="23289176"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3D746A28" w14:textId="77777777" w:rsidR="002449C2" w:rsidRDefault="00123961">
            <w:pPr>
              <w:spacing w:after="0" w:line="240" w:lineRule="auto"/>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Услуги ЕНЭС</w:t>
            </w:r>
          </w:p>
        </w:tc>
        <w:tc>
          <w:tcPr>
            <w:tcW w:w="1693" w:type="dxa"/>
            <w:vMerge w:val="restart"/>
            <w:tcBorders>
              <w:bottom w:val="single" w:sz="4" w:space="0" w:color="000000"/>
              <w:right w:val="single" w:sz="4" w:space="0" w:color="000000"/>
            </w:tcBorders>
            <w:vAlign w:val="center"/>
          </w:tcPr>
          <w:p w14:paraId="36195B92" w14:textId="77777777" w:rsidR="002449C2" w:rsidRDefault="00123961">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color w:val="000000"/>
                <w:sz w:val="20"/>
                <w:szCs w:val="20"/>
                <w:lang w:eastAsia="ru-RU"/>
              </w:rPr>
              <w:t>млн руб.</w:t>
            </w:r>
          </w:p>
        </w:tc>
        <w:tc>
          <w:tcPr>
            <w:tcW w:w="1187" w:type="dxa"/>
            <w:tcBorders>
              <w:bottom w:val="single" w:sz="8" w:space="0" w:color="000000"/>
              <w:right w:val="single" w:sz="8" w:space="0" w:color="000000"/>
            </w:tcBorders>
          </w:tcPr>
          <w:p w14:paraId="05DABE1E"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7 658,16</w:t>
            </w:r>
          </w:p>
        </w:tc>
        <w:tc>
          <w:tcPr>
            <w:tcW w:w="1022" w:type="dxa"/>
            <w:tcBorders>
              <w:bottom w:val="single" w:sz="8" w:space="0" w:color="000000"/>
              <w:right w:val="single" w:sz="8" w:space="0" w:color="000000"/>
            </w:tcBorders>
          </w:tcPr>
          <w:p w14:paraId="33BC42B7"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8 816,41</w:t>
            </w:r>
          </w:p>
        </w:tc>
        <w:tc>
          <w:tcPr>
            <w:tcW w:w="1104" w:type="dxa"/>
            <w:tcBorders>
              <w:bottom w:val="single" w:sz="8" w:space="0" w:color="000000"/>
              <w:right w:val="single" w:sz="8" w:space="0" w:color="000000"/>
            </w:tcBorders>
          </w:tcPr>
          <w:p w14:paraId="58583AB3"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9 764,10</w:t>
            </w:r>
          </w:p>
        </w:tc>
        <w:tc>
          <w:tcPr>
            <w:tcW w:w="1014" w:type="dxa"/>
            <w:tcBorders>
              <w:bottom w:val="single" w:sz="8" w:space="0" w:color="000000"/>
              <w:right w:val="single" w:sz="8" w:space="0" w:color="000000"/>
            </w:tcBorders>
          </w:tcPr>
          <w:p w14:paraId="4BD0C529"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10,75%</w:t>
            </w:r>
          </w:p>
        </w:tc>
      </w:tr>
      <w:tr w:rsidR="002449C2" w14:paraId="7907850E"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66610DFE"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Астраханьэнерго</w:t>
            </w:r>
          </w:p>
        </w:tc>
        <w:tc>
          <w:tcPr>
            <w:tcW w:w="1693" w:type="dxa"/>
            <w:vMerge/>
            <w:tcBorders>
              <w:right w:val="single" w:sz="4" w:space="0" w:color="000000"/>
            </w:tcBorders>
            <w:vAlign w:val="center"/>
          </w:tcPr>
          <w:p w14:paraId="3462B6F8"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4A121EEF"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342,07</w:t>
            </w:r>
          </w:p>
        </w:tc>
        <w:tc>
          <w:tcPr>
            <w:tcW w:w="1022" w:type="dxa"/>
            <w:tcBorders>
              <w:bottom w:val="single" w:sz="8" w:space="0" w:color="000000"/>
              <w:right w:val="single" w:sz="8" w:space="0" w:color="000000"/>
            </w:tcBorders>
          </w:tcPr>
          <w:p w14:paraId="3439A4AC"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472,24</w:t>
            </w:r>
          </w:p>
        </w:tc>
        <w:tc>
          <w:tcPr>
            <w:tcW w:w="1104" w:type="dxa"/>
            <w:tcBorders>
              <w:bottom w:val="single" w:sz="8" w:space="0" w:color="000000"/>
              <w:right w:val="single" w:sz="8" w:space="0" w:color="000000"/>
            </w:tcBorders>
          </w:tcPr>
          <w:p w14:paraId="226F18E7"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593,81</w:t>
            </w:r>
          </w:p>
        </w:tc>
        <w:tc>
          <w:tcPr>
            <w:tcW w:w="1014" w:type="dxa"/>
            <w:tcBorders>
              <w:bottom w:val="single" w:sz="8" w:space="0" w:color="000000"/>
              <w:right w:val="single" w:sz="8" w:space="0" w:color="000000"/>
            </w:tcBorders>
          </w:tcPr>
          <w:p w14:paraId="1B1B1529"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25,74%</w:t>
            </w:r>
          </w:p>
        </w:tc>
      </w:tr>
      <w:tr w:rsidR="002449C2" w14:paraId="5173F96C"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30886F03"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Волгоградэнерго</w:t>
            </w:r>
          </w:p>
        </w:tc>
        <w:tc>
          <w:tcPr>
            <w:tcW w:w="1693" w:type="dxa"/>
            <w:vMerge/>
            <w:tcBorders>
              <w:right w:val="single" w:sz="4" w:space="0" w:color="000000"/>
            </w:tcBorders>
            <w:vAlign w:val="center"/>
          </w:tcPr>
          <w:p w14:paraId="7D17828E"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09F871D5"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2 662,23</w:t>
            </w:r>
          </w:p>
        </w:tc>
        <w:tc>
          <w:tcPr>
            <w:tcW w:w="1022" w:type="dxa"/>
            <w:tcBorders>
              <w:bottom w:val="single" w:sz="8" w:space="0" w:color="000000"/>
              <w:right w:val="single" w:sz="8" w:space="0" w:color="000000"/>
            </w:tcBorders>
          </w:tcPr>
          <w:p w14:paraId="1B33AFC1"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3 052,18</w:t>
            </w:r>
          </w:p>
        </w:tc>
        <w:tc>
          <w:tcPr>
            <w:tcW w:w="1104" w:type="dxa"/>
            <w:tcBorders>
              <w:bottom w:val="single" w:sz="8" w:space="0" w:color="000000"/>
              <w:right w:val="single" w:sz="8" w:space="0" w:color="000000"/>
            </w:tcBorders>
          </w:tcPr>
          <w:p w14:paraId="28EA3B82"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3 233,60</w:t>
            </w:r>
          </w:p>
        </w:tc>
        <w:tc>
          <w:tcPr>
            <w:tcW w:w="1014" w:type="dxa"/>
            <w:tcBorders>
              <w:bottom w:val="single" w:sz="8" w:space="0" w:color="000000"/>
              <w:right w:val="single" w:sz="8" w:space="0" w:color="000000"/>
            </w:tcBorders>
          </w:tcPr>
          <w:p w14:paraId="3CF9AD23"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5,94%</w:t>
            </w:r>
          </w:p>
        </w:tc>
      </w:tr>
      <w:tr w:rsidR="002449C2" w14:paraId="1E6BBCFC" w14:textId="77777777">
        <w:trPr>
          <w:trHeight w:val="199"/>
          <w:jc w:val="center"/>
        </w:trPr>
        <w:tc>
          <w:tcPr>
            <w:tcW w:w="3477" w:type="dxa"/>
            <w:tcBorders>
              <w:left w:val="single" w:sz="4" w:space="0" w:color="000000"/>
              <w:bottom w:val="single" w:sz="4" w:space="0" w:color="000000"/>
              <w:right w:val="single" w:sz="4" w:space="0" w:color="000000"/>
            </w:tcBorders>
            <w:vAlign w:val="center"/>
          </w:tcPr>
          <w:p w14:paraId="693478AD"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Калмэнерго</w:t>
            </w:r>
          </w:p>
        </w:tc>
        <w:tc>
          <w:tcPr>
            <w:tcW w:w="1693" w:type="dxa"/>
            <w:vMerge/>
            <w:tcBorders>
              <w:right w:val="single" w:sz="4" w:space="0" w:color="000000"/>
            </w:tcBorders>
            <w:vAlign w:val="center"/>
          </w:tcPr>
          <w:p w14:paraId="1D0679E3"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1C7EC8AB"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299,19</w:t>
            </w:r>
          </w:p>
        </w:tc>
        <w:tc>
          <w:tcPr>
            <w:tcW w:w="1022" w:type="dxa"/>
            <w:tcBorders>
              <w:bottom w:val="single" w:sz="8" w:space="0" w:color="000000"/>
              <w:right w:val="single" w:sz="8" w:space="0" w:color="000000"/>
            </w:tcBorders>
          </w:tcPr>
          <w:p w14:paraId="46E4FB5F"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310,39</w:t>
            </w:r>
          </w:p>
        </w:tc>
        <w:tc>
          <w:tcPr>
            <w:tcW w:w="1104" w:type="dxa"/>
            <w:tcBorders>
              <w:bottom w:val="single" w:sz="8" w:space="0" w:color="000000"/>
              <w:right w:val="single" w:sz="8" w:space="0" w:color="000000"/>
            </w:tcBorders>
          </w:tcPr>
          <w:p w14:paraId="598C4EA4"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327,45</w:t>
            </w:r>
          </w:p>
        </w:tc>
        <w:tc>
          <w:tcPr>
            <w:tcW w:w="1014" w:type="dxa"/>
            <w:tcBorders>
              <w:bottom w:val="single" w:sz="8" w:space="0" w:color="000000"/>
              <w:right w:val="single" w:sz="8" w:space="0" w:color="000000"/>
            </w:tcBorders>
          </w:tcPr>
          <w:p w14:paraId="76B1CF54"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5,50%</w:t>
            </w:r>
          </w:p>
        </w:tc>
      </w:tr>
      <w:tr w:rsidR="002449C2" w14:paraId="12B36CBB"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263DBF94"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Ростовэнерго</w:t>
            </w:r>
          </w:p>
        </w:tc>
        <w:tc>
          <w:tcPr>
            <w:tcW w:w="1693" w:type="dxa"/>
            <w:vMerge/>
            <w:tcBorders>
              <w:bottom w:val="single" w:sz="4" w:space="0" w:color="000000"/>
              <w:right w:val="single" w:sz="4" w:space="0" w:color="000000"/>
            </w:tcBorders>
            <w:vAlign w:val="center"/>
          </w:tcPr>
          <w:p w14:paraId="29EB54CD"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4421139D"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4 354,68</w:t>
            </w:r>
          </w:p>
        </w:tc>
        <w:tc>
          <w:tcPr>
            <w:tcW w:w="1022" w:type="dxa"/>
            <w:tcBorders>
              <w:bottom w:val="single" w:sz="8" w:space="0" w:color="000000"/>
              <w:right w:val="single" w:sz="8" w:space="0" w:color="000000"/>
            </w:tcBorders>
          </w:tcPr>
          <w:p w14:paraId="43FA5164"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4 981,60</w:t>
            </w:r>
          </w:p>
        </w:tc>
        <w:tc>
          <w:tcPr>
            <w:tcW w:w="1104" w:type="dxa"/>
            <w:tcBorders>
              <w:bottom w:val="single" w:sz="8" w:space="0" w:color="000000"/>
              <w:right w:val="single" w:sz="8" w:space="0" w:color="000000"/>
            </w:tcBorders>
          </w:tcPr>
          <w:p w14:paraId="75113D9F"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5 609,25</w:t>
            </w:r>
          </w:p>
        </w:tc>
        <w:tc>
          <w:tcPr>
            <w:tcW w:w="1014" w:type="dxa"/>
            <w:tcBorders>
              <w:bottom w:val="single" w:sz="8" w:space="0" w:color="000000"/>
              <w:right w:val="single" w:sz="8" w:space="0" w:color="000000"/>
            </w:tcBorders>
          </w:tcPr>
          <w:p w14:paraId="3175E3DD"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12,60%</w:t>
            </w:r>
          </w:p>
        </w:tc>
      </w:tr>
      <w:tr w:rsidR="002449C2" w14:paraId="0FFD8D7F" w14:textId="77777777">
        <w:trPr>
          <w:trHeight w:val="510"/>
          <w:jc w:val="center"/>
        </w:trPr>
        <w:tc>
          <w:tcPr>
            <w:tcW w:w="3477" w:type="dxa"/>
            <w:tcBorders>
              <w:top w:val="single" w:sz="4" w:space="0" w:color="000000"/>
              <w:left w:val="single" w:sz="4" w:space="0" w:color="000000"/>
              <w:bottom w:val="single" w:sz="4" w:space="0" w:color="000000"/>
              <w:right w:val="single" w:sz="4" w:space="0" w:color="000000"/>
            </w:tcBorders>
            <w:vAlign w:val="center"/>
          </w:tcPr>
          <w:p w14:paraId="085EF470" w14:textId="77777777" w:rsidR="002449C2" w:rsidRDefault="00123961">
            <w:pPr>
              <w:spacing w:after="0" w:line="240" w:lineRule="auto"/>
              <w:jc w:val="both"/>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Расходы на покупку потерь электрической энергии</w:t>
            </w:r>
          </w:p>
        </w:tc>
        <w:tc>
          <w:tcPr>
            <w:tcW w:w="1693" w:type="dxa"/>
            <w:vMerge w:val="restart"/>
            <w:tcBorders>
              <w:top w:val="single" w:sz="4" w:space="0" w:color="000000"/>
              <w:bottom w:val="single" w:sz="4" w:space="0" w:color="000000"/>
              <w:right w:val="single" w:sz="4" w:space="0" w:color="000000"/>
            </w:tcBorders>
            <w:vAlign w:val="center"/>
          </w:tcPr>
          <w:p w14:paraId="3DD43080" w14:textId="77777777" w:rsidR="002449C2" w:rsidRDefault="00123961">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color w:val="000000"/>
                <w:sz w:val="20"/>
                <w:szCs w:val="20"/>
                <w:lang w:eastAsia="ru-RU"/>
              </w:rPr>
              <w:t>млн руб.</w:t>
            </w:r>
          </w:p>
        </w:tc>
        <w:tc>
          <w:tcPr>
            <w:tcW w:w="1187" w:type="dxa"/>
            <w:tcBorders>
              <w:bottom w:val="single" w:sz="8" w:space="0" w:color="000000"/>
              <w:right w:val="single" w:sz="8" w:space="0" w:color="000000"/>
            </w:tcBorders>
            <w:vAlign w:val="center"/>
          </w:tcPr>
          <w:p w14:paraId="105560BD"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8 933,01</w:t>
            </w:r>
          </w:p>
        </w:tc>
        <w:tc>
          <w:tcPr>
            <w:tcW w:w="1022" w:type="dxa"/>
            <w:tcBorders>
              <w:bottom w:val="single" w:sz="8" w:space="0" w:color="000000"/>
              <w:right w:val="single" w:sz="8" w:space="0" w:color="000000"/>
            </w:tcBorders>
            <w:vAlign w:val="center"/>
          </w:tcPr>
          <w:p w14:paraId="366CFC04"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9 492,85</w:t>
            </w:r>
          </w:p>
        </w:tc>
        <w:tc>
          <w:tcPr>
            <w:tcW w:w="1104" w:type="dxa"/>
            <w:tcBorders>
              <w:bottom w:val="single" w:sz="8" w:space="0" w:color="000000"/>
              <w:right w:val="single" w:sz="8" w:space="0" w:color="000000"/>
            </w:tcBorders>
            <w:vAlign w:val="center"/>
          </w:tcPr>
          <w:p w14:paraId="0E0CF8A0"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9 855,14</w:t>
            </w:r>
          </w:p>
        </w:tc>
        <w:tc>
          <w:tcPr>
            <w:tcW w:w="1014" w:type="dxa"/>
            <w:tcBorders>
              <w:bottom w:val="single" w:sz="8" w:space="0" w:color="000000"/>
              <w:right w:val="single" w:sz="8" w:space="0" w:color="000000"/>
            </w:tcBorders>
            <w:vAlign w:val="center"/>
          </w:tcPr>
          <w:p w14:paraId="22AADD6E"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3,82%</w:t>
            </w:r>
          </w:p>
        </w:tc>
      </w:tr>
      <w:tr w:rsidR="002449C2" w14:paraId="6E1A6DFC"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0D29EE06"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Астраханьэнерго</w:t>
            </w:r>
          </w:p>
        </w:tc>
        <w:tc>
          <w:tcPr>
            <w:tcW w:w="1693" w:type="dxa"/>
            <w:vMerge/>
            <w:tcBorders>
              <w:right w:val="single" w:sz="4" w:space="0" w:color="000000"/>
            </w:tcBorders>
            <w:vAlign w:val="center"/>
          </w:tcPr>
          <w:p w14:paraId="1C9D0817"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4F4C1EC4"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2 036,29</w:t>
            </w:r>
          </w:p>
        </w:tc>
        <w:tc>
          <w:tcPr>
            <w:tcW w:w="1022" w:type="dxa"/>
            <w:tcBorders>
              <w:bottom w:val="single" w:sz="8" w:space="0" w:color="000000"/>
              <w:right w:val="single" w:sz="8" w:space="0" w:color="000000"/>
            </w:tcBorders>
          </w:tcPr>
          <w:p w14:paraId="364518D3"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2 325,93</w:t>
            </w:r>
          </w:p>
        </w:tc>
        <w:tc>
          <w:tcPr>
            <w:tcW w:w="1104" w:type="dxa"/>
            <w:tcBorders>
              <w:bottom w:val="single" w:sz="8" w:space="0" w:color="000000"/>
              <w:right w:val="single" w:sz="8" w:space="0" w:color="000000"/>
            </w:tcBorders>
          </w:tcPr>
          <w:p w14:paraId="13D62568"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2 416,19</w:t>
            </w:r>
          </w:p>
        </w:tc>
        <w:tc>
          <w:tcPr>
            <w:tcW w:w="1014" w:type="dxa"/>
            <w:tcBorders>
              <w:bottom w:val="single" w:sz="8" w:space="0" w:color="000000"/>
              <w:right w:val="single" w:sz="8" w:space="0" w:color="000000"/>
            </w:tcBorders>
          </w:tcPr>
          <w:p w14:paraId="1965B697"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3,88%</w:t>
            </w:r>
          </w:p>
        </w:tc>
      </w:tr>
      <w:tr w:rsidR="002449C2" w14:paraId="51569BD6"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06FA400E"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Волгоградэнерго</w:t>
            </w:r>
          </w:p>
        </w:tc>
        <w:tc>
          <w:tcPr>
            <w:tcW w:w="1693" w:type="dxa"/>
            <w:vMerge/>
            <w:tcBorders>
              <w:right w:val="single" w:sz="4" w:space="0" w:color="000000"/>
            </w:tcBorders>
            <w:vAlign w:val="center"/>
          </w:tcPr>
          <w:p w14:paraId="497814F4"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1EC8B381"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2 330,19</w:t>
            </w:r>
          </w:p>
        </w:tc>
        <w:tc>
          <w:tcPr>
            <w:tcW w:w="1022" w:type="dxa"/>
            <w:tcBorders>
              <w:bottom w:val="single" w:sz="8" w:space="0" w:color="000000"/>
              <w:right w:val="single" w:sz="8" w:space="0" w:color="000000"/>
            </w:tcBorders>
          </w:tcPr>
          <w:p w14:paraId="149B0DB2"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2 443,10</w:t>
            </w:r>
          </w:p>
        </w:tc>
        <w:tc>
          <w:tcPr>
            <w:tcW w:w="1104" w:type="dxa"/>
            <w:tcBorders>
              <w:bottom w:val="single" w:sz="8" w:space="0" w:color="000000"/>
              <w:right w:val="single" w:sz="8" w:space="0" w:color="000000"/>
            </w:tcBorders>
          </w:tcPr>
          <w:p w14:paraId="1B691120"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2 473,54</w:t>
            </w:r>
          </w:p>
        </w:tc>
        <w:tc>
          <w:tcPr>
            <w:tcW w:w="1014" w:type="dxa"/>
            <w:tcBorders>
              <w:bottom w:val="single" w:sz="8" w:space="0" w:color="000000"/>
              <w:right w:val="single" w:sz="8" w:space="0" w:color="000000"/>
            </w:tcBorders>
          </w:tcPr>
          <w:p w14:paraId="28C2B997"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1,25%</w:t>
            </w:r>
          </w:p>
        </w:tc>
      </w:tr>
      <w:tr w:rsidR="002449C2" w14:paraId="628EB2A3"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02A5539C"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Калмэнерго</w:t>
            </w:r>
          </w:p>
        </w:tc>
        <w:tc>
          <w:tcPr>
            <w:tcW w:w="1693" w:type="dxa"/>
            <w:vMerge/>
            <w:tcBorders>
              <w:right w:val="single" w:sz="4" w:space="0" w:color="000000"/>
            </w:tcBorders>
            <w:vAlign w:val="center"/>
          </w:tcPr>
          <w:p w14:paraId="1B854C9C"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63D8B458"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407,27</w:t>
            </w:r>
          </w:p>
        </w:tc>
        <w:tc>
          <w:tcPr>
            <w:tcW w:w="1022" w:type="dxa"/>
            <w:tcBorders>
              <w:bottom w:val="single" w:sz="8" w:space="0" w:color="000000"/>
              <w:right w:val="single" w:sz="8" w:space="0" w:color="000000"/>
            </w:tcBorders>
          </w:tcPr>
          <w:p w14:paraId="0B8B833E"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444,38</w:t>
            </w:r>
          </w:p>
        </w:tc>
        <w:tc>
          <w:tcPr>
            <w:tcW w:w="1104" w:type="dxa"/>
            <w:tcBorders>
              <w:bottom w:val="single" w:sz="8" w:space="0" w:color="000000"/>
              <w:right w:val="single" w:sz="8" w:space="0" w:color="000000"/>
            </w:tcBorders>
          </w:tcPr>
          <w:p w14:paraId="02368AE3"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484,17</w:t>
            </w:r>
          </w:p>
        </w:tc>
        <w:tc>
          <w:tcPr>
            <w:tcW w:w="1014" w:type="dxa"/>
            <w:tcBorders>
              <w:bottom w:val="single" w:sz="8" w:space="0" w:color="000000"/>
              <w:right w:val="single" w:sz="8" w:space="0" w:color="000000"/>
            </w:tcBorders>
          </w:tcPr>
          <w:p w14:paraId="017AE423"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8,95%</w:t>
            </w:r>
          </w:p>
        </w:tc>
      </w:tr>
      <w:tr w:rsidR="002449C2" w14:paraId="18D43BAD"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1767F03A"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Ростовэнерго</w:t>
            </w:r>
          </w:p>
        </w:tc>
        <w:tc>
          <w:tcPr>
            <w:tcW w:w="1693" w:type="dxa"/>
            <w:vMerge/>
            <w:tcBorders>
              <w:bottom w:val="single" w:sz="4" w:space="0" w:color="000000"/>
              <w:right w:val="single" w:sz="4" w:space="0" w:color="000000"/>
            </w:tcBorders>
            <w:vAlign w:val="center"/>
          </w:tcPr>
          <w:p w14:paraId="09779FB7"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4D36DD43"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4 159,25</w:t>
            </w:r>
          </w:p>
        </w:tc>
        <w:tc>
          <w:tcPr>
            <w:tcW w:w="1022" w:type="dxa"/>
            <w:tcBorders>
              <w:bottom w:val="single" w:sz="8" w:space="0" w:color="000000"/>
              <w:right w:val="single" w:sz="8" w:space="0" w:color="000000"/>
            </w:tcBorders>
          </w:tcPr>
          <w:p w14:paraId="4CD32C81"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4 279,44</w:t>
            </w:r>
          </w:p>
        </w:tc>
        <w:tc>
          <w:tcPr>
            <w:tcW w:w="1104" w:type="dxa"/>
            <w:tcBorders>
              <w:bottom w:val="single" w:sz="8" w:space="0" w:color="000000"/>
              <w:right w:val="single" w:sz="8" w:space="0" w:color="000000"/>
            </w:tcBorders>
          </w:tcPr>
          <w:p w14:paraId="5C5F308C"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4 481,24</w:t>
            </w:r>
          </w:p>
        </w:tc>
        <w:tc>
          <w:tcPr>
            <w:tcW w:w="1014" w:type="dxa"/>
            <w:tcBorders>
              <w:bottom w:val="single" w:sz="8" w:space="0" w:color="000000"/>
              <w:right w:val="single" w:sz="8" w:space="0" w:color="000000"/>
            </w:tcBorders>
          </w:tcPr>
          <w:p w14:paraId="4AD642FA"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4,72%</w:t>
            </w:r>
          </w:p>
        </w:tc>
      </w:tr>
      <w:tr w:rsidR="002449C2" w14:paraId="27A55BA6" w14:textId="77777777">
        <w:trPr>
          <w:trHeight w:val="510"/>
          <w:jc w:val="center"/>
        </w:trPr>
        <w:tc>
          <w:tcPr>
            <w:tcW w:w="3477" w:type="dxa"/>
            <w:tcBorders>
              <w:left w:val="single" w:sz="4" w:space="0" w:color="000000"/>
              <w:bottom w:val="single" w:sz="4" w:space="0" w:color="000000"/>
              <w:right w:val="single" w:sz="4" w:space="0" w:color="000000"/>
            </w:tcBorders>
            <w:vAlign w:val="center"/>
          </w:tcPr>
          <w:p w14:paraId="210220EF" w14:textId="77777777" w:rsidR="002449C2" w:rsidRDefault="00123961">
            <w:pPr>
              <w:spacing w:after="0" w:line="240" w:lineRule="auto"/>
              <w:jc w:val="both"/>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Затраты на услуги ТСО (в соответствии с действующей договорной схемой)</w:t>
            </w:r>
          </w:p>
        </w:tc>
        <w:tc>
          <w:tcPr>
            <w:tcW w:w="1693" w:type="dxa"/>
            <w:vMerge w:val="restart"/>
            <w:tcBorders>
              <w:bottom w:val="single" w:sz="4" w:space="0" w:color="000000"/>
              <w:right w:val="single" w:sz="4" w:space="0" w:color="000000"/>
            </w:tcBorders>
            <w:vAlign w:val="center"/>
          </w:tcPr>
          <w:p w14:paraId="69B6366E" w14:textId="77777777" w:rsidR="002449C2" w:rsidRDefault="00123961">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color w:val="000000"/>
                <w:sz w:val="20"/>
                <w:szCs w:val="20"/>
                <w:lang w:eastAsia="ru-RU"/>
              </w:rPr>
              <w:t>млн руб.</w:t>
            </w:r>
          </w:p>
        </w:tc>
        <w:tc>
          <w:tcPr>
            <w:tcW w:w="1187" w:type="dxa"/>
            <w:tcBorders>
              <w:bottom w:val="single" w:sz="8" w:space="0" w:color="000000"/>
              <w:right w:val="single" w:sz="8" w:space="0" w:color="000000"/>
            </w:tcBorders>
            <w:vAlign w:val="center"/>
          </w:tcPr>
          <w:p w14:paraId="0E53105A"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3 657,44</w:t>
            </w:r>
          </w:p>
        </w:tc>
        <w:tc>
          <w:tcPr>
            <w:tcW w:w="1022" w:type="dxa"/>
            <w:tcBorders>
              <w:bottom w:val="single" w:sz="8" w:space="0" w:color="000000"/>
              <w:right w:val="single" w:sz="8" w:space="0" w:color="000000"/>
            </w:tcBorders>
            <w:vAlign w:val="center"/>
          </w:tcPr>
          <w:p w14:paraId="23A6FFE0"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4 020,55</w:t>
            </w:r>
          </w:p>
        </w:tc>
        <w:tc>
          <w:tcPr>
            <w:tcW w:w="1104" w:type="dxa"/>
            <w:tcBorders>
              <w:bottom w:val="single" w:sz="8" w:space="0" w:color="000000"/>
              <w:right w:val="single" w:sz="8" w:space="0" w:color="000000"/>
            </w:tcBorders>
            <w:vAlign w:val="center"/>
          </w:tcPr>
          <w:p w14:paraId="58B2EA2C"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4 607,49</w:t>
            </w:r>
          </w:p>
        </w:tc>
        <w:tc>
          <w:tcPr>
            <w:tcW w:w="1014" w:type="dxa"/>
            <w:tcBorders>
              <w:bottom w:val="single" w:sz="8" w:space="0" w:color="000000"/>
              <w:right w:val="single" w:sz="8" w:space="0" w:color="000000"/>
            </w:tcBorders>
            <w:vAlign w:val="center"/>
          </w:tcPr>
          <w:p w14:paraId="62CE83DB"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14,60%</w:t>
            </w:r>
          </w:p>
        </w:tc>
      </w:tr>
      <w:tr w:rsidR="002449C2" w14:paraId="729EBCDB"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0DB9C926"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Астраханьэнерго</w:t>
            </w:r>
          </w:p>
        </w:tc>
        <w:tc>
          <w:tcPr>
            <w:tcW w:w="1693" w:type="dxa"/>
            <w:vMerge/>
            <w:tcBorders>
              <w:right w:val="single" w:sz="4" w:space="0" w:color="000000"/>
            </w:tcBorders>
            <w:vAlign w:val="center"/>
          </w:tcPr>
          <w:p w14:paraId="2B66621D"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11CECBEE"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416,89</w:t>
            </w:r>
          </w:p>
        </w:tc>
        <w:tc>
          <w:tcPr>
            <w:tcW w:w="1022" w:type="dxa"/>
            <w:tcBorders>
              <w:bottom w:val="single" w:sz="8" w:space="0" w:color="000000"/>
              <w:right w:val="single" w:sz="8" w:space="0" w:color="000000"/>
            </w:tcBorders>
          </w:tcPr>
          <w:p w14:paraId="45721153"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442,53</w:t>
            </w:r>
          </w:p>
        </w:tc>
        <w:tc>
          <w:tcPr>
            <w:tcW w:w="1104" w:type="dxa"/>
            <w:tcBorders>
              <w:bottom w:val="single" w:sz="8" w:space="0" w:color="000000"/>
              <w:right w:val="single" w:sz="8" w:space="0" w:color="000000"/>
            </w:tcBorders>
          </w:tcPr>
          <w:p w14:paraId="440F68E8"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492,08</w:t>
            </w:r>
          </w:p>
        </w:tc>
        <w:tc>
          <w:tcPr>
            <w:tcW w:w="1014" w:type="dxa"/>
            <w:tcBorders>
              <w:bottom w:val="single" w:sz="8" w:space="0" w:color="000000"/>
              <w:right w:val="single" w:sz="8" w:space="0" w:color="000000"/>
            </w:tcBorders>
          </w:tcPr>
          <w:p w14:paraId="1E385843"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11,20%</w:t>
            </w:r>
          </w:p>
        </w:tc>
      </w:tr>
      <w:tr w:rsidR="002449C2" w14:paraId="1A987F37"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4EC01871"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Волгоградэнерго</w:t>
            </w:r>
          </w:p>
        </w:tc>
        <w:tc>
          <w:tcPr>
            <w:tcW w:w="1693" w:type="dxa"/>
            <w:vMerge/>
            <w:tcBorders>
              <w:right w:val="single" w:sz="4" w:space="0" w:color="000000"/>
            </w:tcBorders>
            <w:vAlign w:val="center"/>
          </w:tcPr>
          <w:p w14:paraId="3A767CB2"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6E9A83BD"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1 104,87</w:t>
            </w:r>
          </w:p>
        </w:tc>
        <w:tc>
          <w:tcPr>
            <w:tcW w:w="1022" w:type="dxa"/>
            <w:tcBorders>
              <w:bottom w:val="single" w:sz="8" w:space="0" w:color="000000"/>
              <w:right w:val="single" w:sz="8" w:space="0" w:color="000000"/>
            </w:tcBorders>
          </w:tcPr>
          <w:p w14:paraId="38BCEA03"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1 110,52</w:t>
            </w:r>
          </w:p>
        </w:tc>
        <w:tc>
          <w:tcPr>
            <w:tcW w:w="1104" w:type="dxa"/>
            <w:tcBorders>
              <w:bottom w:val="single" w:sz="8" w:space="0" w:color="000000"/>
              <w:right w:val="single" w:sz="8" w:space="0" w:color="000000"/>
            </w:tcBorders>
          </w:tcPr>
          <w:p w14:paraId="426A54C6"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1 181,56</w:t>
            </w:r>
          </w:p>
        </w:tc>
        <w:tc>
          <w:tcPr>
            <w:tcW w:w="1014" w:type="dxa"/>
            <w:tcBorders>
              <w:bottom w:val="single" w:sz="8" w:space="0" w:color="000000"/>
              <w:right w:val="single" w:sz="8" w:space="0" w:color="000000"/>
            </w:tcBorders>
          </w:tcPr>
          <w:p w14:paraId="0443080D"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6,40%</w:t>
            </w:r>
          </w:p>
        </w:tc>
      </w:tr>
      <w:tr w:rsidR="002449C2" w14:paraId="3C967BF8"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67552610"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Калмэнерго</w:t>
            </w:r>
          </w:p>
        </w:tc>
        <w:tc>
          <w:tcPr>
            <w:tcW w:w="1693" w:type="dxa"/>
            <w:vMerge/>
            <w:tcBorders>
              <w:right w:val="single" w:sz="4" w:space="0" w:color="000000"/>
            </w:tcBorders>
            <w:vAlign w:val="center"/>
          </w:tcPr>
          <w:p w14:paraId="48A21FC9"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0EAA320C"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1022" w:type="dxa"/>
            <w:tcBorders>
              <w:bottom w:val="single" w:sz="8" w:space="0" w:color="000000"/>
              <w:right w:val="single" w:sz="8" w:space="0" w:color="000000"/>
            </w:tcBorders>
          </w:tcPr>
          <w:p w14:paraId="324EA989"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1104" w:type="dxa"/>
            <w:tcBorders>
              <w:bottom w:val="single" w:sz="8" w:space="0" w:color="000000"/>
              <w:right w:val="single" w:sz="8" w:space="0" w:color="000000"/>
            </w:tcBorders>
          </w:tcPr>
          <w:p w14:paraId="0ECAC8EF"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1014" w:type="dxa"/>
            <w:tcBorders>
              <w:bottom w:val="single" w:sz="8" w:space="0" w:color="000000"/>
              <w:right w:val="single" w:sz="8" w:space="0" w:color="000000"/>
            </w:tcBorders>
          </w:tcPr>
          <w:p w14:paraId="148B3C56"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r>
      <w:tr w:rsidR="002449C2" w14:paraId="6BA16052"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741EB2EE"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Ростовэнерго</w:t>
            </w:r>
          </w:p>
        </w:tc>
        <w:tc>
          <w:tcPr>
            <w:tcW w:w="1693" w:type="dxa"/>
            <w:vMerge/>
            <w:tcBorders>
              <w:bottom w:val="single" w:sz="4" w:space="0" w:color="000000"/>
              <w:right w:val="single" w:sz="4" w:space="0" w:color="000000"/>
            </w:tcBorders>
            <w:vAlign w:val="center"/>
          </w:tcPr>
          <w:p w14:paraId="58C34C7F"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575A7DAD"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2 135,68</w:t>
            </w:r>
          </w:p>
        </w:tc>
        <w:tc>
          <w:tcPr>
            <w:tcW w:w="1022" w:type="dxa"/>
            <w:tcBorders>
              <w:bottom w:val="single" w:sz="8" w:space="0" w:color="000000"/>
              <w:right w:val="single" w:sz="8" w:space="0" w:color="000000"/>
            </w:tcBorders>
          </w:tcPr>
          <w:p w14:paraId="45943202"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2 467,50</w:t>
            </w:r>
          </w:p>
        </w:tc>
        <w:tc>
          <w:tcPr>
            <w:tcW w:w="1104" w:type="dxa"/>
            <w:tcBorders>
              <w:bottom w:val="single" w:sz="8" w:space="0" w:color="000000"/>
              <w:right w:val="single" w:sz="8" w:space="0" w:color="000000"/>
            </w:tcBorders>
          </w:tcPr>
          <w:p w14:paraId="614F6099"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2 933,86</w:t>
            </w:r>
          </w:p>
        </w:tc>
        <w:tc>
          <w:tcPr>
            <w:tcW w:w="1014" w:type="dxa"/>
            <w:tcBorders>
              <w:bottom w:val="single" w:sz="8" w:space="0" w:color="000000"/>
              <w:right w:val="single" w:sz="8" w:space="0" w:color="000000"/>
            </w:tcBorders>
          </w:tcPr>
          <w:p w14:paraId="3D39C0AC"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18,90%</w:t>
            </w:r>
          </w:p>
        </w:tc>
      </w:tr>
      <w:tr w:rsidR="002449C2" w14:paraId="06CBD770" w14:textId="77777777">
        <w:trPr>
          <w:trHeight w:val="630"/>
          <w:jc w:val="center"/>
        </w:trPr>
        <w:tc>
          <w:tcPr>
            <w:tcW w:w="3477" w:type="dxa"/>
            <w:tcBorders>
              <w:left w:val="single" w:sz="4" w:space="0" w:color="000000"/>
              <w:bottom w:val="single" w:sz="4" w:space="0" w:color="000000"/>
              <w:right w:val="single" w:sz="4" w:space="0" w:color="000000"/>
            </w:tcBorders>
            <w:vAlign w:val="center"/>
          </w:tcPr>
          <w:p w14:paraId="28F921D3" w14:textId="77777777" w:rsidR="002449C2" w:rsidRDefault="00123961">
            <w:pPr>
              <w:spacing w:after="0" w:line="240" w:lineRule="auto"/>
              <w:jc w:val="both"/>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Котловой полезный отпуск электрической энергии</w:t>
            </w:r>
          </w:p>
        </w:tc>
        <w:tc>
          <w:tcPr>
            <w:tcW w:w="1693" w:type="dxa"/>
            <w:vMerge w:val="restart"/>
            <w:tcBorders>
              <w:bottom w:val="single" w:sz="4" w:space="0" w:color="000000"/>
              <w:right w:val="single" w:sz="4" w:space="0" w:color="000000"/>
            </w:tcBorders>
            <w:vAlign w:val="center"/>
          </w:tcPr>
          <w:p w14:paraId="78937530" w14:textId="77777777" w:rsidR="002449C2" w:rsidRDefault="00123961">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color w:val="000000"/>
                <w:sz w:val="20"/>
                <w:szCs w:val="20"/>
                <w:lang w:eastAsia="ru-RU"/>
              </w:rPr>
              <w:t>млн кВт*ч</w:t>
            </w:r>
          </w:p>
        </w:tc>
        <w:tc>
          <w:tcPr>
            <w:tcW w:w="1187" w:type="dxa"/>
            <w:tcBorders>
              <w:bottom w:val="single" w:sz="8" w:space="0" w:color="000000"/>
              <w:right w:val="single" w:sz="8" w:space="0" w:color="000000"/>
            </w:tcBorders>
            <w:vAlign w:val="center"/>
          </w:tcPr>
          <w:p w14:paraId="4C03B4F6"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23 821,22</w:t>
            </w:r>
          </w:p>
        </w:tc>
        <w:tc>
          <w:tcPr>
            <w:tcW w:w="1022" w:type="dxa"/>
            <w:tcBorders>
              <w:bottom w:val="single" w:sz="8" w:space="0" w:color="000000"/>
              <w:right w:val="single" w:sz="8" w:space="0" w:color="000000"/>
            </w:tcBorders>
            <w:vAlign w:val="center"/>
          </w:tcPr>
          <w:p w14:paraId="45422B64"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24 169,60</w:t>
            </w:r>
          </w:p>
        </w:tc>
        <w:tc>
          <w:tcPr>
            <w:tcW w:w="1104" w:type="dxa"/>
            <w:tcBorders>
              <w:bottom w:val="single" w:sz="8" w:space="0" w:color="000000"/>
              <w:right w:val="single" w:sz="8" w:space="0" w:color="000000"/>
            </w:tcBorders>
            <w:vAlign w:val="center"/>
          </w:tcPr>
          <w:p w14:paraId="168775FF"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24 579,63</w:t>
            </w:r>
          </w:p>
        </w:tc>
        <w:tc>
          <w:tcPr>
            <w:tcW w:w="1014" w:type="dxa"/>
            <w:tcBorders>
              <w:bottom w:val="single" w:sz="8" w:space="0" w:color="000000"/>
              <w:right w:val="single" w:sz="8" w:space="0" w:color="000000"/>
            </w:tcBorders>
            <w:vAlign w:val="center"/>
          </w:tcPr>
          <w:p w14:paraId="65C662DE"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1,70%</w:t>
            </w:r>
          </w:p>
        </w:tc>
      </w:tr>
      <w:tr w:rsidR="002449C2" w14:paraId="225EDBE7"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55148FAB"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Астраханьэнерго</w:t>
            </w:r>
          </w:p>
        </w:tc>
        <w:tc>
          <w:tcPr>
            <w:tcW w:w="1693" w:type="dxa"/>
            <w:vMerge/>
            <w:tcBorders>
              <w:right w:val="single" w:sz="4" w:space="0" w:color="000000"/>
            </w:tcBorders>
            <w:vAlign w:val="center"/>
          </w:tcPr>
          <w:p w14:paraId="10D884DE"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5D6DE1C8"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2 867,76</w:t>
            </w:r>
          </w:p>
        </w:tc>
        <w:tc>
          <w:tcPr>
            <w:tcW w:w="1022" w:type="dxa"/>
            <w:tcBorders>
              <w:bottom w:val="single" w:sz="8" w:space="0" w:color="000000"/>
              <w:right w:val="single" w:sz="8" w:space="0" w:color="000000"/>
            </w:tcBorders>
          </w:tcPr>
          <w:p w14:paraId="5B7BAB24"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2 826,37</w:t>
            </w:r>
          </w:p>
        </w:tc>
        <w:tc>
          <w:tcPr>
            <w:tcW w:w="1104" w:type="dxa"/>
            <w:tcBorders>
              <w:bottom w:val="single" w:sz="8" w:space="0" w:color="000000"/>
              <w:right w:val="single" w:sz="8" w:space="0" w:color="000000"/>
            </w:tcBorders>
          </w:tcPr>
          <w:p w14:paraId="32617D17"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2 812,19</w:t>
            </w:r>
          </w:p>
        </w:tc>
        <w:tc>
          <w:tcPr>
            <w:tcW w:w="1014" w:type="dxa"/>
            <w:tcBorders>
              <w:bottom w:val="single" w:sz="8" w:space="0" w:color="000000"/>
              <w:right w:val="single" w:sz="8" w:space="0" w:color="000000"/>
            </w:tcBorders>
          </w:tcPr>
          <w:p w14:paraId="61089C3E"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-0,50%</w:t>
            </w:r>
          </w:p>
        </w:tc>
      </w:tr>
      <w:tr w:rsidR="002449C2" w14:paraId="2F8A9E99"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2C26FD8B"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Волгоградэнерго</w:t>
            </w:r>
          </w:p>
        </w:tc>
        <w:tc>
          <w:tcPr>
            <w:tcW w:w="1693" w:type="dxa"/>
            <w:vMerge/>
            <w:tcBorders>
              <w:right w:val="single" w:sz="4" w:space="0" w:color="000000"/>
            </w:tcBorders>
            <w:vAlign w:val="center"/>
          </w:tcPr>
          <w:p w14:paraId="6ED9820E"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295F34A5"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8 008,11</w:t>
            </w:r>
          </w:p>
        </w:tc>
        <w:tc>
          <w:tcPr>
            <w:tcW w:w="1022" w:type="dxa"/>
            <w:tcBorders>
              <w:bottom w:val="single" w:sz="8" w:space="0" w:color="000000"/>
              <w:right w:val="single" w:sz="8" w:space="0" w:color="000000"/>
            </w:tcBorders>
          </w:tcPr>
          <w:p w14:paraId="44736499"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8 042,11</w:t>
            </w:r>
          </w:p>
        </w:tc>
        <w:tc>
          <w:tcPr>
            <w:tcW w:w="1104" w:type="dxa"/>
            <w:tcBorders>
              <w:bottom w:val="single" w:sz="8" w:space="0" w:color="000000"/>
              <w:right w:val="single" w:sz="8" w:space="0" w:color="000000"/>
            </w:tcBorders>
          </w:tcPr>
          <w:p w14:paraId="19E72670"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8 079,77</w:t>
            </w:r>
          </w:p>
        </w:tc>
        <w:tc>
          <w:tcPr>
            <w:tcW w:w="1014" w:type="dxa"/>
            <w:tcBorders>
              <w:bottom w:val="single" w:sz="8" w:space="0" w:color="000000"/>
              <w:right w:val="single" w:sz="8" w:space="0" w:color="000000"/>
            </w:tcBorders>
          </w:tcPr>
          <w:p w14:paraId="53BA5CE5"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0,47%</w:t>
            </w:r>
          </w:p>
        </w:tc>
      </w:tr>
      <w:tr w:rsidR="002449C2" w14:paraId="7B5DD0E7"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73F33283"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Калмэнерго</w:t>
            </w:r>
          </w:p>
        </w:tc>
        <w:tc>
          <w:tcPr>
            <w:tcW w:w="1693" w:type="dxa"/>
            <w:vMerge/>
            <w:tcBorders>
              <w:right w:val="single" w:sz="4" w:space="0" w:color="000000"/>
            </w:tcBorders>
            <w:vAlign w:val="center"/>
          </w:tcPr>
          <w:p w14:paraId="53E5D11C"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32941363"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623,64</w:t>
            </w:r>
          </w:p>
        </w:tc>
        <w:tc>
          <w:tcPr>
            <w:tcW w:w="1022" w:type="dxa"/>
            <w:tcBorders>
              <w:bottom w:val="single" w:sz="8" w:space="0" w:color="000000"/>
              <w:right w:val="single" w:sz="8" w:space="0" w:color="000000"/>
            </w:tcBorders>
          </w:tcPr>
          <w:p w14:paraId="75B88C3C"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630,47</w:t>
            </w:r>
          </w:p>
        </w:tc>
        <w:tc>
          <w:tcPr>
            <w:tcW w:w="1104" w:type="dxa"/>
            <w:tcBorders>
              <w:bottom w:val="single" w:sz="8" w:space="0" w:color="000000"/>
              <w:right w:val="single" w:sz="8" w:space="0" w:color="000000"/>
            </w:tcBorders>
          </w:tcPr>
          <w:p w14:paraId="43E8E0BE"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635,66</w:t>
            </w:r>
          </w:p>
        </w:tc>
        <w:tc>
          <w:tcPr>
            <w:tcW w:w="1014" w:type="dxa"/>
            <w:tcBorders>
              <w:bottom w:val="single" w:sz="8" w:space="0" w:color="000000"/>
              <w:right w:val="single" w:sz="8" w:space="0" w:color="000000"/>
            </w:tcBorders>
          </w:tcPr>
          <w:p w14:paraId="5802B81B"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0,82%</w:t>
            </w:r>
          </w:p>
        </w:tc>
      </w:tr>
      <w:tr w:rsidR="002449C2" w14:paraId="7249D22A"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592419BD"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Ростовэнерго</w:t>
            </w:r>
          </w:p>
        </w:tc>
        <w:tc>
          <w:tcPr>
            <w:tcW w:w="1693" w:type="dxa"/>
            <w:vMerge/>
            <w:tcBorders>
              <w:bottom w:val="single" w:sz="4" w:space="0" w:color="000000"/>
              <w:right w:val="single" w:sz="4" w:space="0" w:color="000000"/>
            </w:tcBorders>
            <w:vAlign w:val="center"/>
          </w:tcPr>
          <w:p w14:paraId="58FC502F"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629D03D2"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12 321,72</w:t>
            </w:r>
          </w:p>
        </w:tc>
        <w:tc>
          <w:tcPr>
            <w:tcW w:w="1022" w:type="dxa"/>
            <w:tcBorders>
              <w:bottom w:val="single" w:sz="8" w:space="0" w:color="000000"/>
              <w:right w:val="single" w:sz="8" w:space="0" w:color="000000"/>
            </w:tcBorders>
          </w:tcPr>
          <w:p w14:paraId="3CA88CF2"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12 670,65</w:t>
            </w:r>
          </w:p>
        </w:tc>
        <w:tc>
          <w:tcPr>
            <w:tcW w:w="1104" w:type="dxa"/>
            <w:tcBorders>
              <w:bottom w:val="single" w:sz="8" w:space="0" w:color="000000"/>
              <w:right w:val="single" w:sz="8" w:space="0" w:color="000000"/>
            </w:tcBorders>
          </w:tcPr>
          <w:p w14:paraId="2933EAD8"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13 052,00</w:t>
            </w:r>
          </w:p>
        </w:tc>
        <w:tc>
          <w:tcPr>
            <w:tcW w:w="1014" w:type="dxa"/>
            <w:tcBorders>
              <w:bottom w:val="single" w:sz="8" w:space="0" w:color="000000"/>
              <w:right w:val="single" w:sz="8" w:space="0" w:color="000000"/>
            </w:tcBorders>
          </w:tcPr>
          <w:p w14:paraId="47C52C85"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3,01%</w:t>
            </w:r>
          </w:p>
        </w:tc>
      </w:tr>
      <w:tr w:rsidR="002449C2" w14:paraId="165F3037" w14:textId="77777777">
        <w:trPr>
          <w:trHeight w:val="825"/>
          <w:jc w:val="center"/>
        </w:trPr>
        <w:tc>
          <w:tcPr>
            <w:tcW w:w="3477" w:type="dxa"/>
            <w:tcBorders>
              <w:left w:val="single" w:sz="4" w:space="0" w:color="000000"/>
              <w:bottom w:val="single" w:sz="4" w:space="0" w:color="000000"/>
              <w:right w:val="single" w:sz="4" w:space="0" w:color="000000"/>
            </w:tcBorders>
            <w:vAlign w:val="center"/>
          </w:tcPr>
          <w:p w14:paraId="15108C06" w14:textId="77777777" w:rsidR="002449C2" w:rsidRDefault="00123961">
            <w:pPr>
              <w:spacing w:after="0" w:line="240" w:lineRule="auto"/>
              <w:jc w:val="both"/>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Средний тариф на услуги по передаче электрической энергии в разрезе филиалов</w:t>
            </w:r>
          </w:p>
        </w:tc>
        <w:tc>
          <w:tcPr>
            <w:tcW w:w="1693" w:type="dxa"/>
            <w:vMerge w:val="restart"/>
            <w:tcBorders>
              <w:bottom w:val="single" w:sz="4" w:space="0" w:color="000000"/>
              <w:right w:val="single" w:sz="4" w:space="0" w:color="000000"/>
            </w:tcBorders>
            <w:vAlign w:val="center"/>
          </w:tcPr>
          <w:p w14:paraId="36D871E9" w14:textId="77777777" w:rsidR="002449C2" w:rsidRDefault="00123961">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color w:val="000000"/>
                <w:sz w:val="20"/>
                <w:szCs w:val="20"/>
                <w:lang w:eastAsia="ru-RU"/>
              </w:rPr>
              <w:t>руб./ кВт*ч</w:t>
            </w:r>
          </w:p>
        </w:tc>
        <w:tc>
          <w:tcPr>
            <w:tcW w:w="1187" w:type="dxa"/>
            <w:tcBorders>
              <w:bottom w:val="single" w:sz="8" w:space="0" w:color="000000"/>
              <w:right w:val="single" w:sz="8" w:space="0" w:color="000000"/>
            </w:tcBorders>
            <w:vAlign w:val="center"/>
          </w:tcPr>
          <w:p w14:paraId="2896C62C"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1,68794</w:t>
            </w:r>
          </w:p>
        </w:tc>
        <w:tc>
          <w:tcPr>
            <w:tcW w:w="1022" w:type="dxa"/>
            <w:tcBorders>
              <w:bottom w:val="single" w:sz="8" w:space="0" w:color="000000"/>
              <w:right w:val="single" w:sz="8" w:space="0" w:color="000000"/>
            </w:tcBorders>
            <w:vAlign w:val="center"/>
          </w:tcPr>
          <w:p w14:paraId="3B3D473F"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1,90702</w:t>
            </w:r>
          </w:p>
        </w:tc>
        <w:tc>
          <w:tcPr>
            <w:tcW w:w="1104" w:type="dxa"/>
            <w:tcBorders>
              <w:bottom w:val="single" w:sz="8" w:space="0" w:color="000000"/>
              <w:right w:val="single" w:sz="8" w:space="0" w:color="000000"/>
            </w:tcBorders>
            <w:vAlign w:val="center"/>
          </w:tcPr>
          <w:p w14:paraId="38E31DBE"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1,96970</w:t>
            </w:r>
          </w:p>
        </w:tc>
        <w:tc>
          <w:tcPr>
            <w:tcW w:w="1014" w:type="dxa"/>
            <w:tcBorders>
              <w:bottom w:val="single" w:sz="8" w:space="0" w:color="000000"/>
              <w:right w:val="single" w:sz="8" w:space="0" w:color="000000"/>
            </w:tcBorders>
            <w:vAlign w:val="center"/>
          </w:tcPr>
          <w:p w14:paraId="7BF8E467" w14:textId="77777777" w:rsidR="002449C2" w:rsidRDefault="00123961">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3,29%</w:t>
            </w:r>
          </w:p>
        </w:tc>
      </w:tr>
      <w:tr w:rsidR="002449C2" w14:paraId="6B42D75D"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5CC97DED"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Астраханьэнерго</w:t>
            </w:r>
          </w:p>
        </w:tc>
        <w:tc>
          <w:tcPr>
            <w:tcW w:w="1693" w:type="dxa"/>
            <w:vMerge/>
            <w:tcBorders>
              <w:right w:val="single" w:sz="4" w:space="0" w:color="000000"/>
            </w:tcBorders>
            <w:vAlign w:val="center"/>
          </w:tcPr>
          <w:p w14:paraId="38F0E608"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0CB5A131"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2,18112</w:t>
            </w:r>
          </w:p>
        </w:tc>
        <w:tc>
          <w:tcPr>
            <w:tcW w:w="1022" w:type="dxa"/>
            <w:tcBorders>
              <w:bottom w:val="single" w:sz="8" w:space="0" w:color="000000"/>
              <w:right w:val="single" w:sz="8" w:space="0" w:color="000000"/>
            </w:tcBorders>
          </w:tcPr>
          <w:p w14:paraId="2EF597F0"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2,50432</w:t>
            </w:r>
          </w:p>
        </w:tc>
        <w:tc>
          <w:tcPr>
            <w:tcW w:w="1104" w:type="dxa"/>
            <w:tcBorders>
              <w:bottom w:val="single" w:sz="8" w:space="0" w:color="000000"/>
              <w:right w:val="single" w:sz="8" w:space="0" w:color="000000"/>
            </w:tcBorders>
          </w:tcPr>
          <w:p w14:paraId="1ED2A270"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2,60269</w:t>
            </w:r>
          </w:p>
        </w:tc>
        <w:tc>
          <w:tcPr>
            <w:tcW w:w="1014" w:type="dxa"/>
            <w:tcBorders>
              <w:bottom w:val="single" w:sz="8" w:space="0" w:color="000000"/>
              <w:right w:val="single" w:sz="8" w:space="0" w:color="000000"/>
            </w:tcBorders>
          </w:tcPr>
          <w:p w14:paraId="11AE6AC6"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3,93%</w:t>
            </w:r>
          </w:p>
        </w:tc>
      </w:tr>
      <w:tr w:rsidR="002449C2" w14:paraId="6268169C"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7E4CF5C7"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Волгоградэнерго</w:t>
            </w:r>
          </w:p>
        </w:tc>
        <w:tc>
          <w:tcPr>
            <w:tcW w:w="1693" w:type="dxa"/>
            <w:vMerge/>
            <w:tcBorders>
              <w:right w:val="single" w:sz="4" w:space="0" w:color="000000"/>
            </w:tcBorders>
            <w:vAlign w:val="center"/>
          </w:tcPr>
          <w:p w14:paraId="697DE22E"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1D5AE78A"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1,34844</w:t>
            </w:r>
          </w:p>
        </w:tc>
        <w:tc>
          <w:tcPr>
            <w:tcW w:w="1022" w:type="dxa"/>
            <w:tcBorders>
              <w:bottom w:val="single" w:sz="8" w:space="0" w:color="000000"/>
              <w:right w:val="single" w:sz="8" w:space="0" w:color="000000"/>
            </w:tcBorders>
          </w:tcPr>
          <w:p w14:paraId="43715108"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1,54318</w:t>
            </w:r>
          </w:p>
        </w:tc>
        <w:tc>
          <w:tcPr>
            <w:tcW w:w="1104" w:type="dxa"/>
            <w:tcBorders>
              <w:bottom w:val="single" w:sz="8" w:space="0" w:color="000000"/>
              <w:right w:val="single" w:sz="8" w:space="0" w:color="000000"/>
            </w:tcBorders>
          </w:tcPr>
          <w:p w14:paraId="6D3E66B6"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1,59736</w:t>
            </w:r>
          </w:p>
        </w:tc>
        <w:tc>
          <w:tcPr>
            <w:tcW w:w="1014" w:type="dxa"/>
            <w:tcBorders>
              <w:bottom w:val="single" w:sz="8" w:space="0" w:color="000000"/>
              <w:right w:val="single" w:sz="8" w:space="0" w:color="000000"/>
            </w:tcBorders>
          </w:tcPr>
          <w:p w14:paraId="0DF746E9"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3,51%</w:t>
            </w:r>
          </w:p>
        </w:tc>
      </w:tr>
      <w:tr w:rsidR="002449C2" w14:paraId="1B4F0DED"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4E3840D4"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Калмэнерго</w:t>
            </w:r>
          </w:p>
        </w:tc>
        <w:tc>
          <w:tcPr>
            <w:tcW w:w="1693" w:type="dxa"/>
            <w:vMerge/>
            <w:tcBorders>
              <w:right w:val="single" w:sz="4" w:space="0" w:color="000000"/>
            </w:tcBorders>
            <w:vAlign w:val="center"/>
          </w:tcPr>
          <w:p w14:paraId="5F1BDCE8"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4AF68C98"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4,22273</w:t>
            </w:r>
          </w:p>
        </w:tc>
        <w:tc>
          <w:tcPr>
            <w:tcW w:w="1022" w:type="dxa"/>
            <w:tcBorders>
              <w:bottom w:val="single" w:sz="8" w:space="0" w:color="000000"/>
              <w:right w:val="single" w:sz="8" w:space="0" w:color="000000"/>
            </w:tcBorders>
          </w:tcPr>
          <w:p w14:paraId="6F7C74AA"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4,72692</w:t>
            </w:r>
          </w:p>
        </w:tc>
        <w:tc>
          <w:tcPr>
            <w:tcW w:w="1104" w:type="dxa"/>
            <w:tcBorders>
              <w:bottom w:val="single" w:sz="8" w:space="0" w:color="000000"/>
              <w:right w:val="single" w:sz="8" w:space="0" w:color="000000"/>
            </w:tcBorders>
          </w:tcPr>
          <w:p w14:paraId="1494889C"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3,76449</w:t>
            </w:r>
          </w:p>
        </w:tc>
        <w:tc>
          <w:tcPr>
            <w:tcW w:w="1014" w:type="dxa"/>
            <w:tcBorders>
              <w:bottom w:val="single" w:sz="8" w:space="0" w:color="000000"/>
              <w:right w:val="single" w:sz="8" w:space="0" w:color="000000"/>
            </w:tcBorders>
          </w:tcPr>
          <w:p w14:paraId="21497D0D"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-20,36%</w:t>
            </w:r>
          </w:p>
        </w:tc>
      </w:tr>
      <w:tr w:rsidR="002449C2" w14:paraId="4592ADE6" w14:textId="77777777">
        <w:trPr>
          <w:trHeight w:val="300"/>
          <w:jc w:val="center"/>
        </w:trPr>
        <w:tc>
          <w:tcPr>
            <w:tcW w:w="3477" w:type="dxa"/>
            <w:tcBorders>
              <w:left w:val="single" w:sz="4" w:space="0" w:color="000000"/>
              <w:bottom w:val="single" w:sz="4" w:space="0" w:color="000000"/>
              <w:right w:val="single" w:sz="4" w:space="0" w:color="000000"/>
            </w:tcBorders>
            <w:vAlign w:val="center"/>
          </w:tcPr>
          <w:p w14:paraId="42D60B66"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Ростовэнерго</w:t>
            </w:r>
          </w:p>
        </w:tc>
        <w:tc>
          <w:tcPr>
            <w:tcW w:w="1693" w:type="dxa"/>
            <w:vMerge/>
            <w:tcBorders>
              <w:bottom w:val="single" w:sz="4" w:space="0" w:color="000000"/>
              <w:right w:val="single" w:sz="4" w:space="0" w:color="000000"/>
            </w:tcBorders>
            <w:vAlign w:val="center"/>
          </w:tcPr>
          <w:p w14:paraId="28801AC7" w14:textId="77777777" w:rsidR="002449C2" w:rsidRDefault="002449C2">
            <w:pPr>
              <w:spacing w:after="0" w:line="240" w:lineRule="auto"/>
              <w:jc w:val="center"/>
              <w:rPr>
                <w:rFonts w:ascii="Times New Roman" w:eastAsia="Times New Roman" w:hAnsi="Times New Roman"/>
                <w:color w:val="000000"/>
                <w:sz w:val="20"/>
                <w:szCs w:val="20"/>
                <w:lang w:eastAsia="ru-RU"/>
              </w:rPr>
            </w:pPr>
          </w:p>
        </w:tc>
        <w:tc>
          <w:tcPr>
            <w:tcW w:w="1187" w:type="dxa"/>
            <w:tcBorders>
              <w:bottom w:val="single" w:sz="8" w:space="0" w:color="000000"/>
              <w:right w:val="single" w:sz="8" w:space="0" w:color="000000"/>
            </w:tcBorders>
          </w:tcPr>
          <w:p w14:paraId="55900C26"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1,66552</w:t>
            </w:r>
          </w:p>
        </w:tc>
        <w:tc>
          <w:tcPr>
            <w:tcW w:w="1022" w:type="dxa"/>
            <w:tcBorders>
              <w:bottom w:val="single" w:sz="8" w:space="0" w:color="000000"/>
              <w:right w:val="single" w:sz="8" w:space="0" w:color="000000"/>
            </w:tcBorders>
          </w:tcPr>
          <w:p w14:paraId="122EEF11"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1,86440</w:t>
            </w:r>
          </w:p>
        </w:tc>
        <w:tc>
          <w:tcPr>
            <w:tcW w:w="1104" w:type="dxa"/>
            <w:tcBorders>
              <w:bottom w:val="single" w:sz="8" w:space="0" w:color="000000"/>
              <w:right w:val="single" w:sz="8" w:space="0" w:color="000000"/>
            </w:tcBorders>
          </w:tcPr>
          <w:p w14:paraId="2D9609D0"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1,97640</w:t>
            </w:r>
          </w:p>
        </w:tc>
        <w:tc>
          <w:tcPr>
            <w:tcW w:w="1014" w:type="dxa"/>
            <w:tcBorders>
              <w:bottom w:val="single" w:sz="8" w:space="0" w:color="000000"/>
              <w:right w:val="single" w:sz="8" w:space="0" w:color="000000"/>
            </w:tcBorders>
          </w:tcPr>
          <w:p w14:paraId="70033199"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6,01%</w:t>
            </w:r>
          </w:p>
        </w:tc>
      </w:tr>
      <w:tr w:rsidR="002449C2" w14:paraId="6D23A7D4" w14:textId="77777777">
        <w:trPr>
          <w:trHeight w:val="1108"/>
          <w:jc w:val="center"/>
        </w:trPr>
        <w:tc>
          <w:tcPr>
            <w:tcW w:w="3477" w:type="dxa"/>
            <w:tcBorders>
              <w:left w:val="single" w:sz="4" w:space="0" w:color="000000"/>
              <w:bottom w:val="single" w:sz="4" w:space="0" w:color="000000"/>
              <w:right w:val="single" w:sz="4" w:space="0" w:color="000000"/>
            </w:tcBorders>
            <w:vAlign w:val="center"/>
          </w:tcPr>
          <w:p w14:paraId="27261903" w14:textId="77777777" w:rsidR="002449C2" w:rsidRDefault="00123961">
            <w:pPr>
              <w:spacing w:after="0" w:line="240" w:lineRule="auto"/>
              <w:jc w:val="both"/>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Стандартизированные тарифные ставки на покрытие расходов на технологическое присоединение энергопринимающих устройств потребителей электрической энергии, объектов электросетевого хозяйства, принадлежащих сетевым организациям и иным лицам, по мероприятиям, указанным в пункте 16а Методических указаний ФАС России</w:t>
            </w:r>
          </w:p>
        </w:tc>
        <w:tc>
          <w:tcPr>
            <w:tcW w:w="1693" w:type="dxa"/>
            <w:tcBorders>
              <w:right w:val="single" w:sz="4" w:space="0" w:color="000000"/>
            </w:tcBorders>
            <w:vAlign w:val="center"/>
          </w:tcPr>
          <w:p w14:paraId="7B9A545D" w14:textId="77777777" w:rsidR="002449C2" w:rsidRDefault="00123961">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руб. за одно присоединение</w:t>
            </w:r>
          </w:p>
          <w:p w14:paraId="6AA3708A" w14:textId="77777777" w:rsidR="002449C2" w:rsidRDefault="002449C2">
            <w:pPr>
              <w:spacing w:after="0" w:line="240" w:lineRule="auto"/>
              <w:jc w:val="center"/>
              <w:rPr>
                <w:rFonts w:ascii="Times New Roman" w:eastAsia="Times New Roman" w:hAnsi="Times New Roman"/>
                <w:b/>
                <w:bCs/>
                <w:color w:val="000000"/>
                <w:sz w:val="20"/>
                <w:szCs w:val="20"/>
                <w:lang w:eastAsia="ru-RU"/>
              </w:rPr>
            </w:pPr>
          </w:p>
          <w:p w14:paraId="1B21489C" w14:textId="77777777" w:rsidR="002449C2" w:rsidRDefault="002449C2">
            <w:pPr>
              <w:spacing w:after="0" w:line="240" w:lineRule="auto"/>
              <w:jc w:val="center"/>
              <w:rPr>
                <w:rFonts w:ascii="Times New Roman" w:eastAsia="Times New Roman" w:hAnsi="Times New Roman"/>
                <w:b/>
                <w:bCs/>
                <w:color w:val="000000"/>
                <w:sz w:val="20"/>
                <w:szCs w:val="20"/>
                <w:lang w:eastAsia="ru-RU"/>
              </w:rPr>
            </w:pPr>
          </w:p>
        </w:tc>
        <w:tc>
          <w:tcPr>
            <w:tcW w:w="1187" w:type="dxa"/>
            <w:tcBorders>
              <w:bottom w:val="single" w:sz="4" w:space="0" w:color="000000"/>
              <w:right w:val="single" w:sz="4" w:space="0" w:color="000000"/>
            </w:tcBorders>
            <w:vAlign w:val="center"/>
          </w:tcPr>
          <w:p w14:paraId="66EB406B" w14:textId="77777777" w:rsidR="002449C2" w:rsidRDefault="00123961">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4 083,22</w:t>
            </w:r>
          </w:p>
        </w:tc>
        <w:tc>
          <w:tcPr>
            <w:tcW w:w="1022" w:type="dxa"/>
            <w:tcBorders>
              <w:bottom w:val="single" w:sz="4" w:space="0" w:color="000000"/>
              <w:right w:val="single" w:sz="4" w:space="0" w:color="000000"/>
            </w:tcBorders>
            <w:vAlign w:val="center"/>
          </w:tcPr>
          <w:p w14:paraId="6A13281A" w14:textId="77777777" w:rsidR="002449C2" w:rsidRDefault="00123961">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5 029,58</w:t>
            </w:r>
          </w:p>
        </w:tc>
        <w:tc>
          <w:tcPr>
            <w:tcW w:w="1104" w:type="dxa"/>
            <w:tcBorders>
              <w:bottom w:val="single" w:sz="4" w:space="0" w:color="000000"/>
              <w:right w:val="single" w:sz="4" w:space="0" w:color="000000"/>
            </w:tcBorders>
            <w:vAlign w:val="center"/>
          </w:tcPr>
          <w:p w14:paraId="7BF66879" w14:textId="77777777" w:rsidR="002449C2" w:rsidRDefault="00123961">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5 985,37</w:t>
            </w:r>
          </w:p>
        </w:tc>
        <w:tc>
          <w:tcPr>
            <w:tcW w:w="1014" w:type="dxa"/>
            <w:tcBorders>
              <w:bottom w:val="single" w:sz="4" w:space="0" w:color="000000"/>
              <w:right w:val="single" w:sz="4" w:space="0" w:color="000000"/>
            </w:tcBorders>
            <w:vAlign w:val="center"/>
          </w:tcPr>
          <w:p w14:paraId="3712F3E7" w14:textId="77777777" w:rsidR="002449C2" w:rsidRDefault="00123961">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19,00%</w:t>
            </w:r>
          </w:p>
        </w:tc>
      </w:tr>
      <w:tr w:rsidR="002449C2" w14:paraId="0FFFFEDB" w14:textId="77777777">
        <w:trPr>
          <w:trHeight w:val="439"/>
          <w:jc w:val="center"/>
        </w:trPr>
        <w:tc>
          <w:tcPr>
            <w:tcW w:w="3477" w:type="dxa"/>
            <w:tcBorders>
              <w:left w:val="single" w:sz="4" w:space="0" w:color="000000"/>
              <w:bottom w:val="single" w:sz="4" w:space="0" w:color="000000"/>
              <w:right w:val="single" w:sz="4" w:space="0" w:color="000000"/>
            </w:tcBorders>
            <w:vAlign w:val="center"/>
          </w:tcPr>
          <w:p w14:paraId="0BEA51BA"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Астраханьэнерго</w:t>
            </w:r>
          </w:p>
        </w:tc>
        <w:tc>
          <w:tcPr>
            <w:tcW w:w="1693" w:type="dxa"/>
            <w:tcBorders>
              <w:bottom w:val="single" w:sz="4" w:space="0" w:color="000000"/>
              <w:right w:val="single" w:sz="4" w:space="0" w:color="000000"/>
            </w:tcBorders>
            <w:vAlign w:val="center"/>
          </w:tcPr>
          <w:p w14:paraId="374DFAA7" w14:textId="77777777" w:rsidR="002449C2" w:rsidRDefault="00123961">
            <w:pPr>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руб. за одно присоединение</w:t>
            </w:r>
          </w:p>
        </w:tc>
        <w:tc>
          <w:tcPr>
            <w:tcW w:w="1187" w:type="dxa"/>
            <w:tcBorders>
              <w:bottom w:val="single" w:sz="4" w:space="0" w:color="000000"/>
              <w:right w:val="single" w:sz="4" w:space="0" w:color="000000"/>
            </w:tcBorders>
            <w:vAlign w:val="center"/>
          </w:tcPr>
          <w:p w14:paraId="4595A758" w14:textId="77777777" w:rsidR="002449C2" w:rsidRDefault="00123961">
            <w:pPr>
              <w:spacing w:after="0" w:line="240" w:lineRule="auto"/>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3 280,00</w:t>
            </w:r>
          </w:p>
        </w:tc>
        <w:tc>
          <w:tcPr>
            <w:tcW w:w="1022" w:type="dxa"/>
            <w:tcBorders>
              <w:bottom w:val="single" w:sz="4" w:space="0" w:color="000000"/>
              <w:right w:val="single" w:sz="4" w:space="0" w:color="000000"/>
            </w:tcBorders>
            <w:vAlign w:val="center"/>
          </w:tcPr>
          <w:p w14:paraId="1941AA2C" w14:textId="77777777" w:rsidR="002449C2" w:rsidRDefault="00123961">
            <w:pPr>
              <w:spacing w:after="0" w:line="240" w:lineRule="auto"/>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4 736,00</w:t>
            </w:r>
          </w:p>
        </w:tc>
        <w:tc>
          <w:tcPr>
            <w:tcW w:w="1104" w:type="dxa"/>
            <w:tcBorders>
              <w:bottom w:val="single" w:sz="4" w:space="0" w:color="000000"/>
              <w:right w:val="single" w:sz="4" w:space="0" w:color="000000"/>
            </w:tcBorders>
            <w:vAlign w:val="center"/>
          </w:tcPr>
          <w:p w14:paraId="072A0D3D" w14:textId="77777777" w:rsidR="002449C2" w:rsidRDefault="00123961">
            <w:pPr>
              <w:spacing w:after="0" w:line="240" w:lineRule="auto"/>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5 520,00</w:t>
            </w:r>
          </w:p>
        </w:tc>
        <w:tc>
          <w:tcPr>
            <w:tcW w:w="1014" w:type="dxa"/>
            <w:tcBorders>
              <w:bottom w:val="single" w:sz="4" w:space="0" w:color="000000"/>
              <w:right w:val="single" w:sz="4" w:space="0" w:color="000000"/>
            </w:tcBorders>
            <w:vAlign w:val="center"/>
          </w:tcPr>
          <w:p w14:paraId="734A99ED" w14:textId="77777777" w:rsidR="002449C2" w:rsidRDefault="00123961">
            <w:pPr>
              <w:spacing w:after="0" w:line="240" w:lineRule="auto"/>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16,55%</w:t>
            </w:r>
          </w:p>
        </w:tc>
      </w:tr>
      <w:tr w:rsidR="002449C2" w14:paraId="31C7FD10" w14:textId="77777777">
        <w:trPr>
          <w:trHeight w:val="120"/>
          <w:jc w:val="center"/>
        </w:trPr>
        <w:tc>
          <w:tcPr>
            <w:tcW w:w="3477" w:type="dxa"/>
            <w:tcBorders>
              <w:left w:val="single" w:sz="4" w:space="0" w:color="000000"/>
              <w:bottom w:val="single" w:sz="4" w:space="0" w:color="000000"/>
              <w:right w:val="single" w:sz="4" w:space="0" w:color="000000"/>
            </w:tcBorders>
            <w:vAlign w:val="center"/>
          </w:tcPr>
          <w:p w14:paraId="6AE0BE72"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Волгоградэнерго</w:t>
            </w:r>
          </w:p>
        </w:tc>
        <w:tc>
          <w:tcPr>
            <w:tcW w:w="1693" w:type="dxa"/>
            <w:tcBorders>
              <w:bottom w:val="single" w:sz="4" w:space="0" w:color="000000"/>
              <w:right w:val="single" w:sz="4" w:space="0" w:color="000000"/>
            </w:tcBorders>
            <w:vAlign w:val="center"/>
          </w:tcPr>
          <w:p w14:paraId="4AF6FFAB" w14:textId="77777777" w:rsidR="002449C2" w:rsidRDefault="00123961">
            <w:pPr>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руб. за одно присоединение</w:t>
            </w:r>
          </w:p>
        </w:tc>
        <w:tc>
          <w:tcPr>
            <w:tcW w:w="1187" w:type="dxa"/>
            <w:tcBorders>
              <w:bottom w:val="single" w:sz="4" w:space="0" w:color="000000"/>
              <w:right w:val="single" w:sz="4" w:space="0" w:color="000000"/>
            </w:tcBorders>
            <w:vAlign w:val="center"/>
          </w:tcPr>
          <w:p w14:paraId="00BB1E76" w14:textId="77777777" w:rsidR="002449C2" w:rsidRDefault="00123961">
            <w:pPr>
              <w:spacing w:after="0" w:line="240" w:lineRule="auto"/>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4 169,09</w:t>
            </w:r>
          </w:p>
        </w:tc>
        <w:tc>
          <w:tcPr>
            <w:tcW w:w="1022" w:type="dxa"/>
            <w:tcBorders>
              <w:bottom w:val="single" w:sz="4" w:space="0" w:color="000000"/>
              <w:right w:val="single" w:sz="4" w:space="0" w:color="000000"/>
            </w:tcBorders>
            <w:vAlign w:val="center"/>
          </w:tcPr>
          <w:p w14:paraId="258C5874" w14:textId="77777777" w:rsidR="002449C2" w:rsidRDefault="00123961">
            <w:pPr>
              <w:spacing w:after="0" w:line="240" w:lineRule="auto"/>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5 530,01</w:t>
            </w:r>
          </w:p>
        </w:tc>
        <w:tc>
          <w:tcPr>
            <w:tcW w:w="1104" w:type="dxa"/>
            <w:tcBorders>
              <w:bottom w:val="single" w:sz="4" w:space="0" w:color="000000"/>
              <w:right w:val="single" w:sz="4" w:space="0" w:color="000000"/>
            </w:tcBorders>
            <w:vAlign w:val="center"/>
          </w:tcPr>
          <w:p w14:paraId="142A2DD7" w14:textId="77777777" w:rsidR="002449C2" w:rsidRDefault="00123961">
            <w:pPr>
              <w:spacing w:after="0" w:line="240" w:lineRule="auto"/>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7 224,42</w:t>
            </w:r>
          </w:p>
        </w:tc>
        <w:tc>
          <w:tcPr>
            <w:tcW w:w="1014" w:type="dxa"/>
            <w:tcBorders>
              <w:bottom w:val="single" w:sz="4" w:space="0" w:color="000000"/>
              <w:right w:val="single" w:sz="4" w:space="0" w:color="000000"/>
            </w:tcBorders>
            <w:vAlign w:val="center"/>
          </w:tcPr>
          <w:p w14:paraId="312D4BF6" w14:textId="77777777" w:rsidR="002449C2" w:rsidRDefault="00123961">
            <w:pPr>
              <w:spacing w:after="0" w:line="240" w:lineRule="auto"/>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30,64%</w:t>
            </w:r>
          </w:p>
        </w:tc>
      </w:tr>
      <w:tr w:rsidR="002449C2" w14:paraId="533C74E7" w14:textId="77777777">
        <w:trPr>
          <w:trHeight w:val="70"/>
          <w:jc w:val="center"/>
        </w:trPr>
        <w:tc>
          <w:tcPr>
            <w:tcW w:w="3477" w:type="dxa"/>
            <w:tcBorders>
              <w:left w:val="single" w:sz="4" w:space="0" w:color="000000"/>
              <w:bottom w:val="single" w:sz="4" w:space="0" w:color="000000"/>
              <w:right w:val="single" w:sz="4" w:space="0" w:color="000000"/>
            </w:tcBorders>
            <w:vAlign w:val="center"/>
          </w:tcPr>
          <w:p w14:paraId="60442517"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Калмэнерго</w:t>
            </w:r>
          </w:p>
        </w:tc>
        <w:tc>
          <w:tcPr>
            <w:tcW w:w="1693" w:type="dxa"/>
            <w:tcBorders>
              <w:bottom w:val="single" w:sz="4" w:space="0" w:color="000000"/>
              <w:right w:val="single" w:sz="4" w:space="0" w:color="000000"/>
            </w:tcBorders>
            <w:vAlign w:val="center"/>
          </w:tcPr>
          <w:p w14:paraId="314FD67C" w14:textId="77777777" w:rsidR="002449C2" w:rsidRDefault="00123961">
            <w:pPr>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руб. за одно присоединение</w:t>
            </w:r>
          </w:p>
        </w:tc>
        <w:tc>
          <w:tcPr>
            <w:tcW w:w="1187" w:type="dxa"/>
            <w:tcBorders>
              <w:bottom w:val="single" w:sz="4" w:space="0" w:color="000000"/>
              <w:right w:val="single" w:sz="4" w:space="0" w:color="000000"/>
            </w:tcBorders>
            <w:vAlign w:val="center"/>
          </w:tcPr>
          <w:p w14:paraId="5EE41D39" w14:textId="77777777" w:rsidR="002449C2" w:rsidRDefault="00123961">
            <w:pPr>
              <w:spacing w:after="0" w:line="240" w:lineRule="auto"/>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4 334,50</w:t>
            </w:r>
          </w:p>
        </w:tc>
        <w:tc>
          <w:tcPr>
            <w:tcW w:w="1022" w:type="dxa"/>
            <w:tcBorders>
              <w:bottom w:val="single" w:sz="4" w:space="0" w:color="000000"/>
              <w:right w:val="single" w:sz="4" w:space="0" w:color="000000"/>
            </w:tcBorders>
            <w:vAlign w:val="center"/>
          </w:tcPr>
          <w:p w14:paraId="70420D2A" w14:textId="77777777" w:rsidR="002449C2" w:rsidRDefault="00123961">
            <w:pPr>
              <w:spacing w:after="0" w:line="240" w:lineRule="auto"/>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4 461,42</w:t>
            </w:r>
          </w:p>
        </w:tc>
        <w:tc>
          <w:tcPr>
            <w:tcW w:w="1104" w:type="dxa"/>
            <w:tcBorders>
              <w:bottom w:val="single" w:sz="4" w:space="0" w:color="000000"/>
              <w:right w:val="single" w:sz="4" w:space="0" w:color="000000"/>
            </w:tcBorders>
            <w:vAlign w:val="center"/>
          </w:tcPr>
          <w:p w14:paraId="30FFEEF5" w14:textId="77777777" w:rsidR="002449C2" w:rsidRDefault="00123961">
            <w:pPr>
              <w:spacing w:after="0" w:line="240" w:lineRule="auto"/>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4 834,54</w:t>
            </w:r>
          </w:p>
        </w:tc>
        <w:tc>
          <w:tcPr>
            <w:tcW w:w="1014" w:type="dxa"/>
            <w:tcBorders>
              <w:bottom w:val="single" w:sz="4" w:space="0" w:color="000000"/>
              <w:right w:val="single" w:sz="4" w:space="0" w:color="000000"/>
            </w:tcBorders>
            <w:vAlign w:val="center"/>
          </w:tcPr>
          <w:p w14:paraId="657EF9A7" w14:textId="77777777" w:rsidR="002449C2" w:rsidRDefault="00123961">
            <w:pPr>
              <w:spacing w:after="0" w:line="240" w:lineRule="auto"/>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8,36%</w:t>
            </w:r>
          </w:p>
        </w:tc>
      </w:tr>
      <w:tr w:rsidR="002449C2" w14:paraId="39EE55DA" w14:textId="77777777">
        <w:trPr>
          <w:trHeight w:val="70"/>
          <w:jc w:val="center"/>
        </w:trPr>
        <w:tc>
          <w:tcPr>
            <w:tcW w:w="3477" w:type="dxa"/>
            <w:tcBorders>
              <w:left w:val="single" w:sz="4" w:space="0" w:color="000000"/>
              <w:bottom w:val="single" w:sz="4" w:space="0" w:color="000000"/>
              <w:right w:val="single" w:sz="4" w:space="0" w:color="000000"/>
            </w:tcBorders>
            <w:vAlign w:val="center"/>
          </w:tcPr>
          <w:p w14:paraId="515D97B6" w14:textId="77777777" w:rsidR="002449C2" w:rsidRDefault="00123961">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Ростовэнерго</w:t>
            </w:r>
          </w:p>
        </w:tc>
        <w:tc>
          <w:tcPr>
            <w:tcW w:w="1693" w:type="dxa"/>
            <w:tcBorders>
              <w:bottom w:val="single" w:sz="4" w:space="0" w:color="000000"/>
              <w:right w:val="single" w:sz="4" w:space="0" w:color="000000"/>
            </w:tcBorders>
            <w:vAlign w:val="center"/>
          </w:tcPr>
          <w:p w14:paraId="0E91FA23" w14:textId="77777777" w:rsidR="002449C2" w:rsidRDefault="00123961">
            <w:pPr>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руб. за одно присоединение</w:t>
            </w:r>
          </w:p>
        </w:tc>
        <w:tc>
          <w:tcPr>
            <w:tcW w:w="1187" w:type="dxa"/>
            <w:tcBorders>
              <w:bottom w:val="single" w:sz="4" w:space="0" w:color="000000"/>
              <w:right w:val="single" w:sz="4" w:space="0" w:color="000000"/>
            </w:tcBorders>
            <w:vAlign w:val="center"/>
          </w:tcPr>
          <w:p w14:paraId="1135BC1A" w14:textId="77777777" w:rsidR="002449C2" w:rsidRDefault="00123961">
            <w:pPr>
              <w:spacing w:after="0" w:line="240" w:lineRule="auto"/>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4 549,27</w:t>
            </w:r>
          </w:p>
        </w:tc>
        <w:tc>
          <w:tcPr>
            <w:tcW w:w="1022" w:type="dxa"/>
            <w:tcBorders>
              <w:bottom w:val="single" w:sz="4" w:space="0" w:color="000000"/>
              <w:right w:val="single" w:sz="4" w:space="0" w:color="000000"/>
            </w:tcBorders>
            <w:vAlign w:val="center"/>
          </w:tcPr>
          <w:p w14:paraId="557DEB70" w14:textId="77777777" w:rsidR="002449C2" w:rsidRDefault="00123961">
            <w:pPr>
              <w:spacing w:after="0" w:line="240" w:lineRule="auto"/>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5 390,89</w:t>
            </w:r>
          </w:p>
        </w:tc>
        <w:tc>
          <w:tcPr>
            <w:tcW w:w="1104" w:type="dxa"/>
            <w:tcBorders>
              <w:bottom w:val="single" w:sz="4" w:space="0" w:color="000000"/>
              <w:right w:val="single" w:sz="4" w:space="0" w:color="000000"/>
            </w:tcBorders>
            <w:vAlign w:val="center"/>
          </w:tcPr>
          <w:p w14:paraId="5ABE1827" w14:textId="77777777" w:rsidR="002449C2" w:rsidRDefault="00123961">
            <w:pPr>
              <w:spacing w:after="0" w:line="240" w:lineRule="auto"/>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6 362,51</w:t>
            </w:r>
          </w:p>
        </w:tc>
        <w:tc>
          <w:tcPr>
            <w:tcW w:w="1014" w:type="dxa"/>
            <w:tcBorders>
              <w:bottom w:val="single" w:sz="4" w:space="0" w:color="000000"/>
              <w:right w:val="single" w:sz="4" w:space="0" w:color="000000"/>
            </w:tcBorders>
            <w:vAlign w:val="center"/>
          </w:tcPr>
          <w:p w14:paraId="49B182A8" w14:textId="77777777" w:rsidR="002449C2" w:rsidRDefault="00123961">
            <w:pPr>
              <w:spacing w:after="0" w:line="240" w:lineRule="auto"/>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18,02%</w:t>
            </w:r>
          </w:p>
        </w:tc>
      </w:tr>
    </w:tbl>
    <w:p w14:paraId="0760587A" w14:textId="77777777" w:rsidR="002449C2" w:rsidRDefault="002449C2">
      <w:pPr>
        <w:spacing w:after="0" w:line="240" w:lineRule="auto"/>
        <w:ind w:firstLine="709"/>
        <w:jc w:val="both"/>
        <w:rPr>
          <w:rFonts w:ascii="Times New Roman" w:eastAsia="Times New Roman" w:hAnsi="Times New Roman"/>
          <w:b/>
          <w:color w:val="2E74B5"/>
          <w:sz w:val="26"/>
          <w:szCs w:val="26"/>
          <w:lang w:eastAsia="ru-RU"/>
        </w:rPr>
      </w:pPr>
    </w:p>
    <w:p w14:paraId="162EF05A" w14:textId="77777777" w:rsidR="002449C2" w:rsidRDefault="00123961">
      <w:pPr>
        <w:shd w:val="clear" w:color="auto" w:fill="FFFFFF"/>
        <w:tabs>
          <w:tab w:val="left" w:pos="709"/>
          <w:tab w:val="left" w:pos="1134"/>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Объем необходимой валовой выручки (НВВ) от деятельности по передаче электрической энергии ПАО «Россети Юг» в 2024 году выше на 5,04% величины НВВ, утвержденной на 2023 год. </w:t>
      </w:r>
    </w:p>
    <w:p w14:paraId="21C770BB" w14:textId="77777777" w:rsidR="002449C2" w:rsidRDefault="00123961">
      <w:pPr>
        <w:shd w:val="clear" w:color="auto" w:fill="FFFFFF"/>
        <w:tabs>
          <w:tab w:val="left" w:pos="709"/>
          <w:tab w:val="left" w:pos="1134"/>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При этом: </w:t>
      </w:r>
    </w:p>
    <w:p w14:paraId="7B3C8D12" w14:textId="77777777" w:rsidR="002449C2" w:rsidRDefault="00123961">
      <w:pPr>
        <w:numPr>
          <w:ilvl w:val="0"/>
          <w:numId w:val="16"/>
        </w:numPr>
        <w:shd w:val="clear" w:color="auto" w:fill="FFFFFF"/>
        <w:tabs>
          <w:tab w:val="left" w:pos="709"/>
          <w:tab w:val="left" w:pos="851"/>
        </w:tabs>
        <w:spacing w:after="0" w:line="240" w:lineRule="auto"/>
        <w:ind w:left="0"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Собственная НВВ филиалов ПАО «Россети Юг» увеличилась на 1,79%. Невысокий темп роста собственной НВВ в целом по Обществу обусловлен снижением собственной НВВ в 2024 году по отношению к 2023 году по филиалам ПАО «Россети Юг» - «Астраханьэнерго» ввиду опережающего темпа роста затрат ЕНЭС и «Калмэнерго» ввиду снижения величины выручки, подлежащей передаче филиалом ПАО «Россети Юг» - «Ростовэнерго» в рамках единой тарифной зоны. </w:t>
      </w:r>
    </w:p>
    <w:p w14:paraId="5CFCF541" w14:textId="77777777" w:rsidR="002449C2" w:rsidRDefault="00123961">
      <w:pPr>
        <w:numPr>
          <w:ilvl w:val="0"/>
          <w:numId w:val="16"/>
        </w:numPr>
        <w:shd w:val="clear" w:color="auto" w:fill="FFFFFF"/>
        <w:tabs>
          <w:tab w:val="left" w:pos="709"/>
        </w:tabs>
        <w:spacing w:after="0" w:line="240" w:lineRule="auto"/>
        <w:ind w:left="0"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Величина затрат на оплату услуг по передаче электрической энергии по сетям ЕНЭС в целом по Обществу увеличилась на 10,75%, наибольший темп роста расходов наблюдается:</w:t>
      </w:r>
    </w:p>
    <w:p w14:paraId="6F59B96B" w14:textId="77777777" w:rsidR="002449C2" w:rsidRDefault="00123961">
      <w:pPr>
        <w:shd w:val="clear" w:color="auto" w:fill="FFFFFF"/>
        <w:tabs>
          <w:tab w:val="left" w:pos="993"/>
        </w:tabs>
        <w:spacing w:after="0" w:line="240"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 по филиалу «Астраханьэнерго» затраты увеличились на 25,74%, что обусловлено как изменением величины заявленной мощности (на 15,57 МВт или 13,19%) и объема потерь электрической энергии в сетях ЕНЭС, так и ростом ставки на содержание сетей на 10,5% и ставки на оплату нормативных потерь электрической энергии ЕНЭС на 9,3%; </w:t>
      </w:r>
    </w:p>
    <w:p w14:paraId="602B32E8" w14:textId="77777777" w:rsidR="002449C2" w:rsidRDefault="00123961">
      <w:pPr>
        <w:shd w:val="clear" w:color="auto" w:fill="FFFFFF"/>
        <w:tabs>
          <w:tab w:val="left" w:pos="993"/>
        </w:tabs>
        <w:spacing w:after="0" w:line="240"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по филиалу «Ростовэнерго» затраты увеличились на 12,60% что обусловлено как изменением величины заявленной мощности (на 41,45 МВт или на 3,09%) и объема потерь электрической энергии в сетях ЕНЭС, так и ростом ставки на содержание сетей на 10,5% и ставки на оплату нормативных потерь электрической энергии ЕНЭС на 16,24%.</w:t>
      </w:r>
    </w:p>
    <w:p w14:paraId="744CE3FE" w14:textId="77777777" w:rsidR="002449C2" w:rsidRDefault="00123961">
      <w:pPr>
        <w:shd w:val="clear" w:color="auto" w:fill="FFFFFF"/>
        <w:tabs>
          <w:tab w:val="left" w:pos="993"/>
        </w:tabs>
        <w:spacing w:after="0" w:line="240"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b/>
          <w:sz w:val="26"/>
          <w:szCs w:val="26"/>
          <w:lang w:eastAsia="ru-RU"/>
        </w:rPr>
        <w:t>3</w:t>
      </w:r>
      <w:r>
        <w:rPr>
          <w:rFonts w:ascii="Times New Roman" w:eastAsia="Times New Roman" w:hAnsi="Times New Roman"/>
          <w:sz w:val="26"/>
          <w:szCs w:val="26"/>
          <w:lang w:eastAsia="ru-RU"/>
        </w:rPr>
        <w:t xml:space="preserve">. Величина затрат на покупку электрической энергии в целях компенсации потерь в целом по Обществу увеличилась на 3,82%. Наибольший рост наблюдается по филиалу ПАО «Россети Юг» - «Калмэнерго» (на 8,95%), что обусловлено ростом цены на покупку электрической энергии в целях компенсации потерь на 8,09%, в том числе ввиду увеличения сбытовых надбавок гарантирующих поставщиков электрической энергии. </w:t>
      </w:r>
    </w:p>
    <w:p w14:paraId="44D36ED3" w14:textId="77777777" w:rsidR="002449C2" w:rsidRDefault="00123961">
      <w:pPr>
        <w:shd w:val="clear" w:color="auto" w:fill="FFFFFF"/>
        <w:tabs>
          <w:tab w:val="left" w:pos="993"/>
        </w:tabs>
        <w:spacing w:after="0" w:line="240"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b/>
          <w:sz w:val="26"/>
          <w:szCs w:val="26"/>
          <w:lang w:eastAsia="ru-RU"/>
        </w:rPr>
        <w:t>4.</w:t>
      </w:r>
      <w:r>
        <w:rPr>
          <w:rFonts w:ascii="Times New Roman" w:eastAsia="Times New Roman" w:hAnsi="Times New Roman"/>
          <w:sz w:val="26"/>
          <w:szCs w:val="26"/>
          <w:lang w:eastAsia="ru-RU"/>
        </w:rPr>
        <w:t xml:space="preserve"> Величина затрат на оплату услуг ТСО в целом по Обществу увеличилась на 14,60%:</w:t>
      </w:r>
    </w:p>
    <w:p w14:paraId="7E4F6FB0" w14:textId="77777777" w:rsidR="002449C2" w:rsidRDefault="00123961">
      <w:pPr>
        <w:shd w:val="clear" w:color="auto" w:fill="FFFFFF"/>
        <w:tabs>
          <w:tab w:val="left" w:pos="993"/>
        </w:tabs>
        <w:spacing w:after="0" w:line="240"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по филиалу «Астраханьэнерго» рост затрат составил 11,20%, что превышает темп роста собственной НВВ «Астраханьэнерго». Рост необходимой валовой выручки прочих ТСО опережающими темпами в основном обусловлен увеличением объемов электросетевого оборудования ТСО (МУП г. Астрахани «Горэлектросеть») и включением его в котловую схему взаиморасчетов;</w:t>
      </w:r>
    </w:p>
    <w:p w14:paraId="487CA760" w14:textId="77777777" w:rsidR="002449C2" w:rsidRDefault="00123961">
      <w:pPr>
        <w:shd w:val="clear" w:color="auto" w:fill="FFFFFF"/>
        <w:tabs>
          <w:tab w:val="left" w:pos="993"/>
        </w:tabs>
        <w:spacing w:after="0" w:line="240"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по филиалу «Волгоградэнерго» увеличение затрат составило 6,40%;</w:t>
      </w:r>
    </w:p>
    <w:p w14:paraId="712DF234" w14:textId="77777777" w:rsidR="002449C2" w:rsidRDefault="00123961">
      <w:pPr>
        <w:shd w:val="clear" w:color="auto" w:fill="FFFFFF"/>
        <w:tabs>
          <w:tab w:val="left" w:pos="993"/>
        </w:tabs>
        <w:spacing w:after="0" w:line="240"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 по филиалу «Ростовэнерго» увеличение затрат составило 18,90%, что превышает темп роста собственной НВВ «Ростовэнерго». Рост необходимой валовой выручки прочих ТСО опережающими темпами в основном обусловлен увеличением объемов электросетевого оборудования ТСО. </w:t>
      </w:r>
    </w:p>
    <w:p w14:paraId="0AB1970D" w14:textId="77777777" w:rsidR="002449C2" w:rsidRDefault="00123961">
      <w:pPr>
        <w:shd w:val="clear" w:color="auto" w:fill="FFFFFF"/>
        <w:tabs>
          <w:tab w:val="left" w:pos="993"/>
        </w:tabs>
        <w:spacing w:after="0" w:line="240"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b/>
          <w:sz w:val="26"/>
          <w:szCs w:val="26"/>
          <w:lang w:eastAsia="ru-RU"/>
        </w:rPr>
        <w:t>5.</w:t>
      </w:r>
      <w:r>
        <w:rPr>
          <w:rFonts w:ascii="Times New Roman" w:eastAsia="Times New Roman" w:hAnsi="Times New Roman"/>
          <w:sz w:val="26"/>
          <w:szCs w:val="26"/>
          <w:lang w:eastAsia="ru-RU"/>
        </w:rPr>
        <w:t xml:space="preserve"> Прирост среднеотпускного тарифа на услуги по передаче электрической энергии на 2024 год по отношению к 2023 году по ПАО «Россети Юг» составил: </w:t>
      </w:r>
    </w:p>
    <w:p w14:paraId="59FC7F66" w14:textId="77777777" w:rsidR="002449C2" w:rsidRDefault="00123961">
      <w:pPr>
        <w:shd w:val="clear" w:color="auto" w:fill="FFFFFF"/>
        <w:tabs>
          <w:tab w:val="left" w:pos="709"/>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 по филиалу «Астраханьэнерго» 3,93%; </w:t>
      </w:r>
    </w:p>
    <w:p w14:paraId="46B0564E" w14:textId="77777777" w:rsidR="002449C2" w:rsidRDefault="00123961">
      <w:pPr>
        <w:shd w:val="clear" w:color="auto" w:fill="FFFFFF"/>
        <w:tabs>
          <w:tab w:val="left" w:pos="709"/>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по филиалу «Волгоградэнерго» 3,51%;</w:t>
      </w:r>
    </w:p>
    <w:p w14:paraId="75EBB78A" w14:textId="77777777" w:rsidR="002449C2" w:rsidRDefault="00123961">
      <w:pPr>
        <w:shd w:val="clear" w:color="auto" w:fill="FFFFFF"/>
        <w:tabs>
          <w:tab w:val="left" w:pos="709"/>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 по филиалу «Калмэнерго» - 20,36%. </w:t>
      </w:r>
    </w:p>
    <w:p w14:paraId="6EED14BA" w14:textId="77777777" w:rsidR="002449C2" w:rsidRDefault="00123961">
      <w:pPr>
        <w:shd w:val="clear" w:color="auto" w:fill="FFFFFF"/>
        <w:tabs>
          <w:tab w:val="left" w:pos="709"/>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 по филиалу «Ростовэнерго» 6,01%; </w:t>
      </w:r>
    </w:p>
    <w:p w14:paraId="18411D7B"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Отрицательная динамика среднеотпускного тарифа по филиалу «Калмэнерго» в 2024 году обусловлена снижением величины выручки, подлежащей передаче филиалом ПАО «Россети Юг» - «Ростовэнерго» в рамках единой тарифной зоны. </w:t>
      </w:r>
    </w:p>
    <w:p w14:paraId="1514BF8B" w14:textId="77777777" w:rsidR="002449C2" w:rsidRDefault="00123961">
      <w:pPr>
        <w:tabs>
          <w:tab w:val="left" w:pos="851"/>
        </w:tabs>
        <w:spacing w:before="120" w:after="120" w:line="240" w:lineRule="auto"/>
        <w:ind w:firstLine="567"/>
        <w:jc w:val="center"/>
        <w:rPr>
          <w:rFonts w:ascii="Times New Roman" w:hAnsi="Times New Roman"/>
          <w:b/>
          <w:color w:val="000000"/>
          <w:sz w:val="26"/>
          <w:szCs w:val="26"/>
          <w:lang w:eastAsia="en-US"/>
        </w:rPr>
      </w:pPr>
      <w:r>
        <w:rPr>
          <w:rFonts w:ascii="Times New Roman" w:hAnsi="Times New Roman"/>
          <w:b/>
          <w:color w:val="000000"/>
          <w:sz w:val="26"/>
          <w:szCs w:val="26"/>
          <w:lang w:eastAsia="en-US"/>
        </w:rPr>
        <w:t>Плата за технологическое присоединение</w:t>
      </w:r>
    </w:p>
    <w:p w14:paraId="5804F263"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Плата за технологическое присоединение (ТП) рассчитывается в случаях присоединения впервые вводимых в эксплуатацию, ранее присоединенных устройств, максимальная мощность которых увеличивается, а также в случаях, при которых в отношении ранее присоединенных устройств изменяются категория надежности электроснабжения, точки присоединения, виды производственной деятельности, не влекущие пересмотр величины максимальной мощности, но изменяющие схему внешнего электроснабжения таких устройств.</w:t>
      </w:r>
    </w:p>
    <w:p w14:paraId="50D3B753"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Плата за ТП при изменении категории надежности рассчитывается за объем максимальной мощности энергопринимающих устройств заявителя, у которых изменяется категория надежности.</w:t>
      </w:r>
    </w:p>
    <w:p w14:paraId="652CD28D"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Плата за ТП в случаях изменения схемы внешнего электроснабжения, не влекущих пересмотр величины максимальной мощности в результате изменения точек присоединения, видов производственной деятельности, рассчитывается за объем максимальной мощности, указанный в заявке на ТП.</w:t>
      </w:r>
    </w:p>
    <w:p w14:paraId="03965E8B"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Органами исполнительной власти субъектов Российской Федерации в области государственного регулирования тарифов (далее - РСТ) для расчета платы за ТП к территориальным распределительным сетям утверждаются:</w:t>
      </w:r>
    </w:p>
    <w:p w14:paraId="3AB59C84"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1) на период регулирования:</w:t>
      </w:r>
    </w:p>
    <w:p w14:paraId="64423943"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стандартизированные тарифные ставки (единые для всех территориальных сетевых организаций на территории субъекта Российской Федерации – в соответствии с пунктом 2 статьи 23.2 Федерального закона от 26.03.2003 № 35-ФЗ «Об электроэнергетике»);</w:t>
      </w:r>
    </w:p>
    <w:p w14:paraId="5B9B99DA"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льготные ставки за 1 кВт запрашиваемой максимальной мощности (руб./кВт);</w:t>
      </w:r>
    </w:p>
    <w:p w14:paraId="7B6A2A37"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формула платы за технологическое присоединение.</w:t>
      </w:r>
    </w:p>
    <w:p w14:paraId="32E28102"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2) по обращению сетевой организации: плата за ТП к территориальным распределительным электрическим сетям по индивидуальному проекту.</w:t>
      </w:r>
    </w:p>
    <w:p w14:paraId="367BFB79"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Динамика стандартизированных тарифных ставок на покрытие расходов на подготовку и выдачу сетевой организацией технических условий заявителю (пункт 16 «а» Методических указаний ФАС России) представлена в таблице «Показатели по тарифам на услуги по передаче электрической энергии и платы за технологическое присоединение». Средний рост в целом во всех регионах присутствия филиалов ПАО «Россети Юг» составил 19%.  Наибольший рост наблюдается в Волгоградской области – 30,64 %, наименьший в Республике Калмыкия – 8,36%.  </w:t>
      </w:r>
    </w:p>
    <w:p w14:paraId="4D6B3150"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Установленные на территориях ведения деятельности филиалов ПАО «Россети Юг» стандартизированные тарифные ставки включают дифференциацию по уровням напряжения и в зависимости от вида используемого материала и (или) способа выполнения работ и отражены в тарифных решениях РСТ на 2024 год (размещены на официальном сайте Общества в разделе «Потребителям/Технологическое присоединение/Тарифы на технологическое присоединение»/2024/Тарифное меню по технологическому присоединению по филиалам ПАО "Россети Юг" (19 «а») -.</w:t>
      </w:r>
      <w:hyperlink r:id="rId89">
        <w:r>
          <w:rPr>
            <w:rFonts w:ascii="Times New Roman" w:eastAsia="Times New Roman" w:hAnsi="Times New Roman"/>
            <w:color w:val="0563C1"/>
            <w:sz w:val="26"/>
            <w:szCs w:val="26"/>
            <w:u w:val="single"/>
            <w:lang w:eastAsia="en-US"/>
          </w:rPr>
          <w:t>https://rosseti-yug.ru/potrebitelyam/tarifnoe-menyu-po-tekhnoloheskomu-prisoedineniyu-po-filialam-pao-rosseti-yug-19-a-/</w:t>
        </w:r>
      </w:hyperlink>
      <w:r>
        <w:rPr>
          <w:rFonts w:ascii="Times New Roman" w:eastAsia="Times New Roman" w:hAnsi="Times New Roman"/>
          <w:sz w:val="26"/>
          <w:szCs w:val="26"/>
          <w:lang w:eastAsia="en-US"/>
        </w:rPr>
        <w:t>).</w:t>
      </w:r>
    </w:p>
    <w:p w14:paraId="244FBA88"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Льготная ставка за 1 кВт запрашиваемой мощности устанавливается в отношении всей совокупности мероприятий по технологическому присоединению:</w:t>
      </w:r>
    </w:p>
    <w:p w14:paraId="21B3BF89"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 в случае технологического присоединения объектов, указанных в абзацах четвертом и пятом пункта 17 Правил технологического присоединения энергопринимающих устройств потребителей электрической энергии, объектов по производству электрической энергии, а также объектов электросетевого хозяйства, принадлежащих сетевым организациям и иным лицам, к электрическим сетям, утвержденных постановлением Правительства Российской Федерации от 27.12.2004 № 861 (далее – Правила) и отнесенных к третьей категории надежности (по одному источнику электроснабжения), присоединяемых на уровне напряжения 0,4 кВ и ниже, при условии, что расстояние от границ участка заявителя до электролинии не более 300 м в городах и поселках городского типа и не более 500 м в сельской местности; </w:t>
      </w:r>
    </w:p>
    <w:p w14:paraId="07C7B33B"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в случае подачи заявки юридическим лицом или индивидуальным предпринимателем в целях технологического присоединения объектов микрогенерации, а также одновременного технологического присоединения объектов микрогенерации и энергопринимающих устройств не более 150 кВт (с учетом ранее присоединенных в данной точке присоединения энергопринимающих устройств), присоединяемых по третьей категории надежности на уровне напряжения 0,4 кВ и ниже, при условии, что расстояние от границ участка заявителя до электролинии не более 200 м в городах и поселках городского типа и не более 300 м в сельской местности.</w:t>
      </w:r>
    </w:p>
    <w:p w14:paraId="1333845A"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Размер льготной ставки за 1 кВт запрашиваемой максимальной мощности на 2024 год составил:</w:t>
      </w:r>
    </w:p>
    <w:p w14:paraId="3A6920BA"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п</w:t>
      </w:r>
      <w:r>
        <w:rPr>
          <w:rFonts w:ascii="Times New Roman" w:hAnsi="Times New Roman"/>
          <w:sz w:val="26"/>
          <w:szCs w:val="26"/>
          <w:lang w:eastAsia="en-US"/>
        </w:rPr>
        <w:t>о Астраханской и Ростовской областям</w:t>
      </w:r>
      <w:r>
        <w:rPr>
          <w:rFonts w:ascii="Times New Roman" w:eastAsia="Times New Roman" w:hAnsi="Times New Roman"/>
          <w:sz w:val="26"/>
          <w:szCs w:val="26"/>
          <w:lang w:eastAsia="en-US"/>
        </w:rPr>
        <w:t xml:space="preserve"> -</w:t>
      </w:r>
      <w:r>
        <w:rPr>
          <w:rFonts w:ascii="Times New Roman" w:hAnsi="Times New Roman"/>
          <w:sz w:val="26"/>
          <w:szCs w:val="26"/>
          <w:lang w:eastAsia="en-US"/>
        </w:rPr>
        <w:t xml:space="preserve"> </w:t>
      </w:r>
      <w:r>
        <w:rPr>
          <w:rFonts w:ascii="Times New Roman" w:eastAsia="Times New Roman" w:hAnsi="Times New Roman"/>
          <w:sz w:val="26"/>
          <w:szCs w:val="26"/>
          <w:lang w:eastAsia="en-US"/>
        </w:rPr>
        <w:t xml:space="preserve">6 602 руб./кВт (с НДС) и 5 908,75 руб./кВт (с НДС) соответственно; </w:t>
      </w:r>
    </w:p>
    <w:p w14:paraId="6E19439A"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по Волгоградской области и в Республике Калмыкия - с 01.01.2024 по 30.06.2024 - 4 456,27 руб./кВт (с НДС), с 01.07.2024 по 31.12.2024 – 5 570,34 руб./кВт (с НДС).</w:t>
      </w:r>
    </w:p>
    <w:p w14:paraId="5A436873" w14:textId="77777777" w:rsidR="002449C2" w:rsidRDefault="00123961">
      <w:pPr>
        <w:shd w:val="clear" w:color="auto" w:fill="FFFFFF"/>
        <w:tabs>
          <w:tab w:val="left" w:pos="993"/>
        </w:tabs>
        <w:spacing w:after="0" w:line="240"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en-US"/>
        </w:rPr>
        <w:t>Социальная льготная ставка за присоединение объектов мощностью до 15 кВт установлена в размере 1 114,07 руб./кВт (с НДС) в отношении категории заявителей, указанных в абзацах одиннадцатом-девятнадцатом пункта 17 Правил, в случае предоставления заявителем документов, оформленных уполномоченным федеральным органом исполнительной власти, подтверждающих соответствие заявителя категории, установленной абзацами одиннадцатым-девятнадцатым пункта 17 Правил, при присоединении энергопринимающих устройств заявителя, владеющего объектами, отнесенными к третьей категории надежности (по одному источнику электроснабжения), при условии, что  расстояние от границ участка заявителя до объектов электросетевого хозяйства на уровне напряжения 0,4 кВ и ниже необходимого заявителю класса напряжения составляет не менее 300 метров в городских и поселках городского типа и не более 500 метров в сельской местности.</w:t>
      </w:r>
    </w:p>
    <w:p w14:paraId="670AE735"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74" w:name="_Toc195174935"/>
      <w:bookmarkStart w:id="75" w:name="_Toc511807232"/>
      <w:bookmarkStart w:id="76" w:name="_Toc196143027"/>
      <w:r>
        <w:rPr>
          <w:rFonts w:ascii="Times New Roman" w:eastAsia="Times New Roman" w:hAnsi="Times New Roman"/>
          <w:caps/>
          <w:color w:val="632423"/>
          <w:spacing w:val="15"/>
          <w:sz w:val="24"/>
          <w:szCs w:val="24"/>
          <w:lang w:eastAsia="en-US" w:bidi="en-US"/>
        </w:rPr>
        <w:t>Консолидация электросетевых активов</w:t>
      </w:r>
      <w:bookmarkEnd w:id="74"/>
      <w:bookmarkEnd w:id="75"/>
      <w:bookmarkEnd w:id="76"/>
    </w:p>
    <w:p w14:paraId="2854B785" w14:textId="77777777" w:rsidR="002449C2" w:rsidRDefault="00123961">
      <w:pPr>
        <w:tabs>
          <w:tab w:val="left" w:pos="-426"/>
          <w:tab w:val="left" w:pos="142"/>
          <w:tab w:val="left" w:pos="284"/>
          <w:tab w:val="left" w:pos="567"/>
          <w:tab w:val="left" w:pos="851"/>
          <w:tab w:val="left" w:pos="993"/>
          <w:tab w:val="left" w:pos="1134"/>
        </w:tabs>
        <w:spacing w:after="0" w:line="240" w:lineRule="auto"/>
        <w:ind w:firstLine="709"/>
        <w:contextualSpacing/>
        <w:jc w:val="both"/>
        <w:rPr>
          <w:rFonts w:ascii="Times New Roman" w:hAnsi="Times New Roman"/>
          <w:sz w:val="26"/>
          <w:szCs w:val="26"/>
          <w:lang w:eastAsia="en-US"/>
        </w:rPr>
      </w:pPr>
      <w:r>
        <w:rPr>
          <w:rFonts w:ascii="Times New Roman" w:hAnsi="Times New Roman"/>
          <w:sz w:val="26"/>
          <w:szCs w:val="26"/>
          <w:lang w:eastAsia="en-US"/>
        </w:rPr>
        <w:t>Работа по консолидации электросетевых активов построена на рассмотрении поступающих заявок на передачу объектов электросетевого хозяйства под управление Обществу, а также выявлении объектов электросетевого хозяйства, потенциально интересных для консолидации Обществом, и последующем взаимодействии с владельцами таких объектов для определения взаимовыгодных условий соответствующих сделок.</w:t>
      </w:r>
    </w:p>
    <w:p w14:paraId="551125EF" w14:textId="77777777" w:rsidR="002449C2" w:rsidRDefault="00123961">
      <w:pPr>
        <w:tabs>
          <w:tab w:val="left" w:pos="-426"/>
          <w:tab w:val="left" w:pos="142"/>
          <w:tab w:val="left" w:pos="284"/>
          <w:tab w:val="left" w:pos="567"/>
          <w:tab w:val="left" w:pos="851"/>
          <w:tab w:val="left" w:pos="993"/>
          <w:tab w:val="left" w:pos="1134"/>
        </w:tabs>
        <w:spacing w:after="0" w:line="240" w:lineRule="auto"/>
        <w:ind w:firstLine="709"/>
        <w:contextualSpacing/>
        <w:jc w:val="both"/>
        <w:rPr>
          <w:rFonts w:ascii="Times New Roman" w:hAnsi="Times New Roman"/>
          <w:sz w:val="26"/>
          <w:szCs w:val="26"/>
          <w:lang w:eastAsia="en-US"/>
        </w:rPr>
      </w:pPr>
      <w:r>
        <w:rPr>
          <w:rFonts w:ascii="Times New Roman" w:hAnsi="Times New Roman"/>
          <w:sz w:val="26"/>
          <w:szCs w:val="26"/>
          <w:lang w:eastAsia="en-US"/>
        </w:rPr>
        <w:t>Осуществляется мониторинг и анализ деятельности смежных территориальных сетевых организаций (далее – ТСО), мониторинг структуры их собственности, ключевых характеристик электросетевого имущества, находящегося во владении ТСО. Проводится мониторинг принятия тарифно-балансовых решений для смежных ТСО и соблюдения ими требований нормативных правовых актов.</w:t>
      </w:r>
    </w:p>
    <w:p w14:paraId="0DE919A5" w14:textId="77777777" w:rsidR="002449C2" w:rsidRDefault="00123961">
      <w:pPr>
        <w:tabs>
          <w:tab w:val="left" w:pos="-426"/>
          <w:tab w:val="left" w:pos="142"/>
          <w:tab w:val="left" w:pos="284"/>
          <w:tab w:val="left" w:pos="567"/>
          <w:tab w:val="left" w:pos="851"/>
          <w:tab w:val="left" w:pos="993"/>
          <w:tab w:val="left" w:pos="1134"/>
        </w:tabs>
        <w:spacing w:after="0" w:line="240" w:lineRule="auto"/>
        <w:ind w:firstLine="709"/>
        <w:contextualSpacing/>
        <w:jc w:val="both"/>
        <w:rPr>
          <w:rFonts w:ascii="Times New Roman" w:hAnsi="Times New Roman"/>
          <w:sz w:val="26"/>
          <w:szCs w:val="26"/>
          <w:lang w:eastAsia="en-US"/>
        </w:rPr>
      </w:pPr>
      <w:r>
        <w:rPr>
          <w:rFonts w:ascii="Times New Roman" w:hAnsi="Times New Roman"/>
          <w:sz w:val="26"/>
          <w:szCs w:val="26"/>
          <w:lang w:eastAsia="en-US"/>
        </w:rPr>
        <w:t>В рамках реализации положений закона об СТСО и в соответствии с Постановлением Правительства Российской Федерации от 28.08.2024 № 1159 «Об утверждении критериев отнесения территориальных сетевых организаций к системообразующим территориальным сетевым организациям и Правил определения системообразующих территориальных сетевых организаций» статус СТСО с 01.01.2025 установлен за ПАО «Россети Юг» на территории:</w:t>
      </w:r>
    </w:p>
    <w:p w14:paraId="42897DEC" w14:textId="77777777" w:rsidR="002449C2" w:rsidRDefault="00123961">
      <w:pPr>
        <w:tabs>
          <w:tab w:val="left" w:pos="-426"/>
          <w:tab w:val="left" w:pos="142"/>
          <w:tab w:val="left" w:pos="284"/>
          <w:tab w:val="left" w:pos="567"/>
          <w:tab w:val="left" w:pos="851"/>
          <w:tab w:val="left" w:pos="993"/>
          <w:tab w:val="left" w:pos="1134"/>
        </w:tabs>
        <w:spacing w:after="0" w:line="240" w:lineRule="auto"/>
        <w:ind w:firstLine="709"/>
        <w:contextualSpacing/>
        <w:jc w:val="both"/>
        <w:rPr>
          <w:rFonts w:ascii="Times New Roman" w:hAnsi="Times New Roman"/>
          <w:sz w:val="26"/>
          <w:szCs w:val="26"/>
          <w:lang w:eastAsia="en-US"/>
        </w:rPr>
      </w:pPr>
      <w:r>
        <w:rPr>
          <w:rFonts w:ascii="Times New Roman" w:hAnsi="Times New Roman"/>
          <w:sz w:val="26"/>
          <w:szCs w:val="26"/>
          <w:lang w:eastAsia="en-US"/>
        </w:rPr>
        <w:t>- Астраханской области согласно распоряжению Губернатора Астраханской области от 05.09.2024 № 719-р;</w:t>
      </w:r>
    </w:p>
    <w:p w14:paraId="2FB09C4E" w14:textId="77777777" w:rsidR="002449C2" w:rsidRDefault="00123961">
      <w:pPr>
        <w:tabs>
          <w:tab w:val="left" w:pos="-426"/>
          <w:tab w:val="left" w:pos="142"/>
          <w:tab w:val="left" w:pos="284"/>
          <w:tab w:val="left" w:pos="567"/>
          <w:tab w:val="left" w:pos="851"/>
          <w:tab w:val="left" w:pos="993"/>
          <w:tab w:val="left" w:pos="1134"/>
        </w:tabs>
        <w:spacing w:after="0" w:line="240" w:lineRule="auto"/>
        <w:ind w:firstLine="709"/>
        <w:contextualSpacing/>
        <w:jc w:val="both"/>
        <w:rPr>
          <w:rFonts w:ascii="Times New Roman" w:hAnsi="Times New Roman"/>
          <w:sz w:val="26"/>
          <w:szCs w:val="26"/>
          <w:lang w:eastAsia="en-US"/>
        </w:rPr>
      </w:pPr>
      <w:r>
        <w:rPr>
          <w:rFonts w:ascii="Times New Roman" w:hAnsi="Times New Roman"/>
          <w:sz w:val="26"/>
          <w:szCs w:val="26"/>
          <w:lang w:eastAsia="en-US"/>
        </w:rPr>
        <w:t>- Ростовской области согласно распоряжению Губернатора Ростовской области от 04.09.2024 № 214;</w:t>
      </w:r>
    </w:p>
    <w:p w14:paraId="25692073" w14:textId="77777777" w:rsidR="002449C2" w:rsidRDefault="00123961">
      <w:pPr>
        <w:tabs>
          <w:tab w:val="left" w:pos="-426"/>
          <w:tab w:val="left" w:pos="142"/>
          <w:tab w:val="left" w:pos="284"/>
          <w:tab w:val="left" w:pos="567"/>
          <w:tab w:val="left" w:pos="851"/>
          <w:tab w:val="left" w:pos="993"/>
          <w:tab w:val="left" w:pos="1134"/>
        </w:tabs>
        <w:spacing w:after="0" w:line="240" w:lineRule="auto"/>
        <w:ind w:firstLine="709"/>
        <w:contextualSpacing/>
        <w:jc w:val="both"/>
        <w:rPr>
          <w:rFonts w:ascii="Times New Roman" w:hAnsi="Times New Roman"/>
          <w:sz w:val="26"/>
          <w:szCs w:val="26"/>
          <w:lang w:eastAsia="en-US"/>
        </w:rPr>
      </w:pPr>
      <w:r>
        <w:rPr>
          <w:rFonts w:ascii="Times New Roman" w:hAnsi="Times New Roman"/>
          <w:sz w:val="26"/>
          <w:szCs w:val="26"/>
          <w:lang w:eastAsia="en-US"/>
        </w:rPr>
        <w:t xml:space="preserve">- Республики Калмыкии согласно </w:t>
      </w:r>
      <w:proofErr w:type="gramStart"/>
      <w:r>
        <w:rPr>
          <w:rFonts w:ascii="Times New Roman" w:hAnsi="Times New Roman"/>
          <w:sz w:val="26"/>
          <w:szCs w:val="26"/>
          <w:lang w:eastAsia="en-US"/>
        </w:rPr>
        <w:t>распоряжению Главы Республики</w:t>
      </w:r>
      <w:proofErr w:type="gramEnd"/>
      <w:r>
        <w:rPr>
          <w:rFonts w:ascii="Times New Roman" w:hAnsi="Times New Roman"/>
          <w:sz w:val="26"/>
          <w:szCs w:val="26"/>
          <w:lang w:eastAsia="en-US"/>
        </w:rPr>
        <w:t xml:space="preserve"> Калмыкия от 04.09.2024 № 251-рг;</w:t>
      </w:r>
    </w:p>
    <w:p w14:paraId="4D0E9386" w14:textId="77777777" w:rsidR="002449C2" w:rsidRDefault="00123961">
      <w:pPr>
        <w:tabs>
          <w:tab w:val="left" w:pos="-426"/>
          <w:tab w:val="left" w:pos="142"/>
          <w:tab w:val="left" w:pos="284"/>
          <w:tab w:val="left" w:pos="567"/>
          <w:tab w:val="left" w:pos="851"/>
          <w:tab w:val="left" w:pos="993"/>
          <w:tab w:val="left" w:pos="1134"/>
        </w:tabs>
        <w:spacing w:after="0" w:line="240" w:lineRule="auto"/>
        <w:ind w:firstLine="709"/>
        <w:contextualSpacing/>
        <w:jc w:val="both"/>
        <w:rPr>
          <w:rFonts w:ascii="Times New Roman" w:hAnsi="Times New Roman"/>
          <w:sz w:val="26"/>
          <w:szCs w:val="26"/>
          <w:lang w:eastAsia="en-US"/>
        </w:rPr>
      </w:pPr>
      <w:r>
        <w:rPr>
          <w:rFonts w:ascii="Times New Roman" w:hAnsi="Times New Roman"/>
          <w:sz w:val="26"/>
          <w:szCs w:val="26"/>
          <w:lang w:eastAsia="en-US"/>
        </w:rPr>
        <w:t>- Волгоградской области согласно постановлению Губернатора Волгоградской области от 03.03.2024 №493.</w:t>
      </w:r>
    </w:p>
    <w:p w14:paraId="433E5AEA" w14:textId="77777777" w:rsidR="002449C2" w:rsidRDefault="00123961">
      <w:pPr>
        <w:tabs>
          <w:tab w:val="left" w:pos="851"/>
        </w:tabs>
        <w:spacing w:before="120" w:after="120" w:line="240" w:lineRule="auto"/>
        <w:ind w:firstLine="567"/>
        <w:jc w:val="center"/>
        <w:rPr>
          <w:rFonts w:ascii="Times New Roman" w:hAnsi="Times New Roman"/>
          <w:b/>
          <w:color w:val="000000"/>
          <w:sz w:val="26"/>
          <w:szCs w:val="26"/>
          <w:lang w:eastAsia="en-US"/>
        </w:rPr>
      </w:pPr>
      <w:r>
        <w:rPr>
          <w:rFonts w:ascii="Times New Roman" w:hAnsi="Times New Roman"/>
          <w:b/>
          <w:color w:val="000000"/>
          <w:sz w:val="26"/>
          <w:szCs w:val="26"/>
          <w:lang w:eastAsia="en-US"/>
        </w:rPr>
        <w:t>Объемов консолидации электросетевых активов</w:t>
      </w:r>
    </w:p>
    <w:p w14:paraId="4A3297AD" w14:textId="77777777" w:rsidR="002449C2" w:rsidRDefault="00123961">
      <w:pPr>
        <w:tabs>
          <w:tab w:val="left" w:pos="993"/>
          <w:tab w:val="left" w:pos="1418"/>
          <w:tab w:val="left" w:pos="1843"/>
          <w:tab w:val="left" w:pos="3119"/>
          <w:tab w:val="left" w:pos="3402"/>
        </w:tabs>
        <w:spacing w:after="0" w:line="259" w:lineRule="auto"/>
        <w:ind w:firstLine="708"/>
        <w:jc w:val="both"/>
        <w:rPr>
          <w:rFonts w:ascii="Times New Roman" w:hAnsi="Times New Roman"/>
          <w:sz w:val="26"/>
          <w:szCs w:val="26"/>
          <w:lang w:eastAsia="en-US"/>
        </w:rPr>
      </w:pPr>
      <w:r>
        <w:rPr>
          <w:rFonts w:ascii="Times New Roman" w:hAnsi="Times New Roman"/>
          <w:sz w:val="26"/>
          <w:szCs w:val="26"/>
          <w:lang w:eastAsia="en-US"/>
        </w:rPr>
        <w:t>Общий объем консолидированных электросетевых активов в 2024 году составил 14 862,00 у.е., линий электропередачи общей протяженностью 1 300,00 км, трансформаторных подстанций общей мощностью 677,00 МВА. В 2025 году ПАО «Россети Юг» планирует продолжить выполнение мероприятий по консолидации электросетевых активов.</w:t>
      </w:r>
    </w:p>
    <w:p w14:paraId="11F1AB6E" w14:textId="77777777" w:rsidR="002449C2" w:rsidRDefault="002449C2">
      <w:pPr>
        <w:tabs>
          <w:tab w:val="left" w:pos="993"/>
          <w:tab w:val="left" w:pos="1418"/>
          <w:tab w:val="left" w:pos="1843"/>
          <w:tab w:val="left" w:pos="3119"/>
          <w:tab w:val="left" w:pos="3402"/>
        </w:tabs>
        <w:spacing w:after="0" w:line="259" w:lineRule="auto"/>
        <w:ind w:firstLine="708"/>
        <w:jc w:val="both"/>
        <w:rPr>
          <w:rFonts w:ascii="Times New Roman" w:hAnsi="Times New Roman"/>
          <w:sz w:val="26"/>
          <w:szCs w:val="26"/>
          <w:lang w:eastAsia="en-US"/>
        </w:rPr>
      </w:pPr>
    </w:p>
    <w:p w14:paraId="7F4A5DCB" w14:textId="77777777" w:rsidR="002449C2" w:rsidRDefault="00123961">
      <w:pPr>
        <w:tabs>
          <w:tab w:val="left" w:pos="851"/>
        </w:tabs>
        <w:spacing w:before="120" w:after="120" w:line="240" w:lineRule="auto"/>
        <w:ind w:firstLine="567"/>
        <w:jc w:val="center"/>
        <w:rPr>
          <w:rFonts w:ascii="Times New Roman" w:hAnsi="Times New Roman"/>
          <w:b/>
          <w:color w:val="000000"/>
          <w:sz w:val="26"/>
          <w:szCs w:val="26"/>
          <w:lang w:eastAsia="en-US"/>
        </w:rPr>
      </w:pPr>
      <w:r>
        <w:rPr>
          <w:rFonts w:ascii="Times New Roman" w:hAnsi="Times New Roman"/>
          <w:b/>
          <w:color w:val="000000"/>
          <w:sz w:val="26"/>
          <w:szCs w:val="26"/>
          <w:lang w:eastAsia="en-US"/>
        </w:rPr>
        <w:t>Мониторинг объемов консолидации электросетевых активов</w:t>
      </w:r>
    </w:p>
    <w:tbl>
      <w:tblPr>
        <w:tblW w:w="5000" w:type="pct"/>
        <w:tblInd w:w="-5" w:type="dxa"/>
        <w:tblLayout w:type="fixed"/>
        <w:tblLook w:val="04A0" w:firstRow="1" w:lastRow="0" w:firstColumn="1" w:lastColumn="0" w:noHBand="0" w:noVBand="1"/>
      </w:tblPr>
      <w:tblGrid>
        <w:gridCol w:w="1992"/>
        <w:gridCol w:w="789"/>
        <w:gridCol w:w="697"/>
        <w:gridCol w:w="830"/>
        <w:gridCol w:w="698"/>
        <w:gridCol w:w="834"/>
        <w:gridCol w:w="831"/>
        <w:gridCol w:w="833"/>
        <w:gridCol w:w="969"/>
        <w:gridCol w:w="1015"/>
      </w:tblGrid>
      <w:tr w:rsidR="002449C2" w14:paraId="0410B6B8" w14:textId="77777777">
        <w:trPr>
          <w:trHeight w:val="177"/>
        </w:trPr>
        <w:tc>
          <w:tcPr>
            <w:tcW w:w="1993" w:type="dxa"/>
            <w:vMerge w:val="restart"/>
            <w:tcBorders>
              <w:top w:val="single" w:sz="4" w:space="0" w:color="000000"/>
              <w:left w:val="single" w:sz="4" w:space="0" w:color="000000"/>
              <w:bottom w:val="single" w:sz="4" w:space="0" w:color="000000"/>
              <w:right w:val="single" w:sz="4" w:space="0" w:color="000000"/>
            </w:tcBorders>
            <w:shd w:val="clear" w:color="000000" w:fill="C5D9F1"/>
            <w:vAlign w:val="center"/>
          </w:tcPr>
          <w:p w14:paraId="62FD35D9" w14:textId="77777777" w:rsidR="002449C2" w:rsidRDefault="00123961">
            <w:pPr>
              <w:spacing w:after="0" w:line="240" w:lineRule="auto"/>
              <w:ind w:left="-113" w:right="-88"/>
              <w:jc w:val="center"/>
              <w:rPr>
                <w:rFonts w:ascii="Times New Roman" w:hAnsi="Times New Roman"/>
                <w:sz w:val="17"/>
                <w:szCs w:val="17"/>
                <w:lang w:eastAsia="en-US"/>
              </w:rPr>
            </w:pPr>
            <w:r>
              <w:rPr>
                <w:rFonts w:ascii="Times New Roman" w:hAnsi="Times New Roman"/>
                <w:sz w:val="17"/>
                <w:szCs w:val="17"/>
                <w:lang w:eastAsia="en-US"/>
              </w:rPr>
              <w:t>Наименование МРСК/РСК</w:t>
            </w:r>
            <w:r>
              <w:rPr>
                <w:rFonts w:ascii="Times New Roman" w:hAnsi="Times New Roman"/>
                <w:sz w:val="17"/>
                <w:szCs w:val="17"/>
                <w:lang w:eastAsia="en-US"/>
              </w:rPr>
              <w:br w:type="textWrapping" w:clear="all"/>
            </w:r>
          </w:p>
        </w:tc>
        <w:tc>
          <w:tcPr>
            <w:tcW w:w="2318" w:type="dxa"/>
            <w:gridSpan w:val="3"/>
            <w:tcBorders>
              <w:top w:val="single" w:sz="4" w:space="0" w:color="000000"/>
              <w:bottom w:val="single" w:sz="4" w:space="0" w:color="000000"/>
              <w:right w:val="single" w:sz="4" w:space="0" w:color="000000"/>
            </w:tcBorders>
            <w:shd w:val="clear" w:color="000000" w:fill="C5D9F1"/>
            <w:vAlign w:val="center"/>
          </w:tcPr>
          <w:p w14:paraId="27079E79" w14:textId="77777777" w:rsidR="002449C2" w:rsidRDefault="00123961">
            <w:pPr>
              <w:spacing w:after="0" w:line="240" w:lineRule="auto"/>
              <w:ind w:left="-125" w:right="-94"/>
              <w:jc w:val="center"/>
              <w:rPr>
                <w:rFonts w:ascii="Times New Roman" w:hAnsi="Times New Roman"/>
                <w:sz w:val="17"/>
                <w:szCs w:val="17"/>
                <w:lang w:eastAsia="en-US"/>
              </w:rPr>
            </w:pPr>
            <w:r>
              <w:rPr>
                <w:rFonts w:ascii="Times New Roman" w:hAnsi="Times New Roman"/>
                <w:sz w:val="17"/>
                <w:szCs w:val="17"/>
                <w:lang w:eastAsia="en-US"/>
              </w:rPr>
              <w:t>2022</w:t>
            </w:r>
          </w:p>
        </w:tc>
        <w:tc>
          <w:tcPr>
            <w:tcW w:w="2366" w:type="dxa"/>
            <w:gridSpan w:val="3"/>
            <w:tcBorders>
              <w:top w:val="single" w:sz="4" w:space="0" w:color="000000"/>
              <w:bottom w:val="single" w:sz="4" w:space="0" w:color="000000"/>
              <w:right w:val="single" w:sz="4" w:space="0" w:color="000000"/>
            </w:tcBorders>
            <w:shd w:val="clear" w:color="000000" w:fill="C5D9F1"/>
            <w:vAlign w:val="center"/>
          </w:tcPr>
          <w:p w14:paraId="6A575D39" w14:textId="77777777" w:rsidR="002449C2" w:rsidRDefault="00123961">
            <w:pPr>
              <w:spacing w:after="0" w:line="240" w:lineRule="auto"/>
              <w:ind w:left="-118" w:right="-100"/>
              <w:jc w:val="center"/>
              <w:rPr>
                <w:rFonts w:ascii="Times New Roman" w:hAnsi="Times New Roman"/>
                <w:sz w:val="17"/>
                <w:szCs w:val="17"/>
                <w:lang w:eastAsia="en-US"/>
              </w:rPr>
            </w:pPr>
            <w:r>
              <w:rPr>
                <w:rFonts w:ascii="Times New Roman" w:hAnsi="Times New Roman"/>
                <w:sz w:val="17"/>
                <w:szCs w:val="17"/>
                <w:lang w:eastAsia="en-US"/>
              </w:rPr>
              <w:t>2023</w:t>
            </w:r>
          </w:p>
        </w:tc>
        <w:tc>
          <w:tcPr>
            <w:tcW w:w="2820" w:type="dxa"/>
            <w:gridSpan w:val="3"/>
            <w:tcBorders>
              <w:top w:val="single" w:sz="4" w:space="0" w:color="000000"/>
              <w:bottom w:val="single" w:sz="4" w:space="0" w:color="000000"/>
              <w:right w:val="single" w:sz="4" w:space="0" w:color="000000"/>
            </w:tcBorders>
            <w:shd w:val="clear" w:color="000000" w:fill="C5D9F1"/>
            <w:vAlign w:val="center"/>
          </w:tcPr>
          <w:p w14:paraId="34A048AC" w14:textId="77777777" w:rsidR="002449C2" w:rsidRDefault="00123961">
            <w:pPr>
              <w:spacing w:after="0" w:line="240" w:lineRule="auto"/>
              <w:ind w:left="-112" w:right="-113"/>
              <w:jc w:val="center"/>
              <w:rPr>
                <w:rFonts w:ascii="Times New Roman" w:hAnsi="Times New Roman"/>
                <w:sz w:val="17"/>
                <w:szCs w:val="17"/>
                <w:lang w:eastAsia="en-US"/>
              </w:rPr>
            </w:pPr>
            <w:r>
              <w:rPr>
                <w:rFonts w:ascii="Times New Roman" w:hAnsi="Times New Roman"/>
                <w:sz w:val="17"/>
                <w:szCs w:val="17"/>
                <w:lang w:eastAsia="en-US"/>
              </w:rPr>
              <w:t>2024</w:t>
            </w:r>
          </w:p>
        </w:tc>
      </w:tr>
      <w:tr w:rsidR="002449C2" w14:paraId="398CF2D5" w14:textId="77777777">
        <w:trPr>
          <w:trHeight w:val="505"/>
        </w:trPr>
        <w:tc>
          <w:tcPr>
            <w:tcW w:w="1993" w:type="dxa"/>
            <w:vMerge/>
            <w:tcBorders>
              <w:top w:val="single" w:sz="4" w:space="0" w:color="000000"/>
              <w:left w:val="single" w:sz="4" w:space="0" w:color="000000"/>
              <w:bottom w:val="single" w:sz="4" w:space="0" w:color="000000"/>
              <w:right w:val="single" w:sz="4" w:space="0" w:color="000000"/>
            </w:tcBorders>
            <w:vAlign w:val="center"/>
          </w:tcPr>
          <w:p w14:paraId="103E6838" w14:textId="77777777" w:rsidR="002449C2" w:rsidRDefault="002449C2">
            <w:pPr>
              <w:spacing w:after="0" w:line="240" w:lineRule="auto"/>
              <w:ind w:left="426" w:right="-143" w:hanging="426"/>
              <w:rPr>
                <w:rFonts w:ascii="Times New Roman" w:hAnsi="Times New Roman"/>
                <w:sz w:val="17"/>
                <w:szCs w:val="17"/>
                <w:lang w:eastAsia="en-US"/>
              </w:rPr>
            </w:pPr>
          </w:p>
        </w:tc>
        <w:tc>
          <w:tcPr>
            <w:tcW w:w="2318" w:type="dxa"/>
            <w:gridSpan w:val="3"/>
            <w:tcBorders>
              <w:top w:val="single" w:sz="4" w:space="0" w:color="000000"/>
              <w:bottom w:val="single" w:sz="4" w:space="0" w:color="000000"/>
              <w:right w:val="single" w:sz="4" w:space="0" w:color="000000"/>
            </w:tcBorders>
            <w:shd w:val="clear" w:color="000000" w:fill="C5D9F1"/>
            <w:vAlign w:val="center"/>
          </w:tcPr>
          <w:p w14:paraId="4530E8BC" w14:textId="77777777" w:rsidR="002449C2" w:rsidRDefault="00123961">
            <w:pPr>
              <w:spacing w:after="0" w:line="240" w:lineRule="auto"/>
              <w:ind w:left="-125" w:right="-94"/>
              <w:jc w:val="center"/>
              <w:rPr>
                <w:rFonts w:ascii="Times New Roman" w:hAnsi="Times New Roman"/>
                <w:sz w:val="17"/>
                <w:szCs w:val="17"/>
                <w:lang w:eastAsia="en-US"/>
              </w:rPr>
            </w:pPr>
            <w:r>
              <w:rPr>
                <w:rFonts w:ascii="Times New Roman" w:hAnsi="Times New Roman"/>
                <w:sz w:val="17"/>
                <w:szCs w:val="17"/>
                <w:lang w:eastAsia="en-US"/>
              </w:rPr>
              <w:t>Объем консолидации электросетевых активов за период</w:t>
            </w:r>
          </w:p>
        </w:tc>
        <w:tc>
          <w:tcPr>
            <w:tcW w:w="2366" w:type="dxa"/>
            <w:gridSpan w:val="3"/>
            <w:tcBorders>
              <w:top w:val="single" w:sz="4" w:space="0" w:color="000000"/>
              <w:bottom w:val="single" w:sz="4" w:space="0" w:color="000000"/>
              <w:right w:val="single" w:sz="4" w:space="0" w:color="000000"/>
            </w:tcBorders>
            <w:shd w:val="clear" w:color="000000" w:fill="C5D9F1"/>
            <w:vAlign w:val="center"/>
          </w:tcPr>
          <w:p w14:paraId="005D5D93" w14:textId="77777777" w:rsidR="002449C2" w:rsidRDefault="00123961">
            <w:pPr>
              <w:spacing w:after="0" w:line="240" w:lineRule="auto"/>
              <w:ind w:left="-118" w:right="-100"/>
              <w:jc w:val="center"/>
              <w:rPr>
                <w:rFonts w:ascii="Times New Roman" w:hAnsi="Times New Roman"/>
                <w:sz w:val="17"/>
                <w:szCs w:val="17"/>
                <w:lang w:eastAsia="en-US"/>
              </w:rPr>
            </w:pPr>
            <w:r>
              <w:rPr>
                <w:rFonts w:ascii="Times New Roman" w:hAnsi="Times New Roman"/>
                <w:sz w:val="17"/>
                <w:szCs w:val="17"/>
                <w:lang w:eastAsia="en-US"/>
              </w:rPr>
              <w:t>Объем консолидации электросетевых активов за период</w:t>
            </w:r>
          </w:p>
        </w:tc>
        <w:tc>
          <w:tcPr>
            <w:tcW w:w="2820" w:type="dxa"/>
            <w:gridSpan w:val="3"/>
            <w:tcBorders>
              <w:top w:val="single" w:sz="4" w:space="0" w:color="000000"/>
              <w:bottom w:val="single" w:sz="4" w:space="0" w:color="000000"/>
              <w:right w:val="single" w:sz="4" w:space="0" w:color="000000"/>
            </w:tcBorders>
            <w:shd w:val="clear" w:color="000000" w:fill="C5D9F1"/>
            <w:vAlign w:val="center"/>
          </w:tcPr>
          <w:p w14:paraId="18DB8BC0" w14:textId="77777777" w:rsidR="002449C2" w:rsidRDefault="00123961">
            <w:pPr>
              <w:spacing w:after="0" w:line="240" w:lineRule="auto"/>
              <w:ind w:left="-112" w:right="-113"/>
              <w:jc w:val="center"/>
              <w:rPr>
                <w:rFonts w:ascii="Times New Roman" w:hAnsi="Times New Roman"/>
                <w:sz w:val="17"/>
                <w:szCs w:val="17"/>
                <w:lang w:eastAsia="en-US"/>
              </w:rPr>
            </w:pPr>
            <w:r>
              <w:rPr>
                <w:rFonts w:ascii="Times New Roman" w:hAnsi="Times New Roman"/>
                <w:sz w:val="17"/>
                <w:szCs w:val="17"/>
                <w:lang w:eastAsia="en-US"/>
              </w:rPr>
              <w:t>Объем консолидации электросетевых активов за период</w:t>
            </w:r>
          </w:p>
        </w:tc>
      </w:tr>
      <w:tr w:rsidR="002449C2" w14:paraId="0339EA4B" w14:textId="77777777">
        <w:trPr>
          <w:trHeight w:val="284"/>
        </w:trPr>
        <w:tc>
          <w:tcPr>
            <w:tcW w:w="1993" w:type="dxa"/>
            <w:vMerge/>
            <w:tcBorders>
              <w:top w:val="single" w:sz="4" w:space="0" w:color="000000"/>
              <w:left w:val="single" w:sz="4" w:space="0" w:color="000000"/>
              <w:bottom w:val="single" w:sz="4" w:space="0" w:color="000000"/>
              <w:right w:val="single" w:sz="4" w:space="0" w:color="000000"/>
            </w:tcBorders>
            <w:vAlign w:val="center"/>
          </w:tcPr>
          <w:p w14:paraId="6F4CB26B" w14:textId="77777777" w:rsidR="002449C2" w:rsidRDefault="002449C2">
            <w:pPr>
              <w:spacing w:after="0" w:line="240" w:lineRule="auto"/>
              <w:ind w:left="426" w:right="-143" w:hanging="426"/>
              <w:rPr>
                <w:rFonts w:ascii="Times New Roman" w:hAnsi="Times New Roman"/>
                <w:sz w:val="17"/>
                <w:szCs w:val="17"/>
                <w:lang w:eastAsia="en-US"/>
              </w:rPr>
            </w:pPr>
          </w:p>
        </w:tc>
        <w:tc>
          <w:tcPr>
            <w:tcW w:w="789" w:type="dxa"/>
            <w:tcBorders>
              <w:bottom w:val="single" w:sz="4" w:space="0" w:color="000000"/>
              <w:right w:val="single" w:sz="4" w:space="0" w:color="000000"/>
            </w:tcBorders>
            <w:shd w:val="clear" w:color="000000" w:fill="C5D9F1"/>
            <w:vAlign w:val="center"/>
          </w:tcPr>
          <w:p w14:paraId="6C65AB81" w14:textId="77777777" w:rsidR="002449C2" w:rsidRDefault="00123961">
            <w:pPr>
              <w:spacing w:after="0" w:line="240" w:lineRule="auto"/>
              <w:ind w:left="300" w:right="-143" w:hanging="426"/>
              <w:jc w:val="center"/>
              <w:rPr>
                <w:rFonts w:ascii="Times New Roman" w:hAnsi="Times New Roman"/>
                <w:sz w:val="17"/>
                <w:szCs w:val="17"/>
                <w:lang w:eastAsia="en-US"/>
              </w:rPr>
            </w:pPr>
            <w:r>
              <w:rPr>
                <w:rFonts w:ascii="Times New Roman" w:hAnsi="Times New Roman"/>
                <w:sz w:val="17"/>
                <w:szCs w:val="17"/>
                <w:lang w:eastAsia="en-US"/>
              </w:rPr>
              <w:t>МВА</w:t>
            </w:r>
          </w:p>
        </w:tc>
        <w:tc>
          <w:tcPr>
            <w:tcW w:w="698" w:type="dxa"/>
            <w:tcBorders>
              <w:bottom w:val="single" w:sz="4" w:space="0" w:color="000000"/>
              <w:right w:val="single" w:sz="4" w:space="0" w:color="000000"/>
            </w:tcBorders>
            <w:shd w:val="clear" w:color="000000" w:fill="C5D9F1"/>
            <w:vAlign w:val="center"/>
          </w:tcPr>
          <w:p w14:paraId="13715ECA" w14:textId="77777777" w:rsidR="002449C2" w:rsidRDefault="00123961">
            <w:pPr>
              <w:spacing w:after="0" w:line="240" w:lineRule="auto"/>
              <w:ind w:left="309" w:right="-143" w:hanging="426"/>
              <w:jc w:val="center"/>
              <w:rPr>
                <w:rFonts w:ascii="Times New Roman" w:hAnsi="Times New Roman"/>
                <w:sz w:val="17"/>
                <w:szCs w:val="17"/>
                <w:lang w:eastAsia="en-US"/>
              </w:rPr>
            </w:pPr>
            <w:r>
              <w:rPr>
                <w:rFonts w:ascii="Times New Roman" w:hAnsi="Times New Roman"/>
                <w:sz w:val="17"/>
                <w:szCs w:val="17"/>
                <w:lang w:eastAsia="en-US"/>
              </w:rPr>
              <w:t>Км</w:t>
            </w:r>
          </w:p>
        </w:tc>
        <w:tc>
          <w:tcPr>
            <w:tcW w:w="831" w:type="dxa"/>
            <w:tcBorders>
              <w:bottom w:val="single" w:sz="4" w:space="0" w:color="000000"/>
              <w:right w:val="single" w:sz="4" w:space="0" w:color="000000"/>
            </w:tcBorders>
            <w:shd w:val="clear" w:color="000000" w:fill="C5D9F1"/>
            <w:vAlign w:val="center"/>
          </w:tcPr>
          <w:p w14:paraId="7F4E26A6" w14:textId="77777777" w:rsidR="002449C2" w:rsidRDefault="00123961">
            <w:pPr>
              <w:spacing w:after="0" w:line="240" w:lineRule="auto"/>
              <w:ind w:left="-126" w:right="-143" w:hanging="142"/>
              <w:jc w:val="center"/>
              <w:rPr>
                <w:rFonts w:ascii="Times New Roman" w:hAnsi="Times New Roman"/>
                <w:sz w:val="17"/>
                <w:szCs w:val="17"/>
                <w:lang w:eastAsia="en-US"/>
              </w:rPr>
            </w:pPr>
            <w:r>
              <w:rPr>
                <w:rFonts w:ascii="Times New Roman" w:hAnsi="Times New Roman"/>
                <w:sz w:val="17"/>
                <w:szCs w:val="17"/>
                <w:lang w:eastAsia="en-US"/>
              </w:rPr>
              <w:t>У.е.</w:t>
            </w:r>
          </w:p>
        </w:tc>
        <w:tc>
          <w:tcPr>
            <w:tcW w:w="699" w:type="dxa"/>
            <w:tcBorders>
              <w:bottom w:val="single" w:sz="4" w:space="0" w:color="000000"/>
              <w:right w:val="single" w:sz="4" w:space="0" w:color="000000"/>
            </w:tcBorders>
            <w:shd w:val="clear" w:color="000000" w:fill="C5D9F1"/>
            <w:vAlign w:val="center"/>
          </w:tcPr>
          <w:p w14:paraId="742DA224" w14:textId="77777777" w:rsidR="002449C2" w:rsidRDefault="00123961">
            <w:pPr>
              <w:spacing w:after="0" w:line="240" w:lineRule="auto"/>
              <w:ind w:left="307" w:right="-143" w:hanging="426"/>
              <w:jc w:val="center"/>
              <w:rPr>
                <w:rFonts w:ascii="Times New Roman" w:hAnsi="Times New Roman"/>
                <w:sz w:val="17"/>
                <w:szCs w:val="17"/>
                <w:lang w:eastAsia="en-US"/>
              </w:rPr>
            </w:pPr>
            <w:r>
              <w:rPr>
                <w:rFonts w:ascii="Times New Roman" w:hAnsi="Times New Roman"/>
                <w:sz w:val="17"/>
                <w:szCs w:val="17"/>
                <w:lang w:eastAsia="en-US"/>
              </w:rPr>
              <w:t>МВА</w:t>
            </w:r>
          </w:p>
        </w:tc>
        <w:tc>
          <w:tcPr>
            <w:tcW w:w="835" w:type="dxa"/>
            <w:tcBorders>
              <w:bottom w:val="single" w:sz="4" w:space="0" w:color="000000"/>
              <w:right w:val="single" w:sz="4" w:space="0" w:color="000000"/>
            </w:tcBorders>
            <w:shd w:val="clear" w:color="000000" w:fill="C5D9F1"/>
            <w:vAlign w:val="center"/>
          </w:tcPr>
          <w:p w14:paraId="15B23864" w14:textId="77777777" w:rsidR="002449C2" w:rsidRDefault="00123961">
            <w:pPr>
              <w:spacing w:after="0" w:line="240" w:lineRule="auto"/>
              <w:ind w:left="302" w:right="-143" w:hanging="426"/>
              <w:jc w:val="center"/>
              <w:rPr>
                <w:rFonts w:ascii="Times New Roman" w:hAnsi="Times New Roman"/>
                <w:sz w:val="17"/>
                <w:szCs w:val="17"/>
                <w:lang w:eastAsia="en-US"/>
              </w:rPr>
            </w:pPr>
            <w:r>
              <w:rPr>
                <w:rFonts w:ascii="Times New Roman" w:hAnsi="Times New Roman"/>
                <w:sz w:val="17"/>
                <w:szCs w:val="17"/>
                <w:lang w:eastAsia="en-US"/>
              </w:rPr>
              <w:t>Км</w:t>
            </w:r>
          </w:p>
        </w:tc>
        <w:tc>
          <w:tcPr>
            <w:tcW w:w="832" w:type="dxa"/>
            <w:tcBorders>
              <w:bottom w:val="single" w:sz="4" w:space="0" w:color="000000"/>
              <w:right w:val="single" w:sz="4" w:space="0" w:color="000000"/>
            </w:tcBorders>
            <w:shd w:val="clear" w:color="000000" w:fill="C5D9F1"/>
            <w:vAlign w:val="center"/>
          </w:tcPr>
          <w:p w14:paraId="712A0ACC" w14:textId="77777777" w:rsidR="002449C2" w:rsidRDefault="00123961">
            <w:pPr>
              <w:spacing w:after="0" w:line="240" w:lineRule="auto"/>
              <w:ind w:left="306" w:right="-143" w:hanging="426"/>
              <w:jc w:val="center"/>
              <w:rPr>
                <w:rFonts w:ascii="Times New Roman" w:hAnsi="Times New Roman"/>
                <w:sz w:val="17"/>
                <w:szCs w:val="17"/>
                <w:lang w:eastAsia="en-US"/>
              </w:rPr>
            </w:pPr>
            <w:r>
              <w:rPr>
                <w:rFonts w:ascii="Times New Roman" w:hAnsi="Times New Roman"/>
                <w:sz w:val="17"/>
                <w:szCs w:val="17"/>
                <w:lang w:eastAsia="en-US"/>
              </w:rPr>
              <w:t>У.е.</w:t>
            </w:r>
          </w:p>
        </w:tc>
        <w:tc>
          <w:tcPr>
            <w:tcW w:w="834" w:type="dxa"/>
            <w:tcBorders>
              <w:bottom w:val="single" w:sz="4" w:space="0" w:color="000000"/>
              <w:right w:val="single" w:sz="4" w:space="0" w:color="000000"/>
            </w:tcBorders>
            <w:shd w:val="clear" w:color="000000" w:fill="C5D9F1"/>
            <w:vAlign w:val="center"/>
          </w:tcPr>
          <w:p w14:paraId="74ED3655" w14:textId="77777777" w:rsidR="002449C2" w:rsidRDefault="00123961">
            <w:pPr>
              <w:spacing w:after="0" w:line="240" w:lineRule="auto"/>
              <w:ind w:left="-112" w:right="-100"/>
              <w:jc w:val="center"/>
              <w:rPr>
                <w:rFonts w:ascii="Times New Roman" w:hAnsi="Times New Roman"/>
                <w:sz w:val="17"/>
                <w:szCs w:val="17"/>
                <w:lang w:eastAsia="en-US"/>
              </w:rPr>
            </w:pPr>
            <w:r>
              <w:rPr>
                <w:rFonts w:ascii="Times New Roman" w:hAnsi="Times New Roman"/>
                <w:sz w:val="17"/>
                <w:szCs w:val="17"/>
                <w:lang w:eastAsia="en-US"/>
              </w:rPr>
              <w:t>МВА</w:t>
            </w:r>
          </w:p>
        </w:tc>
        <w:tc>
          <w:tcPr>
            <w:tcW w:w="970" w:type="dxa"/>
            <w:tcBorders>
              <w:bottom w:val="single" w:sz="4" w:space="0" w:color="000000"/>
              <w:right w:val="single" w:sz="4" w:space="0" w:color="000000"/>
            </w:tcBorders>
            <w:shd w:val="clear" w:color="000000" w:fill="C5D9F1"/>
            <w:vAlign w:val="center"/>
          </w:tcPr>
          <w:p w14:paraId="4B4A4F64" w14:textId="77777777" w:rsidR="002449C2" w:rsidRDefault="00123961">
            <w:pPr>
              <w:spacing w:after="0" w:line="240" w:lineRule="auto"/>
              <w:ind w:left="-113" w:right="-99"/>
              <w:jc w:val="center"/>
              <w:rPr>
                <w:rFonts w:ascii="Times New Roman" w:hAnsi="Times New Roman"/>
                <w:sz w:val="17"/>
                <w:szCs w:val="17"/>
                <w:lang w:eastAsia="en-US"/>
              </w:rPr>
            </w:pPr>
            <w:r>
              <w:rPr>
                <w:rFonts w:ascii="Times New Roman" w:hAnsi="Times New Roman"/>
                <w:sz w:val="17"/>
                <w:szCs w:val="17"/>
                <w:lang w:eastAsia="en-US"/>
              </w:rPr>
              <w:t>Км</w:t>
            </w:r>
          </w:p>
        </w:tc>
        <w:tc>
          <w:tcPr>
            <w:tcW w:w="1016" w:type="dxa"/>
            <w:tcBorders>
              <w:bottom w:val="single" w:sz="4" w:space="0" w:color="000000"/>
              <w:right w:val="single" w:sz="4" w:space="0" w:color="000000"/>
            </w:tcBorders>
            <w:shd w:val="clear" w:color="000000" w:fill="C5D9F1"/>
            <w:vAlign w:val="center"/>
          </w:tcPr>
          <w:p w14:paraId="7CD49A8C" w14:textId="77777777" w:rsidR="002449C2" w:rsidRDefault="00123961">
            <w:pPr>
              <w:spacing w:after="0" w:line="240" w:lineRule="auto"/>
              <w:ind w:left="-114" w:right="-113"/>
              <w:jc w:val="center"/>
              <w:rPr>
                <w:rFonts w:ascii="Times New Roman" w:hAnsi="Times New Roman"/>
                <w:sz w:val="17"/>
                <w:szCs w:val="17"/>
                <w:lang w:eastAsia="en-US"/>
              </w:rPr>
            </w:pPr>
            <w:r>
              <w:rPr>
                <w:rFonts w:ascii="Times New Roman" w:hAnsi="Times New Roman"/>
                <w:sz w:val="17"/>
                <w:szCs w:val="17"/>
                <w:lang w:eastAsia="en-US"/>
              </w:rPr>
              <w:t>У.е.</w:t>
            </w:r>
          </w:p>
        </w:tc>
      </w:tr>
      <w:tr w:rsidR="002449C2" w14:paraId="73898BDE" w14:textId="77777777">
        <w:trPr>
          <w:trHeight w:val="261"/>
        </w:trPr>
        <w:tc>
          <w:tcPr>
            <w:tcW w:w="1993" w:type="dxa"/>
            <w:tcBorders>
              <w:left w:val="single" w:sz="4" w:space="0" w:color="000000"/>
              <w:bottom w:val="single" w:sz="4" w:space="0" w:color="000000"/>
              <w:right w:val="single" w:sz="4" w:space="0" w:color="000000"/>
            </w:tcBorders>
            <w:shd w:val="clear" w:color="000000" w:fill="C5D9F1"/>
            <w:vAlign w:val="center"/>
          </w:tcPr>
          <w:p w14:paraId="5FDDF56B" w14:textId="77777777" w:rsidR="002449C2" w:rsidRDefault="00123961">
            <w:pPr>
              <w:spacing w:after="0" w:line="240" w:lineRule="auto"/>
              <w:ind w:left="426" w:right="-143" w:hanging="426"/>
              <w:rPr>
                <w:rFonts w:ascii="Times New Roman" w:hAnsi="Times New Roman"/>
                <w:sz w:val="17"/>
                <w:szCs w:val="17"/>
                <w:lang w:eastAsia="en-US"/>
              </w:rPr>
            </w:pPr>
            <w:r>
              <w:rPr>
                <w:rFonts w:ascii="Times New Roman" w:hAnsi="Times New Roman"/>
                <w:sz w:val="17"/>
                <w:szCs w:val="17"/>
                <w:lang w:eastAsia="en-US"/>
              </w:rPr>
              <w:t>1</w:t>
            </w:r>
          </w:p>
        </w:tc>
        <w:tc>
          <w:tcPr>
            <w:tcW w:w="789" w:type="dxa"/>
            <w:tcBorders>
              <w:bottom w:val="single" w:sz="4" w:space="0" w:color="000000"/>
              <w:right w:val="single" w:sz="4" w:space="0" w:color="000000"/>
            </w:tcBorders>
            <w:shd w:val="clear" w:color="000000" w:fill="C5D9F1"/>
            <w:vAlign w:val="center"/>
          </w:tcPr>
          <w:p w14:paraId="611CF039" w14:textId="77777777" w:rsidR="002449C2" w:rsidRDefault="00123961">
            <w:pPr>
              <w:spacing w:after="0" w:line="240" w:lineRule="auto"/>
              <w:ind w:left="300" w:right="-143" w:hanging="426"/>
              <w:jc w:val="center"/>
              <w:rPr>
                <w:rFonts w:ascii="Times New Roman" w:hAnsi="Times New Roman"/>
                <w:sz w:val="17"/>
                <w:szCs w:val="17"/>
                <w:lang w:eastAsia="en-US"/>
              </w:rPr>
            </w:pPr>
            <w:r>
              <w:rPr>
                <w:rFonts w:ascii="Times New Roman" w:hAnsi="Times New Roman"/>
                <w:sz w:val="17"/>
                <w:szCs w:val="17"/>
                <w:lang w:eastAsia="en-US"/>
              </w:rPr>
              <w:t>2</w:t>
            </w:r>
          </w:p>
        </w:tc>
        <w:tc>
          <w:tcPr>
            <w:tcW w:w="698" w:type="dxa"/>
            <w:tcBorders>
              <w:bottom w:val="single" w:sz="4" w:space="0" w:color="000000"/>
              <w:right w:val="single" w:sz="4" w:space="0" w:color="000000"/>
            </w:tcBorders>
            <w:shd w:val="clear" w:color="000000" w:fill="C5D9F1"/>
            <w:vAlign w:val="center"/>
          </w:tcPr>
          <w:p w14:paraId="2E38B032" w14:textId="77777777" w:rsidR="002449C2" w:rsidRDefault="00123961">
            <w:pPr>
              <w:spacing w:after="0" w:line="240" w:lineRule="auto"/>
              <w:ind w:left="309" w:right="-143" w:hanging="426"/>
              <w:jc w:val="center"/>
              <w:rPr>
                <w:rFonts w:ascii="Times New Roman" w:hAnsi="Times New Roman"/>
                <w:sz w:val="17"/>
                <w:szCs w:val="17"/>
                <w:lang w:eastAsia="en-US"/>
              </w:rPr>
            </w:pPr>
            <w:r>
              <w:rPr>
                <w:rFonts w:ascii="Times New Roman" w:hAnsi="Times New Roman"/>
                <w:sz w:val="17"/>
                <w:szCs w:val="17"/>
                <w:lang w:eastAsia="en-US"/>
              </w:rPr>
              <w:t>3</w:t>
            </w:r>
          </w:p>
        </w:tc>
        <w:tc>
          <w:tcPr>
            <w:tcW w:w="831" w:type="dxa"/>
            <w:tcBorders>
              <w:bottom w:val="single" w:sz="4" w:space="0" w:color="000000"/>
              <w:right w:val="single" w:sz="4" w:space="0" w:color="000000"/>
            </w:tcBorders>
            <w:shd w:val="clear" w:color="000000" w:fill="C5D9F1"/>
            <w:vAlign w:val="center"/>
          </w:tcPr>
          <w:p w14:paraId="4FCC40CF" w14:textId="77777777" w:rsidR="002449C2" w:rsidRDefault="00123961">
            <w:pPr>
              <w:spacing w:after="0" w:line="240" w:lineRule="auto"/>
              <w:ind w:left="-126" w:right="-143" w:hanging="142"/>
              <w:jc w:val="center"/>
              <w:rPr>
                <w:rFonts w:ascii="Times New Roman" w:hAnsi="Times New Roman"/>
                <w:sz w:val="17"/>
                <w:szCs w:val="17"/>
                <w:lang w:eastAsia="en-US"/>
              </w:rPr>
            </w:pPr>
            <w:r>
              <w:rPr>
                <w:rFonts w:ascii="Times New Roman" w:hAnsi="Times New Roman"/>
                <w:sz w:val="17"/>
                <w:szCs w:val="17"/>
                <w:lang w:eastAsia="en-US"/>
              </w:rPr>
              <w:t>4</w:t>
            </w:r>
          </w:p>
        </w:tc>
        <w:tc>
          <w:tcPr>
            <w:tcW w:w="699" w:type="dxa"/>
            <w:tcBorders>
              <w:bottom w:val="single" w:sz="4" w:space="0" w:color="000000"/>
              <w:right w:val="single" w:sz="4" w:space="0" w:color="000000"/>
            </w:tcBorders>
            <w:shd w:val="clear" w:color="000000" w:fill="C5D9F1"/>
            <w:vAlign w:val="center"/>
          </w:tcPr>
          <w:p w14:paraId="69DF2C73" w14:textId="77777777" w:rsidR="002449C2" w:rsidRDefault="00123961">
            <w:pPr>
              <w:spacing w:after="0" w:line="240" w:lineRule="auto"/>
              <w:ind w:left="307" w:right="-143" w:hanging="426"/>
              <w:jc w:val="center"/>
              <w:rPr>
                <w:rFonts w:ascii="Times New Roman" w:hAnsi="Times New Roman"/>
                <w:sz w:val="17"/>
                <w:szCs w:val="17"/>
                <w:lang w:eastAsia="en-US"/>
              </w:rPr>
            </w:pPr>
            <w:r>
              <w:rPr>
                <w:rFonts w:ascii="Times New Roman" w:hAnsi="Times New Roman"/>
                <w:sz w:val="17"/>
                <w:szCs w:val="17"/>
                <w:lang w:eastAsia="en-US"/>
              </w:rPr>
              <w:t>5</w:t>
            </w:r>
          </w:p>
        </w:tc>
        <w:tc>
          <w:tcPr>
            <w:tcW w:w="835" w:type="dxa"/>
            <w:tcBorders>
              <w:bottom w:val="single" w:sz="4" w:space="0" w:color="000000"/>
              <w:right w:val="single" w:sz="4" w:space="0" w:color="000000"/>
            </w:tcBorders>
            <w:shd w:val="clear" w:color="000000" w:fill="C5D9F1"/>
            <w:vAlign w:val="center"/>
          </w:tcPr>
          <w:p w14:paraId="31B91D28" w14:textId="77777777" w:rsidR="002449C2" w:rsidRDefault="00123961">
            <w:pPr>
              <w:spacing w:after="0" w:line="240" w:lineRule="auto"/>
              <w:ind w:left="302" w:right="-143" w:hanging="426"/>
              <w:jc w:val="center"/>
              <w:rPr>
                <w:rFonts w:ascii="Times New Roman" w:hAnsi="Times New Roman"/>
                <w:sz w:val="17"/>
                <w:szCs w:val="17"/>
                <w:lang w:eastAsia="en-US"/>
              </w:rPr>
            </w:pPr>
            <w:r>
              <w:rPr>
                <w:rFonts w:ascii="Times New Roman" w:hAnsi="Times New Roman"/>
                <w:sz w:val="17"/>
                <w:szCs w:val="17"/>
                <w:lang w:eastAsia="en-US"/>
              </w:rPr>
              <w:t>6</w:t>
            </w:r>
          </w:p>
        </w:tc>
        <w:tc>
          <w:tcPr>
            <w:tcW w:w="832" w:type="dxa"/>
            <w:tcBorders>
              <w:bottom w:val="single" w:sz="4" w:space="0" w:color="000000"/>
              <w:right w:val="single" w:sz="4" w:space="0" w:color="000000"/>
            </w:tcBorders>
            <w:shd w:val="clear" w:color="000000" w:fill="C5D9F1"/>
            <w:vAlign w:val="center"/>
          </w:tcPr>
          <w:p w14:paraId="25A05828" w14:textId="77777777" w:rsidR="002449C2" w:rsidRDefault="00123961">
            <w:pPr>
              <w:spacing w:after="0" w:line="240" w:lineRule="auto"/>
              <w:ind w:left="306" w:right="-143" w:hanging="426"/>
              <w:jc w:val="center"/>
              <w:rPr>
                <w:rFonts w:ascii="Times New Roman" w:hAnsi="Times New Roman"/>
                <w:sz w:val="17"/>
                <w:szCs w:val="17"/>
                <w:lang w:eastAsia="en-US"/>
              </w:rPr>
            </w:pPr>
            <w:r>
              <w:rPr>
                <w:rFonts w:ascii="Times New Roman" w:hAnsi="Times New Roman"/>
                <w:sz w:val="17"/>
                <w:szCs w:val="17"/>
                <w:lang w:eastAsia="en-US"/>
              </w:rPr>
              <w:t>7</w:t>
            </w:r>
          </w:p>
        </w:tc>
        <w:tc>
          <w:tcPr>
            <w:tcW w:w="834" w:type="dxa"/>
            <w:tcBorders>
              <w:bottom w:val="single" w:sz="4" w:space="0" w:color="000000"/>
              <w:right w:val="single" w:sz="4" w:space="0" w:color="000000"/>
            </w:tcBorders>
            <w:shd w:val="clear" w:color="000000" w:fill="C5D9F1"/>
            <w:vAlign w:val="center"/>
          </w:tcPr>
          <w:p w14:paraId="1362BB18" w14:textId="77777777" w:rsidR="002449C2" w:rsidRDefault="00123961">
            <w:pPr>
              <w:spacing w:after="0" w:line="240" w:lineRule="auto"/>
              <w:ind w:left="-112" w:right="-100"/>
              <w:jc w:val="center"/>
              <w:rPr>
                <w:rFonts w:ascii="Times New Roman" w:hAnsi="Times New Roman"/>
                <w:sz w:val="17"/>
                <w:szCs w:val="17"/>
                <w:lang w:eastAsia="en-US"/>
              </w:rPr>
            </w:pPr>
            <w:r>
              <w:rPr>
                <w:rFonts w:ascii="Times New Roman" w:hAnsi="Times New Roman"/>
                <w:sz w:val="17"/>
                <w:szCs w:val="17"/>
                <w:lang w:eastAsia="en-US"/>
              </w:rPr>
              <w:t>8</w:t>
            </w:r>
          </w:p>
        </w:tc>
        <w:tc>
          <w:tcPr>
            <w:tcW w:w="970" w:type="dxa"/>
            <w:tcBorders>
              <w:bottom w:val="single" w:sz="4" w:space="0" w:color="000000"/>
              <w:right w:val="single" w:sz="4" w:space="0" w:color="000000"/>
            </w:tcBorders>
            <w:shd w:val="clear" w:color="000000" w:fill="C5D9F1"/>
            <w:vAlign w:val="center"/>
          </w:tcPr>
          <w:p w14:paraId="4DB042E9" w14:textId="77777777" w:rsidR="002449C2" w:rsidRDefault="00123961">
            <w:pPr>
              <w:spacing w:after="0" w:line="240" w:lineRule="auto"/>
              <w:ind w:left="-113" w:right="-99"/>
              <w:jc w:val="center"/>
              <w:rPr>
                <w:rFonts w:ascii="Times New Roman" w:hAnsi="Times New Roman"/>
                <w:sz w:val="17"/>
                <w:szCs w:val="17"/>
                <w:lang w:eastAsia="en-US"/>
              </w:rPr>
            </w:pPr>
            <w:r>
              <w:rPr>
                <w:rFonts w:ascii="Times New Roman" w:hAnsi="Times New Roman"/>
                <w:sz w:val="17"/>
                <w:szCs w:val="17"/>
                <w:lang w:eastAsia="en-US"/>
              </w:rPr>
              <w:t>9</w:t>
            </w:r>
          </w:p>
        </w:tc>
        <w:tc>
          <w:tcPr>
            <w:tcW w:w="1016" w:type="dxa"/>
            <w:tcBorders>
              <w:bottom w:val="single" w:sz="4" w:space="0" w:color="000000"/>
              <w:right w:val="single" w:sz="4" w:space="0" w:color="000000"/>
            </w:tcBorders>
            <w:shd w:val="clear" w:color="000000" w:fill="C5D9F1"/>
            <w:vAlign w:val="center"/>
          </w:tcPr>
          <w:p w14:paraId="7E03D183" w14:textId="77777777" w:rsidR="002449C2" w:rsidRDefault="00123961">
            <w:pPr>
              <w:spacing w:after="0" w:line="240" w:lineRule="auto"/>
              <w:ind w:left="-114" w:right="-113"/>
              <w:jc w:val="center"/>
              <w:rPr>
                <w:rFonts w:ascii="Times New Roman" w:hAnsi="Times New Roman"/>
                <w:sz w:val="17"/>
                <w:szCs w:val="17"/>
                <w:lang w:eastAsia="en-US"/>
              </w:rPr>
            </w:pPr>
            <w:r>
              <w:rPr>
                <w:rFonts w:ascii="Times New Roman" w:hAnsi="Times New Roman"/>
                <w:sz w:val="17"/>
                <w:szCs w:val="17"/>
                <w:lang w:eastAsia="en-US"/>
              </w:rPr>
              <w:t>10</w:t>
            </w:r>
          </w:p>
        </w:tc>
      </w:tr>
      <w:tr w:rsidR="002449C2" w14:paraId="590CA97F" w14:textId="77777777">
        <w:trPr>
          <w:trHeight w:val="261"/>
        </w:trPr>
        <w:tc>
          <w:tcPr>
            <w:tcW w:w="1993" w:type="dxa"/>
            <w:tcBorders>
              <w:left w:val="single" w:sz="4" w:space="0" w:color="000000"/>
              <w:bottom w:val="single" w:sz="4" w:space="0" w:color="000000"/>
              <w:right w:val="single" w:sz="4" w:space="0" w:color="000000"/>
            </w:tcBorders>
            <w:vAlign w:val="center"/>
          </w:tcPr>
          <w:p w14:paraId="7EC7B875" w14:textId="77777777" w:rsidR="002449C2" w:rsidRDefault="00123961">
            <w:pPr>
              <w:tabs>
                <w:tab w:val="left" w:pos="993"/>
                <w:tab w:val="left" w:pos="1418"/>
                <w:tab w:val="left" w:pos="1843"/>
                <w:tab w:val="left" w:pos="3119"/>
                <w:tab w:val="left" w:pos="3289"/>
                <w:tab w:val="left" w:pos="9356"/>
              </w:tabs>
              <w:spacing w:after="0" w:line="240" w:lineRule="auto"/>
              <w:jc w:val="both"/>
              <w:rPr>
                <w:rFonts w:ascii="Times New Roman" w:eastAsia="Times New Roman" w:hAnsi="Times New Roman"/>
                <w:sz w:val="17"/>
                <w:szCs w:val="17"/>
                <w:lang w:eastAsia="ru-RU"/>
              </w:rPr>
            </w:pPr>
            <w:r>
              <w:rPr>
                <w:rFonts w:ascii="Times New Roman" w:eastAsia="Times New Roman" w:hAnsi="Times New Roman"/>
                <w:sz w:val="17"/>
                <w:szCs w:val="17"/>
                <w:lang w:eastAsia="ru-RU"/>
              </w:rPr>
              <w:t>ПАО «Россети Юг»</w:t>
            </w:r>
          </w:p>
        </w:tc>
        <w:tc>
          <w:tcPr>
            <w:tcW w:w="789" w:type="dxa"/>
            <w:tcBorders>
              <w:bottom w:val="single" w:sz="8" w:space="0" w:color="000000"/>
              <w:right w:val="single" w:sz="8" w:space="0" w:color="000000"/>
            </w:tcBorders>
          </w:tcPr>
          <w:p w14:paraId="4EFC6799" w14:textId="77777777" w:rsidR="002449C2" w:rsidRDefault="00123961">
            <w:pPr>
              <w:jc w:val="center"/>
              <w:rPr>
                <w:rFonts w:ascii="Times New Roman" w:hAnsi="Times New Roman"/>
                <w:sz w:val="18"/>
                <w:szCs w:val="18"/>
              </w:rPr>
            </w:pPr>
            <w:r>
              <w:rPr>
                <w:rFonts w:ascii="Times New Roman" w:hAnsi="Times New Roman"/>
                <w:sz w:val="18"/>
                <w:szCs w:val="18"/>
              </w:rPr>
              <w:t>288,9</w:t>
            </w:r>
          </w:p>
        </w:tc>
        <w:tc>
          <w:tcPr>
            <w:tcW w:w="698" w:type="dxa"/>
            <w:tcBorders>
              <w:bottom w:val="single" w:sz="8" w:space="0" w:color="000000"/>
              <w:right w:val="single" w:sz="8" w:space="0" w:color="000000"/>
            </w:tcBorders>
          </w:tcPr>
          <w:p w14:paraId="441F459A" w14:textId="77777777" w:rsidR="002449C2" w:rsidRDefault="00123961">
            <w:pPr>
              <w:jc w:val="center"/>
              <w:rPr>
                <w:rFonts w:ascii="Times New Roman" w:hAnsi="Times New Roman"/>
                <w:sz w:val="18"/>
                <w:szCs w:val="18"/>
              </w:rPr>
            </w:pPr>
            <w:r>
              <w:rPr>
                <w:rFonts w:ascii="Times New Roman" w:hAnsi="Times New Roman"/>
                <w:sz w:val="18"/>
                <w:szCs w:val="18"/>
              </w:rPr>
              <w:t>462,3</w:t>
            </w:r>
          </w:p>
        </w:tc>
        <w:tc>
          <w:tcPr>
            <w:tcW w:w="831" w:type="dxa"/>
            <w:tcBorders>
              <w:bottom w:val="single" w:sz="8" w:space="0" w:color="000000"/>
              <w:right w:val="single" w:sz="8" w:space="0" w:color="000000"/>
            </w:tcBorders>
          </w:tcPr>
          <w:p w14:paraId="7EBE09CC" w14:textId="77777777" w:rsidR="002449C2" w:rsidRDefault="00123961">
            <w:pPr>
              <w:jc w:val="center"/>
              <w:rPr>
                <w:rFonts w:ascii="Times New Roman" w:hAnsi="Times New Roman"/>
                <w:sz w:val="18"/>
                <w:szCs w:val="18"/>
              </w:rPr>
            </w:pPr>
            <w:r>
              <w:rPr>
                <w:rFonts w:ascii="Times New Roman" w:hAnsi="Times New Roman"/>
                <w:sz w:val="18"/>
                <w:szCs w:val="18"/>
              </w:rPr>
              <w:t>4 391,6</w:t>
            </w:r>
          </w:p>
        </w:tc>
        <w:tc>
          <w:tcPr>
            <w:tcW w:w="699" w:type="dxa"/>
            <w:tcBorders>
              <w:bottom w:val="single" w:sz="8" w:space="0" w:color="000000"/>
              <w:right w:val="single" w:sz="8" w:space="0" w:color="000000"/>
            </w:tcBorders>
          </w:tcPr>
          <w:p w14:paraId="5B8AC3AE" w14:textId="77777777" w:rsidR="002449C2" w:rsidRDefault="00123961">
            <w:pPr>
              <w:jc w:val="center"/>
              <w:rPr>
                <w:rFonts w:ascii="Times New Roman" w:hAnsi="Times New Roman"/>
                <w:sz w:val="18"/>
                <w:szCs w:val="18"/>
              </w:rPr>
            </w:pPr>
            <w:r>
              <w:rPr>
                <w:rFonts w:ascii="Times New Roman" w:hAnsi="Times New Roman"/>
                <w:sz w:val="18"/>
                <w:szCs w:val="18"/>
              </w:rPr>
              <w:t>318</w:t>
            </w:r>
          </w:p>
        </w:tc>
        <w:tc>
          <w:tcPr>
            <w:tcW w:w="835" w:type="dxa"/>
            <w:tcBorders>
              <w:bottom w:val="single" w:sz="8" w:space="0" w:color="000000"/>
              <w:right w:val="single" w:sz="8" w:space="0" w:color="000000"/>
            </w:tcBorders>
          </w:tcPr>
          <w:p w14:paraId="7581CBB1" w14:textId="77777777" w:rsidR="002449C2" w:rsidRDefault="00123961">
            <w:pPr>
              <w:jc w:val="center"/>
              <w:rPr>
                <w:rFonts w:ascii="Times New Roman" w:hAnsi="Times New Roman"/>
                <w:sz w:val="18"/>
                <w:szCs w:val="18"/>
              </w:rPr>
            </w:pPr>
            <w:r>
              <w:rPr>
                <w:rFonts w:ascii="Times New Roman" w:hAnsi="Times New Roman"/>
                <w:sz w:val="18"/>
                <w:szCs w:val="18"/>
              </w:rPr>
              <w:t>514</w:t>
            </w:r>
          </w:p>
        </w:tc>
        <w:tc>
          <w:tcPr>
            <w:tcW w:w="832" w:type="dxa"/>
            <w:tcBorders>
              <w:bottom w:val="single" w:sz="8" w:space="0" w:color="000000"/>
              <w:right w:val="single" w:sz="8" w:space="0" w:color="000000"/>
            </w:tcBorders>
          </w:tcPr>
          <w:p w14:paraId="0F702B35" w14:textId="77777777" w:rsidR="002449C2" w:rsidRDefault="00123961">
            <w:pPr>
              <w:jc w:val="center"/>
              <w:rPr>
                <w:rFonts w:ascii="Times New Roman" w:hAnsi="Times New Roman"/>
                <w:sz w:val="18"/>
                <w:szCs w:val="18"/>
              </w:rPr>
            </w:pPr>
            <w:r>
              <w:rPr>
                <w:rFonts w:ascii="Times New Roman" w:hAnsi="Times New Roman"/>
                <w:sz w:val="18"/>
                <w:szCs w:val="18"/>
              </w:rPr>
              <w:t>5 526</w:t>
            </w:r>
          </w:p>
        </w:tc>
        <w:tc>
          <w:tcPr>
            <w:tcW w:w="834" w:type="dxa"/>
            <w:tcBorders>
              <w:bottom w:val="single" w:sz="8" w:space="0" w:color="000000"/>
              <w:right w:val="single" w:sz="8" w:space="0" w:color="000000"/>
            </w:tcBorders>
          </w:tcPr>
          <w:p w14:paraId="5D3644ED" w14:textId="77777777" w:rsidR="002449C2" w:rsidRDefault="00123961">
            <w:pPr>
              <w:jc w:val="center"/>
              <w:rPr>
                <w:rFonts w:ascii="Times New Roman" w:hAnsi="Times New Roman"/>
                <w:sz w:val="18"/>
                <w:szCs w:val="18"/>
              </w:rPr>
            </w:pPr>
            <w:r>
              <w:rPr>
                <w:rFonts w:ascii="Times New Roman" w:hAnsi="Times New Roman"/>
                <w:sz w:val="18"/>
                <w:szCs w:val="18"/>
              </w:rPr>
              <w:t>677</w:t>
            </w:r>
          </w:p>
        </w:tc>
        <w:tc>
          <w:tcPr>
            <w:tcW w:w="970" w:type="dxa"/>
            <w:tcBorders>
              <w:bottom w:val="single" w:sz="8" w:space="0" w:color="000000"/>
              <w:right w:val="single" w:sz="8" w:space="0" w:color="000000"/>
            </w:tcBorders>
          </w:tcPr>
          <w:p w14:paraId="05FF2C8A" w14:textId="77777777" w:rsidR="002449C2" w:rsidRDefault="00123961">
            <w:pPr>
              <w:jc w:val="center"/>
              <w:rPr>
                <w:rFonts w:ascii="Times New Roman" w:hAnsi="Times New Roman"/>
                <w:sz w:val="18"/>
                <w:szCs w:val="18"/>
              </w:rPr>
            </w:pPr>
            <w:r>
              <w:rPr>
                <w:rFonts w:ascii="Times New Roman" w:hAnsi="Times New Roman"/>
                <w:sz w:val="18"/>
                <w:szCs w:val="18"/>
              </w:rPr>
              <w:t>1 300</w:t>
            </w:r>
          </w:p>
        </w:tc>
        <w:tc>
          <w:tcPr>
            <w:tcW w:w="1016" w:type="dxa"/>
            <w:tcBorders>
              <w:bottom w:val="single" w:sz="8" w:space="0" w:color="000000"/>
              <w:right w:val="single" w:sz="8" w:space="0" w:color="000000"/>
            </w:tcBorders>
          </w:tcPr>
          <w:p w14:paraId="295C67F3" w14:textId="77777777" w:rsidR="002449C2" w:rsidRDefault="00123961">
            <w:pPr>
              <w:jc w:val="center"/>
              <w:rPr>
                <w:rFonts w:ascii="Times New Roman" w:hAnsi="Times New Roman"/>
                <w:sz w:val="18"/>
                <w:szCs w:val="18"/>
              </w:rPr>
            </w:pPr>
            <w:r>
              <w:rPr>
                <w:rFonts w:ascii="Times New Roman" w:hAnsi="Times New Roman"/>
                <w:sz w:val="18"/>
                <w:szCs w:val="18"/>
              </w:rPr>
              <w:t>14 862</w:t>
            </w:r>
          </w:p>
        </w:tc>
      </w:tr>
      <w:tr w:rsidR="002449C2" w14:paraId="77E2BAFC" w14:textId="77777777">
        <w:trPr>
          <w:trHeight w:val="261"/>
        </w:trPr>
        <w:tc>
          <w:tcPr>
            <w:tcW w:w="1993" w:type="dxa"/>
            <w:tcBorders>
              <w:left w:val="single" w:sz="4" w:space="0" w:color="000000"/>
              <w:bottom w:val="single" w:sz="4" w:space="0" w:color="000000"/>
              <w:right w:val="single" w:sz="4" w:space="0" w:color="000000"/>
            </w:tcBorders>
            <w:vAlign w:val="center"/>
          </w:tcPr>
          <w:p w14:paraId="55CF4D45" w14:textId="77777777" w:rsidR="002449C2" w:rsidRDefault="00123961">
            <w:pPr>
              <w:tabs>
                <w:tab w:val="left" w:pos="993"/>
                <w:tab w:val="left" w:pos="1418"/>
                <w:tab w:val="left" w:pos="1843"/>
                <w:tab w:val="left" w:pos="3119"/>
                <w:tab w:val="left" w:pos="3289"/>
                <w:tab w:val="left" w:pos="9356"/>
              </w:tabs>
              <w:spacing w:after="0" w:line="240" w:lineRule="auto"/>
              <w:jc w:val="both"/>
              <w:rPr>
                <w:rFonts w:ascii="Times New Roman" w:eastAsia="Times New Roman" w:hAnsi="Times New Roman"/>
                <w:sz w:val="17"/>
                <w:szCs w:val="17"/>
                <w:lang w:eastAsia="ru-RU"/>
              </w:rPr>
            </w:pPr>
            <w:r>
              <w:rPr>
                <w:rFonts w:ascii="Times New Roman" w:eastAsia="Times New Roman" w:hAnsi="Times New Roman"/>
                <w:sz w:val="17"/>
                <w:szCs w:val="17"/>
                <w:lang w:eastAsia="ru-RU"/>
              </w:rPr>
              <w:t>Приобретение электросетевых объектов</w:t>
            </w:r>
          </w:p>
        </w:tc>
        <w:tc>
          <w:tcPr>
            <w:tcW w:w="789" w:type="dxa"/>
            <w:tcBorders>
              <w:bottom w:val="single" w:sz="8" w:space="0" w:color="000000"/>
              <w:right w:val="single" w:sz="8" w:space="0" w:color="000000"/>
            </w:tcBorders>
          </w:tcPr>
          <w:p w14:paraId="0CD42BA2" w14:textId="77777777" w:rsidR="002449C2" w:rsidRDefault="00123961">
            <w:pPr>
              <w:jc w:val="center"/>
              <w:rPr>
                <w:rFonts w:ascii="Times New Roman" w:hAnsi="Times New Roman"/>
                <w:sz w:val="18"/>
                <w:szCs w:val="18"/>
              </w:rPr>
            </w:pPr>
            <w:r>
              <w:rPr>
                <w:rFonts w:ascii="Times New Roman" w:hAnsi="Times New Roman"/>
                <w:sz w:val="18"/>
                <w:szCs w:val="18"/>
              </w:rPr>
              <w:t>80,0</w:t>
            </w:r>
          </w:p>
        </w:tc>
        <w:tc>
          <w:tcPr>
            <w:tcW w:w="698" w:type="dxa"/>
            <w:tcBorders>
              <w:bottom w:val="single" w:sz="8" w:space="0" w:color="000000"/>
              <w:right w:val="single" w:sz="8" w:space="0" w:color="000000"/>
            </w:tcBorders>
          </w:tcPr>
          <w:p w14:paraId="429A97FB" w14:textId="77777777" w:rsidR="002449C2" w:rsidRDefault="00123961">
            <w:pPr>
              <w:jc w:val="center"/>
              <w:rPr>
                <w:rFonts w:ascii="Times New Roman" w:hAnsi="Times New Roman"/>
                <w:sz w:val="18"/>
                <w:szCs w:val="18"/>
              </w:rPr>
            </w:pPr>
            <w:r>
              <w:rPr>
                <w:rFonts w:ascii="Times New Roman" w:hAnsi="Times New Roman"/>
                <w:sz w:val="18"/>
                <w:szCs w:val="18"/>
              </w:rPr>
              <w:t>0,0</w:t>
            </w:r>
          </w:p>
        </w:tc>
        <w:tc>
          <w:tcPr>
            <w:tcW w:w="831" w:type="dxa"/>
            <w:tcBorders>
              <w:bottom w:val="single" w:sz="8" w:space="0" w:color="000000"/>
              <w:right w:val="single" w:sz="8" w:space="0" w:color="000000"/>
            </w:tcBorders>
          </w:tcPr>
          <w:p w14:paraId="3FC53F84" w14:textId="77777777" w:rsidR="002449C2" w:rsidRDefault="00123961">
            <w:pPr>
              <w:jc w:val="center"/>
              <w:rPr>
                <w:rFonts w:ascii="Times New Roman" w:hAnsi="Times New Roman"/>
                <w:sz w:val="18"/>
                <w:szCs w:val="18"/>
              </w:rPr>
            </w:pPr>
            <w:r>
              <w:rPr>
                <w:rFonts w:ascii="Times New Roman" w:hAnsi="Times New Roman"/>
                <w:sz w:val="18"/>
                <w:szCs w:val="18"/>
              </w:rPr>
              <w:t>121,7</w:t>
            </w:r>
          </w:p>
        </w:tc>
        <w:tc>
          <w:tcPr>
            <w:tcW w:w="699" w:type="dxa"/>
            <w:tcBorders>
              <w:bottom w:val="single" w:sz="8" w:space="0" w:color="000000"/>
              <w:right w:val="single" w:sz="8" w:space="0" w:color="000000"/>
            </w:tcBorders>
          </w:tcPr>
          <w:p w14:paraId="0D2281CC" w14:textId="77777777" w:rsidR="002449C2" w:rsidRDefault="00123961">
            <w:pPr>
              <w:jc w:val="center"/>
              <w:rPr>
                <w:rFonts w:ascii="Times New Roman" w:hAnsi="Times New Roman"/>
                <w:sz w:val="18"/>
                <w:szCs w:val="18"/>
              </w:rPr>
            </w:pPr>
            <w:r>
              <w:rPr>
                <w:rFonts w:ascii="Times New Roman" w:hAnsi="Times New Roman"/>
                <w:sz w:val="18"/>
                <w:szCs w:val="18"/>
              </w:rPr>
              <w:t>0</w:t>
            </w:r>
          </w:p>
        </w:tc>
        <w:tc>
          <w:tcPr>
            <w:tcW w:w="835" w:type="dxa"/>
            <w:tcBorders>
              <w:bottom w:val="single" w:sz="8" w:space="0" w:color="000000"/>
              <w:right w:val="single" w:sz="8" w:space="0" w:color="000000"/>
            </w:tcBorders>
          </w:tcPr>
          <w:p w14:paraId="7FDA3696" w14:textId="77777777" w:rsidR="002449C2" w:rsidRDefault="00123961">
            <w:pPr>
              <w:jc w:val="center"/>
              <w:rPr>
                <w:rFonts w:ascii="Times New Roman" w:hAnsi="Times New Roman"/>
                <w:sz w:val="18"/>
                <w:szCs w:val="18"/>
              </w:rPr>
            </w:pPr>
            <w:r>
              <w:rPr>
                <w:rFonts w:ascii="Times New Roman" w:hAnsi="Times New Roman"/>
                <w:sz w:val="18"/>
                <w:szCs w:val="18"/>
              </w:rPr>
              <w:t>0</w:t>
            </w:r>
          </w:p>
        </w:tc>
        <w:tc>
          <w:tcPr>
            <w:tcW w:w="832" w:type="dxa"/>
            <w:tcBorders>
              <w:bottom w:val="single" w:sz="8" w:space="0" w:color="000000"/>
              <w:right w:val="single" w:sz="8" w:space="0" w:color="000000"/>
            </w:tcBorders>
          </w:tcPr>
          <w:p w14:paraId="716D23A2" w14:textId="77777777" w:rsidR="002449C2" w:rsidRDefault="00123961">
            <w:pPr>
              <w:jc w:val="center"/>
              <w:rPr>
                <w:rFonts w:ascii="Times New Roman" w:hAnsi="Times New Roman"/>
                <w:sz w:val="18"/>
                <w:szCs w:val="18"/>
              </w:rPr>
            </w:pPr>
            <w:r>
              <w:rPr>
                <w:rFonts w:ascii="Times New Roman" w:hAnsi="Times New Roman"/>
                <w:sz w:val="18"/>
                <w:szCs w:val="18"/>
              </w:rPr>
              <w:t>2</w:t>
            </w:r>
          </w:p>
        </w:tc>
        <w:tc>
          <w:tcPr>
            <w:tcW w:w="834" w:type="dxa"/>
            <w:tcBorders>
              <w:bottom w:val="single" w:sz="8" w:space="0" w:color="000000"/>
              <w:right w:val="single" w:sz="8" w:space="0" w:color="000000"/>
            </w:tcBorders>
          </w:tcPr>
          <w:p w14:paraId="02FCE389" w14:textId="77777777" w:rsidR="002449C2" w:rsidRDefault="00123961">
            <w:pPr>
              <w:jc w:val="center"/>
              <w:rPr>
                <w:rFonts w:ascii="Times New Roman" w:hAnsi="Times New Roman"/>
                <w:sz w:val="18"/>
                <w:szCs w:val="18"/>
              </w:rPr>
            </w:pPr>
            <w:r>
              <w:rPr>
                <w:rFonts w:ascii="Times New Roman" w:hAnsi="Times New Roman"/>
                <w:sz w:val="18"/>
                <w:szCs w:val="18"/>
              </w:rPr>
              <w:t>53</w:t>
            </w:r>
          </w:p>
        </w:tc>
        <w:tc>
          <w:tcPr>
            <w:tcW w:w="970" w:type="dxa"/>
            <w:tcBorders>
              <w:bottom w:val="single" w:sz="8" w:space="0" w:color="000000"/>
              <w:right w:val="single" w:sz="8" w:space="0" w:color="000000"/>
            </w:tcBorders>
          </w:tcPr>
          <w:p w14:paraId="3AB19E9D" w14:textId="77777777" w:rsidR="002449C2" w:rsidRDefault="00123961">
            <w:pPr>
              <w:jc w:val="center"/>
              <w:rPr>
                <w:rFonts w:ascii="Times New Roman" w:hAnsi="Times New Roman"/>
                <w:sz w:val="18"/>
                <w:szCs w:val="18"/>
              </w:rPr>
            </w:pPr>
            <w:r>
              <w:rPr>
                <w:rFonts w:ascii="Times New Roman" w:hAnsi="Times New Roman"/>
                <w:sz w:val="18"/>
                <w:szCs w:val="18"/>
              </w:rPr>
              <w:t>5</w:t>
            </w:r>
          </w:p>
        </w:tc>
        <w:tc>
          <w:tcPr>
            <w:tcW w:w="1016" w:type="dxa"/>
            <w:tcBorders>
              <w:bottom w:val="single" w:sz="8" w:space="0" w:color="000000"/>
              <w:right w:val="single" w:sz="8" w:space="0" w:color="000000"/>
            </w:tcBorders>
          </w:tcPr>
          <w:p w14:paraId="4B1ECE72" w14:textId="77777777" w:rsidR="002449C2" w:rsidRDefault="00123961">
            <w:pPr>
              <w:jc w:val="center"/>
              <w:rPr>
                <w:rFonts w:ascii="Times New Roman" w:hAnsi="Times New Roman"/>
                <w:sz w:val="18"/>
                <w:szCs w:val="18"/>
              </w:rPr>
            </w:pPr>
            <w:r>
              <w:rPr>
                <w:rFonts w:ascii="Times New Roman" w:hAnsi="Times New Roman"/>
                <w:sz w:val="18"/>
                <w:szCs w:val="18"/>
              </w:rPr>
              <w:t>336</w:t>
            </w:r>
          </w:p>
        </w:tc>
      </w:tr>
      <w:tr w:rsidR="002449C2" w14:paraId="702CD835" w14:textId="77777777">
        <w:trPr>
          <w:trHeight w:val="261"/>
        </w:trPr>
        <w:tc>
          <w:tcPr>
            <w:tcW w:w="1993" w:type="dxa"/>
            <w:tcBorders>
              <w:left w:val="single" w:sz="4" w:space="0" w:color="000000"/>
              <w:bottom w:val="single" w:sz="4" w:space="0" w:color="000000"/>
              <w:right w:val="single" w:sz="4" w:space="0" w:color="000000"/>
            </w:tcBorders>
            <w:vAlign w:val="center"/>
          </w:tcPr>
          <w:p w14:paraId="502C5201" w14:textId="77777777" w:rsidR="002449C2" w:rsidRDefault="00123961">
            <w:pPr>
              <w:tabs>
                <w:tab w:val="left" w:pos="993"/>
                <w:tab w:val="left" w:pos="1418"/>
                <w:tab w:val="left" w:pos="1843"/>
                <w:tab w:val="left" w:pos="3119"/>
                <w:tab w:val="left" w:pos="3289"/>
                <w:tab w:val="left" w:pos="9356"/>
              </w:tabs>
              <w:spacing w:after="0" w:line="240" w:lineRule="auto"/>
              <w:jc w:val="both"/>
              <w:rPr>
                <w:rFonts w:ascii="Times New Roman" w:eastAsia="Times New Roman" w:hAnsi="Times New Roman"/>
                <w:sz w:val="17"/>
                <w:szCs w:val="17"/>
                <w:lang w:eastAsia="ru-RU"/>
              </w:rPr>
            </w:pPr>
            <w:r>
              <w:rPr>
                <w:rFonts w:ascii="Times New Roman" w:eastAsia="Times New Roman" w:hAnsi="Times New Roman"/>
                <w:sz w:val="17"/>
                <w:szCs w:val="17"/>
                <w:lang w:eastAsia="ru-RU"/>
              </w:rPr>
              <w:t>Аренда электросетевых объектов</w:t>
            </w:r>
          </w:p>
        </w:tc>
        <w:tc>
          <w:tcPr>
            <w:tcW w:w="789" w:type="dxa"/>
            <w:tcBorders>
              <w:bottom w:val="single" w:sz="8" w:space="0" w:color="000000"/>
              <w:right w:val="single" w:sz="8" w:space="0" w:color="000000"/>
            </w:tcBorders>
          </w:tcPr>
          <w:p w14:paraId="4F52BEF6" w14:textId="77777777" w:rsidR="002449C2" w:rsidRDefault="00123961">
            <w:pPr>
              <w:jc w:val="center"/>
              <w:rPr>
                <w:rFonts w:ascii="Times New Roman" w:hAnsi="Times New Roman"/>
                <w:sz w:val="18"/>
                <w:szCs w:val="18"/>
              </w:rPr>
            </w:pPr>
            <w:r>
              <w:rPr>
                <w:rFonts w:ascii="Times New Roman" w:hAnsi="Times New Roman"/>
                <w:sz w:val="18"/>
                <w:szCs w:val="18"/>
              </w:rPr>
              <w:t>128,8</w:t>
            </w:r>
          </w:p>
        </w:tc>
        <w:tc>
          <w:tcPr>
            <w:tcW w:w="698" w:type="dxa"/>
            <w:tcBorders>
              <w:bottom w:val="single" w:sz="8" w:space="0" w:color="000000"/>
              <w:right w:val="single" w:sz="8" w:space="0" w:color="000000"/>
            </w:tcBorders>
          </w:tcPr>
          <w:p w14:paraId="3474D1F6" w14:textId="77777777" w:rsidR="002449C2" w:rsidRDefault="00123961">
            <w:pPr>
              <w:jc w:val="center"/>
              <w:rPr>
                <w:rFonts w:ascii="Times New Roman" w:hAnsi="Times New Roman"/>
                <w:sz w:val="18"/>
                <w:szCs w:val="18"/>
              </w:rPr>
            </w:pPr>
            <w:r>
              <w:rPr>
                <w:rFonts w:ascii="Times New Roman" w:hAnsi="Times New Roman"/>
                <w:sz w:val="18"/>
                <w:szCs w:val="18"/>
              </w:rPr>
              <w:t>82,5</w:t>
            </w:r>
          </w:p>
        </w:tc>
        <w:tc>
          <w:tcPr>
            <w:tcW w:w="831" w:type="dxa"/>
            <w:tcBorders>
              <w:bottom w:val="single" w:sz="8" w:space="0" w:color="000000"/>
              <w:right w:val="single" w:sz="8" w:space="0" w:color="000000"/>
            </w:tcBorders>
          </w:tcPr>
          <w:p w14:paraId="00A7A81B" w14:textId="77777777" w:rsidR="002449C2" w:rsidRDefault="00123961">
            <w:pPr>
              <w:jc w:val="center"/>
              <w:rPr>
                <w:rFonts w:ascii="Times New Roman" w:hAnsi="Times New Roman"/>
                <w:sz w:val="18"/>
                <w:szCs w:val="18"/>
              </w:rPr>
            </w:pPr>
            <w:r>
              <w:rPr>
                <w:rFonts w:ascii="Times New Roman" w:hAnsi="Times New Roman"/>
                <w:sz w:val="18"/>
                <w:szCs w:val="18"/>
              </w:rPr>
              <w:t>1 919,2</w:t>
            </w:r>
          </w:p>
        </w:tc>
        <w:tc>
          <w:tcPr>
            <w:tcW w:w="699" w:type="dxa"/>
            <w:tcBorders>
              <w:bottom w:val="single" w:sz="8" w:space="0" w:color="000000"/>
              <w:right w:val="single" w:sz="8" w:space="0" w:color="000000"/>
            </w:tcBorders>
          </w:tcPr>
          <w:p w14:paraId="3AE8D034" w14:textId="77777777" w:rsidR="002449C2" w:rsidRDefault="00123961">
            <w:pPr>
              <w:jc w:val="center"/>
              <w:rPr>
                <w:rFonts w:ascii="Times New Roman" w:hAnsi="Times New Roman"/>
                <w:sz w:val="18"/>
                <w:szCs w:val="18"/>
              </w:rPr>
            </w:pPr>
            <w:r>
              <w:rPr>
                <w:rFonts w:ascii="Times New Roman" w:hAnsi="Times New Roman"/>
                <w:sz w:val="18"/>
                <w:szCs w:val="18"/>
              </w:rPr>
              <w:t>260</w:t>
            </w:r>
          </w:p>
        </w:tc>
        <w:tc>
          <w:tcPr>
            <w:tcW w:w="835" w:type="dxa"/>
            <w:tcBorders>
              <w:bottom w:val="single" w:sz="8" w:space="0" w:color="000000"/>
              <w:right w:val="single" w:sz="8" w:space="0" w:color="000000"/>
            </w:tcBorders>
          </w:tcPr>
          <w:p w14:paraId="10881DCE" w14:textId="77777777" w:rsidR="002449C2" w:rsidRDefault="00123961">
            <w:pPr>
              <w:jc w:val="center"/>
              <w:rPr>
                <w:rFonts w:ascii="Times New Roman" w:hAnsi="Times New Roman"/>
                <w:sz w:val="18"/>
                <w:szCs w:val="18"/>
              </w:rPr>
            </w:pPr>
            <w:r>
              <w:rPr>
                <w:rFonts w:ascii="Times New Roman" w:hAnsi="Times New Roman"/>
                <w:sz w:val="18"/>
                <w:szCs w:val="18"/>
              </w:rPr>
              <w:t>308</w:t>
            </w:r>
          </w:p>
        </w:tc>
        <w:tc>
          <w:tcPr>
            <w:tcW w:w="832" w:type="dxa"/>
            <w:tcBorders>
              <w:bottom w:val="single" w:sz="8" w:space="0" w:color="000000"/>
              <w:right w:val="single" w:sz="8" w:space="0" w:color="000000"/>
            </w:tcBorders>
          </w:tcPr>
          <w:p w14:paraId="50EC2EA4" w14:textId="77777777" w:rsidR="002449C2" w:rsidRDefault="00123961">
            <w:pPr>
              <w:jc w:val="center"/>
              <w:rPr>
                <w:rFonts w:ascii="Times New Roman" w:hAnsi="Times New Roman"/>
                <w:sz w:val="18"/>
                <w:szCs w:val="18"/>
              </w:rPr>
            </w:pPr>
            <w:r>
              <w:rPr>
                <w:rFonts w:ascii="Times New Roman" w:hAnsi="Times New Roman"/>
                <w:sz w:val="18"/>
                <w:szCs w:val="18"/>
              </w:rPr>
              <w:t>4 431</w:t>
            </w:r>
          </w:p>
        </w:tc>
        <w:tc>
          <w:tcPr>
            <w:tcW w:w="834" w:type="dxa"/>
            <w:tcBorders>
              <w:bottom w:val="single" w:sz="8" w:space="0" w:color="000000"/>
              <w:right w:val="single" w:sz="8" w:space="0" w:color="000000"/>
            </w:tcBorders>
          </w:tcPr>
          <w:p w14:paraId="0FC63C5F" w14:textId="77777777" w:rsidR="002449C2" w:rsidRDefault="00123961">
            <w:pPr>
              <w:jc w:val="center"/>
              <w:rPr>
                <w:rFonts w:ascii="Times New Roman" w:hAnsi="Times New Roman"/>
                <w:sz w:val="18"/>
                <w:szCs w:val="18"/>
              </w:rPr>
            </w:pPr>
            <w:r>
              <w:rPr>
                <w:rFonts w:ascii="Times New Roman" w:hAnsi="Times New Roman"/>
                <w:sz w:val="18"/>
                <w:szCs w:val="18"/>
              </w:rPr>
              <w:t>333</w:t>
            </w:r>
          </w:p>
        </w:tc>
        <w:tc>
          <w:tcPr>
            <w:tcW w:w="970" w:type="dxa"/>
            <w:tcBorders>
              <w:bottom w:val="single" w:sz="8" w:space="0" w:color="000000"/>
              <w:right w:val="single" w:sz="8" w:space="0" w:color="000000"/>
            </w:tcBorders>
          </w:tcPr>
          <w:p w14:paraId="4306C67A" w14:textId="77777777" w:rsidR="002449C2" w:rsidRDefault="00123961">
            <w:pPr>
              <w:jc w:val="center"/>
              <w:rPr>
                <w:rFonts w:ascii="Times New Roman" w:hAnsi="Times New Roman"/>
                <w:sz w:val="18"/>
                <w:szCs w:val="18"/>
              </w:rPr>
            </w:pPr>
            <w:r>
              <w:rPr>
                <w:rFonts w:ascii="Times New Roman" w:hAnsi="Times New Roman"/>
                <w:sz w:val="18"/>
                <w:szCs w:val="18"/>
              </w:rPr>
              <w:t>283</w:t>
            </w:r>
          </w:p>
        </w:tc>
        <w:tc>
          <w:tcPr>
            <w:tcW w:w="1016" w:type="dxa"/>
            <w:tcBorders>
              <w:bottom w:val="single" w:sz="8" w:space="0" w:color="000000"/>
              <w:right w:val="single" w:sz="8" w:space="0" w:color="000000"/>
            </w:tcBorders>
          </w:tcPr>
          <w:p w14:paraId="75F91879" w14:textId="77777777" w:rsidR="002449C2" w:rsidRDefault="00123961">
            <w:pPr>
              <w:jc w:val="center"/>
              <w:rPr>
                <w:rFonts w:ascii="Times New Roman" w:hAnsi="Times New Roman"/>
                <w:sz w:val="18"/>
                <w:szCs w:val="18"/>
              </w:rPr>
            </w:pPr>
            <w:r>
              <w:rPr>
                <w:rFonts w:ascii="Times New Roman" w:hAnsi="Times New Roman"/>
                <w:sz w:val="18"/>
                <w:szCs w:val="18"/>
              </w:rPr>
              <w:t>4 666</w:t>
            </w:r>
          </w:p>
        </w:tc>
      </w:tr>
      <w:tr w:rsidR="002449C2" w14:paraId="1F9AF954" w14:textId="77777777">
        <w:trPr>
          <w:trHeight w:val="261"/>
        </w:trPr>
        <w:tc>
          <w:tcPr>
            <w:tcW w:w="1993" w:type="dxa"/>
            <w:tcBorders>
              <w:left w:val="single" w:sz="4" w:space="0" w:color="000000"/>
              <w:bottom w:val="single" w:sz="4" w:space="0" w:color="000000"/>
              <w:right w:val="single" w:sz="4" w:space="0" w:color="000000"/>
            </w:tcBorders>
            <w:vAlign w:val="center"/>
          </w:tcPr>
          <w:p w14:paraId="036F6C02" w14:textId="77777777" w:rsidR="002449C2" w:rsidRDefault="00123961">
            <w:pPr>
              <w:tabs>
                <w:tab w:val="left" w:pos="993"/>
                <w:tab w:val="left" w:pos="1418"/>
                <w:tab w:val="left" w:pos="1843"/>
                <w:tab w:val="left" w:pos="3119"/>
                <w:tab w:val="left" w:pos="3289"/>
                <w:tab w:val="left" w:pos="9356"/>
              </w:tabs>
              <w:spacing w:after="0" w:line="240" w:lineRule="auto"/>
              <w:jc w:val="both"/>
              <w:rPr>
                <w:rFonts w:ascii="Times New Roman" w:eastAsia="Times New Roman" w:hAnsi="Times New Roman"/>
                <w:sz w:val="17"/>
                <w:szCs w:val="17"/>
                <w:lang w:eastAsia="ru-RU"/>
              </w:rPr>
            </w:pPr>
            <w:r>
              <w:rPr>
                <w:rFonts w:ascii="Times New Roman" w:eastAsia="Times New Roman" w:hAnsi="Times New Roman"/>
                <w:sz w:val="17"/>
                <w:szCs w:val="17"/>
                <w:lang w:eastAsia="ru-RU"/>
              </w:rPr>
              <w:t>Прочее (постоянные права владения и пользования)</w:t>
            </w:r>
          </w:p>
        </w:tc>
        <w:tc>
          <w:tcPr>
            <w:tcW w:w="789" w:type="dxa"/>
            <w:tcBorders>
              <w:bottom w:val="single" w:sz="8" w:space="0" w:color="000000"/>
              <w:right w:val="single" w:sz="8" w:space="0" w:color="000000"/>
            </w:tcBorders>
          </w:tcPr>
          <w:p w14:paraId="648F3ADA" w14:textId="77777777" w:rsidR="002449C2" w:rsidRDefault="00123961">
            <w:pPr>
              <w:jc w:val="center"/>
              <w:rPr>
                <w:rFonts w:ascii="Times New Roman" w:hAnsi="Times New Roman"/>
                <w:sz w:val="18"/>
                <w:szCs w:val="18"/>
              </w:rPr>
            </w:pPr>
            <w:r>
              <w:rPr>
                <w:rFonts w:ascii="Times New Roman" w:hAnsi="Times New Roman"/>
                <w:sz w:val="18"/>
                <w:szCs w:val="18"/>
              </w:rPr>
              <w:t>5,3</w:t>
            </w:r>
          </w:p>
        </w:tc>
        <w:tc>
          <w:tcPr>
            <w:tcW w:w="698" w:type="dxa"/>
            <w:tcBorders>
              <w:bottom w:val="single" w:sz="8" w:space="0" w:color="000000"/>
              <w:right w:val="single" w:sz="8" w:space="0" w:color="000000"/>
            </w:tcBorders>
          </w:tcPr>
          <w:p w14:paraId="65D1AAE3" w14:textId="77777777" w:rsidR="002449C2" w:rsidRDefault="00123961">
            <w:pPr>
              <w:jc w:val="center"/>
              <w:rPr>
                <w:rFonts w:ascii="Times New Roman" w:hAnsi="Times New Roman"/>
                <w:sz w:val="18"/>
                <w:szCs w:val="18"/>
              </w:rPr>
            </w:pPr>
            <w:r>
              <w:rPr>
                <w:rFonts w:ascii="Times New Roman" w:hAnsi="Times New Roman"/>
                <w:sz w:val="18"/>
                <w:szCs w:val="18"/>
              </w:rPr>
              <w:t>104,6</w:t>
            </w:r>
          </w:p>
        </w:tc>
        <w:tc>
          <w:tcPr>
            <w:tcW w:w="831" w:type="dxa"/>
            <w:tcBorders>
              <w:bottom w:val="single" w:sz="8" w:space="0" w:color="000000"/>
              <w:right w:val="single" w:sz="8" w:space="0" w:color="000000"/>
            </w:tcBorders>
          </w:tcPr>
          <w:p w14:paraId="3795C3AC" w14:textId="77777777" w:rsidR="002449C2" w:rsidRDefault="00123961">
            <w:pPr>
              <w:jc w:val="center"/>
              <w:rPr>
                <w:rFonts w:ascii="Times New Roman" w:hAnsi="Times New Roman"/>
                <w:sz w:val="18"/>
                <w:szCs w:val="18"/>
              </w:rPr>
            </w:pPr>
            <w:r>
              <w:rPr>
                <w:rFonts w:ascii="Times New Roman" w:hAnsi="Times New Roman"/>
                <w:sz w:val="18"/>
                <w:szCs w:val="18"/>
              </w:rPr>
              <w:t>230,4</w:t>
            </w:r>
          </w:p>
        </w:tc>
        <w:tc>
          <w:tcPr>
            <w:tcW w:w="699" w:type="dxa"/>
            <w:tcBorders>
              <w:bottom w:val="single" w:sz="8" w:space="0" w:color="000000"/>
              <w:right w:val="single" w:sz="8" w:space="0" w:color="000000"/>
            </w:tcBorders>
          </w:tcPr>
          <w:p w14:paraId="078064F8" w14:textId="77777777" w:rsidR="002449C2" w:rsidRDefault="00123961">
            <w:pPr>
              <w:jc w:val="center"/>
              <w:rPr>
                <w:rFonts w:ascii="Times New Roman" w:hAnsi="Times New Roman"/>
                <w:sz w:val="18"/>
                <w:szCs w:val="18"/>
              </w:rPr>
            </w:pPr>
            <w:r>
              <w:rPr>
                <w:rFonts w:ascii="Times New Roman" w:hAnsi="Times New Roman"/>
                <w:sz w:val="18"/>
                <w:szCs w:val="18"/>
              </w:rPr>
              <w:t>12</w:t>
            </w:r>
          </w:p>
        </w:tc>
        <w:tc>
          <w:tcPr>
            <w:tcW w:w="835" w:type="dxa"/>
            <w:tcBorders>
              <w:bottom w:val="single" w:sz="8" w:space="0" w:color="000000"/>
              <w:right w:val="single" w:sz="8" w:space="0" w:color="000000"/>
            </w:tcBorders>
          </w:tcPr>
          <w:p w14:paraId="63AE3C82" w14:textId="77777777" w:rsidR="002449C2" w:rsidRDefault="00123961">
            <w:pPr>
              <w:jc w:val="center"/>
              <w:rPr>
                <w:rFonts w:ascii="Times New Roman" w:hAnsi="Times New Roman"/>
                <w:sz w:val="18"/>
                <w:szCs w:val="18"/>
              </w:rPr>
            </w:pPr>
            <w:r>
              <w:rPr>
                <w:rFonts w:ascii="Times New Roman" w:hAnsi="Times New Roman"/>
                <w:sz w:val="18"/>
                <w:szCs w:val="18"/>
              </w:rPr>
              <w:t>88</w:t>
            </w:r>
          </w:p>
        </w:tc>
        <w:tc>
          <w:tcPr>
            <w:tcW w:w="832" w:type="dxa"/>
            <w:tcBorders>
              <w:bottom w:val="single" w:sz="8" w:space="0" w:color="000000"/>
              <w:right w:val="single" w:sz="8" w:space="0" w:color="000000"/>
            </w:tcBorders>
          </w:tcPr>
          <w:p w14:paraId="2E542CD5" w14:textId="77777777" w:rsidR="002449C2" w:rsidRDefault="00123961">
            <w:pPr>
              <w:jc w:val="center"/>
              <w:rPr>
                <w:rFonts w:ascii="Times New Roman" w:hAnsi="Times New Roman"/>
                <w:sz w:val="18"/>
                <w:szCs w:val="18"/>
              </w:rPr>
            </w:pPr>
            <w:r>
              <w:rPr>
                <w:rFonts w:ascii="Times New Roman" w:hAnsi="Times New Roman"/>
                <w:sz w:val="18"/>
                <w:szCs w:val="18"/>
              </w:rPr>
              <w:t>300</w:t>
            </w:r>
          </w:p>
        </w:tc>
        <w:tc>
          <w:tcPr>
            <w:tcW w:w="834" w:type="dxa"/>
            <w:tcBorders>
              <w:bottom w:val="single" w:sz="8" w:space="0" w:color="000000"/>
              <w:right w:val="single" w:sz="8" w:space="0" w:color="000000"/>
            </w:tcBorders>
          </w:tcPr>
          <w:p w14:paraId="6E48A68A" w14:textId="77777777" w:rsidR="002449C2" w:rsidRDefault="00123961">
            <w:pPr>
              <w:jc w:val="center"/>
              <w:rPr>
                <w:rFonts w:ascii="Times New Roman" w:hAnsi="Times New Roman"/>
                <w:sz w:val="18"/>
                <w:szCs w:val="18"/>
              </w:rPr>
            </w:pPr>
            <w:r>
              <w:rPr>
                <w:rFonts w:ascii="Times New Roman" w:hAnsi="Times New Roman"/>
                <w:sz w:val="18"/>
                <w:szCs w:val="18"/>
              </w:rPr>
              <w:t>11</w:t>
            </w:r>
          </w:p>
        </w:tc>
        <w:tc>
          <w:tcPr>
            <w:tcW w:w="970" w:type="dxa"/>
            <w:tcBorders>
              <w:bottom w:val="single" w:sz="8" w:space="0" w:color="000000"/>
              <w:right w:val="single" w:sz="8" w:space="0" w:color="000000"/>
            </w:tcBorders>
          </w:tcPr>
          <w:p w14:paraId="742A010E" w14:textId="77777777" w:rsidR="002449C2" w:rsidRDefault="00123961">
            <w:pPr>
              <w:jc w:val="center"/>
              <w:rPr>
                <w:rFonts w:ascii="Times New Roman" w:hAnsi="Times New Roman"/>
                <w:sz w:val="18"/>
                <w:szCs w:val="18"/>
              </w:rPr>
            </w:pPr>
            <w:r>
              <w:rPr>
                <w:rFonts w:ascii="Times New Roman" w:hAnsi="Times New Roman"/>
                <w:sz w:val="18"/>
                <w:szCs w:val="18"/>
              </w:rPr>
              <w:t>74</w:t>
            </w:r>
          </w:p>
        </w:tc>
        <w:tc>
          <w:tcPr>
            <w:tcW w:w="1016" w:type="dxa"/>
            <w:tcBorders>
              <w:bottom w:val="single" w:sz="8" w:space="0" w:color="000000"/>
              <w:right w:val="single" w:sz="8" w:space="0" w:color="000000"/>
            </w:tcBorders>
          </w:tcPr>
          <w:p w14:paraId="0A7758EC" w14:textId="77777777" w:rsidR="002449C2" w:rsidRDefault="00123961">
            <w:pPr>
              <w:jc w:val="center"/>
              <w:rPr>
                <w:rFonts w:ascii="Times New Roman" w:hAnsi="Times New Roman"/>
                <w:sz w:val="18"/>
                <w:szCs w:val="18"/>
              </w:rPr>
            </w:pPr>
            <w:r>
              <w:rPr>
                <w:rFonts w:ascii="Times New Roman" w:hAnsi="Times New Roman"/>
                <w:sz w:val="18"/>
                <w:szCs w:val="18"/>
              </w:rPr>
              <w:t>265</w:t>
            </w:r>
          </w:p>
        </w:tc>
      </w:tr>
      <w:tr w:rsidR="002449C2" w14:paraId="6E64E1C9" w14:textId="77777777">
        <w:trPr>
          <w:trHeight w:val="261"/>
        </w:trPr>
        <w:tc>
          <w:tcPr>
            <w:tcW w:w="1993" w:type="dxa"/>
            <w:tcBorders>
              <w:left w:val="single" w:sz="4" w:space="0" w:color="000000"/>
              <w:bottom w:val="single" w:sz="4" w:space="0" w:color="000000"/>
              <w:right w:val="single" w:sz="4" w:space="0" w:color="000000"/>
            </w:tcBorders>
            <w:vAlign w:val="center"/>
          </w:tcPr>
          <w:p w14:paraId="175BC9B5" w14:textId="77777777" w:rsidR="002449C2" w:rsidRDefault="00123961">
            <w:pPr>
              <w:tabs>
                <w:tab w:val="left" w:pos="993"/>
                <w:tab w:val="left" w:pos="1418"/>
                <w:tab w:val="left" w:pos="1843"/>
                <w:tab w:val="left" w:pos="3119"/>
                <w:tab w:val="left" w:pos="3289"/>
                <w:tab w:val="left" w:pos="9356"/>
              </w:tabs>
              <w:spacing w:after="0" w:line="240" w:lineRule="auto"/>
              <w:jc w:val="both"/>
              <w:rPr>
                <w:rFonts w:ascii="Times New Roman" w:eastAsia="Times New Roman" w:hAnsi="Times New Roman"/>
                <w:sz w:val="17"/>
                <w:szCs w:val="17"/>
                <w:lang w:eastAsia="ru-RU"/>
              </w:rPr>
            </w:pPr>
            <w:r>
              <w:rPr>
                <w:rFonts w:ascii="Times New Roman" w:eastAsia="Times New Roman" w:hAnsi="Times New Roman"/>
                <w:sz w:val="17"/>
                <w:szCs w:val="17"/>
                <w:lang w:eastAsia="ru-RU"/>
              </w:rPr>
              <w:t>Прочее (временные права владения и пользования)</w:t>
            </w:r>
          </w:p>
        </w:tc>
        <w:tc>
          <w:tcPr>
            <w:tcW w:w="789" w:type="dxa"/>
            <w:tcBorders>
              <w:bottom w:val="single" w:sz="8" w:space="0" w:color="000000"/>
              <w:right w:val="single" w:sz="8" w:space="0" w:color="000000"/>
            </w:tcBorders>
          </w:tcPr>
          <w:p w14:paraId="3755F574" w14:textId="77777777" w:rsidR="002449C2" w:rsidRDefault="00123961">
            <w:pPr>
              <w:jc w:val="center"/>
              <w:rPr>
                <w:rFonts w:ascii="Times New Roman" w:hAnsi="Times New Roman"/>
                <w:sz w:val="18"/>
                <w:szCs w:val="18"/>
              </w:rPr>
            </w:pPr>
            <w:r>
              <w:rPr>
                <w:rFonts w:ascii="Times New Roman" w:hAnsi="Times New Roman"/>
                <w:sz w:val="18"/>
                <w:szCs w:val="18"/>
              </w:rPr>
              <w:t>74,8</w:t>
            </w:r>
          </w:p>
        </w:tc>
        <w:tc>
          <w:tcPr>
            <w:tcW w:w="698" w:type="dxa"/>
            <w:tcBorders>
              <w:bottom w:val="single" w:sz="8" w:space="0" w:color="000000"/>
              <w:right w:val="single" w:sz="8" w:space="0" w:color="000000"/>
            </w:tcBorders>
          </w:tcPr>
          <w:p w14:paraId="77B62EAA" w14:textId="77777777" w:rsidR="002449C2" w:rsidRDefault="00123961">
            <w:pPr>
              <w:jc w:val="center"/>
              <w:rPr>
                <w:rFonts w:ascii="Times New Roman" w:hAnsi="Times New Roman"/>
                <w:sz w:val="18"/>
                <w:szCs w:val="18"/>
              </w:rPr>
            </w:pPr>
            <w:r>
              <w:rPr>
                <w:rFonts w:ascii="Times New Roman" w:hAnsi="Times New Roman"/>
                <w:sz w:val="18"/>
                <w:szCs w:val="18"/>
              </w:rPr>
              <w:t>275,2</w:t>
            </w:r>
          </w:p>
        </w:tc>
        <w:tc>
          <w:tcPr>
            <w:tcW w:w="831" w:type="dxa"/>
            <w:tcBorders>
              <w:bottom w:val="single" w:sz="8" w:space="0" w:color="000000"/>
              <w:right w:val="single" w:sz="8" w:space="0" w:color="000000"/>
            </w:tcBorders>
          </w:tcPr>
          <w:p w14:paraId="2329338F" w14:textId="77777777" w:rsidR="002449C2" w:rsidRDefault="00123961">
            <w:pPr>
              <w:jc w:val="center"/>
              <w:rPr>
                <w:rFonts w:ascii="Times New Roman" w:hAnsi="Times New Roman"/>
                <w:sz w:val="18"/>
                <w:szCs w:val="18"/>
              </w:rPr>
            </w:pPr>
            <w:r>
              <w:rPr>
                <w:rFonts w:ascii="Times New Roman" w:hAnsi="Times New Roman"/>
                <w:sz w:val="18"/>
                <w:szCs w:val="18"/>
              </w:rPr>
              <w:t>2 120,2</w:t>
            </w:r>
          </w:p>
        </w:tc>
        <w:tc>
          <w:tcPr>
            <w:tcW w:w="699" w:type="dxa"/>
            <w:tcBorders>
              <w:bottom w:val="single" w:sz="8" w:space="0" w:color="000000"/>
              <w:right w:val="single" w:sz="8" w:space="0" w:color="000000"/>
            </w:tcBorders>
          </w:tcPr>
          <w:p w14:paraId="7EABBBE7" w14:textId="77777777" w:rsidR="002449C2" w:rsidRDefault="00123961">
            <w:pPr>
              <w:jc w:val="center"/>
              <w:rPr>
                <w:rFonts w:ascii="Times New Roman" w:hAnsi="Times New Roman"/>
                <w:sz w:val="18"/>
                <w:szCs w:val="18"/>
              </w:rPr>
            </w:pPr>
            <w:r>
              <w:rPr>
                <w:rFonts w:ascii="Times New Roman" w:hAnsi="Times New Roman"/>
                <w:sz w:val="18"/>
                <w:szCs w:val="18"/>
              </w:rPr>
              <w:t>46</w:t>
            </w:r>
          </w:p>
        </w:tc>
        <w:tc>
          <w:tcPr>
            <w:tcW w:w="835" w:type="dxa"/>
            <w:tcBorders>
              <w:bottom w:val="single" w:sz="8" w:space="0" w:color="000000"/>
              <w:right w:val="single" w:sz="8" w:space="0" w:color="000000"/>
            </w:tcBorders>
          </w:tcPr>
          <w:p w14:paraId="1D548DA6" w14:textId="77777777" w:rsidR="002449C2" w:rsidRDefault="00123961">
            <w:pPr>
              <w:jc w:val="center"/>
              <w:rPr>
                <w:rFonts w:ascii="Times New Roman" w:hAnsi="Times New Roman"/>
                <w:sz w:val="18"/>
                <w:szCs w:val="18"/>
              </w:rPr>
            </w:pPr>
            <w:r>
              <w:rPr>
                <w:rFonts w:ascii="Times New Roman" w:hAnsi="Times New Roman"/>
                <w:sz w:val="18"/>
                <w:szCs w:val="18"/>
              </w:rPr>
              <w:t>118</w:t>
            </w:r>
          </w:p>
        </w:tc>
        <w:tc>
          <w:tcPr>
            <w:tcW w:w="832" w:type="dxa"/>
            <w:tcBorders>
              <w:bottom w:val="single" w:sz="8" w:space="0" w:color="000000"/>
              <w:right w:val="single" w:sz="8" w:space="0" w:color="000000"/>
            </w:tcBorders>
          </w:tcPr>
          <w:p w14:paraId="4FCACF2D" w14:textId="77777777" w:rsidR="002449C2" w:rsidRDefault="00123961">
            <w:pPr>
              <w:jc w:val="center"/>
              <w:rPr>
                <w:rFonts w:ascii="Times New Roman" w:hAnsi="Times New Roman"/>
                <w:sz w:val="18"/>
                <w:szCs w:val="18"/>
              </w:rPr>
            </w:pPr>
            <w:r>
              <w:rPr>
                <w:rFonts w:ascii="Times New Roman" w:hAnsi="Times New Roman"/>
                <w:sz w:val="18"/>
                <w:szCs w:val="18"/>
              </w:rPr>
              <w:t>792</w:t>
            </w:r>
          </w:p>
        </w:tc>
        <w:tc>
          <w:tcPr>
            <w:tcW w:w="834" w:type="dxa"/>
            <w:tcBorders>
              <w:bottom w:val="single" w:sz="8" w:space="0" w:color="000000"/>
              <w:right w:val="single" w:sz="8" w:space="0" w:color="000000"/>
            </w:tcBorders>
          </w:tcPr>
          <w:p w14:paraId="327AE231" w14:textId="77777777" w:rsidR="002449C2" w:rsidRDefault="00123961">
            <w:pPr>
              <w:jc w:val="center"/>
              <w:rPr>
                <w:rFonts w:ascii="Times New Roman" w:hAnsi="Times New Roman"/>
                <w:sz w:val="18"/>
                <w:szCs w:val="18"/>
              </w:rPr>
            </w:pPr>
            <w:r>
              <w:rPr>
                <w:rFonts w:ascii="Times New Roman" w:hAnsi="Times New Roman"/>
                <w:sz w:val="18"/>
                <w:szCs w:val="18"/>
              </w:rPr>
              <w:t>279</w:t>
            </w:r>
          </w:p>
        </w:tc>
        <w:tc>
          <w:tcPr>
            <w:tcW w:w="970" w:type="dxa"/>
            <w:tcBorders>
              <w:bottom w:val="single" w:sz="8" w:space="0" w:color="000000"/>
              <w:right w:val="single" w:sz="8" w:space="0" w:color="000000"/>
            </w:tcBorders>
          </w:tcPr>
          <w:p w14:paraId="2F443A68" w14:textId="77777777" w:rsidR="002449C2" w:rsidRDefault="00123961">
            <w:pPr>
              <w:jc w:val="center"/>
              <w:rPr>
                <w:rFonts w:ascii="Times New Roman" w:hAnsi="Times New Roman"/>
                <w:sz w:val="18"/>
                <w:szCs w:val="18"/>
              </w:rPr>
            </w:pPr>
            <w:r>
              <w:rPr>
                <w:rFonts w:ascii="Times New Roman" w:hAnsi="Times New Roman"/>
                <w:sz w:val="18"/>
                <w:szCs w:val="18"/>
              </w:rPr>
              <w:t>939</w:t>
            </w:r>
          </w:p>
        </w:tc>
        <w:tc>
          <w:tcPr>
            <w:tcW w:w="1016" w:type="dxa"/>
            <w:tcBorders>
              <w:bottom w:val="single" w:sz="8" w:space="0" w:color="000000"/>
              <w:right w:val="single" w:sz="8" w:space="0" w:color="000000"/>
            </w:tcBorders>
          </w:tcPr>
          <w:p w14:paraId="678181FE" w14:textId="77777777" w:rsidR="002449C2" w:rsidRDefault="00123961">
            <w:pPr>
              <w:jc w:val="center"/>
              <w:rPr>
                <w:rFonts w:ascii="Times New Roman" w:hAnsi="Times New Roman"/>
                <w:sz w:val="18"/>
                <w:szCs w:val="18"/>
              </w:rPr>
            </w:pPr>
            <w:r>
              <w:rPr>
                <w:rFonts w:ascii="Times New Roman" w:hAnsi="Times New Roman"/>
                <w:sz w:val="18"/>
                <w:szCs w:val="18"/>
              </w:rPr>
              <w:t>9 596</w:t>
            </w:r>
          </w:p>
        </w:tc>
      </w:tr>
    </w:tbl>
    <w:p w14:paraId="2F36C72B" w14:textId="77777777" w:rsidR="002449C2" w:rsidRDefault="002449C2">
      <w:pPr>
        <w:tabs>
          <w:tab w:val="left" w:pos="9356"/>
        </w:tabs>
        <w:spacing w:after="0" w:line="240" w:lineRule="auto"/>
        <w:rPr>
          <w:rFonts w:ascii="Times New Roman" w:hAnsi="Times New Roman"/>
          <w:lang w:eastAsia="en-US"/>
        </w:rPr>
      </w:pPr>
    </w:p>
    <w:p w14:paraId="63838CDE" w14:textId="77777777" w:rsidR="002449C2" w:rsidRDefault="00123961">
      <w:pPr>
        <w:tabs>
          <w:tab w:val="left" w:pos="9356"/>
        </w:tabs>
        <w:spacing w:after="0" w:line="240" w:lineRule="auto"/>
        <w:rPr>
          <w:rFonts w:ascii="Times New Roman" w:hAnsi="Times New Roman"/>
          <w:lang w:eastAsia="en-US"/>
        </w:rPr>
      </w:pPr>
      <w:r>
        <w:rPr>
          <w:rFonts w:ascii="Times New Roman" w:hAnsi="Times New Roman"/>
          <w:lang w:eastAsia="en-US"/>
        </w:rPr>
        <w:t>ПРИМЕЧАНИЕ:</w:t>
      </w:r>
    </w:p>
    <w:p w14:paraId="48C00F18" w14:textId="77777777" w:rsidR="002449C2" w:rsidRDefault="00123961">
      <w:pPr>
        <w:tabs>
          <w:tab w:val="left" w:pos="993"/>
          <w:tab w:val="left" w:pos="1276"/>
          <w:tab w:val="left" w:pos="1418"/>
          <w:tab w:val="left" w:pos="1843"/>
          <w:tab w:val="left" w:pos="3119"/>
          <w:tab w:val="left" w:pos="3402"/>
          <w:tab w:val="left" w:pos="9356"/>
        </w:tabs>
        <w:spacing w:after="0" w:line="240" w:lineRule="auto"/>
        <w:ind w:firstLine="426"/>
        <w:contextualSpacing/>
        <w:jc w:val="both"/>
        <w:rPr>
          <w:rFonts w:ascii="Times New Roman" w:hAnsi="Times New Roman"/>
          <w:i/>
          <w:lang w:eastAsia="en-US"/>
        </w:rPr>
      </w:pPr>
      <w:r>
        <w:rPr>
          <w:rFonts w:ascii="Times New Roman" w:hAnsi="Times New Roman"/>
          <w:i/>
          <w:lang w:eastAsia="en-US"/>
        </w:rPr>
        <w:t>приобретено - весь фактический объем приобретенных электросетевых активов в течение приобретено - весь фактический объем приобретенных электросетевых активов в течение календарного периода;</w:t>
      </w:r>
    </w:p>
    <w:p w14:paraId="0B0FDB85" w14:textId="77777777" w:rsidR="002449C2" w:rsidRDefault="00123961">
      <w:pPr>
        <w:tabs>
          <w:tab w:val="left" w:pos="993"/>
          <w:tab w:val="left" w:pos="1276"/>
          <w:tab w:val="left" w:pos="1418"/>
          <w:tab w:val="left" w:pos="1843"/>
          <w:tab w:val="left" w:pos="3119"/>
          <w:tab w:val="left" w:pos="3402"/>
          <w:tab w:val="left" w:pos="9356"/>
        </w:tabs>
        <w:spacing w:after="0" w:line="240" w:lineRule="auto"/>
        <w:ind w:firstLine="426"/>
        <w:contextualSpacing/>
        <w:jc w:val="both"/>
        <w:rPr>
          <w:rFonts w:ascii="Times New Roman" w:hAnsi="Times New Roman"/>
          <w:i/>
          <w:lang w:eastAsia="en-US"/>
        </w:rPr>
      </w:pPr>
      <w:r>
        <w:rPr>
          <w:rFonts w:ascii="Times New Roman" w:hAnsi="Times New Roman"/>
          <w:i/>
          <w:lang w:eastAsia="en-US"/>
        </w:rPr>
        <w:t>арендовано - весь фактический объем арендуемых электросетевых активов на конец периода (т.е. все действующие договоры, в т.ч. ранее заключенные, количество действующих сделок на конец периода);</w:t>
      </w:r>
    </w:p>
    <w:p w14:paraId="7A6541F3" w14:textId="77777777" w:rsidR="002449C2" w:rsidRDefault="00123961">
      <w:pPr>
        <w:tabs>
          <w:tab w:val="left" w:pos="993"/>
          <w:tab w:val="left" w:pos="1276"/>
          <w:tab w:val="left" w:pos="1418"/>
          <w:tab w:val="left" w:pos="1843"/>
          <w:tab w:val="left" w:pos="3119"/>
          <w:tab w:val="left" w:pos="3402"/>
          <w:tab w:val="left" w:pos="9356"/>
        </w:tabs>
        <w:spacing w:after="0" w:line="240" w:lineRule="auto"/>
        <w:ind w:firstLine="426"/>
        <w:contextualSpacing/>
        <w:jc w:val="both"/>
        <w:rPr>
          <w:rFonts w:ascii="Times New Roman" w:hAnsi="Times New Roman"/>
          <w:i/>
          <w:lang w:eastAsia="en-US"/>
        </w:rPr>
      </w:pPr>
      <w:r>
        <w:rPr>
          <w:rFonts w:ascii="Times New Roman" w:hAnsi="Times New Roman"/>
          <w:i/>
          <w:lang w:eastAsia="en-US"/>
        </w:rPr>
        <w:t>прочее (постоянные права владения и пользования) -  все фактическое приобретение имущества в течение календарного периода;</w:t>
      </w:r>
    </w:p>
    <w:p w14:paraId="199FEFCE" w14:textId="77777777" w:rsidR="002449C2" w:rsidRDefault="00123961">
      <w:pPr>
        <w:tabs>
          <w:tab w:val="left" w:pos="993"/>
          <w:tab w:val="left" w:pos="1276"/>
          <w:tab w:val="left" w:pos="1418"/>
          <w:tab w:val="left" w:pos="1843"/>
          <w:tab w:val="left" w:pos="3119"/>
          <w:tab w:val="left" w:pos="3402"/>
          <w:tab w:val="left" w:pos="9356"/>
        </w:tabs>
        <w:spacing w:after="0" w:line="240" w:lineRule="auto"/>
        <w:ind w:firstLine="426"/>
        <w:contextualSpacing/>
        <w:jc w:val="both"/>
        <w:rPr>
          <w:rFonts w:ascii="Times New Roman" w:hAnsi="Times New Roman"/>
          <w:i/>
          <w:lang w:eastAsia="en-US"/>
        </w:rPr>
      </w:pPr>
      <w:r>
        <w:rPr>
          <w:rFonts w:ascii="Times New Roman" w:hAnsi="Times New Roman"/>
          <w:i/>
          <w:lang w:eastAsia="en-US"/>
        </w:rPr>
        <w:t>прочее (временные права владения и пользования) - все действующие договоры на конец периода, в т.ч. ранее заключенные;</w:t>
      </w:r>
    </w:p>
    <w:p w14:paraId="27BF744D" w14:textId="77777777" w:rsidR="002449C2" w:rsidRDefault="002449C2">
      <w:pPr>
        <w:spacing w:after="0" w:line="259" w:lineRule="auto"/>
        <w:ind w:firstLine="709"/>
        <w:jc w:val="both"/>
        <w:rPr>
          <w:rFonts w:ascii="Times New Roman" w:hAnsi="Times New Roman"/>
          <w:sz w:val="26"/>
          <w:szCs w:val="26"/>
          <w:lang w:eastAsia="en-US"/>
        </w:rPr>
      </w:pPr>
    </w:p>
    <w:p w14:paraId="76DD65DE" w14:textId="77777777" w:rsidR="002449C2" w:rsidRDefault="002449C2">
      <w:pPr>
        <w:spacing w:after="0" w:line="259" w:lineRule="auto"/>
        <w:ind w:firstLine="709"/>
        <w:jc w:val="both"/>
        <w:rPr>
          <w:rFonts w:ascii="Times New Roman" w:hAnsi="Times New Roman"/>
          <w:sz w:val="26"/>
          <w:szCs w:val="26"/>
          <w:lang w:eastAsia="en-US"/>
        </w:rPr>
      </w:pPr>
    </w:p>
    <w:p w14:paraId="2699E2D2" w14:textId="77777777" w:rsidR="002449C2" w:rsidRDefault="002449C2">
      <w:pPr>
        <w:spacing w:after="0" w:line="259" w:lineRule="auto"/>
        <w:ind w:firstLine="709"/>
        <w:jc w:val="both"/>
        <w:rPr>
          <w:rFonts w:ascii="Times New Roman" w:hAnsi="Times New Roman"/>
          <w:sz w:val="26"/>
          <w:szCs w:val="26"/>
          <w:lang w:eastAsia="en-US"/>
        </w:rPr>
      </w:pPr>
    </w:p>
    <w:p w14:paraId="789F5ECA" w14:textId="77777777" w:rsidR="002449C2" w:rsidRDefault="002449C2">
      <w:pPr>
        <w:spacing w:after="0" w:line="259" w:lineRule="auto"/>
        <w:ind w:firstLine="709"/>
        <w:jc w:val="both"/>
        <w:rPr>
          <w:rFonts w:ascii="Times New Roman" w:hAnsi="Times New Roman"/>
          <w:sz w:val="26"/>
          <w:szCs w:val="26"/>
          <w:lang w:eastAsia="en-US"/>
        </w:rPr>
      </w:pPr>
    </w:p>
    <w:p w14:paraId="150456AF" w14:textId="77777777" w:rsidR="002449C2" w:rsidRDefault="002449C2">
      <w:pPr>
        <w:spacing w:after="0" w:line="259" w:lineRule="auto"/>
        <w:ind w:firstLine="709"/>
        <w:jc w:val="both"/>
        <w:rPr>
          <w:rFonts w:ascii="Times New Roman" w:hAnsi="Times New Roman"/>
          <w:sz w:val="26"/>
          <w:szCs w:val="26"/>
          <w:lang w:eastAsia="en-US"/>
        </w:rPr>
      </w:pPr>
    </w:p>
    <w:p w14:paraId="627E2F3F" w14:textId="77777777" w:rsidR="002449C2" w:rsidRDefault="00123961">
      <w:pPr>
        <w:shd w:val="clear" w:color="auto" w:fill="FFFFFF"/>
        <w:spacing w:after="0" w:line="259" w:lineRule="auto"/>
        <w:ind w:firstLine="709"/>
        <w:jc w:val="both"/>
        <w:rPr>
          <w:rFonts w:ascii="Times New Roman" w:hAnsi="Times New Roman"/>
          <w:sz w:val="26"/>
          <w:szCs w:val="26"/>
          <w:lang w:eastAsia="en-US"/>
        </w:rPr>
      </w:pPr>
      <w:r>
        <w:br w:type="page"/>
      </w:r>
    </w:p>
    <w:p w14:paraId="1DE75C28" w14:textId="77777777" w:rsidR="002449C2" w:rsidRDefault="00123961">
      <w:pPr>
        <w:keepNext/>
        <w:pBdr>
          <w:bottom w:val="single" w:sz="4" w:space="1" w:color="622423"/>
        </w:pBdr>
        <w:shd w:val="clear" w:color="auto" w:fill="FFFFFF"/>
        <w:spacing w:line="252" w:lineRule="auto"/>
        <w:jc w:val="center"/>
        <w:outlineLvl w:val="1"/>
        <w:rPr>
          <w:rFonts w:ascii="Times New Roman" w:eastAsia="Times New Roman" w:hAnsi="Times New Roman"/>
          <w:caps/>
          <w:color w:val="632423"/>
          <w:spacing w:val="15"/>
          <w:sz w:val="24"/>
          <w:szCs w:val="24"/>
          <w:lang w:eastAsia="en-US" w:bidi="en-US"/>
        </w:rPr>
      </w:pPr>
      <w:bookmarkStart w:id="77" w:name="_Toc33542752"/>
      <w:bookmarkStart w:id="78" w:name="_Toc536544516"/>
      <w:bookmarkStart w:id="79" w:name="_Toc511807231"/>
      <w:bookmarkStart w:id="80" w:name="_Toc195174936"/>
      <w:bookmarkStart w:id="81" w:name="_Toc196143028"/>
      <w:bookmarkEnd w:id="77"/>
      <w:r>
        <w:rPr>
          <w:rFonts w:ascii="Times New Roman" w:eastAsia="Times New Roman" w:hAnsi="Times New Roman"/>
          <w:caps/>
          <w:color w:val="632423"/>
          <w:spacing w:val="15"/>
          <w:sz w:val="24"/>
          <w:szCs w:val="24"/>
          <w:lang w:eastAsia="en-US" w:bidi="en-US"/>
        </w:rPr>
        <w:t>Информационные технологии</w:t>
      </w:r>
      <w:bookmarkEnd w:id="78"/>
      <w:bookmarkEnd w:id="79"/>
      <w:bookmarkEnd w:id="80"/>
      <w:bookmarkEnd w:id="81"/>
      <w:r>
        <w:rPr>
          <w:rFonts w:ascii="Times New Roman" w:eastAsia="Times New Roman" w:hAnsi="Times New Roman"/>
          <w:caps/>
          <w:color w:val="632423"/>
          <w:spacing w:val="15"/>
          <w:sz w:val="24"/>
          <w:szCs w:val="24"/>
          <w:lang w:eastAsia="en-US" w:bidi="en-US"/>
        </w:rPr>
        <w:t xml:space="preserve"> </w:t>
      </w:r>
    </w:p>
    <w:p w14:paraId="4FC71CF5" w14:textId="77777777" w:rsidR="002449C2" w:rsidRDefault="002449C2">
      <w:pPr>
        <w:shd w:val="clear" w:color="auto" w:fill="FFFFFF"/>
        <w:spacing w:after="0" w:line="240" w:lineRule="auto"/>
        <w:ind w:firstLine="567"/>
        <w:jc w:val="both"/>
        <w:rPr>
          <w:rFonts w:ascii="Times New Roman" w:hAnsi="Times New Roman"/>
          <w:sz w:val="26"/>
          <w:szCs w:val="26"/>
          <w:lang w:eastAsia="en-US"/>
        </w:rPr>
      </w:pPr>
    </w:p>
    <w:p w14:paraId="24AEC636"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ПАО «Россети Юг» является современной энергетической компанией, эффективность деятельности которой существенно зависит от применения информационных технологий и средств автоматизации. В современных условиях деятельность электросетевого комплекса в ПАО «Россети Юг» нацелена на достижение нового уровня в области обеспечения надежности и бесперебойности энергоснабжения, доступности, эффективности и клиентоориентированности компании, которая основывается на внедрении цифровых технологий и цифровизации сетей в электросетевом комплексе.</w:t>
      </w:r>
    </w:p>
    <w:p w14:paraId="5FF6CBF9" w14:textId="77777777" w:rsidR="002449C2" w:rsidRDefault="00123961">
      <w:pPr>
        <w:shd w:val="clear" w:color="auto" w:fill="FFFFFF"/>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Внедрение новых, развитие существующих и поддержание уже реализованных проектов в части информационных технологий относится к непрерывной деятельности, которая проводится в соответствии с Программой «Цифровая трансформация ПАО «Россети Юг» 2020 - 2030 гг.», включающую План мероприятий перехода ПАО «Россети Юг» на преимущественное использование отечественного программного обеспечения (актуализирована в 2024 году и утверждена решением Совета директоров ПАО «Россети Юг» от 15.07.2024 (протокол №583/2024), далее – ПЦТ) и Стратегией цифровой трансформации группы компаний «Россети» на период до 2030 года (протокол Совета директоров Публичного акционерного общества «Федеральная сетевая компания - Россети» от 09.09.2024 №663/4). Данные организационно-распорядительные документы определяют следующие основные цели развития информационных технологий компании, стратегические инициативы, направления технологических и организационных изменений работы в компании для изыскания новых механизмов, способов, алгоритмов корпоративного и технологического управления процессами компании и их последующей трансформации для повышения надежности, эффективности, качества и доступности оказания услуг по передаче электрической энергии и технологическому присоединению потребителей, а также формирования новой инфраструктуры для максимально эффективного процесса передачи электрической энергии между субъектами электроэнергетики:</w:t>
      </w:r>
    </w:p>
    <w:p w14:paraId="19FBFECE" w14:textId="77777777" w:rsidR="002449C2" w:rsidRDefault="00123961">
      <w:pPr>
        <w:numPr>
          <w:ilvl w:val="0"/>
          <w:numId w:val="55"/>
        </w:numPr>
        <w:shd w:val="clear" w:color="auto" w:fill="FFFFFF"/>
        <w:spacing w:after="0" w:line="240" w:lineRule="auto"/>
        <w:ind w:left="1134"/>
        <w:jc w:val="both"/>
        <w:rPr>
          <w:rFonts w:ascii="Times New Roman" w:hAnsi="Times New Roman"/>
          <w:sz w:val="26"/>
          <w:szCs w:val="26"/>
          <w:lang w:eastAsia="en-US"/>
        </w:rPr>
      </w:pPr>
      <w:r>
        <w:rPr>
          <w:rFonts w:ascii="Times New Roman" w:hAnsi="Times New Roman"/>
          <w:sz w:val="26"/>
          <w:szCs w:val="26"/>
          <w:lang w:eastAsia="en-US"/>
        </w:rPr>
        <w:t>мероприятия по обеспечению кибербезопасности, развитию системы информационной безопасности;</w:t>
      </w:r>
    </w:p>
    <w:p w14:paraId="736AD529" w14:textId="77777777" w:rsidR="002449C2" w:rsidRDefault="00123961">
      <w:pPr>
        <w:numPr>
          <w:ilvl w:val="0"/>
          <w:numId w:val="55"/>
        </w:numPr>
        <w:shd w:val="clear" w:color="auto" w:fill="FFFFFF"/>
        <w:spacing w:after="0" w:line="240" w:lineRule="auto"/>
        <w:ind w:left="1134"/>
        <w:jc w:val="both"/>
        <w:rPr>
          <w:rFonts w:ascii="Times New Roman" w:hAnsi="Times New Roman"/>
          <w:sz w:val="26"/>
          <w:szCs w:val="26"/>
          <w:lang w:eastAsia="en-US"/>
        </w:rPr>
      </w:pPr>
      <w:r>
        <w:rPr>
          <w:rFonts w:ascii="Times New Roman" w:hAnsi="Times New Roman"/>
          <w:sz w:val="26"/>
          <w:szCs w:val="26"/>
          <w:lang w:eastAsia="en-US"/>
        </w:rPr>
        <w:t>мероприятий по переходу на преимущественное использование отечественного программного обеспечения;</w:t>
      </w:r>
    </w:p>
    <w:p w14:paraId="64808C2A" w14:textId="77777777" w:rsidR="002449C2" w:rsidRDefault="002449C2">
      <w:pPr>
        <w:numPr>
          <w:ilvl w:val="0"/>
          <w:numId w:val="55"/>
        </w:numPr>
        <w:shd w:val="clear" w:color="auto" w:fill="FFFFFF"/>
        <w:spacing w:after="0" w:line="240" w:lineRule="auto"/>
        <w:ind w:left="0" w:firstLine="709"/>
        <w:jc w:val="both"/>
        <w:rPr>
          <w:rFonts w:ascii="Times New Roman" w:hAnsi="Times New Roman"/>
          <w:sz w:val="26"/>
          <w:szCs w:val="26"/>
          <w:lang w:eastAsia="en-US"/>
        </w:rPr>
      </w:pPr>
    </w:p>
    <w:p w14:paraId="328E1448" w14:textId="77777777" w:rsidR="002449C2" w:rsidRDefault="00123961">
      <w:pPr>
        <w:numPr>
          <w:ilvl w:val="0"/>
          <w:numId w:val="55"/>
        </w:numPr>
        <w:shd w:val="clear" w:color="auto" w:fill="FFFFFF"/>
        <w:spacing w:after="0" w:line="240" w:lineRule="auto"/>
        <w:ind w:left="0" w:firstLine="709"/>
        <w:jc w:val="both"/>
        <w:rPr>
          <w:rFonts w:ascii="Times New Roman" w:hAnsi="Times New Roman"/>
          <w:sz w:val="26"/>
          <w:szCs w:val="26"/>
          <w:lang w:eastAsia="en-US"/>
        </w:rPr>
      </w:pPr>
      <w:r>
        <w:rPr>
          <w:rFonts w:ascii="Times New Roman" w:hAnsi="Times New Roman"/>
          <w:sz w:val="26"/>
          <w:szCs w:val="26"/>
          <w:lang w:eastAsia="en-US"/>
        </w:rPr>
        <w:t>внедрение корпоративных информационных систем управления услугами по учету и транспортировке электроэнергии и управления производственными активами;</w:t>
      </w:r>
    </w:p>
    <w:p w14:paraId="0FACCCA6" w14:textId="77777777" w:rsidR="002449C2" w:rsidRDefault="00123961">
      <w:pPr>
        <w:numPr>
          <w:ilvl w:val="0"/>
          <w:numId w:val="55"/>
        </w:numPr>
        <w:shd w:val="clear" w:color="auto" w:fill="FFFFFF"/>
        <w:spacing w:after="0" w:line="240" w:lineRule="auto"/>
        <w:ind w:left="0" w:firstLine="709"/>
        <w:jc w:val="both"/>
        <w:rPr>
          <w:rFonts w:ascii="Times New Roman" w:hAnsi="Times New Roman"/>
          <w:sz w:val="26"/>
          <w:szCs w:val="26"/>
          <w:lang w:eastAsia="en-US"/>
        </w:rPr>
      </w:pPr>
      <w:r>
        <w:rPr>
          <w:rFonts w:ascii="Times New Roman" w:hAnsi="Times New Roman"/>
          <w:sz w:val="26"/>
          <w:szCs w:val="26"/>
          <w:lang w:eastAsia="en-US"/>
        </w:rPr>
        <w:t>внедрение и развитие корпоративных централизованных информационных систем;</w:t>
      </w:r>
    </w:p>
    <w:p w14:paraId="7333C282" w14:textId="77777777" w:rsidR="002449C2" w:rsidRDefault="00123961">
      <w:pPr>
        <w:numPr>
          <w:ilvl w:val="0"/>
          <w:numId w:val="55"/>
        </w:numPr>
        <w:shd w:val="clear" w:color="auto" w:fill="FFFFFF"/>
        <w:spacing w:after="0" w:line="240" w:lineRule="auto"/>
        <w:ind w:left="0" w:firstLine="709"/>
        <w:jc w:val="both"/>
        <w:rPr>
          <w:rFonts w:ascii="Times New Roman" w:hAnsi="Times New Roman"/>
          <w:sz w:val="26"/>
          <w:szCs w:val="26"/>
          <w:lang w:eastAsia="en-US"/>
        </w:rPr>
      </w:pPr>
      <w:r>
        <w:rPr>
          <w:rFonts w:ascii="Times New Roman" w:hAnsi="Times New Roman"/>
          <w:sz w:val="26"/>
          <w:szCs w:val="26"/>
          <w:lang w:eastAsia="en-US"/>
        </w:rPr>
        <w:t>внедрение и развитие системы финансово-хозяйственной деятельности;</w:t>
      </w:r>
    </w:p>
    <w:p w14:paraId="23B9FD00" w14:textId="77777777" w:rsidR="002449C2" w:rsidRDefault="00123961">
      <w:pPr>
        <w:numPr>
          <w:ilvl w:val="0"/>
          <w:numId w:val="55"/>
        </w:numPr>
        <w:shd w:val="clear" w:color="auto" w:fill="FFFFFF"/>
        <w:spacing w:after="0" w:line="240" w:lineRule="auto"/>
        <w:ind w:left="0" w:firstLine="709"/>
        <w:jc w:val="both"/>
        <w:rPr>
          <w:rFonts w:ascii="Times New Roman" w:hAnsi="Times New Roman"/>
          <w:sz w:val="26"/>
          <w:szCs w:val="26"/>
          <w:lang w:eastAsia="en-US"/>
        </w:rPr>
      </w:pPr>
      <w:r>
        <w:rPr>
          <w:rFonts w:ascii="Times New Roman" w:hAnsi="Times New Roman"/>
          <w:sz w:val="26"/>
          <w:szCs w:val="26"/>
          <w:lang w:eastAsia="en-US"/>
        </w:rPr>
        <w:t>оптимизация и развития ИТТ-инфраструктуры;</w:t>
      </w:r>
    </w:p>
    <w:p w14:paraId="312BA192" w14:textId="77777777" w:rsidR="002449C2" w:rsidRDefault="00123961">
      <w:pPr>
        <w:numPr>
          <w:ilvl w:val="0"/>
          <w:numId w:val="55"/>
        </w:numPr>
        <w:shd w:val="clear" w:color="auto" w:fill="FFFFFF"/>
        <w:spacing w:after="0" w:line="240" w:lineRule="auto"/>
        <w:ind w:left="0" w:firstLine="709"/>
        <w:jc w:val="both"/>
        <w:rPr>
          <w:rFonts w:ascii="Times New Roman" w:hAnsi="Times New Roman"/>
          <w:sz w:val="26"/>
          <w:szCs w:val="26"/>
          <w:lang w:eastAsia="en-US"/>
        </w:rPr>
      </w:pPr>
      <w:r>
        <w:rPr>
          <w:rFonts w:ascii="Times New Roman" w:hAnsi="Times New Roman"/>
          <w:sz w:val="26"/>
          <w:szCs w:val="26"/>
          <w:lang w:eastAsia="en-US"/>
        </w:rPr>
        <w:t>развитие автоматизированных систем технологического управления;</w:t>
      </w:r>
    </w:p>
    <w:p w14:paraId="71E23D32" w14:textId="77777777" w:rsidR="002449C2" w:rsidRDefault="00123961">
      <w:pPr>
        <w:numPr>
          <w:ilvl w:val="0"/>
          <w:numId w:val="55"/>
        </w:numPr>
        <w:shd w:val="clear" w:color="auto" w:fill="FFFFFF"/>
        <w:spacing w:after="0" w:line="240" w:lineRule="auto"/>
        <w:ind w:left="0" w:firstLine="709"/>
        <w:jc w:val="both"/>
        <w:rPr>
          <w:rFonts w:ascii="Times New Roman" w:hAnsi="Times New Roman"/>
          <w:sz w:val="26"/>
          <w:szCs w:val="26"/>
          <w:lang w:eastAsia="en-US"/>
        </w:rPr>
      </w:pPr>
      <w:r>
        <w:rPr>
          <w:rFonts w:ascii="Times New Roman" w:hAnsi="Times New Roman"/>
          <w:sz w:val="26"/>
          <w:szCs w:val="26"/>
          <w:lang w:eastAsia="en-US"/>
        </w:rPr>
        <w:t>развития телекоммуникационного обеспечения;</w:t>
      </w:r>
    </w:p>
    <w:p w14:paraId="0F529B3B" w14:textId="77777777" w:rsidR="002449C2" w:rsidRDefault="00123961">
      <w:pPr>
        <w:numPr>
          <w:ilvl w:val="0"/>
          <w:numId w:val="55"/>
        </w:numPr>
        <w:shd w:val="clear" w:color="auto" w:fill="FFFFFF"/>
        <w:spacing w:after="0" w:line="240" w:lineRule="auto"/>
        <w:ind w:left="0" w:firstLine="709"/>
        <w:jc w:val="both"/>
        <w:rPr>
          <w:rFonts w:ascii="Times New Roman" w:hAnsi="Times New Roman"/>
          <w:sz w:val="26"/>
          <w:szCs w:val="26"/>
          <w:lang w:eastAsia="en-US"/>
        </w:rPr>
      </w:pPr>
      <w:r>
        <w:rPr>
          <w:rFonts w:ascii="Times New Roman" w:hAnsi="Times New Roman"/>
          <w:sz w:val="26"/>
          <w:szCs w:val="26"/>
          <w:lang w:eastAsia="en-US"/>
        </w:rPr>
        <w:t>оптимизации бизнес-процессов ИТТ.</w:t>
      </w:r>
    </w:p>
    <w:p w14:paraId="6F19E7D8"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2025 году основным направлением развития IT является обеспечение клиентоориентированности компании, внедрение систем интеллектуального учета электроэнергии, развитие СУПА, реализация мероприятий перехода ПАО «Россети Юг» на преимущественное использование отечественного программного обеспечения на период 2022-2025 годы, создание единого информационного пространства между ПАО «Россети Юг» и ПАО «Россети». Этапы выполнения данных задач заключены в следующих основных мероприятиях по развитию и внедрению программных комплексов:</w:t>
      </w:r>
    </w:p>
    <w:p w14:paraId="4FE03943" w14:textId="77777777" w:rsidR="002449C2" w:rsidRDefault="00123961">
      <w:pPr>
        <w:numPr>
          <w:ilvl w:val="0"/>
          <w:numId w:val="53"/>
        </w:numPr>
        <w:shd w:val="clear" w:color="auto" w:fill="FFFFFF"/>
        <w:spacing w:after="0" w:line="240" w:lineRule="auto"/>
        <w:ind w:left="0"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развитие системы управления производственными активами на базе «1С: Управление Холдингом» в соответствии с планом развития СУПА ПАО «Россети», развитие единой корпоративной системы на базе «1С: Управление холдингом» для нужд ПАО «Россети Юг» (автоматизация подсистем «Технологическое присоединение», «Капитальное строительство», «Управление закупками и МТО», «Казначейство», «Инвестиционные проекты», «Учет по МСФО»);                                                           </w:t>
      </w:r>
    </w:p>
    <w:p w14:paraId="6801997A" w14:textId="77777777" w:rsidR="002449C2" w:rsidRDefault="00123961">
      <w:pPr>
        <w:numPr>
          <w:ilvl w:val="0"/>
          <w:numId w:val="53"/>
        </w:numPr>
        <w:shd w:val="clear" w:color="auto" w:fill="FFFFFF"/>
        <w:spacing w:after="0" w:line="240" w:lineRule="auto"/>
        <w:ind w:left="0"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продолжение работ по внедрению внешнего и внутреннего электронного документооборота в единой корпоративной системе на базе «1С: Управление Холдингом»;</w:t>
      </w:r>
    </w:p>
    <w:p w14:paraId="2069CADE" w14:textId="77777777" w:rsidR="002449C2" w:rsidRDefault="00123961">
      <w:pPr>
        <w:numPr>
          <w:ilvl w:val="0"/>
          <w:numId w:val="53"/>
        </w:numPr>
        <w:shd w:val="clear" w:color="auto" w:fill="FFFFFF"/>
        <w:spacing w:after="0" w:line="240" w:lineRule="auto"/>
        <w:ind w:left="0"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продолжение работ по внедрению интеграционного решения по бизнес-процессам оказания услуг и взаимодействия с клиентами в рамках создания Единой платформы взаимодействия с клиентами группы компаний «Россети» Сегмент ПАО «Россети Юг»;</w:t>
      </w:r>
      <w:r>
        <w:rPr>
          <w:sz w:val="26"/>
          <w:szCs w:val="26"/>
        </w:rPr>
        <w:t xml:space="preserve"> </w:t>
      </w:r>
    </w:p>
    <w:p w14:paraId="15986F8E" w14:textId="77777777" w:rsidR="002449C2" w:rsidRDefault="00123961">
      <w:pPr>
        <w:numPr>
          <w:ilvl w:val="0"/>
          <w:numId w:val="53"/>
        </w:numPr>
        <w:shd w:val="clear" w:color="auto" w:fill="FFFFFF"/>
        <w:spacing w:after="0" w:line="240" w:lineRule="auto"/>
        <w:ind w:left="0"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реализация мероприятий по переводу функционала системы реализации услуг транспорта электроэнергии на базе SAP IS-U в систему группы компаний ПАО "Россети" учета передачи и распределения электроэнергии на отечественной платформе (ЕИС «Россети Баланс»), соответствующему функциональным требованиям, утвержденным приказом ПАО «Россети» от 15.07.2020 №299;</w:t>
      </w:r>
    </w:p>
    <w:p w14:paraId="13FC6A50" w14:textId="77777777" w:rsidR="002449C2" w:rsidRDefault="00123961">
      <w:pPr>
        <w:pStyle w:val="afff6"/>
        <w:numPr>
          <w:ilvl w:val="0"/>
          <w:numId w:val="53"/>
        </w:numPr>
        <w:ind w:left="0" w:firstLine="709"/>
        <w:jc w:val="both"/>
        <w:rPr>
          <w:rFonts w:eastAsia="Times New Roman"/>
          <w:sz w:val="26"/>
          <w:szCs w:val="26"/>
          <w:lang w:eastAsia="ru-RU"/>
        </w:rPr>
      </w:pPr>
      <w:r>
        <w:rPr>
          <w:rFonts w:eastAsia="Times New Roman"/>
          <w:sz w:val="26"/>
          <w:szCs w:val="26"/>
          <w:lang w:eastAsia="ru-RU"/>
        </w:rPr>
        <w:t>реализация мероприятий по проведению торгово-закупочных мероприятий для начала работ по внедрению внедрение ПТК «Эксплуатация» с интеграцией со сторонними системами предназначенного для автоматизации процессов технического обслуживания эксплуатации вторичных устройств (РЗА, СИ, АСУ ТП);</w:t>
      </w:r>
    </w:p>
    <w:p w14:paraId="55873CBA" w14:textId="77777777" w:rsidR="002449C2" w:rsidRDefault="00123961">
      <w:pPr>
        <w:numPr>
          <w:ilvl w:val="0"/>
          <w:numId w:val="53"/>
        </w:numPr>
        <w:shd w:val="clear" w:color="auto" w:fill="FFFFFF"/>
        <w:spacing w:after="0" w:line="240" w:lineRule="auto"/>
        <w:ind w:left="0" w:firstLine="709"/>
        <w:jc w:val="both"/>
        <w:rPr>
          <w:rFonts w:ascii="Times New Roman" w:eastAsia="Times New Roman" w:hAnsi="Times New Roman"/>
          <w:sz w:val="26"/>
          <w:szCs w:val="26"/>
          <w:highlight w:val="white"/>
        </w:rPr>
      </w:pPr>
      <w:r>
        <w:rPr>
          <w:rFonts w:ascii="Times New Roman" w:eastAsia="Times New Roman" w:hAnsi="Times New Roman"/>
          <w:sz w:val="26"/>
          <w:szCs w:val="26"/>
          <w:lang w:eastAsia="ru-RU"/>
        </w:rPr>
        <w:t xml:space="preserve">Внедрение единого интеграционного решения (сегмент «Россети Юг») в рамках создания Единой платформы взаимодействия с клиентами группы компаний «Россети» в части реализации версии 15 Профиля информационного обмена </w:t>
      </w:r>
    </w:p>
    <w:p w14:paraId="40319837" w14:textId="77777777" w:rsidR="002449C2" w:rsidRDefault="00123961">
      <w:pPr>
        <w:shd w:val="clear" w:color="auto" w:fill="FFFFFF"/>
        <w:spacing w:after="0" w:line="240" w:lineRule="auto"/>
        <w:ind w:firstLine="709"/>
        <w:jc w:val="both"/>
        <w:rPr>
          <w:rFonts w:ascii="Times New Roman" w:eastAsia="Times New Roman" w:hAnsi="Times New Roman"/>
          <w:sz w:val="26"/>
          <w:szCs w:val="26"/>
          <w:highlight w:val="white"/>
        </w:rPr>
      </w:pPr>
      <w:r>
        <w:rPr>
          <w:rFonts w:ascii="Times New Roman" w:eastAsia="Times New Roman" w:hAnsi="Times New Roman"/>
          <w:sz w:val="26"/>
          <w:szCs w:val="26"/>
          <w:highlight w:val="white"/>
          <w:lang w:eastAsia="ru-RU"/>
        </w:rPr>
        <w:t>В 2025 году в части ИТ-инфраструктуры запланированы следующие мероприятия:</w:t>
      </w:r>
    </w:p>
    <w:p w14:paraId="49A95E5B" w14:textId="77777777" w:rsidR="002449C2" w:rsidRDefault="00123961">
      <w:pPr>
        <w:numPr>
          <w:ilvl w:val="0"/>
          <w:numId w:val="54"/>
        </w:numPr>
        <w:shd w:val="clear" w:color="auto" w:fill="FFFFFF"/>
        <w:spacing w:after="0" w:line="240" w:lineRule="auto"/>
        <w:jc w:val="both"/>
        <w:rPr>
          <w:rFonts w:ascii="Times New Roman" w:eastAsia="Times New Roman" w:hAnsi="Times New Roman"/>
          <w:sz w:val="26"/>
          <w:szCs w:val="26"/>
          <w:highlight w:val="white"/>
        </w:rPr>
      </w:pPr>
      <w:r>
        <w:rPr>
          <w:rFonts w:ascii="Times New Roman" w:eastAsia="Times New Roman" w:hAnsi="Times New Roman"/>
          <w:sz w:val="26"/>
          <w:szCs w:val="26"/>
          <w:highlight w:val="white"/>
          <w:lang w:eastAsia="ru-RU"/>
        </w:rPr>
        <w:t>Продолжение работ по внедрению российской системы виртуализации.</w:t>
      </w:r>
    </w:p>
    <w:p w14:paraId="0195A3E0" w14:textId="77777777" w:rsidR="002449C2" w:rsidRDefault="00123961">
      <w:pPr>
        <w:numPr>
          <w:ilvl w:val="0"/>
          <w:numId w:val="54"/>
        </w:numPr>
        <w:shd w:val="clear" w:color="auto" w:fill="FFFFFF"/>
        <w:spacing w:after="0" w:line="240" w:lineRule="auto"/>
        <w:jc w:val="both"/>
        <w:rPr>
          <w:rFonts w:ascii="Times New Roman" w:eastAsia="Times New Roman" w:hAnsi="Times New Roman"/>
          <w:sz w:val="26"/>
          <w:szCs w:val="26"/>
          <w:highlight w:val="white"/>
        </w:rPr>
      </w:pPr>
      <w:r>
        <w:rPr>
          <w:rFonts w:ascii="Times New Roman" w:eastAsia="Times New Roman" w:hAnsi="Times New Roman"/>
          <w:sz w:val="26"/>
          <w:szCs w:val="26"/>
          <w:highlight w:val="white"/>
          <w:lang w:eastAsia="ru-RU"/>
        </w:rPr>
        <w:t>Продолжение работ по внедрению отечественного ПО, включающего в себя одновременно операционную систему, почтовую систему, офисный пакет и систему хранения данных и совместного редактирования документов для рабочих мест и серверов</w:t>
      </w:r>
    </w:p>
    <w:p w14:paraId="64BC818B" w14:textId="77777777" w:rsidR="002449C2" w:rsidRDefault="00123961">
      <w:pPr>
        <w:numPr>
          <w:ilvl w:val="0"/>
          <w:numId w:val="54"/>
        </w:numPr>
        <w:shd w:val="clear" w:color="auto" w:fill="FFFFFF"/>
        <w:spacing w:after="0" w:line="240" w:lineRule="auto"/>
        <w:jc w:val="both"/>
        <w:rPr>
          <w:rFonts w:ascii="Times New Roman" w:eastAsia="Times New Roman" w:hAnsi="Times New Roman"/>
          <w:sz w:val="26"/>
          <w:szCs w:val="26"/>
          <w:highlight w:val="white"/>
        </w:rPr>
      </w:pPr>
      <w:r>
        <w:rPr>
          <w:rFonts w:ascii="Times New Roman" w:eastAsia="Times New Roman" w:hAnsi="Times New Roman"/>
          <w:sz w:val="26"/>
          <w:szCs w:val="26"/>
          <w:highlight w:val="white"/>
          <w:lang w:eastAsia="ru-RU"/>
        </w:rPr>
        <w:t>Обновление структурированной кабельной системы и центров коммутации в ряде районов электрических сетей и производственных отделений электросетевого хозяйства. Это позволит обеспечить бесперебойную доступность информационных ресурсов Общества.</w:t>
      </w:r>
    </w:p>
    <w:p w14:paraId="2EC2A20A" w14:textId="77777777" w:rsidR="002449C2" w:rsidRDefault="00123961">
      <w:pPr>
        <w:numPr>
          <w:ilvl w:val="0"/>
          <w:numId w:val="54"/>
        </w:numPr>
        <w:shd w:val="clear" w:color="auto" w:fill="FFFFFF"/>
        <w:spacing w:after="0" w:line="240" w:lineRule="auto"/>
        <w:jc w:val="both"/>
        <w:rPr>
          <w:rFonts w:ascii="Times New Roman" w:eastAsia="Times New Roman" w:hAnsi="Times New Roman"/>
          <w:sz w:val="26"/>
          <w:szCs w:val="26"/>
          <w:highlight w:val="white"/>
        </w:rPr>
      </w:pPr>
      <w:r>
        <w:rPr>
          <w:rFonts w:ascii="Times New Roman" w:eastAsia="Times New Roman" w:hAnsi="Times New Roman"/>
          <w:sz w:val="26"/>
          <w:szCs w:val="26"/>
          <w:highlight w:val="white"/>
          <w:lang w:eastAsia="ru-RU"/>
        </w:rPr>
        <w:t>Закупка отечественного ИТ-оборудования, для обеспечения нужд Общества, в соответствии с требованиями директивы Правительства Российской Федерации по цифровой трансформации от 14.04.2021 № 3438п-П13 и Постановления Правительства Российской Федерации от 03.12.2020 №2013 "О минимальной доле закупок товаров российского происхождения", включенных в единый реестр российской радиоэлектронной продукции для радиоэлектронных изделий и телекоммуникации.</w:t>
      </w:r>
    </w:p>
    <w:p w14:paraId="7BCF3830" w14:textId="77777777" w:rsidR="002449C2" w:rsidRDefault="002449C2">
      <w:pPr>
        <w:shd w:val="clear" w:color="auto" w:fill="FFFFFF"/>
        <w:spacing w:after="0" w:line="240" w:lineRule="auto"/>
        <w:ind w:left="1069"/>
        <w:jc w:val="both"/>
        <w:rPr>
          <w:rFonts w:ascii="Times New Roman" w:eastAsia="Times New Roman" w:hAnsi="Times New Roman"/>
          <w:sz w:val="26"/>
          <w:szCs w:val="26"/>
          <w:highlight w:val="white"/>
        </w:rPr>
      </w:pPr>
    </w:p>
    <w:p w14:paraId="57AB927B" w14:textId="77777777" w:rsidR="002449C2" w:rsidRDefault="00123961">
      <w:pPr>
        <w:tabs>
          <w:tab w:val="left" w:pos="851"/>
        </w:tabs>
        <w:spacing w:before="120" w:after="120" w:line="240" w:lineRule="auto"/>
        <w:ind w:firstLine="567"/>
        <w:jc w:val="center"/>
        <w:rPr>
          <w:rFonts w:ascii="Times New Roman" w:hAnsi="Times New Roman"/>
          <w:b/>
          <w:color w:val="000000"/>
          <w:sz w:val="26"/>
          <w:szCs w:val="26"/>
          <w:lang w:eastAsia="en-US"/>
        </w:rPr>
      </w:pPr>
      <w:r>
        <w:rPr>
          <w:rFonts w:ascii="Times New Roman" w:hAnsi="Times New Roman"/>
          <w:b/>
          <w:color w:val="000000"/>
          <w:sz w:val="26"/>
          <w:szCs w:val="26"/>
          <w:lang w:eastAsia="en-US"/>
        </w:rPr>
        <w:t>Корпоративные и технологические бизнес-приложения</w:t>
      </w:r>
    </w:p>
    <w:p w14:paraId="6C1F5B10"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2024 году в Обществе реализованы следующие мероприятия:</w:t>
      </w:r>
    </w:p>
    <w:p w14:paraId="09F5619D"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 продолжено развитие единой корпоративной системы на базе «1С: Управление Холдингом»: автоматизация подсистем «</w:t>
      </w:r>
      <w:proofErr w:type="gramStart"/>
      <w:r>
        <w:rPr>
          <w:rFonts w:ascii="Times New Roman" w:hAnsi="Times New Roman"/>
          <w:sz w:val="26"/>
          <w:szCs w:val="26"/>
        </w:rPr>
        <w:t>Технологическое  присоединение</w:t>
      </w:r>
      <w:proofErr w:type="gramEnd"/>
      <w:r>
        <w:rPr>
          <w:rFonts w:ascii="Times New Roman" w:hAnsi="Times New Roman"/>
          <w:sz w:val="26"/>
          <w:szCs w:val="26"/>
        </w:rPr>
        <w:t>», «Капитальное строительство», «Управление закупками и МТО», «Казначейство», «Инвестиционные проекты», «Учет по МСФО»</w:t>
      </w:r>
    </w:p>
    <w:p w14:paraId="25AE6D9F"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w:t>
      </w:r>
      <w:r>
        <w:rPr>
          <w:rFonts w:ascii="Times New Roman" w:hAnsi="Times New Roman"/>
          <w:sz w:val="26"/>
          <w:szCs w:val="26"/>
        </w:rPr>
        <w:tab/>
        <w:t>Введена в промышленную эксплуатацию система планирования развития электрической сети ниже 35 кВ в пилотной зоне филиала ПАО «Россети Юг» - «Ростовэнерго» (приказ от 26.12.2024 №619);</w:t>
      </w:r>
    </w:p>
    <w:p w14:paraId="2FB03F56" w14:textId="77777777" w:rsidR="002449C2" w:rsidRDefault="002449C2">
      <w:pPr>
        <w:shd w:val="clear" w:color="auto" w:fill="FFFFFF"/>
        <w:spacing w:after="0" w:line="240" w:lineRule="auto"/>
        <w:ind w:left="708" w:firstLine="1"/>
        <w:jc w:val="both"/>
        <w:rPr>
          <w:rFonts w:ascii="Times New Roman" w:hAnsi="Times New Roman"/>
          <w:sz w:val="26"/>
          <w:szCs w:val="26"/>
        </w:rPr>
      </w:pPr>
    </w:p>
    <w:p w14:paraId="177A802A"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 введена в промышленную. эксплуатацию подсистема обмена федеративными сообщениями СЭДО;</w:t>
      </w:r>
    </w:p>
    <w:p w14:paraId="51938E65" w14:textId="77777777" w:rsidR="002449C2" w:rsidRDefault="002449C2">
      <w:pPr>
        <w:shd w:val="clear" w:color="auto" w:fill="FFFFFF"/>
        <w:spacing w:after="0" w:line="240" w:lineRule="auto"/>
        <w:ind w:left="708" w:firstLine="1"/>
        <w:jc w:val="both"/>
        <w:rPr>
          <w:rFonts w:ascii="Times New Roman" w:hAnsi="Times New Roman"/>
          <w:sz w:val="26"/>
          <w:szCs w:val="26"/>
        </w:rPr>
      </w:pPr>
    </w:p>
    <w:p w14:paraId="24CA88F1"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 xml:space="preserve">- продолжено развитие внешнего и внутреннего электронного документооборота в единой корпоративной системе на базе «1С: Управление Холдингом»; </w:t>
      </w:r>
    </w:p>
    <w:p w14:paraId="08F44DA3"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w:t>
      </w:r>
      <w:r>
        <w:rPr>
          <w:rFonts w:ascii="Times New Roman" w:hAnsi="Times New Roman"/>
          <w:sz w:val="26"/>
          <w:szCs w:val="26"/>
        </w:rPr>
        <w:tab/>
        <w:t>введено в промышленную эксплуатацию единое интеграционное решение потоков П1, П2, П3, П6, П11, П13, П14.1, П14.2, П14.3, П14.4, П14.5, П14.6, П16 по бизнес-процессам оказания услуг и взаимодействия с клиентами в рамках создания Единой платформы взаимодействия с клиентами группы компаний «Россети» сегмента ПАО «Россети Юг»;</w:t>
      </w:r>
    </w:p>
    <w:p w14:paraId="1F530FA7"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w:t>
      </w:r>
      <w:r>
        <w:rPr>
          <w:rFonts w:ascii="Times New Roman" w:hAnsi="Times New Roman"/>
          <w:sz w:val="26"/>
          <w:szCs w:val="26"/>
        </w:rPr>
        <w:tab/>
        <w:t>введены в опытную эксплуатацию программные модули системы управления производственными активами (приказ от 12.02.2024 №49-А)</w:t>
      </w:r>
    </w:p>
    <w:p w14:paraId="508C3E4D" w14:textId="77777777" w:rsidR="002449C2" w:rsidRDefault="002449C2">
      <w:pPr>
        <w:shd w:val="clear" w:color="auto" w:fill="FFFFFF"/>
        <w:spacing w:after="0" w:line="240" w:lineRule="auto"/>
        <w:ind w:left="708" w:firstLine="1"/>
        <w:jc w:val="both"/>
        <w:rPr>
          <w:rFonts w:ascii="Times New Roman" w:hAnsi="Times New Roman"/>
          <w:sz w:val="26"/>
          <w:szCs w:val="26"/>
        </w:rPr>
      </w:pPr>
    </w:p>
    <w:p w14:paraId="2F3EF880" w14:textId="77777777" w:rsidR="002449C2" w:rsidRDefault="00123961">
      <w:pPr>
        <w:shd w:val="clear" w:color="auto" w:fill="FFFFFF"/>
        <w:spacing w:after="0" w:line="240" w:lineRule="auto"/>
        <w:ind w:left="708" w:firstLine="1"/>
        <w:jc w:val="both"/>
      </w:pPr>
      <w:r>
        <w:rPr>
          <w:rFonts w:ascii="Times New Roman" w:hAnsi="Times New Roman"/>
          <w:sz w:val="26"/>
          <w:szCs w:val="26"/>
        </w:rPr>
        <w:t xml:space="preserve">-  ПАО «Россети Юг» приобретено следующее ИТ оборудование: </w:t>
      </w:r>
    </w:p>
    <w:p w14:paraId="1DD008E4" w14:textId="77777777" w:rsidR="002449C2" w:rsidRDefault="00123961">
      <w:pPr>
        <w:numPr>
          <w:ilvl w:val="0"/>
          <w:numId w:val="56"/>
        </w:numPr>
        <w:shd w:val="clear" w:color="auto" w:fill="FFFFFF"/>
        <w:spacing w:after="0" w:line="240" w:lineRule="auto"/>
        <w:ind w:left="1417" w:hanging="283"/>
        <w:jc w:val="both"/>
      </w:pPr>
      <w:r>
        <w:rPr>
          <w:rFonts w:ascii="Times New Roman" w:hAnsi="Times New Roman"/>
          <w:sz w:val="26"/>
          <w:szCs w:val="26"/>
        </w:rPr>
        <w:t xml:space="preserve">Сервер БЕШТАУ S102|621RU001 - 3 шт.; </w:t>
      </w:r>
    </w:p>
    <w:p w14:paraId="50F1C3C1" w14:textId="77777777" w:rsidR="002449C2" w:rsidRDefault="00123961">
      <w:pPr>
        <w:numPr>
          <w:ilvl w:val="0"/>
          <w:numId w:val="56"/>
        </w:numPr>
        <w:shd w:val="clear" w:color="auto" w:fill="FFFFFF"/>
        <w:spacing w:after="0" w:line="240" w:lineRule="auto"/>
        <w:ind w:left="1417" w:hanging="283"/>
        <w:jc w:val="both"/>
      </w:pPr>
      <w:r>
        <w:rPr>
          <w:rFonts w:ascii="Times New Roman" w:hAnsi="Times New Roman"/>
          <w:sz w:val="26"/>
          <w:szCs w:val="26"/>
        </w:rPr>
        <w:t xml:space="preserve">Система хранения данных DEPO Storage 3556G3 - 1 шт.; </w:t>
      </w:r>
    </w:p>
    <w:p w14:paraId="65EFB467" w14:textId="77777777" w:rsidR="002449C2" w:rsidRDefault="00123961">
      <w:pPr>
        <w:numPr>
          <w:ilvl w:val="0"/>
          <w:numId w:val="56"/>
        </w:numPr>
        <w:shd w:val="clear" w:color="auto" w:fill="FFFFFF"/>
        <w:spacing w:after="0" w:line="240" w:lineRule="auto"/>
        <w:ind w:left="1417" w:hanging="283"/>
        <w:jc w:val="both"/>
      </w:pPr>
      <w:r>
        <w:rPr>
          <w:rFonts w:ascii="Times New Roman" w:hAnsi="Times New Roman"/>
          <w:sz w:val="26"/>
          <w:szCs w:val="26"/>
        </w:rPr>
        <w:t>Коммутатор МАЯК серии HW-AMUR-H73-48</w:t>
      </w:r>
      <w:proofErr w:type="gramStart"/>
      <w:r>
        <w:rPr>
          <w:rFonts w:ascii="Times New Roman" w:hAnsi="Times New Roman"/>
          <w:sz w:val="26"/>
          <w:szCs w:val="26"/>
        </w:rPr>
        <w:t>N  PoE</w:t>
      </w:r>
      <w:proofErr w:type="gramEnd"/>
      <w:r>
        <w:rPr>
          <w:rFonts w:ascii="Times New Roman" w:hAnsi="Times New Roman"/>
          <w:sz w:val="26"/>
          <w:szCs w:val="26"/>
        </w:rPr>
        <w:t xml:space="preserve">+ - 6 шт.; </w:t>
      </w:r>
    </w:p>
    <w:p w14:paraId="37E8C5D6" w14:textId="77777777" w:rsidR="002449C2" w:rsidRDefault="00123961">
      <w:pPr>
        <w:numPr>
          <w:ilvl w:val="0"/>
          <w:numId w:val="56"/>
        </w:numPr>
        <w:shd w:val="clear" w:color="auto" w:fill="FFFFFF"/>
        <w:spacing w:after="0" w:line="240" w:lineRule="auto"/>
        <w:ind w:left="1417" w:hanging="283"/>
        <w:jc w:val="both"/>
      </w:pPr>
      <w:r>
        <w:rPr>
          <w:rFonts w:ascii="Times New Roman" w:hAnsi="Times New Roman"/>
          <w:sz w:val="26"/>
          <w:szCs w:val="26"/>
        </w:rPr>
        <w:t>Коммутатор МАЯК серии HW-AMUR-S73-48</w:t>
      </w:r>
      <w:proofErr w:type="gramStart"/>
      <w:r>
        <w:rPr>
          <w:rFonts w:ascii="Times New Roman" w:hAnsi="Times New Roman"/>
          <w:sz w:val="26"/>
          <w:szCs w:val="26"/>
        </w:rPr>
        <w:t>T  PoE</w:t>
      </w:r>
      <w:proofErr w:type="gramEnd"/>
      <w:r>
        <w:rPr>
          <w:rFonts w:ascii="Times New Roman" w:hAnsi="Times New Roman"/>
          <w:sz w:val="26"/>
          <w:szCs w:val="26"/>
        </w:rPr>
        <w:t xml:space="preserve">+ - 4 шт.; </w:t>
      </w:r>
    </w:p>
    <w:p w14:paraId="77FA643A" w14:textId="77777777" w:rsidR="002449C2" w:rsidRDefault="00123961">
      <w:pPr>
        <w:numPr>
          <w:ilvl w:val="0"/>
          <w:numId w:val="56"/>
        </w:numPr>
        <w:shd w:val="clear" w:color="auto" w:fill="FFFFFF"/>
        <w:spacing w:after="0" w:line="240" w:lineRule="auto"/>
        <w:ind w:left="1417" w:hanging="283"/>
        <w:jc w:val="both"/>
      </w:pPr>
      <w:r>
        <w:rPr>
          <w:rFonts w:ascii="Times New Roman" w:hAnsi="Times New Roman"/>
          <w:sz w:val="26"/>
          <w:szCs w:val="26"/>
        </w:rPr>
        <w:t>Межсетевые экраны Континент 4. - 15 шт.</w:t>
      </w:r>
    </w:p>
    <w:p w14:paraId="5BE3FBD5" w14:textId="77777777" w:rsidR="002449C2" w:rsidRDefault="00123961">
      <w:pPr>
        <w:shd w:val="clear" w:color="auto" w:fill="FFFFFF"/>
        <w:spacing w:after="0" w:line="240" w:lineRule="auto"/>
        <w:ind w:firstLine="1416"/>
        <w:jc w:val="both"/>
        <w:rPr>
          <w:rFonts w:ascii="Times New Roman" w:hAnsi="Times New Roman"/>
          <w:sz w:val="26"/>
          <w:szCs w:val="26"/>
        </w:rPr>
      </w:pPr>
      <w:r>
        <w:rPr>
          <w:rFonts w:ascii="Times New Roman" w:hAnsi="Times New Roman"/>
          <w:sz w:val="26"/>
          <w:szCs w:val="26"/>
        </w:rPr>
        <w:t>Серверное оборудование приобретено для размещения почтовых серверов и необходимо для установки российской операционной системы «Альт Сервер 10» и сервисов электронной почты «VK Mail». Система хранения данных необходима для обеспечения хранения данных для технологических и корпоративных информационных систем.  Коммутаторы приобретены для обеспечения бесперебойной работы технологических и корпоративных сервисов в филиале ПАО «Россети Юг» - «Ростовэнерго», поддержания необходимого быстродействия информационной сети. Межсетевые экраны приобретены для обеспечения защиты от компьютерных атак и обеспечения исполнения требований Указа Президента Российской Федерации от 01.05.2022 № 250 в части использования средств защиты информации, происходящих из недружественных государств.</w:t>
      </w:r>
    </w:p>
    <w:p w14:paraId="5440F078" w14:textId="77777777" w:rsidR="002449C2" w:rsidRDefault="002449C2">
      <w:pPr>
        <w:shd w:val="clear" w:color="auto" w:fill="FFFFFF"/>
        <w:spacing w:after="0" w:line="240" w:lineRule="auto"/>
        <w:ind w:left="709"/>
        <w:jc w:val="both"/>
      </w:pPr>
    </w:p>
    <w:p w14:paraId="31131746" w14:textId="77777777" w:rsidR="00B830B0" w:rsidRDefault="00B830B0">
      <w:pPr>
        <w:spacing w:after="0" w:line="240" w:lineRule="auto"/>
        <w:rPr>
          <w:rFonts w:ascii="Times New Roman" w:eastAsia="Times New Roman" w:hAnsi="Times New Roman"/>
          <w:b/>
          <w:sz w:val="26"/>
          <w:szCs w:val="26"/>
          <w:lang w:eastAsia="ru-RU"/>
        </w:rPr>
      </w:pPr>
      <w:r>
        <w:rPr>
          <w:rFonts w:ascii="Times New Roman" w:eastAsia="Times New Roman" w:hAnsi="Times New Roman"/>
          <w:b/>
          <w:sz w:val="26"/>
          <w:szCs w:val="26"/>
          <w:lang w:eastAsia="ru-RU"/>
        </w:rPr>
        <w:br w:type="page"/>
      </w:r>
    </w:p>
    <w:p w14:paraId="5A56207B" w14:textId="7431AEFD" w:rsidR="002449C2" w:rsidRDefault="00123961">
      <w:pPr>
        <w:shd w:val="clear" w:color="auto" w:fill="FFFFFF"/>
        <w:spacing w:after="0" w:line="240" w:lineRule="auto"/>
        <w:ind w:firstLine="709"/>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Итоги отчётности 2024 года.</w:t>
      </w:r>
    </w:p>
    <w:p w14:paraId="3528F64F" w14:textId="77777777" w:rsidR="002449C2" w:rsidRDefault="002449C2">
      <w:pPr>
        <w:spacing w:after="0" w:line="240" w:lineRule="auto"/>
        <w:jc w:val="both"/>
        <w:rPr>
          <w:rFonts w:ascii="Times New Roman" w:eastAsia="Times New Roman" w:hAnsi="Times New Roman"/>
          <w:sz w:val="26"/>
          <w:szCs w:val="26"/>
          <w:lang w:eastAsia="ru-RU"/>
        </w:rPr>
      </w:pPr>
    </w:p>
    <w:p w14:paraId="7F7E168D" w14:textId="77777777" w:rsidR="002449C2" w:rsidRDefault="00123961">
      <w:pPr>
        <w:shd w:val="clear" w:color="auto" w:fill="FFFFFF"/>
        <w:spacing w:after="0" w:line="240" w:lineRule="auto"/>
        <w:ind w:firstLine="709"/>
        <w:jc w:val="both"/>
      </w:pPr>
      <w:r>
        <w:rPr>
          <w:rFonts w:ascii="Times New Roman" w:eastAsia="Times New Roman" w:hAnsi="Times New Roman"/>
          <w:sz w:val="26"/>
          <w:szCs w:val="26"/>
          <w:highlight w:val="white"/>
        </w:rPr>
        <w:t xml:space="preserve">В 2024 году все мероприятия по реализации Программы цифровой трансформации и Плана мероприятий перехода ПАО «Россети Юг» на преимущественное использование отечественного программного обеспечения на период 2022-2024 годы проводились согласно графику. </w:t>
      </w:r>
    </w:p>
    <w:p w14:paraId="233427F8" w14:textId="77777777" w:rsidR="002449C2" w:rsidRDefault="00123961">
      <w:pPr>
        <w:shd w:val="clear" w:color="auto" w:fill="FFFFFF"/>
        <w:spacing w:after="0" w:line="240" w:lineRule="auto"/>
        <w:ind w:firstLine="709"/>
        <w:jc w:val="both"/>
        <w:rPr>
          <w:rFonts w:ascii="Times New Roman" w:eastAsia="Times New Roman" w:hAnsi="Times New Roman"/>
          <w:sz w:val="26"/>
          <w:szCs w:val="26"/>
        </w:rPr>
      </w:pPr>
      <w:r>
        <w:rPr>
          <w:rFonts w:ascii="Times New Roman" w:eastAsia="Times New Roman" w:hAnsi="Times New Roman"/>
          <w:sz w:val="26"/>
          <w:szCs w:val="26"/>
        </w:rPr>
        <w:t>По состоянию на 31.12.2024 значения показателя «Доля расходов на закупку российского программного обеспечения, %» составили 98,35%. Плановые значения Показателя на 2024 год составляют 97,78%, что свидетельствует о достижении КПЭ Генерального директора ПАО «Россети Юг» по направлению ИТ-деятельности.</w:t>
      </w:r>
    </w:p>
    <w:p w14:paraId="22EE1B9A" w14:textId="77777777" w:rsidR="002449C2" w:rsidRDefault="002449C2">
      <w:pPr>
        <w:shd w:val="clear" w:color="auto" w:fill="FFFFFF"/>
        <w:spacing w:after="0" w:line="240" w:lineRule="auto"/>
        <w:ind w:left="709"/>
        <w:contextualSpacing/>
        <w:jc w:val="both"/>
        <w:rPr>
          <w:rFonts w:ascii="Times New Roman" w:hAnsi="Times New Roman"/>
          <w:sz w:val="26"/>
          <w:szCs w:val="26"/>
        </w:rPr>
      </w:pPr>
    </w:p>
    <w:p w14:paraId="23A5B9DD" w14:textId="77777777" w:rsidR="002449C2" w:rsidRDefault="00123961">
      <w:pPr>
        <w:widowControl w:val="0"/>
        <w:spacing w:after="5" w:line="252" w:lineRule="auto"/>
        <w:ind w:left="426" w:right="-143" w:hanging="426"/>
        <w:jc w:val="center"/>
        <w:rPr>
          <w:rFonts w:ascii="Times New Roman" w:eastAsia="Times New Roman" w:hAnsi="Times New Roman"/>
          <w:b/>
          <w:bCs/>
          <w:color w:val="000000"/>
          <w:sz w:val="24"/>
          <w:szCs w:val="20"/>
          <w:lang w:eastAsia="ru-RU"/>
        </w:rPr>
      </w:pPr>
      <w:r>
        <w:rPr>
          <w:rFonts w:ascii="Times New Roman" w:eastAsia="Times New Roman" w:hAnsi="Times New Roman"/>
          <w:b/>
          <w:bCs/>
          <w:color w:val="000000"/>
          <w:sz w:val="24"/>
          <w:szCs w:val="20"/>
          <w:lang w:eastAsia="ru-RU"/>
        </w:rPr>
        <w:t>Показатели в части мероприятий Программы цифровой трансформации</w:t>
      </w:r>
    </w:p>
    <w:p w14:paraId="27D821BD" w14:textId="77777777" w:rsidR="002449C2" w:rsidRDefault="002449C2">
      <w:pPr>
        <w:widowControl w:val="0"/>
        <w:spacing w:after="5" w:line="252" w:lineRule="auto"/>
        <w:ind w:left="426" w:right="-143" w:hanging="426"/>
        <w:jc w:val="center"/>
        <w:rPr>
          <w:rFonts w:ascii="Times New Roman" w:eastAsia="Times New Roman" w:hAnsi="Times New Roman"/>
          <w:i/>
          <w:color w:val="000000"/>
          <w:sz w:val="24"/>
          <w:szCs w:val="20"/>
          <w:highlight w:val="yellow"/>
          <w:lang w:eastAsia="ru-RU"/>
        </w:rPr>
      </w:pPr>
    </w:p>
    <w:tbl>
      <w:tblPr>
        <w:tblW w:w="10485" w:type="dxa"/>
        <w:jc w:val="center"/>
        <w:tblLayout w:type="fixed"/>
        <w:tblLook w:val="04A0" w:firstRow="1" w:lastRow="0" w:firstColumn="1" w:lastColumn="0" w:noHBand="0" w:noVBand="1"/>
      </w:tblPr>
      <w:tblGrid>
        <w:gridCol w:w="4394"/>
        <w:gridCol w:w="988"/>
        <w:gridCol w:w="571"/>
        <w:gridCol w:w="565"/>
        <w:gridCol w:w="565"/>
        <w:gridCol w:w="711"/>
        <w:gridCol w:w="2691"/>
      </w:tblGrid>
      <w:tr w:rsidR="002449C2" w14:paraId="50A981DA" w14:textId="77777777">
        <w:trPr>
          <w:cantSplit/>
          <w:trHeight w:val="709"/>
          <w:jc w:val="center"/>
        </w:trPr>
        <w:tc>
          <w:tcPr>
            <w:tcW w:w="4393" w:type="dxa"/>
            <w:vMerge w:val="restart"/>
            <w:tcBorders>
              <w:top w:val="single" w:sz="4" w:space="0" w:color="000000"/>
              <w:left w:val="single" w:sz="4" w:space="0" w:color="000000"/>
              <w:bottom w:val="single" w:sz="4" w:space="0" w:color="000000"/>
              <w:right w:val="single" w:sz="4" w:space="0" w:color="000000"/>
            </w:tcBorders>
            <w:vAlign w:val="center"/>
          </w:tcPr>
          <w:p w14:paraId="299309F5" w14:textId="77777777" w:rsidR="002449C2" w:rsidRDefault="00123961">
            <w:pPr>
              <w:widowControl w:val="0"/>
              <w:spacing w:after="5" w:line="252" w:lineRule="auto"/>
              <w:ind w:left="-113" w:right="-114"/>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Показатели</w:t>
            </w:r>
          </w:p>
        </w:tc>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08F1BB9F" w14:textId="77777777" w:rsidR="002449C2" w:rsidRDefault="00123961">
            <w:pPr>
              <w:widowControl w:val="0"/>
              <w:tabs>
                <w:tab w:val="left" w:pos="40"/>
              </w:tabs>
              <w:spacing w:after="5" w:line="252" w:lineRule="auto"/>
              <w:ind w:left="-111" w:right="-112"/>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Ед.изм.</w:t>
            </w:r>
          </w:p>
        </w:tc>
        <w:tc>
          <w:tcPr>
            <w:tcW w:w="2412" w:type="dxa"/>
            <w:gridSpan w:val="4"/>
            <w:tcBorders>
              <w:top w:val="single" w:sz="4" w:space="0" w:color="000000"/>
              <w:left w:val="single" w:sz="4" w:space="0" w:color="000000"/>
              <w:bottom w:val="single" w:sz="4" w:space="0" w:color="000000"/>
              <w:right w:val="single" w:sz="4" w:space="0" w:color="000000"/>
            </w:tcBorders>
            <w:vAlign w:val="center"/>
          </w:tcPr>
          <w:p w14:paraId="3CB77E68" w14:textId="77777777" w:rsidR="002449C2" w:rsidRDefault="00123961" w:rsidP="00E64F3E">
            <w:pPr>
              <w:widowControl w:val="0"/>
              <w:spacing w:after="5" w:line="252"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Период</w:t>
            </w:r>
            <w:r w:rsidR="00E64F3E">
              <w:rPr>
                <w:rStyle w:val="af"/>
                <w:rFonts w:ascii="Times New Roman" w:eastAsia="Times New Roman" w:hAnsi="Times New Roman"/>
                <w:b/>
                <w:bCs/>
                <w:color w:val="000000"/>
                <w:sz w:val="16"/>
                <w:szCs w:val="16"/>
                <w:lang w:eastAsia="ru-RU"/>
              </w:rPr>
              <w:footnoteReference w:id="10"/>
            </w:r>
          </w:p>
        </w:tc>
        <w:tc>
          <w:tcPr>
            <w:tcW w:w="2691" w:type="dxa"/>
            <w:tcBorders>
              <w:top w:val="single" w:sz="4" w:space="0" w:color="000000"/>
              <w:left w:val="single" w:sz="4" w:space="0" w:color="000000"/>
              <w:bottom w:val="single" w:sz="4" w:space="0" w:color="000000"/>
              <w:right w:val="single" w:sz="4" w:space="0" w:color="000000"/>
            </w:tcBorders>
            <w:vAlign w:val="center"/>
          </w:tcPr>
          <w:p w14:paraId="667925BC" w14:textId="77777777" w:rsidR="002449C2" w:rsidRDefault="00123961">
            <w:pPr>
              <w:widowControl w:val="0"/>
              <w:spacing w:after="5" w:line="252" w:lineRule="auto"/>
              <w:ind w:left="-101" w:right="-108"/>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Структурное подразделение, ответственное за согласование ГО ДО</w:t>
            </w:r>
          </w:p>
        </w:tc>
      </w:tr>
      <w:tr w:rsidR="002449C2" w14:paraId="129FEDBB" w14:textId="77777777">
        <w:trPr>
          <w:cantSplit/>
          <w:jc w:val="center"/>
        </w:trPr>
        <w:tc>
          <w:tcPr>
            <w:tcW w:w="4393" w:type="dxa"/>
            <w:vMerge/>
            <w:tcBorders>
              <w:top w:val="single" w:sz="4" w:space="0" w:color="000000"/>
              <w:left w:val="single" w:sz="4" w:space="0" w:color="000000"/>
              <w:bottom w:val="single" w:sz="4" w:space="0" w:color="000000"/>
              <w:right w:val="single" w:sz="4" w:space="0" w:color="000000"/>
            </w:tcBorders>
          </w:tcPr>
          <w:p w14:paraId="11E758E5" w14:textId="77777777" w:rsidR="002449C2" w:rsidRDefault="002449C2">
            <w:pPr>
              <w:widowControl w:val="0"/>
              <w:spacing w:after="5" w:line="252" w:lineRule="auto"/>
              <w:ind w:left="426" w:right="-143" w:hanging="426"/>
              <w:jc w:val="center"/>
              <w:rPr>
                <w:rFonts w:ascii="Times New Roman" w:eastAsia="Times New Roman" w:hAnsi="Times New Roman"/>
                <w:b/>
                <w:bCs/>
                <w:color w:val="000000"/>
                <w:sz w:val="20"/>
                <w:szCs w:val="20"/>
                <w:lang w:eastAsia="ru-RU"/>
              </w:rPr>
            </w:pPr>
          </w:p>
        </w:tc>
        <w:tc>
          <w:tcPr>
            <w:tcW w:w="988" w:type="dxa"/>
            <w:vMerge/>
            <w:tcBorders>
              <w:top w:val="single" w:sz="4" w:space="0" w:color="000000"/>
              <w:left w:val="single" w:sz="4" w:space="0" w:color="000000"/>
              <w:bottom w:val="single" w:sz="4" w:space="0" w:color="000000"/>
              <w:right w:val="single" w:sz="4" w:space="0" w:color="000000"/>
            </w:tcBorders>
          </w:tcPr>
          <w:p w14:paraId="734A14B7" w14:textId="77777777" w:rsidR="002449C2" w:rsidRDefault="002449C2">
            <w:pPr>
              <w:widowControl w:val="0"/>
              <w:tabs>
                <w:tab w:val="left" w:pos="40"/>
              </w:tabs>
              <w:spacing w:after="5" w:line="252" w:lineRule="auto"/>
              <w:ind w:left="426" w:right="-143" w:hanging="426"/>
              <w:jc w:val="both"/>
              <w:rPr>
                <w:rFonts w:ascii="Times New Roman" w:eastAsia="Times New Roman" w:hAnsi="Times New Roman"/>
                <w:b/>
                <w:bCs/>
                <w:color w:val="000000"/>
                <w:sz w:val="20"/>
                <w:szCs w:val="20"/>
                <w:lang w:eastAsia="ru-RU"/>
              </w:rPr>
            </w:pPr>
          </w:p>
        </w:tc>
        <w:tc>
          <w:tcPr>
            <w:tcW w:w="571" w:type="dxa"/>
            <w:tcBorders>
              <w:top w:val="single" w:sz="4" w:space="0" w:color="000000"/>
              <w:left w:val="single" w:sz="4" w:space="0" w:color="000000"/>
              <w:bottom w:val="single" w:sz="4" w:space="0" w:color="000000"/>
              <w:right w:val="single" w:sz="4" w:space="0" w:color="000000"/>
            </w:tcBorders>
          </w:tcPr>
          <w:p w14:paraId="7C09B447" w14:textId="77777777" w:rsidR="002449C2" w:rsidRDefault="00123961">
            <w:pPr>
              <w:widowControl w:val="0"/>
              <w:spacing w:after="5" w:line="252" w:lineRule="auto"/>
              <w:ind w:left="-96" w:right="-122"/>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2022 год</w:t>
            </w:r>
          </w:p>
          <w:p w14:paraId="1B55F51E" w14:textId="77777777" w:rsidR="002449C2" w:rsidRDefault="00123961">
            <w:pPr>
              <w:widowControl w:val="0"/>
              <w:spacing w:after="5" w:line="252" w:lineRule="auto"/>
              <w:ind w:left="-96" w:right="-122"/>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факт</w:t>
            </w:r>
          </w:p>
        </w:tc>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4BA933F9" w14:textId="77777777" w:rsidR="002449C2" w:rsidRDefault="00123961">
            <w:pPr>
              <w:widowControl w:val="0"/>
              <w:spacing w:after="5" w:line="252" w:lineRule="auto"/>
              <w:ind w:left="-113" w:right="-138"/>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2023 год</w:t>
            </w:r>
          </w:p>
          <w:p w14:paraId="353BBA83" w14:textId="77777777" w:rsidR="002449C2" w:rsidRDefault="00123961">
            <w:pPr>
              <w:widowControl w:val="0"/>
              <w:spacing w:after="5" w:line="252" w:lineRule="auto"/>
              <w:ind w:left="-113" w:right="-138"/>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факт</w:t>
            </w:r>
          </w:p>
        </w:tc>
        <w:tc>
          <w:tcPr>
            <w:tcW w:w="565" w:type="dxa"/>
            <w:tcBorders>
              <w:top w:val="single" w:sz="4" w:space="0" w:color="000000"/>
              <w:left w:val="single" w:sz="4" w:space="0" w:color="000000"/>
              <w:bottom w:val="single" w:sz="4" w:space="0" w:color="000000"/>
              <w:right w:val="single" w:sz="4" w:space="0" w:color="000000"/>
            </w:tcBorders>
          </w:tcPr>
          <w:p w14:paraId="4F6F1260" w14:textId="77777777" w:rsidR="002449C2" w:rsidRDefault="00123961">
            <w:pPr>
              <w:widowControl w:val="0"/>
              <w:spacing w:after="5" w:line="252" w:lineRule="auto"/>
              <w:ind w:left="-100" w:right="-143"/>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2024 год</w:t>
            </w:r>
          </w:p>
          <w:p w14:paraId="7320BE18" w14:textId="77777777" w:rsidR="002449C2" w:rsidRDefault="00123961">
            <w:pPr>
              <w:widowControl w:val="0"/>
              <w:spacing w:after="5" w:line="252" w:lineRule="auto"/>
              <w:ind w:left="-100" w:right="-143"/>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факт</w:t>
            </w:r>
          </w:p>
        </w:tc>
        <w:tc>
          <w:tcPr>
            <w:tcW w:w="711" w:type="dxa"/>
            <w:tcBorders>
              <w:top w:val="single" w:sz="4" w:space="0" w:color="000000"/>
              <w:left w:val="single" w:sz="4" w:space="0" w:color="000000"/>
              <w:bottom w:val="single" w:sz="4" w:space="0" w:color="000000"/>
              <w:right w:val="single" w:sz="4" w:space="0" w:color="000000"/>
            </w:tcBorders>
          </w:tcPr>
          <w:p w14:paraId="4A299B06" w14:textId="77777777" w:rsidR="002449C2" w:rsidRDefault="00123961" w:rsidP="00E64F3E">
            <w:pPr>
              <w:widowControl w:val="0"/>
              <w:spacing w:after="5" w:line="252" w:lineRule="auto"/>
              <w:ind w:left="-107" w:right="-143"/>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изменение 2024/2023, %</w:t>
            </w:r>
            <w:r w:rsidR="00E64F3E">
              <w:rPr>
                <w:rStyle w:val="af"/>
                <w:rFonts w:ascii="Times New Roman" w:eastAsia="Times New Roman" w:hAnsi="Times New Roman"/>
                <w:b/>
                <w:bCs/>
                <w:color w:val="000000"/>
                <w:sz w:val="16"/>
                <w:szCs w:val="16"/>
                <w:lang w:eastAsia="ru-RU"/>
              </w:rPr>
              <w:footnoteReference w:id="11"/>
            </w:r>
          </w:p>
        </w:tc>
        <w:tc>
          <w:tcPr>
            <w:tcW w:w="2691" w:type="dxa"/>
            <w:tcBorders>
              <w:top w:val="single" w:sz="4" w:space="0" w:color="000000"/>
              <w:left w:val="single" w:sz="4" w:space="0" w:color="000000"/>
              <w:bottom w:val="single" w:sz="4" w:space="0" w:color="000000"/>
              <w:right w:val="single" w:sz="4" w:space="0" w:color="000000"/>
            </w:tcBorders>
          </w:tcPr>
          <w:p w14:paraId="392D1C35" w14:textId="77777777" w:rsidR="002449C2" w:rsidRDefault="002449C2">
            <w:pPr>
              <w:widowControl w:val="0"/>
              <w:spacing w:after="5" w:line="252" w:lineRule="auto"/>
              <w:ind w:left="-101" w:right="-143" w:hanging="426"/>
              <w:jc w:val="center"/>
              <w:rPr>
                <w:rFonts w:ascii="Times New Roman" w:eastAsia="Times New Roman" w:hAnsi="Times New Roman"/>
                <w:b/>
                <w:bCs/>
                <w:i/>
                <w:color w:val="000000"/>
                <w:sz w:val="20"/>
                <w:szCs w:val="20"/>
                <w:lang w:eastAsia="ru-RU"/>
              </w:rPr>
            </w:pPr>
          </w:p>
        </w:tc>
      </w:tr>
      <w:tr w:rsidR="002449C2" w14:paraId="071D35CB" w14:textId="77777777">
        <w:trPr>
          <w:cantSplit/>
          <w:jc w:val="center"/>
        </w:trPr>
        <w:tc>
          <w:tcPr>
            <w:tcW w:w="4393" w:type="dxa"/>
            <w:tcBorders>
              <w:top w:val="single" w:sz="4" w:space="0" w:color="000000"/>
              <w:left w:val="single" w:sz="4" w:space="0" w:color="000000"/>
              <w:bottom w:val="single" w:sz="4" w:space="0" w:color="000000"/>
              <w:right w:val="single" w:sz="4" w:space="0" w:color="000000"/>
            </w:tcBorders>
          </w:tcPr>
          <w:p w14:paraId="1C6FD58F" w14:textId="77777777" w:rsidR="002449C2" w:rsidRDefault="0012396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w:t>
            </w:r>
          </w:p>
        </w:tc>
        <w:tc>
          <w:tcPr>
            <w:tcW w:w="988" w:type="dxa"/>
            <w:tcBorders>
              <w:top w:val="single" w:sz="4" w:space="0" w:color="000000"/>
              <w:left w:val="single" w:sz="4" w:space="0" w:color="000000"/>
              <w:bottom w:val="single" w:sz="4" w:space="0" w:color="000000"/>
              <w:right w:val="single" w:sz="4" w:space="0" w:color="000000"/>
            </w:tcBorders>
          </w:tcPr>
          <w:p w14:paraId="09609263" w14:textId="77777777" w:rsidR="002449C2" w:rsidRDefault="00123961">
            <w:pPr>
              <w:widowControl w:val="0"/>
              <w:tabs>
                <w:tab w:val="left" w:pos="40"/>
              </w:tabs>
              <w:spacing w:after="5" w:line="252" w:lineRule="auto"/>
              <w:ind w:left="-112" w:right="-143"/>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2</w:t>
            </w:r>
          </w:p>
        </w:tc>
        <w:tc>
          <w:tcPr>
            <w:tcW w:w="571" w:type="dxa"/>
            <w:tcBorders>
              <w:top w:val="single" w:sz="4" w:space="0" w:color="000000"/>
              <w:left w:val="single" w:sz="4" w:space="0" w:color="000000"/>
              <w:bottom w:val="single" w:sz="4" w:space="0" w:color="000000"/>
              <w:right w:val="single" w:sz="4" w:space="0" w:color="000000"/>
            </w:tcBorders>
          </w:tcPr>
          <w:p w14:paraId="58DCA5B9" w14:textId="77777777" w:rsidR="002449C2" w:rsidRDefault="00123961">
            <w:pPr>
              <w:widowControl w:val="0"/>
              <w:spacing w:after="5" w:line="252" w:lineRule="auto"/>
              <w:ind w:left="-110" w:right="-143"/>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3</w:t>
            </w:r>
          </w:p>
        </w:tc>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23CE882B" w14:textId="77777777" w:rsidR="002449C2" w:rsidRDefault="00123961">
            <w:pPr>
              <w:widowControl w:val="0"/>
              <w:spacing w:after="5" w:line="252" w:lineRule="auto"/>
              <w:ind w:left="-107" w:right="-143"/>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4</w:t>
            </w:r>
          </w:p>
        </w:tc>
        <w:tc>
          <w:tcPr>
            <w:tcW w:w="565" w:type="dxa"/>
            <w:tcBorders>
              <w:top w:val="single" w:sz="4" w:space="0" w:color="000000"/>
              <w:left w:val="single" w:sz="4" w:space="0" w:color="000000"/>
              <w:bottom w:val="single" w:sz="4" w:space="0" w:color="000000"/>
              <w:right w:val="single" w:sz="4" w:space="0" w:color="000000"/>
            </w:tcBorders>
          </w:tcPr>
          <w:p w14:paraId="454AAAEB" w14:textId="77777777" w:rsidR="002449C2" w:rsidRDefault="00123961">
            <w:pPr>
              <w:widowControl w:val="0"/>
              <w:spacing w:after="5" w:line="252" w:lineRule="auto"/>
              <w:ind w:left="-108" w:right="-143"/>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5</w:t>
            </w:r>
          </w:p>
        </w:tc>
        <w:tc>
          <w:tcPr>
            <w:tcW w:w="711" w:type="dxa"/>
            <w:tcBorders>
              <w:top w:val="single" w:sz="4" w:space="0" w:color="000000"/>
              <w:left w:val="single" w:sz="4" w:space="0" w:color="000000"/>
              <w:bottom w:val="single" w:sz="4" w:space="0" w:color="000000"/>
              <w:right w:val="single" w:sz="4" w:space="0" w:color="000000"/>
            </w:tcBorders>
          </w:tcPr>
          <w:p w14:paraId="5C8BD648" w14:textId="77777777" w:rsidR="002449C2" w:rsidRDefault="00123961">
            <w:pPr>
              <w:widowControl w:val="0"/>
              <w:spacing w:after="5" w:line="252" w:lineRule="auto"/>
              <w:ind w:left="-105" w:right="-143" w:hanging="4"/>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6</w:t>
            </w:r>
          </w:p>
        </w:tc>
        <w:tc>
          <w:tcPr>
            <w:tcW w:w="2691" w:type="dxa"/>
            <w:tcBorders>
              <w:top w:val="single" w:sz="4" w:space="0" w:color="000000"/>
              <w:left w:val="single" w:sz="4" w:space="0" w:color="000000"/>
              <w:bottom w:val="single" w:sz="4" w:space="0" w:color="000000"/>
              <w:right w:val="single" w:sz="4" w:space="0" w:color="000000"/>
            </w:tcBorders>
          </w:tcPr>
          <w:p w14:paraId="7BA86AFC" w14:textId="77777777" w:rsidR="002449C2" w:rsidRDefault="00123961">
            <w:pPr>
              <w:widowControl w:val="0"/>
              <w:spacing w:after="5" w:line="252" w:lineRule="auto"/>
              <w:ind w:left="-101" w:right="-108"/>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7</w:t>
            </w:r>
          </w:p>
        </w:tc>
      </w:tr>
      <w:tr w:rsidR="002449C2" w14:paraId="4F78E18A" w14:textId="77777777">
        <w:trPr>
          <w:cantSplit/>
          <w:jc w:val="center"/>
        </w:trPr>
        <w:tc>
          <w:tcPr>
            <w:tcW w:w="4393" w:type="dxa"/>
            <w:tcBorders>
              <w:top w:val="single" w:sz="4" w:space="0" w:color="000000"/>
              <w:left w:val="single" w:sz="4" w:space="0" w:color="000000"/>
              <w:bottom w:val="single" w:sz="4" w:space="0" w:color="000000"/>
              <w:right w:val="single" w:sz="4" w:space="0" w:color="000000"/>
            </w:tcBorders>
          </w:tcPr>
          <w:p w14:paraId="06A5641F" w14:textId="77777777" w:rsidR="002449C2" w:rsidRDefault="00123961">
            <w:pPr>
              <w:tabs>
                <w:tab w:val="left" w:pos="9356"/>
              </w:tabs>
              <w:spacing w:after="5" w:line="252" w:lineRule="auto"/>
              <w:jc w:val="both"/>
              <w:rPr>
                <w:rFonts w:ascii="Times New Roman" w:eastAsia="Times New Roman" w:hAnsi="Times New Roman"/>
                <w:sz w:val="20"/>
                <w:szCs w:val="20"/>
                <w:lang w:eastAsia="ru-RU"/>
              </w:rPr>
            </w:pPr>
            <w:r>
              <w:rPr>
                <w:rFonts w:ascii="Times New Roman" w:eastAsia="Times New Roman" w:hAnsi="Times New Roman"/>
                <w:color w:val="000000"/>
                <w:sz w:val="20"/>
                <w:szCs w:val="20"/>
                <w:lang w:eastAsia="ru-RU"/>
              </w:rPr>
              <w:t>Объем финансирования мероприятий Программы цифровой трансформации ДО ПАО «Россети» за отчетный год»</w:t>
            </w:r>
          </w:p>
        </w:tc>
        <w:tc>
          <w:tcPr>
            <w:tcW w:w="988" w:type="dxa"/>
            <w:tcBorders>
              <w:top w:val="single" w:sz="4" w:space="0" w:color="000000"/>
              <w:left w:val="single" w:sz="4" w:space="0" w:color="000000"/>
              <w:bottom w:val="single" w:sz="4" w:space="0" w:color="000000"/>
              <w:right w:val="single" w:sz="4" w:space="0" w:color="000000"/>
            </w:tcBorders>
          </w:tcPr>
          <w:p w14:paraId="11FEB5A8" w14:textId="77777777" w:rsidR="002449C2" w:rsidRDefault="00EC7CB2">
            <w:pPr>
              <w:widowControl w:val="0"/>
              <w:spacing w:after="5" w:line="252" w:lineRule="auto"/>
              <w:ind w:left="426" w:right="-143" w:hanging="426"/>
              <w:rPr>
                <w:rFonts w:ascii="Times New Roman" w:eastAsia="Times New Roman" w:hAnsi="Times New Roman"/>
                <w:bCs/>
                <w:color w:val="000000"/>
                <w:sz w:val="20"/>
                <w:szCs w:val="20"/>
              </w:rPr>
            </w:pPr>
            <w:r>
              <w:rPr>
                <w:rFonts w:ascii="Times New Roman" w:eastAsia="Times New Roman" w:hAnsi="Times New Roman"/>
                <w:bCs/>
                <w:color w:val="000000"/>
                <w:sz w:val="20"/>
                <w:szCs w:val="20"/>
              </w:rPr>
              <w:t>млн</w:t>
            </w:r>
          </w:p>
          <w:p w14:paraId="738BB0F0" w14:textId="77777777" w:rsidR="002449C2" w:rsidRDefault="00123961">
            <w:pPr>
              <w:widowControl w:val="0"/>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rPr>
              <w:t>руб.</w:t>
            </w:r>
          </w:p>
        </w:tc>
        <w:tc>
          <w:tcPr>
            <w:tcW w:w="571" w:type="dxa"/>
            <w:tcBorders>
              <w:top w:val="single" w:sz="4" w:space="0" w:color="000000"/>
              <w:left w:val="single" w:sz="4" w:space="0" w:color="000000"/>
              <w:bottom w:val="single" w:sz="4" w:space="0" w:color="000000"/>
              <w:right w:val="single" w:sz="4" w:space="0" w:color="000000"/>
            </w:tcBorders>
          </w:tcPr>
          <w:p w14:paraId="510FEF42" w14:textId="77777777" w:rsidR="002449C2" w:rsidRDefault="00123961">
            <w:pPr>
              <w:widowControl w:val="0"/>
              <w:spacing w:after="5" w:line="252" w:lineRule="auto"/>
              <w:ind w:left="-110" w:right="-143"/>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15,0</w:t>
            </w:r>
          </w:p>
        </w:tc>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6B5A8B6B" w14:textId="77777777" w:rsidR="002449C2" w:rsidRDefault="00123961">
            <w:pPr>
              <w:widowControl w:val="0"/>
              <w:spacing w:after="5" w:line="252" w:lineRule="auto"/>
              <w:ind w:left="-107" w:right="-143"/>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15,0</w:t>
            </w:r>
          </w:p>
        </w:tc>
        <w:tc>
          <w:tcPr>
            <w:tcW w:w="565" w:type="dxa"/>
            <w:tcBorders>
              <w:top w:val="single" w:sz="4" w:space="0" w:color="000000"/>
              <w:left w:val="single" w:sz="4" w:space="0" w:color="000000"/>
              <w:bottom w:val="single" w:sz="4" w:space="0" w:color="000000"/>
              <w:right w:val="single" w:sz="4" w:space="0" w:color="000000"/>
            </w:tcBorders>
          </w:tcPr>
          <w:p w14:paraId="0BA37CEA" w14:textId="77777777" w:rsidR="002449C2" w:rsidRDefault="00123961">
            <w:pPr>
              <w:widowControl w:val="0"/>
              <w:spacing w:after="5" w:line="252" w:lineRule="auto"/>
              <w:ind w:left="-108" w:right="-143"/>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36,8</w:t>
            </w:r>
          </w:p>
        </w:tc>
        <w:tc>
          <w:tcPr>
            <w:tcW w:w="711" w:type="dxa"/>
            <w:tcBorders>
              <w:top w:val="single" w:sz="4" w:space="0" w:color="000000"/>
              <w:left w:val="single" w:sz="4" w:space="0" w:color="000000"/>
              <w:bottom w:val="single" w:sz="4" w:space="0" w:color="000000"/>
              <w:right w:val="single" w:sz="4" w:space="0" w:color="000000"/>
            </w:tcBorders>
          </w:tcPr>
          <w:p w14:paraId="19FBC5FF" w14:textId="77777777" w:rsidR="002449C2" w:rsidRDefault="00123961">
            <w:pPr>
              <w:widowControl w:val="0"/>
              <w:spacing w:after="5" w:line="252" w:lineRule="auto"/>
              <w:ind w:left="-105" w:right="-143" w:hanging="4"/>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w:t>
            </w:r>
          </w:p>
        </w:tc>
        <w:tc>
          <w:tcPr>
            <w:tcW w:w="2691" w:type="dxa"/>
            <w:tcBorders>
              <w:top w:val="single" w:sz="4" w:space="0" w:color="000000"/>
              <w:left w:val="single" w:sz="4" w:space="0" w:color="000000"/>
              <w:bottom w:val="single" w:sz="4" w:space="0" w:color="000000"/>
              <w:right w:val="single" w:sz="4" w:space="0" w:color="000000"/>
            </w:tcBorders>
          </w:tcPr>
          <w:p w14:paraId="6AE788D2" w14:textId="77777777" w:rsidR="002449C2" w:rsidRDefault="00123961">
            <w:pPr>
              <w:widowControl w:val="0"/>
              <w:spacing w:after="5" w:line="252" w:lineRule="auto"/>
              <w:ind w:left="-101" w:right="-108"/>
              <w:jc w:val="center"/>
              <w:rPr>
                <w:rFonts w:ascii="Times New Roman" w:eastAsia="Times New Roman" w:hAnsi="Times New Roman"/>
                <w:bCs/>
                <w:color w:val="000000"/>
                <w:sz w:val="20"/>
                <w:szCs w:val="20"/>
                <w:lang w:eastAsia="ru-RU"/>
              </w:rPr>
            </w:pPr>
            <w:r>
              <w:rPr>
                <w:rFonts w:ascii="Times New Roman" w:eastAsia="Times New Roman" w:hAnsi="Times New Roman"/>
                <w:sz w:val="18"/>
                <w:szCs w:val="18"/>
                <w:lang w:eastAsia="ru-RU"/>
              </w:rPr>
              <w:t>Заместитель Генерального директора по цифровизации</w:t>
            </w:r>
          </w:p>
        </w:tc>
      </w:tr>
      <w:tr w:rsidR="002449C2" w14:paraId="5B0D5920" w14:textId="77777777">
        <w:trPr>
          <w:cantSplit/>
          <w:jc w:val="center"/>
        </w:trPr>
        <w:tc>
          <w:tcPr>
            <w:tcW w:w="4393" w:type="dxa"/>
            <w:tcBorders>
              <w:top w:val="single" w:sz="4" w:space="0" w:color="000000"/>
              <w:left w:val="single" w:sz="4" w:space="0" w:color="000000"/>
              <w:bottom w:val="single" w:sz="4" w:space="0" w:color="000000"/>
              <w:right w:val="single" w:sz="4" w:space="0" w:color="000000"/>
            </w:tcBorders>
          </w:tcPr>
          <w:p w14:paraId="6B7151B5" w14:textId="77777777" w:rsidR="002449C2" w:rsidRDefault="00123961">
            <w:pPr>
              <w:tabs>
                <w:tab w:val="left" w:pos="9356"/>
              </w:tabs>
              <w:spacing w:after="5" w:line="252"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Доля руководителей, специалистов и служащих, обученных цифровым компетенциям в соответствии с принятыми корпоративными стандартами или, при их отсутствии, в соответствии с приказами Минэкономразвития России</w:t>
            </w:r>
            <w:r>
              <w:rPr>
                <w:rFonts w:ascii="Times New Roman" w:eastAsia="Times New Roman" w:hAnsi="Times New Roman"/>
                <w:bCs/>
                <w:color w:val="000000"/>
                <w:sz w:val="20"/>
                <w:szCs w:val="20"/>
              </w:rPr>
              <w:t xml:space="preserve"> от СЧ на конец отчетного периода</w:t>
            </w:r>
          </w:p>
        </w:tc>
        <w:tc>
          <w:tcPr>
            <w:tcW w:w="988" w:type="dxa"/>
            <w:tcBorders>
              <w:top w:val="single" w:sz="4" w:space="0" w:color="000000"/>
              <w:left w:val="single" w:sz="4" w:space="0" w:color="000000"/>
              <w:bottom w:val="single" w:sz="4" w:space="0" w:color="000000"/>
              <w:right w:val="single" w:sz="4" w:space="0" w:color="000000"/>
            </w:tcBorders>
          </w:tcPr>
          <w:p w14:paraId="75588024" w14:textId="77777777" w:rsidR="002449C2" w:rsidRDefault="00123961">
            <w:pPr>
              <w:widowControl w:val="0"/>
              <w:spacing w:after="5" w:line="252" w:lineRule="auto"/>
              <w:ind w:left="426" w:right="-143" w:hanging="426"/>
              <w:rPr>
                <w:rFonts w:ascii="Times New Roman" w:eastAsia="Times New Roman" w:hAnsi="Times New Roman"/>
                <w:bCs/>
                <w:color w:val="000000"/>
                <w:sz w:val="20"/>
                <w:szCs w:val="20"/>
              </w:rPr>
            </w:pPr>
            <w:r>
              <w:rPr>
                <w:rFonts w:ascii="Times New Roman" w:eastAsia="Times New Roman" w:hAnsi="Times New Roman"/>
                <w:bCs/>
                <w:color w:val="000000"/>
                <w:sz w:val="20"/>
                <w:szCs w:val="20"/>
              </w:rPr>
              <w:t>%</w:t>
            </w:r>
          </w:p>
        </w:tc>
        <w:tc>
          <w:tcPr>
            <w:tcW w:w="571" w:type="dxa"/>
            <w:tcBorders>
              <w:top w:val="single" w:sz="4" w:space="0" w:color="000000"/>
              <w:left w:val="single" w:sz="4" w:space="0" w:color="000000"/>
              <w:bottom w:val="single" w:sz="4" w:space="0" w:color="000000"/>
              <w:right w:val="single" w:sz="4" w:space="0" w:color="000000"/>
            </w:tcBorders>
          </w:tcPr>
          <w:p w14:paraId="5F38DACA" w14:textId="77777777" w:rsidR="002449C2" w:rsidRDefault="00123961">
            <w:pPr>
              <w:widowControl w:val="0"/>
              <w:spacing w:after="5" w:line="252" w:lineRule="auto"/>
              <w:ind w:left="-110" w:right="-143"/>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3,7</w:t>
            </w:r>
          </w:p>
        </w:tc>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232E5F03" w14:textId="77777777" w:rsidR="002449C2" w:rsidRDefault="00123961">
            <w:pPr>
              <w:widowControl w:val="0"/>
              <w:spacing w:after="5" w:line="252" w:lineRule="auto"/>
              <w:ind w:left="-107" w:right="-143"/>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2,2</w:t>
            </w:r>
          </w:p>
        </w:tc>
        <w:tc>
          <w:tcPr>
            <w:tcW w:w="565" w:type="dxa"/>
            <w:tcBorders>
              <w:top w:val="single" w:sz="4" w:space="0" w:color="000000"/>
              <w:left w:val="single" w:sz="4" w:space="0" w:color="000000"/>
              <w:bottom w:val="single" w:sz="4" w:space="0" w:color="000000"/>
              <w:right w:val="single" w:sz="4" w:space="0" w:color="000000"/>
            </w:tcBorders>
          </w:tcPr>
          <w:p w14:paraId="44FFB195" w14:textId="77777777" w:rsidR="002449C2" w:rsidRDefault="00123961">
            <w:pPr>
              <w:widowControl w:val="0"/>
              <w:spacing w:after="5" w:line="252" w:lineRule="auto"/>
              <w:ind w:left="-108" w:right="-143"/>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4,3</w:t>
            </w:r>
          </w:p>
        </w:tc>
        <w:tc>
          <w:tcPr>
            <w:tcW w:w="711" w:type="dxa"/>
            <w:tcBorders>
              <w:top w:val="single" w:sz="4" w:space="0" w:color="000000"/>
              <w:left w:val="single" w:sz="4" w:space="0" w:color="000000"/>
              <w:bottom w:val="single" w:sz="4" w:space="0" w:color="000000"/>
              <w:right w:val="single" w:sz="4" w:space="0" w:color="000000"/>
            </w:tcBorders>
          </w:tcPr>
          <w:p w14:paraId="204C8383" w14:textId="77777777" w:rsidR="002449C2" w:rsidRDefault="00123961">
            <w:pPr>
              <w:widowControl w:val="0"/>
              <w:spacing w:after="5" w:line="252" w:lineRule="auto"/>
              <w:ind w:left="-105" w:right="-143" w:hanging="4"/>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w:t>
            </w:r>
          </w:p>
        </w:tc>
        <w:tc>
          <w:tcPr>
            <w:tcW w:w="2691" w:type="dxa"/>
            <w:tcBorders>
              <w:top w:val="single" w:sz="4" w:space="0" w:color="000000"/>
              <w:left w:val="single" w:sz="4" w:space="0" w:color="000000"/>
              <w:bottom w:val="single" w:sz="4" w:space="0" w:color="000000"/>
              <w:right w:val="single" w:sz="4" w:space="0" w:color="000000"/>
            </w:tcBorders>
          </w:tcPr>
          <w:p w14:paraId="325DFF06" w14:textId="77777777" w:rsidR="002449C2" w:rsidRDefault="00123961">
            <w:pPr>
              <w:widowControl w:val="0"/>
              <w:spacing w:after="5" w:line="252" w:lineRule="auto"/>
              <w:ind w:left="-101" w:right="-108"/>
              <w:jc w:val="center"/>
              <w:rPr>
                <w:rFonts w:ascii="Times New Roman" w:eastAsia="Times New Roman" w:hAnsi="Times New Roman"/>
                <w:bCs/>
                <w:color w:val="000000"/>
                <w:sz w:val="20"/>
                <w:szCs w:val="20"/>
                <w:lang w:eastAsia="ru-RU"/>
              </w:rPr>
            </w:pPr>
            <w:r>
              <w:rPr>
                <w:rFonts w:ascii="Times New Roman" w:eastAsia="Times New Roman" w:hAnsi="Times New Roman"/>
                <w:sz w:val="18"/>
                <w:szCs w:val="18"/>
                <w:lang w:eastAsia="ru-RU"/>
              </w:rPr>
              <w:t>Департамент управления персоналом и организационного проектирования</w:t>
            </w:r>
          </w:p>
        </w:tc>
      </w:tr>
    </w:tbl>
    <w:p w14:paraId="2A211990" w14:textId="77777777" w:rsidR="002449C2" w:rsidRDefault="002449C2">
      <w:pPr>
        <w:shd w:val="clear" w:color="auto" w:fill="FFFFFF"/>
        <w:spacing w:after="0" w:line="240" w:lineRule="auto"/>
        <w:ind w:left="709"/>
        <w:contextualSpacing/>
        <w:jc w:val="both"/>
        <w:rPr>
          <w:rFonts w:ascii="Times New Roman" w:hAnsi="Times New Roman"/>
          <w:sz w:val="26"/>
          <w:szCs w:val="26"/>
        </w:rPr>
      </w:pPr>
    </w:p>
    <w:p w14:paraId="52DE633B" w14:textId="77777777" w:rsidR="002449C2" w:rsidRDefault="002449C2">
      <w:pPr>
        <w:shd w:val="clear" w:color="auto" w:fill="FFFFFF"/>
        <w:spacing w:after="0" w:line="240" w:lineRule="auto"/>
        <w:ind w:left="709"/>
        <w:contextualSpacing/>
        <w:jc w:val="both"/>
        <w:rPr>
          <w:rFonts w:ascii="Times New Roman" w:hAnsi="Times New Roman"/>
          <w:sz w:val="26"/>
          <w:szCs w:val="26"/>
        </w:rPr>
      </w:pPr>
    </w:p>
    <w:p w14:paraId="3891B7EF"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82" w:name="_Toc196143029"/>
      <w:r>
        <w:rPr>
          <w:rFonts w:ascii="Times New Roman" w:eastAsia="Times New Roman" w:hAnsi="Times New Roman"/>
          <w:caps/>
          <w:color w:val="632423"/>
          <w:spacing w:val="15"/>
          <w:sz w:val="24"/>
          <w:szCs w:val="24"/>
          <w:lang w:eastAsia="en-US" w:bidi="en-US"/>
        </w:rPr>
        <w:t>Техническая политика</w:t>
      </w:r>
      <w:bookmarkEnd w:id="82"/>
    </w:p>
    <w:p w14:paraId="494A1C12" w14:textId="77777777" w:rsidR="002449C2" w:rsidRDefault="00123961">
      <w:pPr>
        <w:tabs>
          <w:tab w:val="left" w:pos="851"/>
        </w:tabs>
        <w:spacing w:before="120" w:after="120" w:line="240" w:lineRule="auto"/>
        <w:ind w:firstLine="567"/>
        <w:jc w:val="center"/>
        <w:rPr>
          <w:rFonts w:ascii="Times New Roman" w:hAnsi="Times New Roman"/>
          <w:b/>
          <w:color w:val="000000"/>
          <w:sz w:val="26"/>
          <w:szCs w:val="26"/>
          <w:lang w:eastAsia="en-US"/>
        </w:rPr>
      </w:pPr>
      <w:r>
        <w:rPr>
          <w:rFonts w:ascii="Times New Roman" w:hAnsi="Times New Roman"/>
          <w:b/>
          <w:color w:val="000000"/>
          <w:sz w:val="26"/>
          <w:szCs w:val="26"/>
          <w:lang w:eastAsia="en-US"/>
        </w:rPr>
        <w:t>Ключевые направления 2024 года по реализации Положения ПАО «Россети» «О единой технической политике в электросетевом комплексе»</w:t>
      </w:r>
    </w:p>
    <w:p w14:paraId="3B23CCFC" w14:textId="77777777" w:rsidR="002449C2" w:rsidRDefault="00123961">
      <w:pPr>
        <w:shd w:val="clear" w:color="auto" w:fill="FFFFFF"/>
        <w:spacing w:after="0" w:line="240" w:lineRule="auto"/>
        <w:ind w:firstLine="567"/>
        <w:jc w:val="both"/>
        <w:rPr>
          <w:rFonts w:ascii="Times New Roman" w:hAnsi="Times New Roman"/>
          <w:sz w:val="26"/>
          <w:szCs w:val="26"/>
        </w:rPr>
      </w:pPr>
      <w:r>
        <w:rPr>
          <w:rFonts w:ascii="Times New Roman" w:eastAsia="Times New Roman" w:hAnsi="Times New Roman"/>
          <w:sz w:val="26"/>
          <w:szCs w:val="26"/>
          <w:lang w:eastAsia="ru-RU"/>
        </w:rPr>
        <w:t>ЕТП является совокупностью целей, принципов, эффективных технических, технологических и организационных требований и решений, обеспечивающих повышение эффективности, надежности, безопасности, экономичности передачи и распределения электроэнергии для реализации стратегии развития электросетевого комплекса Российской Федерации.</w:t>
      </w:r>
      <w:r>
        <w:rPr>
          <w:rFonts w:ascii="Times New Roman" w:hAnsi="Times New Roman"/>
          <w:sz w:val="26"/>
          <w:szCs w:val="26"/>
        </w:rPr>
        <w:t xml:space="preserve"> </w:t>
      </w:r>
    </w:p>
    <w:p w14:paraId="677BAF58"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Основными задачами реализации ЕТП являются:</w:t>
      </w:r>
    </w:p>
    <w:p w14:paraId="0F02ADF8"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обеспечение и повышение готовности электрических сетей к передаче и распределению электрической энергии для обеспечения надежного снабжения электрической энергией потребителей, функционирования оптового и розничных рынков электрической энергии, параллельной работы ЕЭС России и электроэнергетических систем иностранных государств;</w:t>
      </w:r>
    </w:p>
    <w:p w14:paraId="74D8C541"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обеспечение выдачи мощности объектов по производству электрической энергии в сеть;</w:t>
      </w:r>
    </w:p>
    <w:p w14:paraId="3B14375D"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создание условий для присоединения к электрической сети участников оптового и розничных рынков на условиях недискриминационного доступа к электрическим сетям;</w:t>
      </w:r>
    </w:p>
    <w:p w14:paraId="119CC23B"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участие в повышении эффективности и развитии систем режимного и противоаварийного управления ЕЭС России;</w:t>
      </w:r>
    </w:p>
    <w:p w14:paraId="45D403EF"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развитие и совершенствование структуры оперативно-технологического управления электросетевыми объектами;</w:t>
      </w:r>
    </w:p>
    <w:p w14:paraId="71A7D1FF"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развитие и совершенствование информационной и телекоммуникационной инфраструктуры, повышение наблюдаемости электрической сети и качества информационного обмена с другими субъектами электроэнергетики;</w:t>
      </w:r>
    </w:p>
    <w:p w14:paraId="4E300C3C"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оптимизация и снижение капиталовложений и эксплуатационных затрат и издержек в электросетевые объекты за счет оптимизации технических и технологических решений при разработке проектной документации, применения современных технологий и видов оборудования, строительных конструкций и материалов, сокращения площадей, занимаемых объектами электросетевого хозяйства;</w:t>
      </w:r>
    </w:p>
    <w:p w14:paraId="24524984"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повышение эффективности управления электросетевыми активами;</w:t>
      </w:r>
    </w:p>
    <w:p w14:paraId="03DB2021"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повышение энергоэффективности применяемых технологий, оборудования, материалов, систем и сокращение технологических потерь электрической энергии в электрических сетях;</w:t>
      </w:r>
    </w:p>
    <w:p w14:paraId="086C36EF"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преодоление тенденции старения основных фондов электрических сетей и электросетевого оборудования путем их модернизации, оптимизации работ по их реконструкции и техническому перевооружению, а также за счет повышения эффективности управления электросетевыми активами;</w:t>
      </w:r>
    </w:p>
    <w:p w14:paraId="3A8410FE"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развитие автоматизации процессов передачи и распределения электрической энергии, внедрение и развитие современных систем контроля технического состояния, диагностики и мониторинга технологического оборудования, систем защиты и автоматики, противоаварийной автоматики, систем связи, инженерных систем, коммерческого и технического учета электроэнергии, создание и развитие цифровых подстанций и электрических сетей;</w:t>
      </w:r>
    </w:p>
    <w:p w14:paraId="778CB384"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совершенствование технологий и повышение эффективности эксплуатации, технического обслуживания и ремонта электросетевых объектов;</w:t>
      </w:r>
    </w:p>
    <w:p w14:paraId="6BCFC796"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обеспечение, совершенствование и развитие профессиональной подготовки эксплуатационного и ремонтного персонала;</w:t>
      </w:r>
    </w:p>
    <w:p w14:paraId="1D28B06B"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минимизация воздействия на окружающую среду при новом строительстве, реконструкции, эксплуатации, ремонте и техническом обслуживании электросетевых объектов;</w:t>
      </w:r>
    </w:p>
    <w:p w14:paraId="3D04B424"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обеспечение безопасности при функционировании электросетевых объектов;</w:t>
      </w:r>
    </w:p>
    <w:p w14:paraId="787F968D"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формирование стимулов для развития на территории Российской Федерации производства современных видов оборудования, строительных конструкций, материалов, а также развития научно-технического и проектного потенциалов.</w:t>
      </w:r>
    </w:p>
    <w:p w14:paraId="51BF9862"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создание условий, позволяющих обеспечивать энергоснабжение потребителей без создания/реконструкции электросетевых активов.</w:t>
      </w:r>
    </w:p>
    <w:p w14:paraId="3E45B680" w14:textId="77777777" w:rsidR="002449C2" w:rsidRDefault="002449C2">
      <w:pPr>
        <w:shd w:val="clear" w:color="auto" w:fill="FFFFFF"/>
        <w:tabs>
          <w:tab w:val="left" w:pos="142"/>
          <w:tab w:val="left" w:pos="993"/>
        </w:tabs>
        <w:spacing w:after="0" w:line="240" w:lineRule="auto"/>
        <w:ind w:firstLine="709"/>
        <w:contextualSpacing/>
        <w:jc w:val="both"/>
        <w:rPr>
          <w:rFonts w:ascii="Times New Roman" w:eastAsia="Times New Roman" w:hAnsi="Times New Roman"/>
          <w:sz w:val="26"/>
          <w:szCs w:val="26"/>
          <w:lang w:eastAsia="ru-RU"/>
        </w:rPr>
      </w:pPr>
    </w:p>
    <w:tbl>
      <w:tblPr>
        <w:tblW w:w="4361" w:type="dxa"/>
        <w:tblLayout w:type="fixed"/>
        <w:tblLook w:val="04A0" w:firstRow="1" w:lastRow="0" w:firstColumn="1" w:lastColumn="0" w:noHBand="0" w:noVBand="1"/>
      </w:tblPr>
      <w:tblGrid>
        <w:gridCol w:w="1384"/>
        <w:gridCol w:w="1417"/>
        <w:gridCol w:w="1560"/>
      </w:tblGrid>
      <w:tr w:rsidR="002449C2" w14:paraId="3F00DF14" w14:textId="77777777">
        <w:tc>
          <w:tcPr>
            <w:tcW w:w="1384" w:type="dxa"/>
          </w:tcPr>
          <w:p w14:paraId="1377309B" w14:textId="77777777" w:rsidR="002449C2" w:rsidRDefault="00123961">
            <w:pPr>
              <w:tabs>
                <w:tab w:val="left" w:pos="142"/>
                <w:tab w:val="left" w:pos="993"/>
              </w:tabs>
              <w:spacing w:after="0" w:line="240" w:lineRule="auto"/>
              <w:contextualSpacing/>
              <w:jc w:val="both"/>
              <w:rPr>
                <w:rFonts w:ascii="Times New Roman" w:eastAsia="Times New Roman" w:hAnsi="Times New Roman"/>
                <w:sz w:val="26"/>
                <w:szCs w:val="26"/>
                <w:lang w:eastAsia="ru-RU"/>
              </w:rPr>
            </w:pPr>
            <w:r>
              <w:rPr>
                <w:noProof/>
                <w:lang w:eastAsia="ru-RU"/>
              </w:rPr>
              <w:drawing>
                <wp:inline distT="0" distB="0" distL="0" distR="0" wp14:anchorId="10ECF55D" wp14:editId="6D8DA4EF">
                  <wp:extent cx="695325" cy="600710"/>
                  <wp:effectExtent l="0" t="0" r="0" b="0"/>
                  <wp:docPr id="61" name="_x005F_x0000_i4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_x005F_x0000_i4441"/>
                          <pic:cNvPicPr>
                            <a:picLocks noChangeAspect="1" noChangeArrowheads="1"/>
                          </pic:cNvPicPr>
                        </pic:nvPicPr>
                        <pic:blipFill>
                          <a:blip r:embed="rId90">
                            <a:extLst>
                              <a:ext uri="{96DAC541-7B7A-43D3-8B79-37D633B846F1}">
                                <asvg:svgBlip xmlns:asvg="http://schemas.microsoft.com/office/drawing/2016/SVG/main" xmlns:w10="urn:schemas-microsoft-com:office:word" xmlns:w="http://schemas.openxmlformats.org/wordprocessingml/2006/main" xmlns:v="urn:schemas-microsoft-com:vml" xmlns:o="urn:schemas-microsoft-com:office:office" xmlns="" r:embed="rId91"/>
                              </a:ext>
                            </a:extLst>
                          </a:blip>
                          <a:stretch>
                            <a:fillRect/>
                          </a:stretch>
                        </pic:blipFill>
                        <pic:spPr bwMode="auto">
                          <a:xfrm>
                            <a:off x="0" y="0"/>
                            <a:ext cx="695325" cy="600710"/>
                          </a:xfrm>
                          <a:prstGeom prst="rect">
                            <a:avLst/>
                          </a:prstGeom>
                          <a:noFill/>
                        </pic:spPr>
                      </pic:pic>
                    </a:graphicData>
                  </a:graphic>
                </wp:inline>
              </w:drawing>
            </w:r>
          </w:p>
        </w:tc>
        <w:tc>
          <w:tcPr>
            <w:tcW w:w="1417" w:type="dxa"/>
          </w:tcPr>
          <w:p w14:paraId="5E90778F" w14:textId="77777777" w:rsidR="002449C2" w:rsidRDefault="00123961">
            <w:pPr>
              <w:tabs>
                <w:tab w:val="left" w:pos="142"/>
                <w:tab w:val="left" w:pos="993"/>
              </w:tabs>
              <w:spacing w:after="0" w:line="240" w:lineRule="auto"/>
              <w:contextualSpacing/>
              <w:jc w:val="both"/>
              <w:rPr>
                <w:rFonts w:ascii="Times New Roman" w:eastAsia="Times New Roman" w:hAnsi="Times New Roman"/>
                <w:sz w:val="26"/>
                <w:szCs w:val="26"/>
                <w:lang w:eastAsia="ru-RU"/>
              </w:rPr>
            </w:pPr>
            <w:r>
              <w:rPr>
                <w:noProof/>
                <w:lang w:eastAsia="ru-RU"/>
              </w:rPr>
              <w:drawing>
                <wp:inline distT="0" distB="0" distL="0" distR="0" wp14:anchorId="6DFD4ED8" wp14:editId="29C6B592">
                  <wp:extent cx="733425" cy="589915"/>
                  <wp:effectExtent l="0" t="0" r="0" b="0"/>
                  <wp:docPr id="62" name="_x005F_x0000_i4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_x005F_x0000_i4442"/>
                          <pic:cNvPicPr>
                            <a:picLocks noChangeAspect="1" noChangeArrowheads="1"/>
                          </pic:cNvPicPr>
                        </pic:nvPicPr>
                        <pic:blipFill>
                          <a:blip r:embed="rId92">
                            <a:extLst>
                              <a:ext uri="{96DAC541-7B7A-43D3-8B79-37D633B846F1}">
                                <asvg:svgBlip xmlns:asvg="http://schemas.microsoft.com/office/drawing/2016/SVG/main" xmlns:w10="urn:schemas-microsoft-com:office:word" xmlns:w="http://schemas.openxmlformats.org/wordprocessingml/2006/main" xmlns:v="urn:schemas-microsoft-com:vml" xmlns:o="urn:schemas-microsoft-com:office:office" xmlns="" r:embed="rId93"/>
                              </a:ext>
                            </a:extLst>
                          </a:blip>
                          <a:stretch>
                            <a:fillRect/>
                          </a:stretch>
                        </pic:blipFill>
                        <pic:spPr bwMode="auto">
                          <a:xfrm>
                            <a:off x="0" y="0"/>
                            <a:ext cx="733425" cy="589915"/>
                          </a:xfrm>
                          <a:prstGeom prst="rect">
                            <a:avLst/>
                          </a:prstGeom>
                          <a:noFill/>
                        </pic:spPr>
                      </pic:pic>
                    </a:graphicData>
                  </a:graphic>
                </wp:inline>
              </w:drawing>
            </w:r>
          </w:p>
        </w:tc>
        <w:tc>
          <w:tcPr>
            <w:tcW w:w="1560" w:type="dxa"/>
          </w:tcPr>
          <w:p w14:paraId="67478D34" w14:textId="77777777" w:rsidR="002449C2" w:rsidRDefault="00123961">
            <w:pPr>
              <w:tabs>
                <w:tab w:val="left" w:pos="142"/>
                <w:tab w:val="left" w:pos="993"/>
              </w:tabs>
              <w:spacing w:after="0" w:line="240" w:lineRule="auto"/>
              <w:contextualSpacing/>
              <w:jc w:val="both"/>
              <w:rPr>
                <w:rFonts w:ascii="Times New Roman" w:eastAsia="Times New Roman" w:hAnsi="Times New Roman"/>
                <w:sz w:val="26"/>
                <w:szCs w:val="26"/>
                <w:lang w:eastAsia="ru-RU"/>
              </w:rPr>
            </w:pPr>
            <w:r>
              <w:rPr>
                <w:noProof/>
                <w:lang w:eastAsia="ru-RU"/>
              </w:rPr>
              <w:drawing>
                <wp:inline distT="0" distB="0" distL="0" distR="0" wp14:anchorId="47307AAE" wp14:editId="29DF3A7B">
                  <wp:extent cx="666115" cy="574675"/>
                  <wp:effectExtent l="0" t="0" r="0" b="0"/>
                  <wp:docPr id="63" name="_x005F_x0000_i4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_x005F_x0000_i4443"/>
                          <pic:cNvPicPr>
                            <a:picLocks noChangeAspect="1" noChangeArrowheads="1"/>
                          </pic:cNvPicPr>
                        </pic:nvPicPr>
                        <pic:blipFill>
                          <a:blip r:embed="rId94">
                            <a:extLst>
                              <a:ext uri="{96DAC541-7B7A-43D3-8B79-37D633B846F1}">
                                <asvg:svgBlip xmlns:asvg="http://schemas.microsoft.com/office/drawing/2016/SVG/main" xmlns:w10="urn:schemas-microsoft-com:office:word" xmlns:w="http://schemas.openxmlformats.org/wordprocessingml/2006/main" xmlns:v="urn:schemas-microsoft-com:vml" xmlns:o="urn:schemas-microsoft-com:office:office" xmlns="" r:embed="rId95"/>
                              </a:ext>
                            </a:extLst>
                          </a:blip>
                          <a:stretch>
                            <a:fillRect/>
                          </a:stretch>
                        </pic:blipFill>
                        <pic:spPr bwMode="auto">
                          <a:xfrm>
                            <a:off x="0" y="0"/>
                            <a:ext cx="666115" cy="574675"/>
                          </a:xfrm>
                          <a:prstGeom prst="rect">
                            <a:avLst/>
                          </a:prstGeom>
                          <a:noFill/>
                        </pic:spPr>
                      </pic:pic>
                    </a:graphicData>
                  </a:graphic>
                </wp:inline>
              </w:drawing>
            </w:r>
          </w:p>
        </w:tc>
      </w:tr>
    </w:tbl>
    <w:p w14:paraId="1F7ADE48" w14:textId="77777777" w:rsidR="002449C2" w:rsidRDefault="00123961">
      <w:pPr>
        <w:keepNext/>
        <w:keepLines/>
        <w:spacing w:before="120" w:after="120" w:line="240" w:lineRule="auto"/>
        <w:ind w:left="360"/>
        <w:outlineLvl w:val="0"/>
        <w:rPr>
          <w:rFonts w:ascii="Times New Roman" w:eastAsia="Times New Roman" w:hAnsi="Times New Roman"/>
          <w:bCs/>
          <w:color w:val="0066CC"/>
          <w:sz w:val="36"/>
          <w:szCs w:val="28"/>
          <w:lang w:eastAsia="ru-RU"/>
        </w:rPr>
      </w:pPr>
      <w:bookmarkStart w:id="83" w:name="_Toc536544524"/>
      <w:bookmarkStart w:id="84" w:name="_Toc33542766"/>
      <w:bookmarkStart w:id="85" w:name="_Toc195174937"/>
      <w:bookmarkStart w:id="86" w:name="_Toc196143030"/>
      <w:r>
        <w:rPr>
          <w:rFonts w:ascii="Times New Roman" w:eastAsia="Times New Roman" w:hAnsi="Times New Roman"/>
          <w:bCs/>
          <w:color w:val="0066CC"/>
          <w:sz w:val="36"/>
          <w:szCs w:val="28"/>
          <w:lang w:eastAsia="ru-RU"/>
        </w:rPr>
        <w:t>УСТОЙЧИВОЕ РАЗВИТИ</w:t>
      </w:r>
      <w:bookmarkEnd w:id="83"/>
      <w:r>
        <w:rPr>
          <w:rFonts w:ascii="Times New Roman" w:eastAsia="Times New Roman" w:hAnsi="Times New Roman"/>
          <w:bCs/>
          <w:color w:val="0066CC"/>
          <w:sz w:val="36"/>
          <w:szCs w:val="28"/>
          <w:lang w:eastAsia="ru-RU"/>
        </w:rPr>
        <w:t>Е</w:t>
      </w:r>
      <w:bookmarkEnd w:id="84"/>
      <w:bookmarkEnd w:id="85"/>
      <w:bookmarkEnd w:id="86"/>
    </w:p>
    <w:p w14:paraId="47AE25BB"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87" w:name="_Toc536544525"/>
      <w:bookmarkStart w:id="88" w:name="_Toc195174938"/>
      <w:bookmarkStart w:id="89" w:name="_Toc33542767"/>
      <w:bookmarkStart w:id="90" w:name="_Toc506803803"/>
      <w:bookmarkStart w:id="91" w:name="_Toc505186231"/>
      <w:bookmarkStart w:id="92" w:name="_Toc196143031"/>
      <w:r>
        <w:rPr>
          <w:rFonts w:ascii="Times New Roman" w:eastAsia="Times New Roman" w:hAnsi="Times New Roman"/>
          <w:caps/>
          <w:color w:val="632423"/>
          <w:spacing w:val="15"/>
          <w:sz w:val="24"/>
          <w:szCs w:val="24"/>
          <w:lang w:eastAsia="en-US" w:bidi="en-US"/>
        </w:rPr>
        <w:t>Управление вопросами устойчивого развития</w:t>
      </w:r>
      <w:bookmarkEnd w:id="87"/>
      <w:bookmarkEnd w:id="88"/>
      <w:bookmarkEnd w:id="89"/>
      <w:bookmarkEnd w:id="90"/>
      <w:bookmarkEnd w:id="91"/>
      <w:bookmarkEnd w:id="92"/>
    </w:p>
    <w:p w14:paraId="7EEA4BE6" w14:textId="77777777" w:rsidR="002449C2" w:rsidRDefault="00123961">
      <w:pPr>
        <w:shd w:val="clear" w:color="auto" w:fill="FFFFFF"/>
        <w:spacing w:before="40" w:after="0" w:line="179"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Согласно определению ООН: «Устойчивое развитие — это такое развитие, которое удовлетворяет потребности настоящего времени, но не ставит под угрозу способность будущих поколений удовлетворять свои собственные потребности».</w:t>
      </w:r>
    </w:p>
    <w:p w14:paraId="7D6EB601" w14:textId="77777777" w:rsidR="002449C2" w:rsidRDefault="00123961">
      <w:pPr>
        <w:shd w:val="clear" w:color="auto" w:fill="FFFFFF"/>
        <w:spacing w:before="40" w:after="0" w:line="179"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целях соблюдения принципа предосторожности, Компания на постоянной основе работает над выполнением требований природоохранного законодательства, повышением уровня производственной и экологической безопасности, обеспечением планомерного и эффективного снижения негативного воздействия производственной деятельности на окружающую среду. </w:t>
      </w:r>
    </w:p>
    <w:p w14:paraId="1B494385" w14:textId="77777777" w:rsidR="002449C2" w:rsidRDefault="00123961">
      <w:pPr>
        <w:shd w:val="clear" w:color="auto" w:fill="FFFFFF"/>
        <w:spacing w:before="40" w:after="0" w:line="179"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Компания осуществляет свою деятельность, ориентируясь на Цели устойчивого развития, принятые ООН 25.09.2015.</w:t>
      </w:r>
    </w:p>
    <w:p w14:paraId="64B0023B" w14:textId="77777777" w:rsidR="002449C2" w:rsidRDefault="00123961">
      <w:pPr>
        <w:keepNext/>
        <w:keepLines/>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93" w:name="_Toc33542769"/>
      <w:bookmarkStart w:id="94" w:name="_Toc536544528"/>
      <w:bookmarkStart w:id="95" w:name="_Toc195174939"/>
      <w:bookmarkStart w:id="96" w:name="_Toc196143032"/>
      <w:r>
        <w:rPr>
          <w:rFonts w:ascii="Times New Roman" w:eastAsia="Times New Roman" w:hAnsi="Times New Roman"/>
          <w:color w:val="385623"/>
          <w:sz w:val="28"/>
          <w:szCs w:val="28"/>
          <w:lang w:eastAsia="en-US" w:bidi="en-US"/>
        </w:rPr>
        <w:t>Взаимодействие с заинтересованными сторонами</w:t>
      </w:r>
      <w:bookmarkEnd w:id="93"/>
      <w:bookmarkEnd w:id="94"/>
      <w:bookmarkEnd w:id="95"/>
      <w:bookmarkEnd w:id="96"/>
    </w:p>
    <w:p w14:paraId="4F52851F" w14:textId="77777777" w:rsidR="002449C2" w:rsidRDefault="00123961">
      <w:pPr>
        <w:shd w:val="clear" w:color="auto" w:fill="FFFFFF"/>
        <w:spacing w:before="120" w:after="120" w:line="240" w:lineRule="auto"/>
        <w:ind w:firstLine="567"/>
        <w:jc w:val="both"/>
        <w:rPr>
          <w:rFonts w:ascii="Times New Roman" w:eastAsia="Times New Roman" w:hAnsi="Times New Roman"/>
          <w:sz w:val="26"/>
          <w:szCs w:val="26"/>
          <w:lang w:eastAsia="ar-SA"/>
        </w:rPr>
      </w:pPr>
      <w:r>
        <w:rPr>
          <w:rFonts w:ascii="Times New Roman" w:eastAsia="Times New Roman" w:hAnsi="Times New Roman"/>
          <w:sz w:val="26"/>
          <w:szCs w:val="26"/>
          <w:lang w:eastAsia="ar-SA"/>
        </w:rPr>
        <w:t>Устойчивое развитие ПАО «Россети Юг» находится в непосредственной зависимости от качества взаимодействия с заинтересованными сторонами. Компания выстраивает ответственный и открытый диалог со всеми стейкхолдерами и заботится о надлежащем учете их интересов при принятии решений.</w:t>
      </w:r>
    </w:p>
    <w:p w14:paraId="2BC9E17C" w14:textId="77777777" w:rsidR="002449C2" w:rsidRDefault="00123961">
      <w:pPr>
        <w:shd w:val="clear" w:color="auto" w:fill="FFFFFF"/>
        <w:spacing w:before="120" w:after="12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При выделении групп заинтересованных сторон мы опирались на следующие основные принципы: </w:t>
      </w:r>
    </w:p>
    <w:p w14:paraId="7ADC291C" w14:textId="77777777" w:rsidR="002449C2" w:rsidRDefault="00123961">
      <w:pPr>
        <w:numPr>
          <w:ilvl w:val="0"/>
          <w:numId w:val="11"/>
        </w:numPr>
        <w:shd w:val="clear" w:color="auto" w:fill="FFFFFF"/>
        <w:tabs>
          <w:tab w:val="left" w:pos="709"/>
        </w:tabs>
        <w:spacing w:before="120" w:after="120" w:line="240" w:lineRule="auto"/>
        <w:ind w:left="0" w:firstLine="284"/>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общность их интересов и ожиданий, предъявляемых к компаниям Группы «Россети»; </w:t>
      </w:r>
    </w:p>
    <w:p w14:paraId="6B2219EB" w14:textId="77777777" w:rsidR="002449C2" w:rsidRDefault="00123961">
      <w:pPr>
        <w:numPr>
          <w:ilvl w:val="0"/>
          <w:numId w:val="11"/>
        </w:numPr>
        <w:shd w:val="clear" w:color="auto" w:fill="FFFFFF"/>
        <w:tabs>
          <w:tab w:val="left" w:pos="709"/>
        </w:tabs>
        <w:spacing w:before="120" w:after="120" w:line="240" w:lineRule="auto"/>
        <w:ind w:left="0" w:firstLine="284"/>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характер их влияния на достижение стратегических целей компаниями Группы «Россети»; </w:t>
      </w:r>
    </w:p>
    <w:p w14:paraId="16494B3A" w14:textId="77777777" w:rsidR="002449C2" w:rsidRDefault="00123961">
      <w:pPr>
        <w:numPr>
          <w:ilvl w:val="0"/>
          <w:numId w:val="11"/>
        </w:numPr>
        <w:shd w:val="clear" w:color="auto" w:fill="FFFFFF"/>
        <w:tabs>
          <w:tab w:val="left" w:pos="709"/>
        </w:tabs>
        <w:spacing w:before="120" w:after="120" w:line="240" w:lineRule="auto"/>
        <w:ind w:left="0" w:firstLine="284"/>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используемые нами инструменты взаимодействия с заинтересованными сторонами. </w:t>
      </w:r>
    </w:p>
    <w:p w14:paraId="14D7B77B"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 xml:space="preserve">Заинтересованными сторонами Общества являются организации Группы компаний «Россети», ДЗО Общества, члены Совета директоров и Правления Общества и иные юридические и физические лица. </w:t>
      </w:r>
    </w:p>
    <w:p w14:paraId="32A6A122" w14:textId="77777777" w:rsidR="002449C2" w:rsidRDefault="00123961">
      <w:pPr>
        <w:keepNext/>
        <w:pBdr>
          <w:bottom w:val="single" w:sz="4" w:space="1" w:color="622423"/>
        </w:pBdr>
        <w:shd w:val="clear" w:color="auto" w:fill="FFFFFF"/>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97" w:name="_Toc33542772"/>
      <w:bookmarkStart w:id="98" w:name="_Toc195174940"/>
      <w:bookmarkStart w:id="99" w:name="_Toc196143033"/>
      <w:r>
        <w:rPr>
          <w:rFonts w:ascii="Times New Roman" w:eastAsia="Times New Roman" w:hAnsi="Times New Roman"/>
          <w:caps/>
          <w:color w:val="632423"/>
          <w:spacing w:val="15"/>
          <w:sz w:val="24"/>
          <w:szCs w:val="24"/>
          <w:lang w:eastAsia="en-US" w:bidi="en-US"/>
        </w:rPr>
        <w:t>Результаты реализации кадровой политики</w:t>
      </w:r>
      <w:bookmarkEnd w:id="97"/>
      <w:bookmarkEnd w:id="98"/>
      <w:bookmarkEnd w:id="99"/>
    </w:p>
    <w:p w14:paraId="3D8058B6"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Ключевыми целями кадровой и социальной политики Общества (далее – Политика), призванными обеспечить достижение целевых ориентиров Стратегии развития электросетевого комплекса, являются:</w:t>
      </w:r>
    </w:p>
    <w:p w14:paraId="7FD82344"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планирование потребности в персонале – обеспечение наличия достоверной информации об оперативной и прогнозной численной и качественной потребности в трудовых ресурсах, необходимой и достаточной для выполнения поставленных перед филиалом задач;</w:t>
      </w:r>
    </w:p>
    <w:p w14:paraId="21CDF026"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своевременное обеспечение потребностей Общества в персонале требуемой квалификации;</w:t>
      </w:r>
    </w:p>
    <w:p w14:paraId="7482B2CD"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обеспечение эффективности деятельности персонала, рост производительности труда.</w:t>
      </w:r>
    </w:p>
    <w:p w14:paraId="551249DF"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Указанные ключевые цели кадровой и социальной политики достигаются путем реализации комплекса мер по различным направлениям деятельности и достижения установленных целевых ориентиров в следующих областях:</w:t>
      </w:r>
    </w:p>
    <w:p w14:paraId="39A8E354"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организационного проектирования;</w:t>
      </w:r>
    </w:p>
    <w:p w14:paraId="1F25D5E6"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управления численностью;</w:t>
      </w:r>
    </w:p>
    <w:p w14:paraId="098B9DDE"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кадрового обеспечения и развития персонала;</w:t>
      </w:r>
    </w:p>
    <w:p w14:paraId="4C3401CC"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управления эффективностью деятельности персонала (мотивация персонала);</w:t>
      </w:r>
    </w:p>
    <w:p w14:paraId="0235D923"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социальных льгот и гарантий;</w:t>
      </w:r>
    </w:p>
    <w:p w14:paraId="66D7C803"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обеспечения безопасности деятельности персонала и культуры труда.</w:t>
      </w:r>
    </w:p>
    <w:p w14:paraId="7F21130D"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целях поддержания высокого уровня социальной защищенности персонала ПАО «Россети Юг», предоставления работникам гарантий и компенсаций в 2024 году приняты и реализованы следующие меры:</w:t>
      </w:r>
    </w:p>
    <w:p w14:paraId="32E4C326"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введено в действие Положение об организации санаторно-курортного лечения работников производственных отделений и районов электрических сетей филиалов ПАО «Россети Юг»;</w:t>
      </w:r>
    </w:p>
    <w:p w14:paraId="0D1F522A"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действует Положение о порядке предоставления компенсации расходов по найму (поднайму) жилых помещений работникам районов электрических сетей филиалов ПАО «Россети Юг»;</w:t>
      </w:r>
    </w:p>
    <w:p w14:paraId="059FC212"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произведены единовременные выплаты мобилизованным работникам (призванным на военную службу в связи с частичной мобилизацией) и семьям погибших мобилизованных работников к Дню защитника Отечества, Дню Победы и Дню энергетика;</w:t>
      </w:r>
    </w:p>
    <w:p w14:paraId="5CE4D17A" w14:textId="3C5FBA01"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предоставление единовременной материальной помощи работникам и ветеранам Общества.</w:t>
      </w:r>
    </w:p>
    <w:p w14:paraId="3F6F7DBF" w14:textId="56C9DAC4" w:rsidR="00B830B0" w:rsidRDefault="00B830B0">
      <w:pPr>
        <w:shd w:val="clear" w:color="auto" w:fill="FFFFFF"/>
        <w:spacing w:after="0" w:line="240" w:lineRule="auto"/>
        <w:ind w:firstLine="709"/>
        <w:jc w:val="both"/>
        <w:rPr>
          <w:rFonts w:ascii="Times New Roman" w:eastAsia="Times New Roman" w:hAnsi="Times New Roman"/>
          <w:sz w:val="26"/>
          <w:szCs w:val="26"/>
          <w:lang w:eastAsia="ru-RU"/>
        </w:rPr>
      </w:pPr>
    </w:p>
    <w:p w14:paraId="18DA75E9" w14:textId="77777777" w:rsidR="00B830B0" w:rsidRDefault="00B830B0">
      <w:pPr>
        <w:shd w:val="clear" w:color="auto" w:fill="FFFFFF"/>
        <w:spacing w:after="0" w:line="240" w:lineRule="auto"/>
        <w:ind w:firstLine="709"/>
        <w:jc w:val="both"/>
        <w:rPr>
          <w:rFonts w:ascii="Times New Roman" w:eastAsia="Times New Roman" w:hAnsi="Times New Roman"/>
          <w:sz w:val="26"/>
          <w:szCs w:val="26"/>
          <w:lang w:eastAsia="ru-RU"/>
        </w:rPr>
      </w:pPr>
    </w:p>
    <w:p w14:paraId="51452437" w14:textId="77777777" w:rsidR="002449C2" w:rsidRDefault="00123961">
      <w:pPr>
        <w:keepNext/>
        <w:keepLines/>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100" w:name="_Toc33542773"/>
      <w:bookmarkStart w:id="101" w:name="_Toc195174941"/>
      <w:bookmarkStart w:id="102" w:name="_Toc536544532"/>
      <w:bookmarkStart w:id="103" w:name="_Toc196143034"/>
      <w:r>
        <w:rPr>
          <w:rFonts w:ascii="Times New Roman" w:eastAsia="Times New Roman" w:hAnsi="Times New Roman"/>
          <w:color w:val="385623"/>
          <w:sz w:val="28"/>
          <w:szCs w:val="28"/>
          <w:lang w:eastAsia="en-US" w:bidi="en-US"/>
        </w:rPr>
        <w:t>Численность и структура персонала</w:t>
      </w:r>
      <w:bookmarkEnd w:id="100"/>
      <w:bookmarkEnd w:id="101"/>
      <w:bookmarkEnd w:id="102"/>
      <w:bookmarkEnd w:id="103"/>
    </w:p>
    <w:p w14:paraId="648B2539"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Среднесписочная численность работников ПАО «Россети Юг» за 2024 год составила 12 956 человек, что на 4,5% ниже чем в 2023 году. Снижение среднесписочной численности обусловлено естественным оттоком персонала и в связи с отказом в продлении статуса гарантирующего поставщика в зоне действия г. Элиста (филиал ПАО «Россети Юг» - «Калмэнерго»).</w:t>
      </w:r>
    </w:p>
    <w:p w14:paraId="64CD0431" w14:textId="0790739B" w:rsidR="00B830B0" w:rsidRDefault="00B830B0">
      <w:pPr>
        <w:spacing w:after="0" w:line="240" w:lineRule="auto"/>
        <w:ind w:firstLine="709"/>
        <w:jc w:val="both"/>
        <w:rPr>
          <w:rFonts w:ascii="Times New Roman" w:eastAsia="Times New Roman" w:hAnsi="Times New Roman"/>
          <w:sz w:val="26"/>
          <w:szCs w:val="26"/>
          <w:lang w:eastAsia="ru-RU"/>
        </w:rPr>
      </w:pPr>
    </w:p>
    <w:p w14:paraId="4BAFC5B8" w14:textId="0FC11B69" w:rsidR="00B830B0" w:rsidRDefault="00B830B0">
      <w:pPr>
        <w:spacing w:after="0" w:line="240" w:lineRule="auto"/>
        <w:ind w:firstLine="709"/>
        <w:jc w:val="both"/>
        <w:rPr>
          <w:rFonts w:ascii="Times New Roman" w:eastAsia="Times New Roman" w:hAnsi="Times New Roman"/>
          <w:sz w:val="26"/>
          <w:szCs w:val="26"/>
          <w:lang w:eastAsia="ru-RU"/>
        </w:rPr>
      </w:pPr>
    </w:p>
    <w:p w14:paraId="7E453D58" w14:textId="26CD28AA" w:rsidR="00B830B0" w:rsidRDefault="00B830B0">
      <w:pPr>
        <w:spacing w:after="0" w:line="240" w:lineRule="auto"/>
        <w:ind w:firstLine="709"/>
        <w:jc w:val="both"/>
        <w:rPr>
          <w:rFonts w:ascii="Times New Roman" w:eastAsia="Times New Roman" w:hAnsi="Times New Roman"/>
          <w:sz w:val="26"/>
          <w:szCs w:val="26"/>
          <w:lang w:eastAsia="ru-RU"/>
        </w:rPr>
      </w:pPr>
    </w:p>
    <w:p w14:paraId="279DCC03" w14:textId="280BBF52" w:rsidR="00B830B0" w:rsidRDefault="00B830B0">
      <w:pPr>
        <w:spacing w:after="0" w:line="240" w:lineRule="auto"/>
        <w:ind w:firstLine="709"/>
        <w:jc w:val="both"/>
        <w:rPr>
          <w:rFonts w:ascii="Times New Roman" w:eastAsia="Times New Roman" w:hAnsi="Times New Roman"/>
          <w:sz w:val="26"/>
          <w:szCs w:val="26"/>
          <w:lang w:eastAsia="ru-RU"/>
        </w:rPr>
      </w:pPr>
    </w:p>
    <w:p w14:paraId="65B7849A" w14:textId="0362AAB1" w:rsidR="00B830B0" w:rsidRDefault="00B830B0">
      <w:pPr>
        <w:spacing w:after="0" w:line="240" w:lineRule="auto"/>
        <w:ind w:firstLine="709"/>
        <w:jc w:val="both"/>
        <w:rPr>
          <w:rFonts w:ascii="Times New Roman" w:eastAsia="Times New Roman" w:hAnsi="Times New Roman"/>
          <w:sz w:val="26"/>
          <w:szCs w:val="26"/>
          <w:lang w:eastAsia="ru-RU"/>
        </w:rPr>
      </w:pPr>
    </w:p>
    <w:p w14:paraId="7B3B0B35" w14:textId="529663E3" w:rsidR="00B830B0" w:rsidRDefault="00B830B0">
      <w:pPr>
        <w:spacing w:after="0" w:line="240" w:lineRule="auto"/>
        <w:ind w:firstLine="709"/>
        <w:jc w:val="both"/>
        <w:rPr>
          <w:rFonts w:ascii="Times New Roman" w:eastAsia="Times New Roman" w:hAnsi="Times New Roman"/>
          <w:sz w:val="26"/>
          <w:szCs w:val="26"/>
          <w:lang w:eastAsia="ru-RU"/>
        </w:rPr>
      </w:pPr>
    </w:p>
    <w:p w14:paraId="6E82EEED" w14:textId="366FC282" w:rsidR="00B830B0" w:rsidRDefault="00B830B0">
      <w:pPr>
        <w:spacing w:after="0" w:line="240" w:lineRule="auto"/>
        <w:ind w:firstLine="709"/>
        <w:jc w:val="both"/>
        <w:rPr>
          <w:rFonts w:ascii="Times New Roman" w:eastAsia="Times New Roman" w:hAnsi="Times New Roman"/>
          <w:sz w:val="26"/>
          <w:szCs w:val="26"/>
          <w:lang w:eastAsia="ru-RU"/>
        </w:rPr>
      </w:pPr>
    </w:p>
    <w:p w14:paraId="7885B955" w14:textId="2FD4EEFE" w:rsidR="00B830B0" w:rsidRDefault="00B830B0">
      <w:pPr>
        <w:spacing w:after="0" w:line="240" w:lineRule="auto"/>
        <w:ind w:firstLine="709"/>
        <w:jc w:val="both"/>
        <w:rPr>
          <w:rFonts w:ascii="Times New Roman" w:eastAsia="Times New Roman" w:hAnsi="Times New Roman"/>
          <w:sz w:val="26"/>
          <w:szCs w:val="26"/>
          <w:lang w:eastAsia="ru-RU"/>
        </w:rPr>
      </w:pPr>
    </w:p>
    <w:p w14:paraId="16E154F3" w14:textId="4A765D3E" w:rsidR="00B830B0" w:rsidRDefault="00B830B0">
      <w:pPr>
        <w:spacing w:after="0" w:line="240" w:lineRule="auto"/>
        <w:ind w:firstLine="709"/>
        <w:jc w:val="both"/>
        <w:rPr>
          <w:rFonts w:ascii="Times New Roman" w:eastAsia="Times New Roman" w:hAnsi="Times New Roman"/>
          <w:sz w:val="26"/>
          <w:szCs w:val="26"/>
          <w:lang w:eastAsia="ru-RU"/>
        </w:rPr>
      </w:pPr>
    </w:p>
    <w:p w14:paraId="39E3EEDD" w14:textId="673CB2DD" w:rsidR="00B830B0" w:rsidRDefault="00B830B0">
      <w:pPr>
        <w:spacing w:after="0" w:line="240" w:lineRule="auto"/>
        <w:ind w:firstLine="709"/>
        <w:jc w:val="both"/>
        <w:rPr>
          <w:rFonts w:ascii="Times New Roman" w:eastAsia="Times New Roman" w:hAnsi="Times New Roman"/>
          <w:sz w:val="26"/>
          <w:szCs w:val="26"/>
          <w:lang w:eastAsia="ru-RU"/>
        </w:rPr>
      </w:pPr>
    </w:p>
    <w:p w14:paraId="1EA6BAC7" w14:textId="5A971840" w:rsidR="00B830B0" w:rsidRDefault="00B830B0">
      <w:pPr>
        <w:spacing w:after="0" w:line="240" w:lineRule="auto"/>
        <w:ind w:firstLine="709"/>
        <w:jc w:val="both"/>
        <w:rPr>
          <w:rFonts w:ascii="Times New Roman" w:eastAsia="Times New Roman" w:hAnsi="Times New Roman"/>
          <w:sz w:val="26"/>
          <w:szCs w:val="26"/>
          <w:lang w:eastAsia="ru-RU"/>
        </w:rPr>
      </w:pPr>
    </w:p>
    <w:p w14:paraId="718A3453" w14:textId="02A2F7C3" w:rsidR="00B830B0" w:rsidRDefault="00B830B0">
      <w:pPr>
        <w:spacing w:after="0" w:line="240" w:lineRule="auto"/>
        <w:ind w:firstLine="709"/>
        <w:jc w:val="both"/>
        <w:rPr>
          <w:rFonts w:ascii="Times New Roman" w:eastAsia="Times New Roman" w:hAnsi="Times New Roman"/>
          <w:sz w:val="26"/>
          <w:szCs w:val="26"/>
          <w:lang w:eastAsia="ru-RU"/>
        </w:rPr>
      </w:pPr>
    </w:p>
    <w:p w14:paraId="4107A990" w14:textId="7B59191D" w:rsidR="00B830B0" w:rsidRDefault="00B830B0">
      <w:pPr>
        <w:spacing w:after="0" w:line="240" w:lineRule="auto"/>
        <w:ind w:firstLine="709"/>
        <w:jc w:val="both"/>
        <w:rPr>
          <w:rFonts w:ascii="Times New Roman" w:eastAsia="Times New Roman" w:hAnsi="Times New Roman"/>
          <w:sz w:val="26"/>
          <w:szCs w:val="26"/>
          <w:lang w:eastAsia="ru-RU"/>
        </w:rPr>
      </w:pPr>
    </w:p>
    <w:p w14:paraId="24257468" w14:textId="55C7F8CA" w:rsidR="00B830B0" w:rsidRDefault="00B830B0">
      <w:pPr>
        <w:spacing w:after="0" w:line="240" w:lineRule="auto"/>
        <w:ind w:firstLine="709"/>
        <w:jc w:val="both"/>
        <w:rPr>
          <w:rFonts w:ascii="Times New Roman" w:eastAsia="Times New Roman" w:hAnsi="Times New Roman"/>
          <w:sz w:val="26"/>
          <w:szCs w:val="26"/>
          <w:lang w:eastAsia="ru-RU"/>
        </w:rPr>
      </w:pPr>
    </w:p>
    <w:p w14:paraId="73A03652" w14:textId="77777777" w:rsidR="00B830B0" w:rsidRDefault="00B830B0">
      <w:pPr>
        <w:spacing w:after="0" w:line="240" w:lineRule="auto"/>
        <w:ind w:firstLine="709"/>
        <w:jc w:val="both"/>
        <w:rPr>
          <w:rFonts w:ascii="Times New Roman" w:eastAsia="Times New Roman" w:hAnsi="Times New Roman"/>
          <w:sz w:val="26"/>
          <w:szCs w:val="26"/>
          <w:lang w:eastAsia="ru-RU"/>
        </w:rPr>
      </w:pPr>
    </w:p>
    <w:p w14:paraId="60E2CC5A" w14:textId="77777777" w:rsidR="002449C2" w:rsidRDefault="00123961">
      <w:pPr>
        <w:spacing w:after="0" w:line="240" w:lineRule="auto"/>
        <w:jc w:val="center"/>
        <w:rPr>
          <w:rFonts w:ascii="Times New Roman" w:eastAsia="Times New Roman" w:hAnsi="Times New Roman"/>
          <w:b/>
          <w:color w:val="0070C0"/>
          <w:sz w:val="24"/>
          <w:szCs w:val="24"/>
          <w:lang w:eastAsia="ru-RU"/>
        </w:rPr>
      </w:pPr>
      <w:r>
        <w:rPr>
          <w:rFonts w:ascii="Times New Roman" w:eastAsia="Times New Roman" w:hAnsi="Times New Roman"/>
          <w:b/>
          <w:color w:val="0070C0"/>
          <w:sz w:val="24"/>
          <w:szCs w:val="24"/>
          <w:lang w:eastAsia="ru-RU"/>
        </w:rPr>
        <w:t xml:space="preserve">Среднесписочная численность персонала ПАО «Россети Юг» </w:t>
      </w:r>
    </w:p>
    <w:p w14:paraId="77C67022" w14:textId="77777777" w:rsidR="002449C2" w:rsidRDefault="00123961">
      <w:pPr>
        <w:spacing w:after="0" w:line="240" w:lineRule="auto"/>
        <w:jc w:val="center"/>
        <w:rPr>
          <w:rFonts w:ascii="Times New Roman" w:eastAsia="Times New Roman" w:hAnsi="Times New Roman"/>
          <w:b/>
          <w:color w:val="0070C0"/>
          <w:sz w:val="24"/>
          <w:szCs w:val="24"/>
          <w:lang w:eastAsia="ru-RU"/>
        </w:rPr>
      </w:pPr>
      <w:r>
        <w:rPr>
          <w:rFonts w:ascii="Times New Roman" w:eastAsia="Times New Roman" w:hAnsi="Times New Roman"/>
          <w:b/>
          <w:color w:val="0070C0"/>
          <w:sz w:val="24"/>
          <w:szCs w:val="24"/>
          <w:lang w:eastAsia="ru-RU"/>
        </w:rPr>
        <w:t>в динамике за 2022-2024 годы, чел.</w:t>
      </w:r>
    </w:p>
    <w:p w14:paraId="12C8C795" w14:textId="77777777" w:rsidR="002449C2" w:rsidRDefault="00123961">
      <w:pPr>
        <w:spacing w:after="0" w:line="240" w:lineRule="auto"/>
        <w:jc w:val="center"/>
        <w:rPr>
          <w:rFonts w:ascii="Times New Roman" w:eastAsia="Times New Roman" w:hAnsi="Times New Roman"/>
          <w:b/>
          <w:color w:val="0070C0"/>
          <w:sz w:val="24"/>
          <w:szCs w:val="24"/>
          <w:lang w:eastAsia="ru-RU"/>
        </w:rPr>
      </w:pPr>
      <w:r>
        <w:rPr>
          <w:noProof/>
          <w:lang w:eastAsia="ru-RU"/>
        </w:rPr>
        <w:drawing>
          <wp:inline distT="0" distB="0" distL="0" distR="0" wp14:anchorId="73D34F48" wp14:editId="0C956BC1">
            <wp:extent cx="4784090" cy="2792095"/>
            <wp:effectExtent l="0" t="0" r="0" b="0"/>
            <wp:docPr id="64" name="_x005F_x0000_i4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_x005F_x0000_i4444"/>
                    <pic:cNvPicPr>
                      <a:picLocks noChangeAspect="1" noChangeArrowheads="1"/>
                    </pic:cNvPicPr>
                  </pic:nvPicPr>
                  <pic:blipFill>
                    <a:blip r:embed="rId96"/>
                    <a:stretch>
                      <a:fillRect/>
                    </a:stretch>
                  </pic:blipFill>
                  <pic:spPr bwMode="auto">
                    <a:xfrm>
                      <a:off x="0" y="0"/>
                      <a:ext cx="4784090" cy="2792095"/>
                    </a:xfrm>
                    <a:prstGeom prst="rect">
                      <a:avLst/>
                    </a:prstGeom>
                    <a:noFill/>
                  </pic:spPr>
                </pic:pic>
              </a:graphicData>
            </a:graphic>
          </wp:inline>
        </w:drawing>
      </w:r>
    </w:p>
    <w:p w14:paraId="3B9D6317" w14:textId="77777777" w:rsidR="002449C2" w:rsidRDefault="002449C2">
      <w:pPr>
        <w:spacing w:after="0" w:line="240" w:lineRule="auto"/>
        <w:jc w:val="center"/>
        <w:rPr>
          <w:rFonts w:ascii="Times New Roman" w:eastAsia="Times New Roman" w:hAnsi="Times New Roman"/>
          <w:b/>
          <w:color w:val="0070C0"/>
          <w:sz w:val="24"/>
          <w:szCs w:val="24"/>
          <w:lang w:eastAsia="ru-RU"/>
        </w:rPr>
      </w:pPr>
    </w:p>
    <w:p w14:paraId="1FEF3988" w14:textId="77777777" w:rsidR="002449C2" w:rsidRDefault="002449C2">
      <w:pPr>
        <w:spacing w:after="0" w:line="240" w:lineRule="auto"/>
        <w:jc w:val="center"/>
        <w:rPr>
          <w:rFonts w:ascii="Times New Roman" w:eastAsia="Times New Roman" w:hAnsi="Times New Roman"/>
          <w:b/>
          <w:color w:val="0070C0"/>
          <w:sz w:val="24"/>
          <w:szCs w:val="24"/>
          <w:lang w:eastAsia="ru-RU"/>
        </w:rPr>
      </w:pPr>
    </w:p>
    <w:p w14:paraId="377ED785" w14:textId="77777777" w:rsidR="002449C2" w:rsidRDefault="002449C2">
      <w:pPr>
        <w:spacing w:after="0" w:line="240" w:lineRule="auto"/>
        <w:jc w:val="center"/>
        <w:rPr>
          <w:rFonts w:ascii="Times New Roman" w:eastAsia="Times New Roman" w:hAnsi="Times New Roman"/>
          <w:b/>
          <w:color w:val="0070C0"/>
          <w:sz w:val="24"/>
          <w:szCs w:val="24"/>
          <w:lang w:eastAsia="ru-RU"/>
        </w:rPr>
      </w:pPr>
    </w:p>
    <w:p w14:paraId="181EDD3D" w14:textId="77777777" w:rsidR="002449C2" w:rsidRDefault="00123961">
      <w:pPr>
        <w:spacing w:after="0" w:line="240" w:lineRule="auto"/>
        <w:jc w:val="center"/>
        <w:rPr>
          <w:rFonts w:ascii="Times New Roman" w:eastAsia="Times New Roman" w:hAnsi="Times New Roman"/>
          <w:b/>
          <w:color w:val="0070C0"/>
          <w:sz w:val="24"/>
          <w:szCs w:val="24"/>
          <w:lang w:eastAsia="ru-RU"/>
        </w:rPr>
      </w:pPr>
      <w:r>
        <w:rPr>
          <w:rFonts w:ascii="Times New Roman" w:eastAsia="Times New Roman" w:hAnsi="Times New Roman"/>
          <w:b/>
          <w:color w:val="0070C0"/>
          <w:sz w:val="24"/>
          <w:szCs w:val="24"/>
          <w:lang w:eastAsia="ru-RU"/>
        </w:rPr>
        <w:t xml:space="preserve">Распределение среднесписочной численности персонала ПАО «Россети Юг» </w:t>
      </w:r>
    </w:p>
    <w:p w14:paraId="731A316B" w14:textId="77777777" w:rsidR="002449C2" w:rsidRDefault="00123961">
      <w:pPr>
        <w:spacing w:after="0" w:line="240" w:lineRule="auto"/>
        <w:jc w:val="center"/>
        <w:rPr>
          <w:rFonts w:ascii="Times New Roman" w:eastAsia="Times New Roman" w:hAnsi="Times New Roman"/>
          <w:b/>
          <w:color w:val="0070C0"/>
          <w:sz w:val="24"/>
          <w:szCs w:val="24"/>
          <w:lang w:eastAsia="ru-RU"/>
        </w:rPr>
      </w:pPr>
      <w:r>
        <w:rPr>
          <w:rFonts w:ascii="Times New Roman" w:eastAsia="Times New Roman" w:hAnsi="Times New Roman"/>
          <w:b/>
          <w:color w:val="0070C0"/>
          <w:sz w:val="24"/>
          <w:szCs w:val="24"/>
          <w:lang w:eastAsia="ru-RU"/>
        </w:rPr>
        <w:t>по филиалам в 2024 году, %</w:t>
      </w:r>
    </w:p>
    <w:p w14:paraId="4EE6C1EB" w14:textId="77777777" w:rsidR="002449C2" w:rsidRDefault="00123961">
      <w:pPr>
        <w:spacing w:after="0" w:line="240" w:lineRule="auto"/>
        <w:jc w:val="center"/>
        <w:rPr>
          <w:rFonts w:ascii="Times New Roman" w:eastAsia="Times New Roman" w:hAnsi="Times New Roman"/>
          <w:b/>
          <w:color w:val="0070C0"/>
          <w:sz w:val="24"/>
          <w:szCs w:val="24"/>
          <w:lang w:eastAsia="ru-RU"/>
        </w:rPr>
      </w:pPr>
      <w:r>
        <w:rPr>
          <w:noProof/>
          <w:lang w:eastAsia="ru-RU"/>
        </w:rPr>
        <w:drawing>
          <wp:inline distT="0" distB="0" distL="0" distR="0" wp14:anchorId="5B53827C" wp14:editId="2DC1B1CE">
            <wp:extent cx="4810125" cy="2810510"/>
            <wp:effectExtent l="0" t="0" r="0" b="0"/>
            <wp:docPr id="65"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Рисунок 31"/>
                    <pic:cNvPicPr>
                      <a:picLocks noChangeAspect="1" noChangeArrowheads="1"/>
                    </pic:cNvPicPr>
                  </pic:nvPicPr>
                  <pic:blipFill>
                    <a:blip r:embed="rId97"/>
                    <a:stretch>
                      <a:fillRect/>
                    </a:stretch>
                  </pic:blipFill>
                  <pic:spPr bwMode="auto">
                    <a:xfrm>
                      <a:off x="0" y="0"/>
                      <a:ext cx="4810125" cy="2810510"/>
                    </a:xfrm>
                    <a:prstGeom prst="rect">
                      <a:avLst/>
                    </a:prstGeom>
                    <a:noFill/>
                  </pic:spPr>
                </pic:pic>
              </a:graphicData>
            </a:graphic>
          </wp:inline>
        </w:drawing>
      </w:r>
    </w:p>
    <w:p w14:paraId="05AA2B84" w14:textId="77777777" w:rsidR="002449C2" w:rsidRDefault="002449C2">
      <w:pPr>
        <w:spacing w:after="0" w:line="240" w:lineRule="auto"/>
        <w:jc w:val="center"/>
        <w:rPr>
          <w:rFonts w:ascii="Times New Roman" w:eastAsia="Times New Roman" w:hAnsi="Times New Roman"/>
          <w:b/>
          <w:color w:val="0070C0"/>
          <w:sz w:val="24"/>
          <w:szCs w:val="24"/>
          <w:lang w:eastAsia="ru-RU"/>
        </w:rPr>
      </w:pPr>
    </w:p>
    <w:p w14:paraId="6C5423F1"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Уровень укомплектованности персоналом ПАО «Россети Юг» за 2024 год составил 88,0%. Уровень укомплектованности производственным персоналом ПАО «Россети Юг» за 2024 год составил 87,7%.</w:t>
      </w:r>
      <w:r>
        <w:rPr>
          <w:rFonts w:ascii="Cambria" w:eastAsia="Times New Roman" w:hAnsi="Cambria"/>
          <w:sz w:val="26"/>
          <w:szCs w:val="26"/>
          <w:lang w:eastAsia="ru-RU"/>
        </w:rPr>
        <w:t xml:space="preserve"> </w:t>
      </w:r>
      <w:r>
        <w:rPr>
          <w:rFonts w:ascii="Times New Roman" w:eastAsia="Times New Roman" w:hAnsi="Times New Roman"/>
          <w:sz w:val="26"/>
          <w:szCs w:val="26"/>
          <w:lang w:eastAsia="ru-RU"/>
        </w:rPr>
        <w:t>Большинство (60,6%) составляют работники Общества, находящиеся в наиболее экономически и социально активном возрасте до 50 лет. Таким образом, в ПАО «Россети Юг» достигается оптимальное сочетание молодых, инициативных работников и опытных высокопрофессиональных сотрудников, обеспечивающих преемственность передачи профессиональных знаний и навыков. Более детальный анализ показал, что почти одна пятая работников Общества в возрасте до 35 лет (18,8%). Доля персонала возрастной категории от 35 лет до 50 лет за последние три года выросла на 1,3 п.п. и в 2024 году составила 41,8%, при одновременном снижении доли работников до 35 лет (-4,2 п.п.) и росте доли работников старше 50 лет 2,9 п.п. Средний возраст работников Общества в 2024 году составил 45,4 года (в 2023 году – 45,2 года).</w:t>
      </w:r>
    </w:p>
    <w:p w14:paraId="72F3CF35" w14:textId="77777777" w:rsidR="002449C2" w:rsidRDefault="002449C2">
      <w:pPr>
        <w:spacing w:after="0" w:line="240" w:lineRule="auto"/>
        <w:jc w:val="center"/>
        <w:rPr>
          <w:rFonts w:ascii="Times New Roman" w:eastAsia="Times New Roman" w:hAnsi="Times New Roman"/>
          <w:b/>
          <w:color w:val="0070C0"/>
          <w:sz w:val="24"/>
          <w:szCs w:val="24"/>
          <w:lang w:eastAsia="ru-RU"/>
        </w:rPr>
      </w:pPr>
    </w:p>
    <w:p w14:paraId="0E610B6F" w14:textId="77777777" w:rsidR="002449C2" w:rsidRDefault="00123961">
      <w:pPr>
        <w:spacing w:after="0" w:line="240" w:lineRule="auto"/>
        <w:jc w:val="center"/>
        <w:rPr>
          <w:rFonts w:ascii="Times New Roman" w:eastAsia="Times New Roman" w:hAnsi="Times New Roman"/>
          <w:b/>
          <w:color w:val="0070C0"/>
          <w:sz w:val="24"/>
          <w:szCs w:val="24"/>
          <w:lang w:eastAsia="ru-RU"/>
        </w:rPr>
      </w:pPr>
      <w:r>
        <w:rPr>
          <w:rFonts w:ascii="Times New Roman" w:eastAsia="Times New Roman" w:hAnsi="Times New Roman"/>
          <w:b/>
          <w:color w:val="0070C0"/>
          <w:sz w:val="24"/>
          <w:szCs w:val="24"/>
          <w:lang w:eastAsia="ru-RU"/>
        </w:rPr>
        <w:t xml:space="preserve">Структура персонала по возрасту ПАО «Россети Юг» </w:t>
      </w:r>
    </w:p>
    <w:p w14:paraId="3C005972" w14:textId="77777777" w:rsidR="002449C2" w:rsidRDefault="00123961">
      <w:pPr>
        <w:spacing w:after="0" w:line="240" w:lineRule="auto"/>
        <w:jc w:val="center"/>
        <w:rPr>
          <w:rFonts w:ascii="Times New Roman" w:eastAsia="Times New Roman" w:hAnsi="Times New Roman"/>
          <w:b/>
          <w:color w:val="0070C0"/>
          <w:sz w:val="24"/>
          <w:szCs w:val="24"/>
          <w:lang w:eastAsia="ru-RU"/>
        </w:rPr>
      </w:pPr>
      <w:r>
        <w:rPr>
          <w:rFonts w:ascii="Times New Roman" w:eastAsia="Times New Roman" w:hAnsi="Times New Roman"/>
          <w:b/>
          <w:color w:val="0070C0"/>
          <w:sz w:val="24"/>
          <w:szCs w:val="24"/>
          <w:lang w:eastAsia="ru-RU"/>
        </w:rPr>
        <w:t>в динамике за 2022-2024 годы, %</w:t>
      </w:r>
    </w:p>
    <w:p w14:paraId="74744620" w14:textId="77777777" w:rsidR="002449C2" w:rsidRDefault="00123961">
      <w:pPr>
        <w:spacing w:after="0" w:line="240" w:lineRule="auto"/>
        <w:jc w:val="center"/>
        <w:rPr>
          <w:rFonts w:eastAsia="Times New Roman" w:cs="Calibri"/>
          <w:b/>
          <w:color w:val="0070C0"/>
          <w:sz w:val="24"/>
          <w:szCs w:val="24"/>
          <w:lang w:eastAsia="ru-RU"/>
        </w:rPr>
      </w:pPr>
      <w:r>
        <w:rPr>
          <w:noProof/>
          <w:lang w:eastAsia="ru-RU"/>
        </w:rPr>
        <mc:AlternateContent>
          <mc:Choice Requires="wps">
            <w:drawing>
              <wp:anchor distT="5080" distB="5080" distL="5080" distR="5080" simplePos="0" relativeHeight="105" behindDoc="0" locked="0" layoutInCell="1" allowOverlap="1" wp14:anchorId="7ACEEEBE" wp14:editId="6FA9F717">
                <wp:simplePos x="0" y="0"/>
                <wp:positionH relativeFrom="column">
                  <wp:posOffset>0</wp:posOffset>
                </wp:positionH>
                <wp:positionV relativeFrom="paragraph">
                  <wp:posOffset>635</wp:posOffset>
                </wp:positionV>
                <wp:extent cx="635000" cy="635000"/>
                <wp:effectExtent l="5080" t="5080" r="5080" b="5080"/>
                <wp:wrapNone/>
                <wp:docPr id="66" name="AutoShape 11" hidden="1"/>
                <wp:cNvGraphicFramePr/>
                <a:graphic xmlns:a="http://schemas.openxmlformats.org/drawingml/2006/main">
                  <a:graphicData uri="http://schemas.microsoft.com/office/word/2010/wordprocessingShape">
                    <wps:wsp>
                      <wps:cNvSpPr/>
                      <wps:spPr>
                        <a:xfrm>
                          <a:off x="0" y="0"/>
                          <a:ext cx="635040" cy="635040"/>
                        </a:xfrm>
                        <a:prstGeom prst="rect">
                          <a:avLst/>
                        </a:prstGeom>
                        <a:solidFill>
                          <a:srgbClr val="FFFFFF"/>
                        </a:solidFill>
                        <a:ln w="9525">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w:pict>
              <v:rect w14:anchorId="6DE65E99" id="AutoShape 11" o:spid="_x0000_s1026" style="position:absolute;margin-left:0;margin-top:.05pt;width:50pt;height:50pt;z-index:105;visibility:hidden;mso-wrap-style:square;mso-wrap-distance-left:.4pt;mso-wrap-distance-top:.4pt;mso-wrap-distance-right:.4pt;mso-wrap-distance-bottom:.4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">
                <v:stroke joinstyle="round"/>
              </v:rect>
            </w:pict>
          </mc:Fallback>
        </mc:AlternateContent>
      </w:r>
      <w:r>
        <w:rPr>
          <w:noProof/>
          <w:lang w:eastAsia="ru-RU"/>
        </w:rPr>
        <w:drawing>
          <wp:inline distT="0" distB="0" distL="0" distR="0" wp14:anchorId="66792829" wp14:editId="5106A202">
            <wp:extent cx="4693920" cy="2293620"/>
            <wp:effectExtent l="0" t="0" r="0" b="0"/>
            <wp:docPr id="6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8"/>
                    <pic:cNvPicPr>
                      <a:picLocks noChangeAspect="1" noChangeArrowheads="1"/>
                    </pic:cNvPicPr>
                  </pic:nvPicPr>
                  <pic:blipFill>
                    <a:blip r:embed="rId98"/>
                    <a:stretch>
                      <a:fillRect/>
                    </a:stretch>
                  </pic:blipFill>
                  <pic:spPr bwMode="auto">
                    <a:xfrm>
                      <a:off x="0" y="0"/>
                      <a:ext cx="4693920" cy="2293620"/>
                    </a:xfrm>
                    <a:prstGeom prst="rect">
                      <a:avLst/>
                    </a:prstGeom>
                    <a:noFill/>
                  </pic:spPr>
                </pic:pic>
              </a:graphicData>
            </a:graphic>
          </wp:inline>
        </w:drawing>
      </w:r>
    </w:p>
    <w:p w14:paraId="2BB3200E"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Структура персонала Общества по категориям типична для компаний электросетевого комплекса – основу кадрового состава Общества составляют рабочие – 53,1 %, руководители – 15,3 %, специалисты – 31,6 %. </w:t>
      </w:r>
    </w:p>
    <w:p w14:paraId="11E17841" w14:textId="77777777" w:rsidR="002449C2" w:rsidRDefault="00123961">
      <w:pPr>
        <w:spacing w:after="0" w:line="240" w:lineRule="auto"/>
        <w:ind w:firstLine="709"/>
        <w:jc w:val="center"/>
        <w:rPr>
          <w:rFonts w:ascii="Times New Roman" w:hAnsi="Times New Roman"/>
        </w:rPr>
      </w:pPr>
      <w:r>
        <w:rPr>
          <w:rFonts w:ascii="Times New Roman" w:eastAsia="Times New Roman" w:hAnsi="Times New Roman"/>
          <w:b/>
          <w:color w:val="0070C0"/>
          <w:sz w:val="24"/>
          <w:szCs w:val="24"/>
          <w:lang w:eastAsia="ru-RU"/>
        </w:rPr>
        <w:t>Структура персонала по категориям в динамике за 2022-2024 годы</w:t>
      </w:r>
      <w:r>
        <w:rPr>
          <w:rFonts w:ascii="Times New Roman" w:eastAsia="Times New Roman" w:hAnsi="Times New Roman"/>
          <w:b/>
          <w:color w:val="0070C0"/>
          <w:sz w:val="26"/>
          <w:szCs w:val="26"/>
          <w:lang w:eastAsia="ru-RU"/>
        </w:rPr>
        <w:t>, %</w:t>
      </w:r>
    </w:p>
    <w:p w14:paraId="11CF0DD0" w14:textId="77777777" w:rsidR="002449C2" w:rsidRDefault="002449C2">
      <w:pPr>
        <w:spacing w:after="0" w:line="240" w:lineRule="auto"/>
        <w:rPr>
          <w:rFonts w:ascii="Times New Roman" w:eastAsia="Times New Roman" w:hAnsi="Times New Roman"/>
          <w:b/>
          <w:color w:val="0070C0"/>
          <w:sz w:val="24"/>
          <w:szCs w:val="24"/>
          <w:lang w:eastAsia="ru-RU"/>
        </w:rPr>
      </w:pPr>
    </w:p>
    <w:p w14:paraId="4F51A0E1" w14:textId="77777777" w:rsidR="002449C2" w:rsidRDefault="00123961">
      <w:pPr>
        <w:spacing w:after="0" w:line="240" w:lineRule="auto"/>
        <w:jc w:val="center"/>
        <w:rPr>
          <w:rFonts w:ascii="Times New Roman" w:eastAsia="Times New Roman" w:hAnsi="Times New Roman"/>
          <w:b/>
          <w:color w:val="0070C0"/>
          <w:sz w:val="24"/>
          <w:szCs w:val="24"/>
          <w:lang w:eastAsia="ru-RU"/>
        </w:rPr>
      </w:pPr>
      <w:r>
        <w:rPr>
          <w:noProof/>
          <w:lang w:eastAsia="ru-RU"/>
        </w:rPr>
        <mc:AlternateContent>
          <mc:Choice Requires="wps">
            <w:drawing>
              <wp:anchor distT="5080" distB="5080" distL="5080" distR="5080" simplePos="0" relativeHeight="107" behindDoc="0" locked="0" layoutInCell="1" allowOverlap="1" wp14:anchorId="0681FCE6" wp14:editId="43CFB2AF">
                <wp:simplePos x="0" y="0"/>
                <wp:positionH relativeFrom="column">
                  <wp:posOffset>0</wp:posOffset>
                </wp:positionH>
                <wp:positionV relativeFrom="paragraph">
                  <wp:posOffset>635</wp:posOffset>
                </wp:positionV>
                <wp:extent cx="635000" cy="635000"/>
                <wp:effectExtent l="5080" t="5080" r="5080" b="5080"/>
                <wp:wrapNone/>
                <wp:docPr id="68" name="AutoShape 9" hidden="1"/>
                <wp:cNvGraphicFramePr/>
                <a:graphic xmlns:a="http://schemas.openxmlformats.org/drawingml/2006/main">
                  <a:graphicData uri="http://schemas.microsoft.com/office/word/2010/wordprocessingShape">
                    <wps:wsp>
                      <wps:cNvSpPr/>
                      <wps:spPr>
                        <a:xfrm>
                          <a:off x="0" y="0"/>
                          <a:ext cx="635040" cy="635040"/>
                        </a:xfrm>
                        <a:prstGeom prst="rect">
                          <a:avLst/>
                        </a:prstGeom>
                        <a:solidFill>
                          <a:srgbClr val="FFFFFF"/>
                        </a:solidFill>
                        <a:ln w="9525">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w:pict>
              <v:rect w14:anchorId="32BADDF8" id="AutoShape 9" o:spid="_x0000_s1026" style="position:absolute;margin-left:0;margin-top:.05pt;width:50pt;height:50pt;z-index:107;visibility:hidden;mso-wrap-style:square;mso-wrap-distance-left:.4pt;mso-wrap-distance-top:.4pt;mso-wrap-distance-right:.4pt;mso-wrap-distance-bottom:.4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">
                <v:stroke joinstyle="round"/>
              </v:rect>
            </w:pict>
          </mc:Fallback>
        </mc:AlternateContent>
      </w:r>
      <w:r>
        <w:rPr>
          <w:noProof/>
          <w:lang w:eastAsia="ru-RU"/>
        </w:rPr>
        <w:drawing>
          <wp:inline distT="0" distB="0" distL="0" distR="0" wp14:anchorId="1206C715" wp14:editId="29102C80">
            <wp:extent cx="4533900" cy="2750820"/>
            <wp:effectExtent l="0" t="0" r="0" b="0"/>
            <wp:docPr id="6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9"/>
                    <pic:cNvPicPr>
                      <a:picLocks noChangeAspect="1" noChangeArrowheads="1"/>
                    </pic:cNvPicPr>
                  </pic:nvPicPr>
                  <pic:blipFill>
                    <a:blip r:embed="rId99"/>
                    <a:stretch>
                      <a:fillRect/>
                    </a:stretch>
                  </pic:blipFill>
                  <pic:spPr bwMode="auto">
                    <a:xfrm>
                      <a:off x="0" y="0"/>
                      <a:ext cx="4533900" cy="2750820"/>
                    </a:xfrm>
                    <a:prstGeom prst="rect">
                      <a:avLst/>
                    </a:prstGeom>
                    <a:noFill/>
                  </pic:spPr>
                </pic:pic>
              </a:graphicData>
            </a:graphic>
          </wp:inline>
        </w:drawing>
      </w:r>
    </w:p>
    <w:p w14:paraId="0995BA0C" w14:textId="77777777" w:rsidR="002449C2" w:rsidRDefault="002449C2">
      <w:pPr>
        <w:spacing w:after="0" w:line="240" w:lineRule="auto"/>
        <w:rPr>
          <w:rFonts w:ascii="Times New Roman" w:eastAsia="Times New Roman" w:hAnsi="Times New Roman"/>
          <w:sz w:val="26"/>
          <w:szCs w:val="26"/>
          <w:lang w:eastAsia="ru-RU"/>
        </w:rPr>
      </w:pPr>
    </w:p>
    <w:p w14:paraId="500F1DD3"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Персонал ПАО «Россети Юг» характеризуется достаточно высоким уровнем квалификации – 85,8 % работников имеют профессиональное образование, 12 человек имеют ученую степень кандидата наук.  Высокий уровень современных технологий в сфере электроэнергетики требует укрепления и развития квалификации персонала Общества. Анализ динамики образовательного уровня персонала Общества за три года показал рост числа работников, имеющих высшее профессиональное образование на 0,5 п.п. Однако уровень работников, имеющих основное/среднее общее образование, без полученного дополнительного образования (профессиональная подготовка), остался на том же уровне 7,6 % (987 человек), а 6,6% работников, прошедших профессиональную подготовку, имеют рабочую профессию (865 человек).</w:t>
      </w:r>
    </w:p>
    <w:p w14:paraId="6EF7FBB8" w14:textId="77777777" w:rsidR="002449C2" w:rsidRDefault="002449C2">
      <w:pPr>
        <w:spacing w:after="0" w:line="240" w:lineRule="auto"/>
        <w:jc w:val="both"/>
        <w:rPr>
          <w:rFonts w:ascii="Times New Roman" w:eastAsia="Times New Roman" w:hAnsi="Times New Roman"/>
          <w:sz w:val="26"/>
          <w:szCs w:val="26"/>
          <w:lang w:eastAsia="ru-RU"/>
        </w:rPr>
      </w:pPr>
    </w:p>
    <w:p w14:paraId="3A80BA67" w14:textId="77777777" w:rsidR="002449C2" w:rsidRDefault="00123961">
      <w:pPr>
        <w:spacing w:after="0" w:line="240" w:lineRule="auto"/>
        <w:ind w:firstLine="709"/>
        <w:jc w:val="center"/>
        <w:rPr>
          <w:rFonts w:ascii="Times New Roman" w:eastAsia="Times New Roman" w:hAnsi="Times New Roman"/>
          <w:b/>
          <w:color w:val="0070C0"/>
          <w:sz w:val="24"/>
          <w:szCs w:val="24"/>
          <w:lang w:eastAsia="ru-RU"/>
        </w:rPr>
      </w:pPr>
      <w:r>
        <w:rPr>
          <w:rFonts w:ascii="Times New Roman" w:eastAsia="Times New Roman" w:hAnsi="Times New Roman"/>
          <w:b/>
          <w:color w:val="0070C0"/>
          <w:sz w:val="24"/>
          <w:szCs w:val="24"/>
          <w:lang w:eastAsia="ru-RU"/>
        </w:rPr>
        <w:t xml:space="preserve">Структура персонала по уровню образования персонала </w:t>
      </w:r>
    </w:p>
    <w:p w14:paraId="777BE54B" w14:textId="77777777" w:rsidR="002449C2" w:rsidRDefault="00123961">
      <w:pPr>
        <w:spacing w:after="0" w:line="240" w:lineRule="auto"/>
        <w:ind w:firstLine="709"/>
        <w:jc w:val="center"/>
        <w:rPr>
          <w:rFonts w:ascii="Times New Roman" w:eastAsia="Times New Roman" w:hAnsi="Times New Roman"/>
          <w:b/>
          <w:color w:val="0070C0"/>
          <w:sz w:val="24"/>
          <w:szCs w:val="24"/>
          <w:lang w:eastAsia="ru-RU"/>
        </w:rPr>
      </w:pPr>
      <w:r>
        <w:rPr>
          <w:rFonts w:ascii="Times New Roman" w:eastAsia="Times New Roman" w:hAnsi="Times New Roman"/>
          <w:b/>
          <w:color w:val="0070C0"/>
          <w:sz w:val="24"/>
          <w:szCs w:val="24"/>
          <w:lang w:eastAsia="ru-RU"/>
        </w:rPr>
        <w:t>ПАО «Россети Юг» в динамике за 2022-2024 годы, %</w:t>
      </w:r>
    </w:p>
    <w:p w14:paraId="67187351" w14:textId="77777777" w:rsidR="002449C2" w:rsidRDefault="002449C2">
      <w:pPr>
        <w:spacing w:after="0" w:line="240" w:lineRule="auto"/>
        <w:ind w:firstLine="709"/>
        <w:rPr>
          <w:rFonts w:ascii="Times New Roman" w:eastAsia="Times New Roman" w:hAnsi="Times New Roman"/>
          <w:b/>
          <w:color w:val="0070C0"/>
          <w:sz w:val="24"/>
          <w:szCs w:val="24"/>
          <w:lang w:eastAsia="ru-RU"/>
        </w:rPr>
      </w:pPr>
    </w:p>
    <w:p w14:paraId="300CDB0B" w14:textId="77777777" w:rsidR="002449C2" w:rsidRDefault="00123961">
      <w:pPr>
        <w:spacing w:after="0" w:line="240" w:lineRule="auto"/>
        <w:jc w:val="center"/>
        <w:rPr>
          <w:rFonts w:ascii="Times New Roman" w:eastAsia="Times New Roman" w:hAnsi="Times New Roman"/>
          <w:sz w:val="26"/>
          <w:szCs w:val="26"/>
          <w:lang w:eastAsia="ru-RU"/>
        </w:rPr>
      </w:pPr>
      <w:r>
        <w:rPr>
          <w:noProof/>
          <w:lang w:eastAsia="ru-RU"/>
        </w:rPr>
        <mc:AlternateContent>
          <mc:Choice Requires="wps">
            <w:drawing>
              <wp:anchor distT="5080" distB="5080" distL="5080" distR="5080" simplePos="0" relativeHeight="109" behindDoc="0" locked="0" layoutInCell="1" allowOverlap="1" wp14:anchorId="6C87E2FE" wp14:editId="341C28D4">
                <wp:simplePos x="0" y="0"/>
                <wp:positionH relativeFrom="column">
                  <wp:posOffset>0</wp:posOffset>
                </wp:positionH>
                <wp:positionV relativeFrom="paragraph">
                  <wp:posOffset>635</wp:posOffset>
                </wp:positionV>
                <wp:extent cx="635000" cy="635000"/>
                <wp:effectExtent l="5080" t="5080" r="5080" b="5080"/>
                <wp:wrapNone/>
                <wp:docPr id="70" name="AutoShape 7" hidden="1"/>
                <wp:cNvGraphicFramePr/>
                <a:graphic xmlns:a="http://schemas.openxmlformats.org/drawingml/2006/main">
                  <a:graphicData uri="http://schemas.microsoft.com/office/word/2010/wordprocessingShape">
                    <wps:wsp>
                      <wps:cNvSpPr/>
                      <wps:spPr>
                        <a:xfrm>
                          <a:off x="0" y="0"/>
                          <a:ext cx="635040" cy="635040"/>
                        </a:xfrm>
                        <a:prstGeom prst="rect">
                          <a:avLst/>
                        </a:prstGeom>
                        <a:solidFill>
                          <a:srgbClr val="FFFFFF"/>
                        </a:solidFill>
                        <a:ln w="9525">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w:pict>
              <v:rect w14:anchorId="47D68D1A" id="AutoShape 7" o:spid="_x0000_s1026" style="position:absolute;margin-left:0;margin-top:.05pt;width:50pt;height:50pt;z-index:109;visibility:hidden;mso-wrap-style:square;mso-wrap-distance-left:.4pt;mso-wrap-distance-top:.4pt;mso-wrap-distance-right:.4pt;mso-wrap-distance-bottom:.4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">
                <v:stroke joinstyle="round"/>
              </v:rect>
            </w:pict>
          </mc:Fallback>
        </mc:AlternateContent>
      </w:r>
      <w:r>
        <w:rPr>
          <w:noProof/>
          <w:lang w:eastAsia="ru-RU"/>
        </w:rPr>
        <w:drawing>
          <wp:inline distT="0" distB="0" distL="0" distR="0" wp14:anchorId="37571EEA" wp14:editId="2449BEF1">
            <wp:extent cx="4922520" cy="2636520"/>
            <wp:effectExtent l="0" t="0" r="0" b="0"/>
            <wp:docPr id="7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10"/>
                    <pic:cNvPicPr>
                      <a:picLocks noChangeAspect="1" noChangeArrowheads="1"/>
                    </pic:cNvPicPr>
                  </pic:nvPicPr>
                  <pic:blipFill>
                    <a:blip r:embed="rId100"/>
                    <a:stretch>
                      <a:fillRect/>
                    </a:stretch>
                  </pic:blipFill>
                  <pic:spPr bwMode="auto">
                    <a:xfrm>
                      <a:off x="0" y="0"/>
                      <a:ext cx="4922520" cy="2636520"/>
                    </a:xfrm>
                    <a:prstGeom prst="rect">
                      <a:avLst/>
                    </a:prstGeom>
                    <a:noFill/>
                  </pic:spPr>
                </pic:pic>
              </a:graphicData>
            </a:graphic>
          </wp:inline>
        </w:drawing>
      </w:r>
    </w:p>
    <w:p w14:paraId="783C0F0F" w14:textId="77777777" w:rsidR="002449C2" w:rsidRDefault="002449C2">
      <w:pPr>
        <w:spacing w:after="0" w:line="240" w:lineRule="auto"/>
        <w:ind w:firstLine="709"/>
        <w:jc w:val="both"/>
        <w:rPr>
          <w:rFonts w:ascii="Times New Roman" w:eastAsia="Times New Roman" w:hAnsi="Times New Roman"/>
          <w:sz w:val="26"/>
          <w:szCs w:val="26"/>
          <w:lang w:eastAsia="ru-RU"/>
        </w:rPr>
      </w:pPr>
    </w:p>
    <w:p w14:paraId="331A9907"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 состоянию на 31.12.2024 гендерный состав Общества составляет мужчин 73,2%, женщин – 26,8%, анализ по категориям представлен на диаграмме за 2024 год:</w:t>
      </w:r>
    </w:p>
    <w:p w14:paraId="1E6D6EA6" w14:textId="77777777" w:rsidR="002449C2" w:rsidRDefault="002449C2">
      <w:pPr>
        <w:spacing w:after="0" w:line="240" w:lineRule="auto"/>
        <w:ind w:firstLine="567"/>
        <w:jc w:val="both"/>
        <w:rPr>
          <w:rFonts w:ascii="Times New Roman" w:eastAsia="Times New Roman" w:hAnsi="Times New Roman"/>
          <w:sz w:val="26"/>
          <w:szCs w:val="26"/>
          <w:lang w:eastAsia="ar-SA"/>
        </w:rPr>
      </w:pPr>
    </w:p>
    <w:p w14:paraId="673A8642" w14:textId="77777777" w:rsidR="002449C2" w:rsidRDefault="00123961">
      <w:pPr>
        <w:widowControl w:val="0"/>
        <w:spacing w:after="0" w:line="240" w:lineRule="auto"/>
        <w:ind w:firstLine="709"/>
        <w:jc w:val="center"/>
        <w:rPr>
          <w:rFonts w:ascii="Times New Roman" w:eastAsia="Times New Roman" w:hAnsi="Times New Roman"/>
          <w:b/>
          <w:color w:val="0070C0"/>
          <w:sz w:val="24"/>
          <w:szCs w:val="24"/>
          <w:lang w:eastAsia="ru-RU"/>
        </w:rPr>
      </w:pPr>
      <w:r>
        <w:rPr>
          <w:rFonts w:ascii="Times New Roman" w:eastAsia="Times New Roman" w:hAnsi="Times New Roman"/>
          <w:b/>
          <w:color w:val="0070C0"/>
          <w:sz w:val="24"/>
          <w:szCs w:val="24"/>
          <w:lang w:eastAsia="ru-RU"/>
        </w:rPr>
        <w:t>Структура гендерного состава персонала по категориям в 2024 году, %</w:t>
      </w:r>
    </w:p>
    <w:p w14:paraId="4B3D7568" w14:textId="77777777" w:rsidR="002449C2" w:rsidRDefault="002449C2">
      <w:pPr>
        <w:widowControl w:val="0"/>
        <w:spacing w:after="0" w:line="240" w:lineRule="auto"/>
        <w:ind w:firstLine="709"/>
        <w:jc w:val="center"/>
        <w:rPr>
          <w:rFonts w:ascii="Times New Roman" w:eastAsia="Times New Roman" w:hAnsi="Times New Roman"/>
          <w:b/>
          <w:color w:val="0070C0"/>
          <w:sz w:val="24"/>
          <w:szCs w:val="24"/>
          <w:lang w:eastAsia="ru-RU"/>
        </w:rPr>
      </w:pPr>
    </w:p>
    <w:p w14:paraId="0FCDF20C" w14:textId="77777777" w:rsidR="002449C2" w:rsidRDefault="00123961">
      <w:pPr>
        <w:spacing w:after="0" w:line="240" w:lineRule="auto"/>
        <w:jc w:val="center"/>
        <w:rPr>
          <w:rFonts w:ascii="Cambria" w:eastAsia="Times New Roman" w:hAnsi="Cambria"/>
          <w:sz w:val="26"/>
          <w:szCs w:val="26"/>
          <w:lang w:eastAsia="ar-SA"/>
        </w:rPr>
      </w:pPr>
      <w:r>
        <w:rPr>
          <w:noProof/>
          <w:lang w:eastAsia="ru-RU"/>
        </w:rPr>
        <mc:AlternateContent>
          <mc:Choice Requires="wps">
            <w:drawing>
              <wp:anchor distT="5080" distB="5080" distL="5080" distR="5080" simplePos="0" relativeHeight="110" behindDoc="0" locked="0" layoutInCell="1" allowOverlap="1" wp14:anchorId="3C2EE56A" wp14:editId="6E23E062">
                <wp:simplePos x="0" y="0"/>
                <wp:positionH relativeFrom="column">
                  <wp:posOffset>0</wp:posOffset>
                </wp:positionH>
                <wp:positionV relativeFrom="paragraph">
                  <wp:posOffset>635</wp:posOffset>
                </wp:positionV>
                <wp:extent cx="635000" cy="635000"/>
                <wp:effectExtent l="5080" t="5080" r="5080" b="5080"/>
                <wp:wrapNone/>
                <wp:docPr id="72" name="AutoShape 5" hidden="1"/>
                <wp:cNvGraphicFramePr/>
                <a:graphic xmlns:a="http://schemas.openxmlformats.org/drawingml/2006/main">
                  <a:graphicData uri="http://schemas.microsoft.com/office/word/2010/wordprocessingShape">
                    <wps:wsp>
                      <wps:cNvSpPr/>
                      <wps:spPr>
                        <a:xfrm>
                          <a:off x="0" y="0"/>
                          <a:ext cx="635040" cy="635040"/>
                        </a:xfrm>
                        <a:prstGeom prst="rect">
                          <a:avLst/>
                        </a:prstGeom>
                        <a:solidFill>
                          <a:srgbClr val="FFFFFF"/>
                        </a:solidFill>
                        <a:ln w="9525">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w:pict>
              <v:rect w14:anchorId="2A89169B" id="AutoShape 5" o:spid="_x0000_s1026" style="position:absolute;margin-left:0;margin-top:.05pt;width:50pt;height:50pt;z-index:110;visibility:hidden;mso-wrap-style:square;mso-wrap-distance-left:.4pt;mso-wrap-distance-top:.4pt;mso-wrap-distance-right:.4pt;mso-wrap-distance-bottom:.4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">
                <v:stroke joinstyle="round"/>
              </v:rect>
            </w:pict>
          </mc:Fallback>
        </mc:AlternateContent>
      </w:r>
      <w:r>
        <w:rPr>
          <w:noProof/>
          <w:lang w:eastAsia="ru-RU"/>
        </w:rPr>
        <w:drawing>
          <wp:inline distT="0" distB="0" distL="0" distR="0" wp14:anchorId="7163F760" wp14:editId="23160DBF">
            <wp:extent cx="4312920" cy="2095500"/>
            <wp:effectExtent l="0" t="0" r="0" b="0"/>
            <wp:docPr id="7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11"/>
                    <pic:cNvPicPr>
                      <a:picLocks noChangeAspect="1" noChangeArrowheads="1"/>
                    </pic:cNvPicPr>
                  </pic:nvPicPr>
                  <pic:blipFill>
                    <a:blip r:embed="rId101"/>
                    <a:stretch>
                      <a:fillRect/>
                    </a:stretch>
                  </pic:blipFill>
                  <pic:spPr bwMode="auto">
                    <a:xfrm>
                      <a:off x="0" y="0"/>
                      <a:ext cx="4312920" cy="2095500"/>
                    </a:xfrm>
                    <a:prstGeom prst="rect">
                      <a:avLst/>
                    </a:prstGeom>
                    <a:noFill/>
                  </pic:spPr>
                </pic:pic>
              </a:graphicData>
            </a:graphic>
          </wp:inline>
        </w:drawing>
      </w:r>
    </w:p>
    <w:p w14:paraId="6ACB72F9" w14:textId="77777777" w:rsidR="002449C2" w:rsidRDefault="002449C2">
      <w:pPr>
        <w:spacing w:after="0" w:line="240" w:lineRule="auto"/>
        <w:ind w:firstLine="709"/>
        <w:jc w:val="both"/>
        <w:rPr>
          <w:rFonts w:ascii="Cambria" w:eastAsia="Times New Roman" w:hAnsi="Cambria"/>
          <w:sz w:val="26"/>
          <w:szCs w:val="26"/>
          <w:lang w:eastAsia="ru-RU"/>
        </w:rPr>
      </w:pPr>
    </w:p>
    <w:p w14:paraId="1A06B8A4" w14:textId="77777777" w:rsidR="002449C2" w:rsidRDefault="00123961">
      <w:pPr>
        <w:keepNext/>
        <w:keepLines/>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104" w:name="_Toc195174942"/>
      <w:bookmarkStart w:id="105" w:name="_Toc196143035"/>
      <w:r>
        <w:rPr>
          <w:rFonts w:ascii="Times New Roman" w:eastAsia="Times New Roman" w:hAnsi="Times New Roman"/>
          <w:color w:val="385623"/>
          <w:sz w:val="28"/>
          <w:szCs w:val="28"/>
          <w:lang w:eastAsia="en-US" w:bidi="en-US"/>
        </w:rPr>
        <w:t>Обучение и развитие персонала</w:t>
      </w:r>
      <w:bookmarkEnd w:id="104"/>
      <w:bookmarkEnd w:id="105"/>
    </w:p>
    <w:p w14:paraId="0EE61A90" w14:textId="77777777" w:rsidR="002449C2" w:rsidRDefault="00123961">
      <w:pPr>
        <w:widowControl w:val="0"/>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Обучение относится к числу приоритетных направлений кадровой политики Общества и регламентируется Положением о профессиональной подготовке, переподготовке и повышении квалификации персонала ПАО «Россети Юг», а также Правилами работы с персоналом в организациях электроэнергетики Российской Федерации, утвержденными приказом Министерства энергетики Российской Федерации от 22.09.2020 № 796.</w:t>
      </w:r>
    </w:p>
    <w:p w14:paraId="2C95B585" w14:textId="77777777" w:rsidR="002449C2" w:rsidRDefault="00123961">
      <w:pPr>
        <w:widowControl w:val="0"/>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Соотношение организованных человеко-курсов к среднесписочной численности персонала составляет 101,2% (13114 человеко-курсов) (в 2023 году – 61,5% (8337 человеко-курсов)).</w:t>
      </w:r>
    </w:p>
    <w:p w14:paraId="0661736E" w14:textId="77777777" w:rsidR="002449C2" w:rsidRDefault="00123961">
      <w:pPr>
        <w:widowControl w:val="0"/>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Наибольшую долю среди обученных занимает производственный персонал – 90,7% (11891 человеко-курс, в том числе вспомогательный персонал 125 человеко-курсов). Данный показатель в 2023 году составил 92,7% (7731 человеко-курсов, в том числе вспомогательный персонал 59 человеко-курсов).</w:t>
      </w:r>
    </w:p>
    <w:p w14:paraId="6395FAB5" w14:textId="77777777" w:rsidR="002449C2" w:rsidRDefault="002449C2">
      <w:pPr>
        <w:spacing w:after="0" w:line="240" w:lineRule="auto"/>
        <w:ind w:firstLine="567"/>
        <w:jc w:val="both"/>
        <w:rPr>
          <w:rFonts w:ascii="Times New Roman" w:eastAsia="Times New Roman" w:hAnsi="Times New Roman"/>
          <w:b/>
          <w:sz w:val="24"/>
          <w:szCs w:val="24"/>
          <w:lang w:eastAsia="ru-RU"/>
        </w:rPr>
      </w:pPr>
    </w:p>
    <w:p w14:paraId="0BBFD0FE" w14:textId="77777777" w:rsidR="002449C2" w:rsidRDefault="00123961">
      <w:pPr>
        <w:spacing w:after="0" w:line="240" w:lineRule="auto"/>
        <w:ind w:firstLine="567"/>
        <w:jc w:val="both"/>
        <w:rPr>
          <w:rFonts w:ascii="Times New Roman" w:eastAsia="Times New Roman" w:hAnsi="Times New Roman"/>
          <w:b/>
          <w:color w:val="0070C0"/>
          <w:sz w:val="24"/>
          <w:szCs w:val="24"/>
          <w:lang w:eastAsia="ru-RU"/>
        </w:rPr>
      </w:pPr>
      <w:r>
        <w:rPr>
          <w:rFonts w:ascii="Times New Roman" w:eastAsia="Times New Roman" w:hAnsi="Times New Roman"/>
          <w:b/>
          <w:color w:val="0070C0"/>
          <w:sz w:val="24"/>
          <w:szCs w:val="24"/>
          <w:lang w:eastAsia="ru-RU"/>
        </w:rPr>
        <w:t>Структура персонала, принявшего участие в обучающих мероприятиях с отрывом от работы по категориям, %</w:t>
      </w:r>
    </w:p>
    <w:p w14:paraId="58C14E94" w14:textId="77777777" w:rsidR="002449C2" w:rsidRDefault="00123961">
      <w:pPr>
        <w:spacing w:after="0" w:line="240" w:lineRule="auto"/>
        <w:ind w:firstLine="567"/>
        <w:jc w:val="both"/>
        <w:rPr>
          <w:rFonts w:ascii="Times New Roman" w:eastAsia="Times New Roman" w:hAnsi="Times New Roman"/>
          <w:b/>
          <w:sz w:val="24"/>
          <w:szCs w:val="24"/>
          <w:lang w:eastAsia="ru-RU"/>
        </w:rPr>
      </w:pPr>
      <w:r>
        <w:rPr>
          <w:noProof/>
          <w:lang w:eastAsia="ru-RU"/>
        </w:rPr>
        <w:drawing>
          <wp:inline distT="0" distB="0" distL="0" distR="0" wp14:anchorId="201A1335" wp14:editId="235FA249">
            <wp:extent cx="6102350" cy="2438400"/>
            <wp:effectExtent l="0" t="0" r="0" b="0"/>
            <wp:docPr id="74" name="_x005F_x0000_i4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_x005F_x0000_i4450"/>
                    <pic:cNvPicPr>
                      <a:picLocks noChangeAspect="1" noChangeArrowheads="1"/>
                    </pic:cNvPicPr>
                  </pic:nvPicPr>
                  <pic:blipFill>
                    <a:blip r:embed="rId102"/>
                    <a:stretch>
                      <a:fillRect/>
                    </a:stretch>
                  </pic:blipFill>
                  <pic:spPr bwMode="auto">
                    <a:xfrm>
                      <a:off x="0" y="0"/>
                      <a:ext cx="6102350" cy="2438400"/>
                    </a:xfrm>
                    <a:prstGeom prst="rect">
                      <a:avLst/>
                    </a:prstGeom>
                    <a:noFill/>
                  </pic:spPr>
                </pic:pic>
              </a:graphicData>
            </a:graphic>
          </wp:inline>
        </w:drawing>
      </w:r>
    </w:p>
    <w:p w14:paraId="0AF06759" w14:textId="77777777" w:rsidR="002449C2" w:rsidRDefault="002449C2">
      <w:pPr>
        <w:spacing w:after="0" w:line="240" w:lineRule="auto"/>
        <w:ind w:firstLine="567"/>
        <w:jc w:val="both"/>
        <w:rPr>
          <w:rFonts w:ascii="Times New Roman" w:eastAsia="Times New Roman" w:hAnsi="Times New Roman"/>
          <w:b/>
          <w:color w:val="0070C0"/>
          <w:sz w:val="24"/>
          <w:szCs w:val="24"/>
          <w:lang w:eastAsia="ru-RU"/>
        </w:rPr>
      </w:pPr>
    </w:p>
    <w:p w14:paraId="43B9842B" w14:textId="77777777" w:rsidR="002449C2" w:rsidRDefault="002449C2">
      <w:pPr>
        <w:spacing w:after="0" w:line="240" w:lineRule="auto"/>
        <w:ind w:firstLine="567"/>
        <w:jc w:val="both"/>
        <w:rPr>
          <w:rFonts w:ascii="Times New Roman" w:eastAsia="Times New Roman" w:hAnsi="Times New Roman"/>
          <w:b/>
          <w:color w:val="0070C0"/>
          <w:sz w:val="24"/>
          <w:szCs w:val="24"/>
          <w:lang w:eastAsia="ru-RU"/>
        </w:rPr>
      </w:pPr>
    </w:p>
    <w:p w14:paraId="3F10405C" w14:textId="77777777" w:rsidR="002449C2" w:rsidRDefault="00123961">
      <w:pPr>
        <w:spacing w:after="0" w:line="240" w:lineRule="auto"/>
        <w:ind w:firstLine="567"/>
        <w:jc w:val="both"/>
        <w:rPr>
          <w:rFonts w:ascii="Times New Roman" w:eastAsia="Times New Roman" w:hAnsi="Times New Roman"/>
          <w:b/>
          <w:color w:val="0070C0"/>
          <w:sz w:val="24"/>
          <w:szCs w:val="24"/>
          <w:lang w:eastAsia="ru-RU"/>
        </w:rPr>
      </w:pPr>
      <w:r>
        <w:rPr>
          <w:rFonts w:ascii="Times New Roman" w:eastAsia="Times New Roman" w:hAnsi="Times New Roman"/>
          <w:b/>
          <w:color w:val="0070C0"/>
          <w:sz w:val="24"/>
          <w:szCs w:val="24"/>
          <w:lang w:eastAsia="ru-RU"/>
        </w:rPr>
        <w:t>Доля проведенных обучений для работников с отрывом от работы и соотношение затрат на подготовку к ФЗП в отчетном году, %</w:t>
      </w:r>
    </w:p>
    <w:p w14:paraId="6D81E1FC" w14:textId="77777777" w:rsidR="002449C2" w:rsidRDefault="00123961">
      <w:pPr>
        <w:widowControl w:val="0"/>
        <w:spacing w:after="0" w:line="240" w:lineRule="auto"/>
        <w:jc w:val="center"/>
        <w:rPr>
          <w:rFonts w:ascii="Cambria" w:eastAsia="Times New Roman" w:hAnsi="Cambria"/>
          <w:b/>
          <w:color w:val="0070C0"/>
          <w:sz w:val="26"/>
          <w:szCs w:val="26"/>
          <w:lang w:eastAsia="ru-RU"/>
        </w:rPr>
      </w:pPr>
      <w:r>
        <w:rPr>
          <w:noProof/>
          <w:lang w:eastAsia="ru-RU"/>
        </w:rPr>
        <w:drawing>
          <wp:inline distT="0" distB="0" distL="0" distR="0" wp14:anchorId="26E18FAE" wp14:editId="3651D2CA">
            <wp:extent cx="6108700" cy="2990215"/>
            <wp:effectExtent l="0" t="0" r="0" b="0"/>
            <wp:docPr id="75" name="_x005F_x0000_i4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_x005F_x0000_i4451"/>
                    <pic:cNvPicPr>
                      <a:picLocks noChangeAspect="1" noChangeArrowheads="1"/>
                    </pic:cNvPicPr>
                  </pic:nvPicPr>
                  <pic:blipFill>
                    <a:blip r:embed="rId103"/>
                    <a:stretch>
                      <a:fillRect/>
                    </a:stretch>
                  </pic:blipFill>
                  <pic:spPr bwMode="auto">
                    <a:xfrm>
                      <a:off x="0" y="0"/>
                      <a:ext cx="6108700" cy="2990215"/>
                    </a:xfrm>
                    <a:prstGeom prst="rect">
                      <a:avLst/>
                    </a:prstGeom>
                    <a:noFill/>
                  </pic:spPr>
                </pic:pic>
              </a:graphicData>
            </a:graphic>
          </wp:inline>
        </w:drawing>
      </w:r>
    </w:p>
    <w:p w14:paraId="2AC77536"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Ключевые потребности в подготовке персонала Общества обеспечиваются корпоративным учебным центром ЧУ ДПО «МЭИ Юга», на базе которого в 2024 году по программам профессионального обучения, дополнительного профессионального образования и дополнительного образования проведено 11743 человеко-курса, что составляет 89,5 % от общего количества (в 2023 году на базе корпоративного учебного центра обучено 7077 человек (84,9 % от общего числа обучений)). </w:t>
      </w:r>
    </w:p>
    <w:p w14:paraId="40E86B6A"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Основную долю обучающих мероприятий на базе корпоративного учебного центра составляет производственный персонал – 92,5% (10867 человеко-курсов).</w:t>
      </w:r>
    </w:p>
    <w:p w14:paraId="2F6D9055" w14:textId="045CEBBD" w:rsidR="00B830B0" w:rsidRDefault="00B830B0">
      <w:pPr>
        <w:spacing w:after="0" w:line="240" w:lineRule="auto"/>
        <w:rPr>
          <w:rFonts w:ascii="Times New Roman" w:eastAsia="Times New Roman" w:hAnsi="Times New Roman"/>
          <w:b/>
          <w:sz w:val="26"/>
          <w:szCs w:val="26"/>
          <w:lang w:eastAsia="ru-RU"/>
        </w:rPr>
      </w:pPr>
      <w:r>
        <w:rPr>
          <w:rFonts w:ascii="Times New Roman" w:eastAsia="Times New Roman" w:hAnsi="Times New Roman"/>
          <w:b/>
          <w:sz w:val="26"/>
          <w:szCs w:val="26"/>
          <w:lang w:eastAsia="ru-RU"/>
        </w:rPr>
        <w:br w:type="page"/>
      </w:r>
    </w:p>
    <w:p w14:paraId="7BCC5579" w14:textId="77777777" w:rsidR="002449C2" w:rsidRDefault="002449C2">
      <w:pPr>
        <w:shd w:val="clear" w:color="auto" w:fill="FFFFFF"/>
        <w:spacing w:before="120" w:after="120" w:line="240" w:lineRule="auto"/>
        <w:ind w:firstLine="567"/>
        <w:jc w:val="center"/>
        <w:rPr>
          <w:rFonts w:ascii="Times New Roman" w:eastAsia="Times New Roman" w:hAnsi="Times New Roman"/>
          <w:b/>
          <w:sz w:val="26"/>
          <w:szCs w:val="26"/>
          <w:lang w:eastAsia="ru-RU"/>
        </w:rPr>
      </w:pPr>
    </w:p>
    <w:p w14:paraId="1946EA04" w14:textId="77777777" w:rsidR="002449C2" w:rsidRDefault="00123961">
      <w:pPr>
        <w:shd w:val="clear" w:color="auto" w:fill="FFFFFF"/>
        <w:spacing w:before="120" w:after="120" w:line="240" w:lineRule="auto"/>
        <w:ind w:firstLine="567"/>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Сведения об учебном центре</w:t>
      </w:r>
    </w:p>
    <w:tbl>
      <w:tblPr>
        <w:tblpPr w:leftFromText="180" w:rightFromText="180" w:vertAnchor="text" w:tblpXSpec="center" w:tblpY="1"/>
        <w:tblW w:w="8226" w:type="dxa"/>
        <w:jc w:val="center"/>
        <w:tblLayout w:type="fixed"/>
        <w:tblLook w:val="04A0" w:firstRow="1" w:lastRow="0" w:firstColumn="1" w:lastColumn="0" w:noHBand="0" w:noVBand="1"/>
      </w:tblPr>
      <w:tblGrid>
        <w:gridCol w:w="3227"/>
        <w:gridCol w:w="1558"/>
        <w:gridCol w:w="3441"/>
      </w:tblGrid>
      <w:tr w:rsidR="002449C2" w14:paraId="08A59B1F" w14:textId="77777777">
        <w:trPr>
          <w:jc w:val="center"/>
        </w:trPr>
        <w:tc>
          <w:tcPr>
            <w:tcW w:w="3227" w:type="dxa"/>
            <w:tcBorders>
              <w:top w:val="single" w:sz="4" w:space="0" w:color="000000"/>
              <w:left w:val="single" w:sz="4" w:space="0" w:color="000000"/>
              <w:bottom w:val="single" w:sz="4" w:space="0" w:color="000000"/>
              <w:right w:val="single" w:sz="4" w:space="0" w:color="000000"/>
            </w:tcBorders>
            <w:shd w:val="clear" w:color="auto" w:fill="BDD6EE"/>
          </w:tcPr>
          <w:p w14:paraId="508C6CD3" w14:textId="77777777" w:rsidR="002449C2" w:rsidRDefault="00123961">
            <w:pPr>
              <w:spacing w:after="0" w:line="240" w:lineRule="auto"/>
              <w:rPr>
                <w:rFonts w:ascii="Cambria" w:hAnsi="Cambria" w:cs="Calibri"/>
                <w:b/>
                <w:bCs/>
                <w:color w:val="000000"/>
                <w:sz w:val="18"/>
                <w:szCs w:val="18"/>
              </w:rPr>
            </w:pPr>
            <w:r>
              <w:rPr>
                <w:rFonts w:ascii="Cambria" w:hAnsi="Cambria" w:cs="Calibri"/>
                <w:b/>
                <w:bCs/>
                <w:color w:val="000000"/>
                <w:sz w:val="18"/>
                <w:szCs w:val="18"/>
              </w:rPr>
              <w:t>ЧУ ДПО «МЭИ Юга»</w:t>
            </w:r>
          </w:p>
          <w:p w14:paraId="3637BE88" w14:textId="77777777" w:rsidR="002449C2" w:rsidRDefault="00123961">
            <w:pPr>
              <w:spacing w:after="0" w:line="240" w:lineRule="auto"/>
              <w:jc w:val="both"/>
              <w:rPr>
                <w:rFonts w:ascii="Cambria" w:eastAsia="Times New Roman" w:hAnsi="Cambria"/>
                <w:sz w:val="26"/>
                <w:szCs w:val="26"/>
                <w:lang w:eastAsia="ru-RU"/>
              </w:rPr>
            </w:pPr>
            <w:r>
              <w:rPr>
                <w:rFonts w:ascii="Cambria" w:hAnsi="Cambria" w:cs="Calibri"/>
                <w:b/>
                <w:bCs/>
                <w:color w:val="000000"/>
                <w:sz w:val="18"/>
                <w:szCs w:val="18"/>
              </w:rPr>
              <w:t>г. Ростов-на-Дону</w:t>
            </w:r>
          </w:p>
        </w:tc>
        <w:tc>
          <w:tcPr>
            <w:tcW w:w="1558" w:type="dxa"/>
            <w:tcBorders>
              <w:left w:val="single" w:sz="4" w:space="0" w:color="000000"/>
              <w:right w:val="single" w:sz="4" w:space="0" w:color="000000"/>
            </w:tcBorders>
          </w:tcPr>
          <w:p w14:paraId="1395461E" w14:textId="77777777" w:rsidR="002449C2" w:rsidRDefault="002449C2">
            <w:pPr>
              <w:spacing w:after="0" w:line="240" w:lineRule="auto"/>
              <w:rPr>
                <w:rFonts w:ascii="Cambria" w:hAnsi="Cambria" w:cs="Calibri"/>
                <w:b/>
                <w:bCs/>
                <w:color w:val="000000"/>
                <w:sz w:val="18"/>
                <w:szCs w:val="18"/>
              </w:rPr>
            </w:pPr>
          </w:p>
        </w:tc>
        <w:tc>
          <w:tcPr>
            <w:tcW w:w="3441" w:type="dxa"/>
            <w:tcBorders>
              <w:top w:val="single" w:sz="4" w:space="0" w:color="000000"/>
              <w:left w:val="single" w:sz="4" w:space="0" w:color="000000"/>
              <w:bottom w:val="single" w:sz="4" w:space="0" w:color="000000"/>
              <w:right w:val="single" w:sz="4" w:space="0" w:color="000000"/>
            </w:tcBorders>
            <w:shd w:val="clear" w:color="auto" w:fill="BDD6EE"/>
          </w:tcPr>
          <w:p w14:paraId="60AFB727" w14:textId="77777777" w:rsidR="002449C2" w:rsidRDefault="00123961">
            <w:pPr>
              <w:spacing w:after="0" w:line="240" w:lineRule="auto"/>
              <w:ind w:left="-284" w:firstLine="284"/>
              <w:rPr>
                <w:rFonts w:ascii="Cambria" w:hAnsi="Cambria" w:cs="Calibri"/>
                <w:b/>
                <w:bCs/>
                <w:color w:val="000000"/>
                <w:sz w:val="18"/>
                <w:szCs w:val="18"/>
              </w:rPr>
            </w:pPr>
            <w:r>
              <w:rPr>
                <w:rFonts w:ascii="Cambria" w:hAnsi="Cambria" w:cs="Calibri"/>
                <w:b/>
                <w:bCs/>
                <w:color w:val="000000"/>
                <w:sz w:val="18"/>
                <w:szCs w:val="18"/>
              </w:rPr>
              <w:t>Астраханский филиал</w:t>
            </w:r>
          </w:p>
          <w:p w14:paraId="50122D3B" w14:textId="77777777" w:rsidR="002449C2" w:rsidRDefault="00123961">
            <w:pPr>
              <w:spacing w:after="0" w:line="240" w:lineRule="auto"/>
              <w:ind w:left="-284" w:firstLine="284"/>
              <w:rPr>
                <w:rFonts w:ascii="Cambria" w:hAnsi="Cambria" w:cs="Calibri"/>
                <w:b/>
                <w:bCs/>
                <w:color w:val="000000"/>
                <w:sz w:val="18"/>
                <w:szCs w:val="18"/>
              </w:rPr>
            </w:pPr>
            <w:r>
              <w:rPr>
                <w:rFonts w:ascii="Cambria" w:hAnsi="Cambria" w:cs="Calibri"/>
                <w:b/>
                <w:bCs/>
                <w:color w:val="000000"/>
                <w:sz w:val="18"/>
                <w:szCs w:val="18"/>
              </w:rPr>
              <w:t>ЧУ ДПО «МЭИ Юга»</w:t>
            </w:r>
          </w:p>
          <w:p w14:paraId="645E1702" w14:textId="77777777" w:rsidR="002449C2" w:rsidRDefault="00123961">
            <w:pPr>
              <w:spacing w:after="0" w:line="240" w:lineRule="auto"/>
              <w:jc w:val="both"/>
              <w:rPr>
                <w:rFonts w:ascii="Cambria" w:eastAsia="Times New Roman" w:hAnsi="Cambria"/>
                <w:sz w:val="26"/>
                <w:szCs w:val="26"/>
                <w:lang w:eastAsia="ru-RU"/>
              </w:rPr>
            </w:pPr>
            <w:r>
              <w:rPr>
                <w:rFonts w:ascii="Cambria" w:hAnsi="Cambria" w:cs="Calibri"/>
                <w:b/>
                <w:bCs/>
                <w:color w:val="000000"/>
                <w:sz w:val="18"/>
                <w:szCs w:val="18"/>
              </w:rPr>
              <w:t>г. Астрахань</w:t>
            </w:r>
          </w:p>
        </w:tc>
      </w:tr>
      <w:tr w:rsidR="002449C2" w14:paraId="119AB1AE" w14:textId="77777777">
        <w:trPr>
          <w:jc w:val="center"/>
        </w:trPr>
        <w:tc>
          <w:tcPr>
            <w:tcW w:w="3227" w:type="dxa"/>
            <w:tcBorders>
              <w:top w:val="single" w:sz="4" w:space="0" w:color="000000"/>
              <w:left w:val="single" w:sz="4" w:space="0" w:color="000000"/>
              <w:bottom w:val="single" w:sz="4" w:space="0" w:color="000000"/>
              <w:right w:val="single" w:sz="4" w:space="0" w:color="000000"/>
            </w:tcBorders>
          </w:tcPr>
          <w:p w14:paraId="543C9D3F" w14:textId="77777777" w:rsidR="002449C2" w:rsidRDefault="00123961">
            <w:pPr>
              <w:spacing w:after="0" w:line="240" w:lineRule="auto"/>
              <w:jc w:val="both"/>
              <w:rPr>
                <w:rFonts w:ascii="Cambria" w:hAnsi="Cambria" w:cs="Calibri"/>
                <w:bCs/>
                <w:color w:val="000000"/>
                <w:sz w:val="18"/>
                <w:szCs w:val="18"/>
              </w:rPr>
            </w:pPr>
            <w:r>
              <w:rPr>
                <w:rFonts w:ascii="Cambria" w:hAnsi="Cambria" w:cs="Calibri"/>
                <w:bCs/>
                <w:color w:val="000000"/>
                <w:sz w:val="18"/>
                <w:szCs w:val="18"/>
              </w:rPr>
              <w:t>Объем обучения в 2024 году:</w:t>
            </w:r>
          </w:p>
          <w:p w14:paraId="34696170" w14:textId="77777777" w:rsidR="002449C2" w:rsidRDefault="00123961">
            <w:pPr>
              <w:spacing w:after="0" w:line="240" w:lineRule="auto"/>
              <w:jc w:val="both"/>
              <w:rPr>
                <w:rFonts w:ascii="Cambria" w:hAnsi="Cambria" w:cs="Calibri"/>
                <w:bCs/>
                <w:color w:val="000000"/>
                <w:sz w:val="18"/>
                <w:szCs w:val="18"/>
              </w:rPr>
            </w:pPr>
            <w:r>
              <w:rPr>
                <w:rFonts w:ascii="Cambria" w:hAnsi="Cambria" w:cs="Calibri"/>
                <w:bCs/>
                <w:color w:val="000000"/>
                <w:sz w:val="18"/>
                <w:szCs w:val="18"/>
              </w:rPr>
              <w:t>484246 чел./час</w:t>
            </w:r>
          </w:p>
          <w:p w14:paraId="49CBE093" w14:textId="77777777" w:rsidR="002449C2" w:rsidRDefault="00123961">
            <w:pPr>
              <w:spacing w:after="0" w:line="240" w:lineRule="auto"/>
              <w:rPr>
                <w:rFonts w:ascii="Cambria" w:hAnsi="Cambria" w:cs="Calibri"/>
                <w:bCs/>
                <w:color w:val="000000"/>
                <w:sz w:val="18"/>
                <w:szCs w:val="18"/>
              </w:rPr>
            </w:pPr>
            <w:r>
              <w:rPr>
                <w:rFonts w:ascii="Cambria" w:hAnsi="Cambria" w:cs="Calibri"/>
                <w:bCs/>
                <w:color w:val="000000"/>
                <w:sz w:val="18"/>
                <w:szCs w:val="18"/>
              </w:rPr>
              <w:t>Из них 80,8 % - обучение сотрудников Общества</w:t>
            </w:r>
          </w:p>
        </w:tc>
        <w:tc>
          <w:tcPr>
            <w:tcW w:w="1558" w:type="dxa"/>
            <w:tcBorders>
              <w:left w:val="single" w:sz="4" w:space="0" w:color="000000"/>
              <w:right w:val="single" w:sz="4" w:space="0" w:color="000000"/>
            </w:tcBorders>
          </w:tcPr>
          <w:p w14:paraId="2D734DE8" w14:textId="77777777" w:rsidR="002449C2" w:rsidRDefault="002449C2">
            <w:pPr>
              <w:spacing w:after="0" w:line="240" w:lineRule="auto"/>
              <w:jc w:val="both"/>
              <w:rPr>
                <w:rFonts w:ascii="Cambria" w:hAnsi="Cambria" w:cs="Calibri"/>
                <w:bCs/>
                <w:color w:val="000000"/>
                <w:sz w:val="18"/>
                <w:szCs w:val="18"/>
              </w:rPr>
            </w:pPr>
          </w:p>
        </w:tc>
        <w:tc>
          <w:tcPr>
            <w:tcW w:w="3441" w:type="dxa"/>
            <w:tcBorders>
              <w:top w:val="single" w:sz="4" w:space="0" w:color="000000"/>
              <w:left w:val="single" w:sz="4" w:space="0" w:color="000000"/>
              <w:bottom w:val="single" w:sz="4" w:space="0" w:color="000000"/>
              <w:right w:val="single" w:sz="4" w:space="0" w:color="000000"/>
            </w:tcBorders>
          </w:tcPr>
          <w:p w14:paraId="3B808357" w14:textId="77777777" w:rsidR="002449C2" w:rsidRDefault="00123961">
            <w:pPr>
              <w:spacing w:after="0" w:line="240" w:lineRule="auto"/>
              <w:jc w:val="both"/>
              <w:rPr>
                <w:rFonts w:ascii="Cambria" w:hAnsi="Cambria" w:cs="Calibri"/>
                <w:bCs/>
                <w:color w:val="000000"/>
                <w:sz w:val="18"/>
                <w:szCs w:val="18"/>
              </w:rPr>
            </w:pPr>
            <w:r>
              <w:rPr>
                <w:rFonts w:ascii="Cambria" w:hAnsi="Cambria" w:cs="Calibri"/>
                <w:bCs/>
                <w:color w:val="000000"/>
                <w:sz w:val="18"/>
                <w:szCs w:val="18"/>
              </w:rPr>
              <w:t>Объем обучения в 2024 году:</w:t>
            </w:r>
          </w:p>
          <w:p w14:paraId="4C3B7413" w14:textId="77777777" w:rsidR="002449C2" w:rsidRDefault="00123961">
            <w:pPr>
              <w:spacing w:after="0" w:line="240" w:lineRule="auto"/>
              <w:jc w:val="both"/>
              <w:rPr>
                <w:rFonts w:ascii="Cambria" w:hAnsi="Cambria" w:cs="Calibri"/>
                <w:bCs/>
                <w:color w:val="000000"/>
                <w:sz w:val="18"/>
                <w:szCs w:val="18"/>
              </w:rPr>
            </w:pPr>
            <w:r>
              <w:rPr>
                <w:rFonts w:ascii="Cambria" w:hAnsi="Cambria" w:cs="Calibri"/>
                <w:bCs/>
                <w:color w:val="000000"/>
                <w:sz w:val="18"/>
                <w:szCs w:val="18"/>
              </w:rPr>
              <w:t>305904 чел./час</w:t>
            </w:r>
          </w:p>
          <w:p w14:paraId="1FE0E415" w14:textId="77777777" w:rsidR="002449C2" w:rsidRDefault="00123961">
            <w:pPr>
              <w:spacing w:after="0" w:line="240" w:lineRule="auto"/>
              <w:rPr>
                <w:rFonts w:ascii="Cambria" w:hAnsi="Cambria" w:cs="Calibri"/>
                <w:bCs/>
                <w:color w:val="000000"/>
                <w:sz w:val="18"/>
                <w:szCs w:val="18"/>
              </w:rPr>
            </w:pPr>
            <w:r>
              <w:rPr>
                <w:rFonts w:ascii="Cambria" w:hAnsi="Cambria" w:cs="Calibri"/>
                <w:bCs/>
                <w:color w:val="000000"/>
                <w:sz w:val="18"/>
                <w:szCs w:val="18"/>
              </w:rPr>
              <w:t>Из них 15,78 % -  обучение сотрудников Общества</w:t>
            </w:r>
          </w:p>
        </w:tc>
      </w:tr>
      <w:tr w:rsidR="002449C2" w14:paraId="087A8FFF" w14:textId="77777777">
        <w:trPr>
          <w:jc w:val="center"/>
        </w:trPr>
        <w:tc>
          <w:tcPr>
            <w:tcW w:w="3227" w:type="dxa"/>
            <w:tcBorders>
              <w:top w:val="single" w:sz="4" w:space="0" w:color="000000"/>
              <w:left w:val="single" w:sz="4" w:space="0" w:color="000000"/>
              <w:bottom w:val="single" w:sz="4" w:space="0" w:color="000000"/>
              <w:right w:val="single" w:sz="4" w:space="0" w:color="000000"/>
            </w:tcBorders>
          </w:tcPr>
          <w:p w14:paraId="769F0E97" w14:textId="77777777" w:rsidR="002449C2" w:rsidRDefault="00123961">
            <w:pPr>
              <w:spacing w:after="0" w:line="240" w:lineRule="auto"/>
              <w:jc w:val="both"/>
              <w:rPr>
                <w:rFonts w:ascii="Cambria" w:hAnsi="Cambria" w:cs="Calibri"/>
                <w:bCs/>
                <w:color w:val="000000"/>
                <w:sz w:val="18"/>
                <w:szCs w:val="18"/>
              </w:rPr>
            </w:pPr>
            <w:r>
              <w:rPr>
                <w:rFonts w:ascii="Cambria" w:hAnsi="Cambria" w:cs="Calibri"/>
                <w:bCs/>
                <w:color w:val="000000"/>
                <w:sz w:val="18"/>
                <w:szCs w:val="18"/>
              </w:rPr>
              <w:t>Штатная численность: 58 шт. ед.</w:t>
            </w:r>
          </w:p>
        </w:tc>
        <w:tc>
          <w:tcPr>
            <w:tcW w:w="1558" w:type="dxa"/>
            <w:tcBorders>
              <w:left w:val="single" w:sz="4" w:space="0" w:color="000000"/>
              <w:right w:val="single" w:sz="4" w:space="0" w:color="000000"/>
            </w:tcBorders>
          </w:tcPr>
          <w:p w14:paraId="4EFFA167" w14:textId="77777777" w:rsidR="002449C2" w:rsidRDefault="002449C2">
            <w:pPr>
              <w:spacing w:after="0" w:line="240" w:lineRule="auto"/>
              <w:jc w:val="both"/>
              <w:rPr>
                <w:rFonts w:ascii="Cambria" w:hAnsi="Cambria" w:cs="Calibri"/>
                <w:bCs/>
                <w:color w:val="000000"/>
                <w:sz w:val="18"/>
                <w:szCs w:val="18"/>
              </w:rPr>
            </w:pPr>
          </w:p>
        </w:tc>
        <w:tc>
          <w:tcPr>
            <w:tcW w:w="3441" w:type="dxa"/>
            <w:tcBorders>
              <w:top w:val="single" w:sz="4" w:space="0" w:color="000000"/>
              <w:left w:val="single" w:sz="4" w:space="0" w:color="000000"/>
              <w:bottom w:val="single" w:sz="4" w:space="0" w:color="000000"/>
              <w:right w:val="single" w:sz="4" w:space="0" w:color="000000"/>
            </w:tcBorders>
          </w:tcPr>
          <w:p w14:paraId="3FDFD1A5" w14:textId="77777777" w:rsidR="002449C2" w:rsidRDefault="00123961">
            <w:pPr>
              <w:spacing w:after="0" w:line="240" w:lineRule="auto"/>
              <w:jc w:val="both"/>
              <w:rPr>
                <w:rFonts w:ascii="Cambria" w:hAnsi="Cambria" w:cs="Calibri"/>
                <w:bCs/>
                <w:color w:val="000000"/>
                <w:sz w:val="18"/>
                <w:szCs w:val="18"/>
              </w:rPr>
            </w:pPr>
            <w:r>
              <w:rPr>
                <w:rFonts w:ascii="Cambria" w:hAnsi="Cambria" w:cs="Calibri"/>
                <w:bCs/>
                <w:color w:val="000000"/>
                <w:sz w:val="18"/>
                <w:szCs w:val="18"/>
              </w:rPr>
              <w:t>Штатная численность: 12 шт. ед.</w:t>
            </w:r>
          </w:p>
        </w:tc>
      </w:tr>
      <w:tr w:rsidR="002449C2" w14:paraId="69C87B21" w14:textId="77777777">
        <w:trPr>
          <w:jc w:val="center"/>
        </w:trPr>
        <w:tc>
          <w:tcPr>
            <w:tcW w:w="3227" w:type="dxa"/>
            <w:tcBorders>
              <w:top w:val="single" w:sz="4" w:space="0" w:color="000000"/>
              <w:left w:val="single" w:sz="4" w:space="0" w:color="000000"/>
              <w:bottom w:val="single" w:sz="4" w:space="0" w:color="000000"/>
              <w:right w:val="single" w:sz="4" w:space="0" w:color="000000"/>
            </w:tcBorders>
          </w:tcPr>
          <w:p w14:paraId="60F2D013" w14:textId="77777777" w:rsidR="002449C2" w:rsidRDefault="00123961">
            <w:pPr>
              <w:spacing w:after="0" w:line="240" w:lineRule="auto"/>
              <w:jc w:val="both"/>
              <w:rPr>
                <w:rFonts w:ascii="Cambria" w:hAnsi="Cambria" w:cs="Calibri"/>
                <w:bCs/>
                <w:color w:val="000000"/>
                <w:sz w:val="18"/>
                <w:szCs w:val="18"/>
              </w:rPr>
            </w:pPr>
            <w:r>
              <w:rPr>
                <w:rFonts w:ascii="Cambria" w:hAnsi="Cambria" w:cs="Calibri"/>
                <w:bCs/>
                <w:color w:val="000000"/>
                <w:sz w:val="18"/>
                <w:szCs w:val="18"/>
              </w:rPr>
              <w:t>Кол-во привлекаемых</w:t>
            </w:r>
          </w:p>
          <w:p w14:paraId="5E2549B5" w14:textId="77777777" w:rsidR="002449C2" w:rsidRDefault="00123961">
            <w:pPr>
              <w:spacing w:after="0" w:line="240" w:lineRule="auto"/>
              <w:jc w:val="both"/>
              <w:rPr>
                <w:rFonts w:ascii="Cambria" w:hAnsi="Cambria" w:cs="Calibri"/>
                <w:bCs/>
                <w:color w:val="000000"/>
                <w:sz w:val="18"/>
                <w:szCs w:val="18"/>
              </w:rPr>
            </w:pPr>
            <w:r>
              <w:rPr>
                <w:rFonts w:ascii="Cambria" w:hAnsi="Cambria" w:cs="Calibri"/>
                <w:bCs/>
                <w:noProof/>
                <w:color w:val="000000"/>
                <w:sz w:val="18"/>
                <w:szCs w:val="18"/>
                <w:lang w:eastAsia="ru-RU"/>
              </w:rPr>
              <mc:AlternateContent>
                <mc:Choice Requires="wps">
                  <w:drawing>
                    <wp:anchor distT="0" distB="0" distL="0" distR="0" simplePos="0" relativeHeight="129" behindDoc="0" locked="0" layoutInCell="1" allowOverlap="1" wp14:anchorId="7C105B48" wp14:editId="1A8AD970">
                      <wp:simplePos x="0" y="0"/>
                      <wp:positionH relativeFrom="column">
                        <wp:posOffset>603885</wp:posOffset>
                      </wp:positionH>
                      <wp:positionV relativeFrom="paragraph">
                        <wp:posOffset>88265</wp:posOffset>
                      </wp:positionV>
                      <wp:extent cx="647700" cy="1272540"/>
                      <wp:effectExtent l="0" t="0" r="0" b="0"/>
                      <wp:wrapNone/>
                      <wp:docPr id="76" name="_x005F_x0000_s 3"/>
                      <wp:cNvGraphicFramePr/>
                      <a:graphic xmlns:a="http://schemas.openxmlformats.org/drawingml/2006/main">
                        <a:graphicData uri="http://schemas.microsoft.com/office/word/2010/wordprocessingShape">
                          <wps:wsp>
                            <wps:cNvSpPr/>
                            <wps:spPr>
                              <a:xfrm>
                                <a:off x="0" y="0"/>
                                <a:ext cx="647640" cy="1272600"/>
                              </a:xfrm>
                              <a:custGeom>
                                <a:avLst/>
                                <a:gdLst>
                                  <a:gd name="textAreaLeft" fmla="*/ 0 w 367200"/>
                                  <a:gd name="textAreaRight" fmla="*/ 369360 w 367200"/>
                                  <a:gd name="textAreaTop" fmla="*/ 0 h 721440"/>
                                  <a:gd name="textAreaBottom" fmla="*/ 723600 h 721440"/>
                                </a:gdLst>
                                <a:ahLst/>
                                <a:cxnLst/>
                                <a:rect l="textAreaLeft" t="textAreaTop" r="textAreaRight" b="textAreaBottom"/>
                                <a:pathLst>
                                  <a:path w="21600" h="21600">
                                    <a:moveTo>
                                      <a:pt x="0" y="0"/>
                                    </a:moveTo>
                                    <a:lnTo>
                                      <a:pt x="21600" y="21600"/>
                                    </a:lnTo>
                                  </a:path>
                                </a:pathLst>
                              </a:custGeom>
                              <a:solidFill>
                                <a:srgbClr val="FFFFFF"/>
                              </a:solidFill>
                              <a:ln w="0">
                                <a:solidFill>
                                  <a:srgbClr val="5A5A5A"/>
                                </a:solidFill>
                                <a:prstDash val="dash"/>
                              </a:ln>
                            </wps:spPr>
                            <wps:style>
                              <a:lnRef idx="0">
                                <a:scrgbClr r="0" g="0" b="0"/>
                              </a:lnRef>
                              <a:fillRef idx="0">
                                <a:scrgbClr r="0" g="0" b="0"/>
                              </a:fillRef>
                              <a:effectRef idx="0">
                                <a:scrgbClr r="0" g="0" b="0"/>
                              </a:effectRef>
                              <a:fontRef idx="minor"/>
                            </wps:style>
                            <wps:bodyPr/>
                          </wps:wsp>
                        </a:graphicData>
                      </a:graphic>
                    </wp:anchor>
                  </w:drawing>
                </mc:Choice>
                <mc:Fallback>
                  <w:pict>
                    <v:shape w14:anchorId="1039C679" id="_x005F_x0000_s 3" o:spid="_x0000_s1026" style="position:absolute;margin-left:47.55pt;margin-top:6.95pt;width:51pt;height:100.2pt;z-index:129;visibility:visible;mso-wrap-style:square;mso-wrap-distance-left:0;mso-wrap-distance-top:0;mso-wrap-distance-right:0;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" path="m,l21600,21600e" strokecolor="#5a5a5a" strokeweight="0">
                      <v:stroke dashstyle="dash"/>
                      <v:path arrowok="t" textboxrect="0,0,21727,21665"/>
                    </v:shape>
                  </w:pict>
                </mc:Fallback>
              </mc:AlternateContent>
            </w:r>
            <w:r>
              <w:rPr>
                <w:rFonts w:ascii="Cambria" w:hAnsi="Cambria" w:cs="Calibri"/>
                <w:bCs/>
                <w:color w:val="000000"/>
                <w:sz w:val="18"/>
                <w:szCs w:val="18"/>
              </w:rPr>
              <w:t>преподавателей:  89 чел.</w:t>
            </w:r>
          </w:p>
        </w:tc>
        <w:tc>
          <w:tcPr>
            <w:tcW w:w="1558" w:type="dxa"/>
            <w:tcBorders>
              <w:left w:val="single" w:sz="4" w:space="0" w:color="000000"/>
              <w:right w:val="single" w:sz="4" w:space="0" w:color="000000"/>
            </w:tcBorders>
          </w:tcPr>
          <w:p w14:paraId="578998AB" w14:textId="77777777" w:rsidR="002449C2" w:rsidRDefault="002449C2">
            <w:pPr>
              <w:spacing w:after="0" w:line="240" w:lineRule="auto"/>
              <w:jc w:val="both"/>
              <w:rPr>
                <w:rFonts w:ascii="Cambria" w:hAnsi="Cambria" w:cs="Calibri"/>
                <w:bCs/>
                <w:color w:val="000000"/>
                <w:sz w:val="18"/>
                <w:szCs w:val="18"/>
              </w:rPr>
            </w:pPr>
          </w:p>
        </w:tc>
        <w:tc>
          <w:tcPr>
            <w:tcW w:w="3441" w:type="dxa"/>
            <w:tcBorders>
              <w:top w:val="single" w:sz="4" w:space="0" w:color="000000"/>
              <w:left w:val="single" w:sz="4" w:space="0" w:color="000000"/>
              <w:bottom w:val="single" w:sz="4" w:space="0" w:color="000000"/>
              <w:right w:val="single" w:sz="4" w:space="0" w:color="000000"/>
            </w:tcBorders>
          </w:tcPr>
          <w:p w14:paraId="54B2B1E2" w14:textId="77777777" w:rsidR="002449C2" w:rsidRDefault="00123961">
            <w:pPr>
              <w:spacing w:after="0" w:line="240" w:lineRule="auto"/>
              <w:jc w:val="both"/>
              <w:rPr>
                <w:rFonts w:ascii="Cambria" w:hAnsi="Cambria" w:cs="Calibri"/>
                <w:bCs/>
                <w:color w:val="000000"/>
                <w:sz w:val="18"/>
                <w:szCs w:val="18"/>
              </w:rPr>
            </w:pPr>
            <w:r>
              <w:rPr>
                <w:rFonts w:ascii="Cambria" w:hAnsi="Cambria" w:cs="Calibri"/>
                <w:bCs/>
                <w:color w:val="000000"/>
                <w:sz w:val="18"/>
                <w:szCs w:val="18"/>
              </w:rPr>
              <w:t>Кол-во привлекаемых</w:t>
            </w:r>
          </w:p>
          <w:p w14:paraId="665F1C2B" w14:textId="77777777" w:rsidR="002449C2" w:rsidRDefault="00123961">
            <w:pPr>
              <w:spacing w:after="0" w:line="240" w:lineRule="auto"/>
              <w:jc w:val="both"/>
              <w:rPr>
                <w:rFonts w:ascii="Cambria" w:hAnsi="Cambria" w:cs="Calibri"/>
                <w:bCs/>
                <w:color w:val="000000"/>
                <w:sz w:val="18"/>
                <w:szCs w:val="18"/>
              </w:rPr>
            </w:pPr>
            <w:r>
              <w:rPr>
                <w:rFonts w:ascii="Cambria" w:hAnsi="Cambria" w:cs="Calibri"/>
                <w:bCs/>
                <w:noProof/>
                <w:color w:val="000000"/>
                <w:sz w:val="18"/>
                <w:szCs w:val="18"/>
                <w:lang w:eastAsia="ru-RU"/>
              </w:rPr>
              <mc:AlternateContent>
                <mc:Choice Requires="wps">
                  <w:drawing>
                    <wp:anchor distT="1270" distB="635" distL="1270" distR="635" simplePos="0" relativeHeight="130" behindDoc="0" locked="0" layoutInCell="1" allowOverlap="1" wp14:anchorId="5BC44FF7" wp14:editId="153C8C00">
                      <wp:simplePos x="0" y="0"/>
                      <wp:positionH relativeFrom="column">
                        <wp:posOffset>418465</wp:posOffset>
                      </wp:positionH>
                      <wp:positionV relativeFrom="paragraph">
                        <wp:posOffset>111125</wp:posOffset>
                      </wp:positionV>
                      <wp:extent cx="960120" cy="1541145"/>
                      <wp:effectExtent l="1270" t="1270" r="635" b="635"/>
                      <wp:wrapNone/>
                      <wp:docPr id="77" name="_x005F_x0000_s 4"/>
                      <wp:cNvGraphicFramePr/>
                      <a:graphic xmlns:a="http://schemas.openxmlformats.org/drawingml/2006/main">
                        <a:graphicData uri="http://schemas.microsoft.com/office/word/2010/wordprocessingShape">
                          <wps:wsp>
                            <wps:cNvSpPr/>
                            <wps:spPr>
                              <a:xfrm flipH="1">
                                <a:off x="0" y="0"/>
                                <a:ext cx="960120" cy="1541160"/>
                              </a:xfrm>
                              <a:custGeom>
                                <a:avLst/>
                                <a:gdLst>
                                  <a:gd name="textAreaLeft" fmla="*/ 1080 w 544320"/>
                                  <a:gd name="textAreaRight" fmla="*/ 547560 w 544320"/>
                                  <a:gd name="textAreaTop" fmla="*/ 0 h 873720"/>
                                  <a:gd name="textAreaBottom" fmla="*/ 875880 h 873720"/>
                                </a:gdLst>
                                <a:ahLst/>
                                <a:cxnLst/>
                                <a:rect l="textAreaLeft" t="textAreaTop" r="textAreaRight" b="textAreaBottom"/>
                                <a:pathLst>
                                  <a:path w="21600" h="21600">
                                    <a:moveTo>
                                      <a:pt x="0" y="0"/>
                                    </a:moveTo>
                                    <a:lnTo>
                                      <a:pt x="21600" y="21600"/>
                                    </a:lnTo>
                                  </a:path>
                                </a:pathLst>
                              </a:custGeom>
                              <a:solidFill>
                                <a:srgbClr val="FFFFFF"/>
                              </a:solidFill>
                              <a:ln w="0">
                                <a:solidFill>
                                  <a:srgbClr val="5A5A5A"/>
                                </a:solidFill>
                                <a:prstDash val="dash"/>
                              </a:ln>
                            </wps:spPr>
                            <wps:style>
                              <a:lnRef idx="0">
                                <a:scrgbClr r="0" g="0" b="0"/>
                              </a:lnRef>
                              <a:fillRef idx="0">
                                <a:scrgbClr r="0" g="0" b="0"/>
                              </a:fillRef>
                              <a:effectRef idx="0">
                                <a:scrgbClr r="0" g="0" b="0"/>
                              </a:effectRef>
                              <a:fontRef idx="minor"/>
                            </wps:style>
                            <wps:bodyPr/>
                          </wps:wsp>
                        </a:graphicData>
                      </a:graphic>
                    </wp:anchor>
                  </w:drawing>
                </mc:Choice>
                <mc:Fallback>
                  <w:pict>
                    <v:shape w14:anchorId="7BCA804D" id="_x005F_x0000_s 4" o:spid="_x0000_s1026" style="position:absolute;margin-left:32.95pt;margin-top:8.75pt;width:75.6pt;height:121.35pt;flip:x;z-index:130;visibility:visible;mso-wrap-style:square;mso-wrap-distance-left:.1pt;mso-wrap-distance-top:.1pt;mso-wrap-distance-right:.05pt;mso-wrap-distance-bottom:.05pt;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" path="m,l21600,21600e" strokecolor="#5a5a5a" strokeweight="0">
                      <v:stroke dashstyle="dash"/>
                      <v:path arrowok="t" textboxrect="43,0,21729,21653"/>
                    </v:shape>
                  </w:pict>
                </mc:Fallback>
              </mc:AlternateContent>
            </w:r>
            <w:r>
              <w:rPr>
                <w:rFonts w:ascii="Cambria" w:hAnsi="Cambria" w:cs="Calibri"/>
                <w:bCs/>
                <w:color w:val="000000"/>
                <w:sz w:val="18"/>
                <w:szCs w:val="18"/>
              </w:rPr>
              <w:t>преподавателей:  26 чел.</w:t>
            </w:r>
          </w:p>
        </w:tc>
      </w:tr>
    </w:tbl>
    <w:p w14:paraId="4B289534" w14:textId="77777777" w:rsidR="002449C2" w:rsidRDefault="00123961">
      <w:pPr>
        <w:shd w:val="clear" w:color="auto" w:fill="FFFFFF"/>
        <w:spacing w:after="0" w:line="240" w:lineRule="auto"/>
        <w:ind w:firstLine="567"/>
        <w:jc w:val="both"/>
        <w:rPr>
          <w:rFonts w:ascii="Cambria" w:eastAsia="Times New Roman" w:hAnsi="Cambria"/>
          <w:sz w:val="26"/>
          <w:szCs w:val="26"/>
          <w:lang w:eastAsia="ru-RU"/>
        </w:rPr>
      </w:pPr>
      <w:r>
        <w:rPr>
          <w:rFonts w:ascii="Cambria" w:eastAsia="Times New Roman" w:hAnsi="Cambria"/>
          <w:noProof/>
          <w:sz w:val="26"/>
          <w:szCs w:val="26"/>
          <w:lang w:eastAsia="ru-RU"/>
        </w:rPr>
        <w:drawing>
          <wp:anchor distT="0" distB="0" distL="114300" distR="114300" simplePos="0" relativeHeight="89" behindDoc="0" locked="0" layoutInCell="0" allowOverlap="1" wp14:anchorId="4ED3AA99" wp14:editId="29449E2E">
            <wp:simplePos x="0" y="0"/>
            <wp:positionH relativeFrom="column">
              <wp:posOffset>1308100</wp:posOffset>
            </wp:positionH>
            <wp:positionV relativeFrom="paragraph">
              <wp:posOffset>1559560</wp:posOffset>
            </wp:positionV>
            <wp:extent cx="3124200" cy="2476500"/>
            <wp:effectExtent l="0" t="0" r="0" b="0"/>
            <wp:wrapTight wrapText="bothSides">
              <wp:wrapPolygon edited="0">
                <wp:start x="-94" y="0"/>
                <wp:lineTo x="-94" y="21281"/>
                <wp:lineTo x="21600" y="21281"/>
                <wp:lineTo x="21600" y="0"/>
                <wp:lineTo x="-94" y="0"/>
              </wp:wrapPolygon>
            </wp:wrapTight>
            <wp:docPr id="78" name="_x005F_x0000_s4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_x005F_x0000_s4315"/>
                    <pic:cNvPicPr>
                      <a:picLocks noChangeAspect="1" noChangeArrowheads="1"/>
                    </pic:cNvPicPr>
                  </pic:nvPicPr>
                  <pic:blipFill>
                    <a:blip r:embed="rId104"/>
                    <a:stretch>
                      <a:fillRect/>
                    </a:stretch>
                  </pic:blipFill>
                  <pic:spPr bwMode="auto">
                    <a:xfrm>
                      <a:off x="0" y="0"/>
                      <a:ext cx="3124200" cy="2476500"/>
                    </a:xfrm>
                    <a:prstGeom prst="rect">
                      <a:avLst/>
                    </a:prstGeom>
                    <a:noFill/>
                  </pic:spPr>
                </pic:pic>
              </a:graphicData>
            </a:graphic>
          </wp:anchor>
        </w:drawing>
      </w:r>
    </w:p>
    <w:p w14:paraId="6EF0BB2A" w14:textId="77777777" w:rsidR="002449C2" w:rsidRDefault="002449C2">
      <w:pPr>
        <w:shd w:val="clear" w:color="auto" w:fill="FFFFFF"/>
        <w:spacing w:after="0" w:line="240" w:lineRule="auto"/>
        <w:ind w:firstLine="567"/>
        <w:jc w:val="both"/>
        <w:rPr>
          <w:rFonts w:ascii="Cambria" w:eastAsia="Times New Roman" w:hAnsi="Cambria"/>
          <w:sz w:val="26"/>
          <w:szCs w:val="26"/>
          <w:lang w:eastAsia="ru-RU"/>
        </w:rPr>
      </w:pPr>
    </w:p>
    <w:p w14:paraId="24491AD8" w14:textId="77777777" w:rsidR="002449C2" w:rsidRDefault="002449C2">
      <w:pPr>
        <w:shd w:val="clear" w:color="auto" w:fill="FFFFFF"/>
        <w:spacing w:after="0" w:line="240" w:lineRule="auto"/>
        <w:ind w:firstLine="567"/>
        <w:jc w:val="both"/>
        <w:rPr>
          <w:rFonts w:ascii="Cambria" w:eastAsia="Times New Roman" w:hAnsi="Cambria"/>
          <w:sz w:val="26"/>
          <w:szCs w:val="26"/>
          <w:lang w:eastAsia="ru-RU"/>
        </w:rPr>
      </w:pPr>
    </w:p>
    <w:p w14:paraId="23978931" w14:textId="77777777" w:rsidR="002449C2" w:rsidRDefault="002449C2">
      <w:pPr>
        <w:shd w:val="clear" w:color="auto" w:fill="FFFFFF"/>
        <w:spacing w:after="0" w:line="240" w:lineRule="auto"/>
        <w:jc w:val="both"/>
        <w:rPr>
          <w:rFonts w:ascii="Cambria" w:eastAsia="Times New Roman" w:hAnsi="Cambria"/>
          <w:sz w:val="26"/>
          <w:szCs w:val="26"/>
          <w:lang w:eastAsia="ru-RU"/>
        </w:rPr>
      </w:pPr>
    </w:p>
    <w:p w14:paraId="0776E389" w14:textId="77777777" w:rsidR="002449C2" w:rsidRDefault="002449C2">
      <w:pPr>
        <w:shd w:val="clear" w:color="auto" w:fill="FFFFFF"/>
        <w:spacing w:after="0" w:line="240" w:lineRule="auto"/>
        <w:ind w:firstLine="567"/>
        <w:jc w:val="both"/>
        <w:rPr>
          <w:rFonts w:ascii="Cambria" w:eastAsia="Times New Roman" w:hAnsi="Cambria"/>
          <w:sz w:val="26"/>
          <w:szCs w:val="26"/>
          <w:lang w:eastAsia="ru-RU"/>
        </w:rPr>
      </w:pPr>
    </w:p>
    <w:p w14:paraId="7703C43A" w14:textId="77777777" w:rsidR="002449C2" w:rsidRDefault="002449C2">
      <w:pPr>
        <w:shd w:val="clear" w:color="auto" w:fill="FFFFFF"/>
        <w:spacing w:after="0" w:line="240" w:lineRule="auto"/>
        <w:ind w:firstLine="567"/>
        <w:jc w:val="both"/>
        <w:rPr>
          <w:rFonts w:ascii="Cambria" w:eastAsia="Times New Roman" w:hAnsi="Cambria"/>
          <w:sz w:val="26"/>
          <w:szCs w:val="26"/>
          <w:lang w:eastAsia="ru-RU"/>
        </w:rPr>
      </w:pPr>
    </w:p>
    <w:p w14:paraId="668BCD85" w14:textId="77777777" w:rsidR="002449C2" w:rsidRDefault="002449C2">
      <w:pPr>
        <w:shd w:val="clear" w:color="auto" w:fill="FFFFFF"/>
        <w:spacing w:after="0" w:line="240" w:lineRule="auto"/>
        <w:ind w:firstLine="567"/>
        <w:jc w:val="both"/>
        <w:rPr>
          <w:rFonts w:ascii="Cambria" w:eastAsia="Times New Roman" w:hAnsi="Cambria"/>
          <w:sz w:val="26"/>
          <w:szCs w:val="26"/>
          <w:lang w:eastAsia="ru-RU"/>
        </w:rPr>
      </w:pPr>
    </w:p>
    <w:p w14:paraId="1C584940" w14:textId="77777777" w:rsidR="002449C2" w:rsidRDefault="002449C2">
      <w:pPr>
        <w:shd w:val="clear" w:color="auto" w:fill="FFFFFF"/>
        <w:spacing w:after="0" w:line="240" w:lineRule="auto"/>
        <w:ind w:firstLine="567"/>
        <w:jc w:val="both"/>
        <w:rPr>
          <w:rFonts w:ascii="Cambria" w:eastAsia="Times New Roman" w:hAnsi="Cambria"/>
          <w:sz w:val="26"/>
          <w:szCs w:val="26"/>
          <w:lang w:eastAsia="ru-RU"/>
        </w:rPr>
      </w:pPr>
    </w:p>
    <w:p w14:paraId="01FEDF3D" w14:textId="77777777" w:rsidR="002449C2" w:rsidRDefault="002449C2">
      <w:pPr>
        <w:shd w:val="clear" w:color="auto" w:fill="FFFFFF"/>
        <w:spacing w:after="0" w:line="240" w:lineRule="auto"/>
        <w:ind w:firstLine="567"/>
        <w:jc w:val="both"/>
        <w:rPr>
          <w:rFonts w:ascii="Cambria" w:eastAsia="Times New Roman" w:hAnsi="Cambria"/>
          <w:sz w:val="26"/>
          <w:szCs w:val="26"/>
          <w:lang w:eastAsia="ru-RU"/>
        </w:rPr>
      </w:pPr>
    </w:p>
    <w:p w14:paraId="29C6E979" w14:textId="77777777" w:rsidR="002449C2" w:rsidRDefault="002449C2">
      <w:pPr>
        <w:shd w:val="clear" w:color="auto" w:fill="FFFFFF"/>
        <w:spacing w:after="0" w:line="240" w:lineRule="auto"/>
        <w:ind w:firstLine="567"/>
        <w:jc w:val="both"/>
        <w:rPr>
          <w:rFonts w:ascii="Cambria" w:eastAsia="Times New Roman" w:hAnsi="Cambria"/>
          <w:sz w:val="26"/>
          <w:szCs w:val="26"/>
          <w:lang w:eastAsia="ru-RU"/>
        </w:rPr>
      </w:pPr>
    </w:p>
    <w:p w14:paraId="4EF79748" w14:textId="77777777" w:rsidR="002449C2" w:rsidRDefault="002449C2">
      <w:pPr>
        <w:shd w:val="clear" w:color="auto" w:fill="FFFFFF"/>
        <w:spacing w:after="0" w:line="240" w:lineRule="auto"/>
        <w:ind w:firstLine="567"/>
        <w:jc w:val="both"/>
        <w:rPr>
          <w:rFonts w:ascii="Cambria" w:eastAsia="Times New Roman" w:hAnsi="Cambria"/>
          <w:sz w:val="26"/>
          <w:szCs w:val="26"/>
          <w:lang w:eastAsia="ru-RU"/>
        </w:rPr>
      </w:pPr>
    </w:p>
    <w:p w14:paraId="0B738B36" w14:textId="77777777" w:rsidR="002449C2" w:rsidRDefault="002449C2">
      <w:pPr>
        <w:shd w:val="clear" w:color="auto" w:fill="FFFFFF"/>
        <w:spacing w:after="0" w:line="240" w:lineRule="auto"/>
        <w:ind w:firstLine="567"/>
        <w:jc w:val="both"/>
        <w:rPr>
          <w:rFonts w:ascii="Cambria" w:eastAsia="Times New Roman" w:hAnsi="Cambria"/>
          <w:sz w:val="26"/>
          <w:szCs w:val="26"/>
          <w:lang w:eastAsia="ru-RU"/>
        </w:rPr>
      </w:pPr>
    </w:p>
    <w:p w14:paraId="6AB0593A" w14:textId="77777777" w:rsidR="002449C2" w:rsidRDefault="002449C2">
      <w:pPr>
        <w:shd w:val="clear" w:color="auto" w:fill="FFFFFF"/>
        <w:spacing w:after="0" w:line="240" w:lineRule="auto"/>
        <w:ind w:firstLine="567"/>
        <w:jc w:val="both"/>
        <w:rPr>
          <w:rFonts w:ascii="Cambria" w:eastAsia="Times New Roman" w:hAnsi="Cambria"/>
          <w:sz w:val="26"/>
          <w:szCs w:val="26"/>
          <w:lang w:eastAsia="ru-RU"/>
        </w:rPr>
      </w:pPr>
    </w:p>
    <w:p w14:paraId="0A5BF245" w14:textId="77777777" w:rsidR="002449C2" w:rsidRDefault="002449C2">
      <w:pPr>
        <w:widowControl w:val="0"/>
        <w:shd w:val="clear" w:color="auto" w:fill="FFFFFF"/>
        <w:spacing w:after="0" w:line="240" w:lineRule="auto"/>
        <w:jc w:val="center"/>
        <w:rPr>
          <w:rFonts w:ascii="Arial Narrow" w:eastAsia="Times New Roman" w:hAnsi="Arial Narrow" w:cs="Arial"/>
          <w:i/>
          <w:sz w:val="24"/>
          <w:szCs w:val="24"/>
          <w:lang w:eastAsia="ru-RU"/>
        </w:rPr>
      </w:pPr>
    </w:p>
    <w:p w14:paraId="0469FFA3" w14:textId="77777777" w:rsidR="002449C2" w:rsidRDefault="002449C2">
      <w:pPr>
        <w:shd w:val="clear" w:color="auto" w:fill="FFFFFF"/>
        <w:spacing w:after="0" w:line="240" w:lineRule="auto"/>
        <w:ind w:firstLine="567"/>
        <w:jc w:val="both"/>
        <w:rPr>
          <w:rFonts w:ascii="Cambria" w:eastAsia="Times New Roman" w:hAnsi="Cambria"/>
          <w:sz w:val="26"/>
          <w:szCs w:val="26"/>
          <w:lang w:eastAsia="ru-RU"/>
        </w:rPr>
      </w:pPr>
    </w:p>
    <w:p w14:paraId="7180B706" w14:textId="77777777" w:rsidR="002449C2" w:rsidRDefault="002449C2">
      <w:pPr>
        <w:shd w:val="clear" w:color="auto" w:fill="FFFFFF"/>
        <w:spacing w:after="0" w:line="240" w:lineRule="auto"/>
        <w:jc w:val="both"/>
        <w:rPr>
          <w:rFonts w:ascii="Times New Roman" w:eastAsia="Times New Roman" w:hAnsi="Times New Roman"/>
          <w:sz w:val="26"/>
          <w:szCs w:val="26"/>
          <w:lang w:eastAsia="ru-RU"/>
        </w:rPr>
      </w:pPr>
    </w:p>
    <w:p w14:paraId="71FA64D3" w14:textId="77777777" w:rsidR="002449C2" w:rsidRDefault="002449C2">
      <w:pPr>
        <w:shd w:val="clear" w:color="auto" w:fill="FFFFFF"/>
        <w:spacing w:after="0" w:line="240" w:lineRule="auto"/>
        <w:ind w:firstLine="567"/>
        <w:jc w:val="both"/>
        <w:rPr>
          <w:rFonts w:ascii="Times New Roman" w:eastAsia="Times New Roman" w:hAnsi="Times New Roman"/>
          <w:sz w:val="26"/>
          <w:szCs w:val="26"/>
          <w:lang w:eastAsia="ru-RU"/>
        </w:rPr>
      </w:pPr>
    </w:p>
    <w:p w14:paraId="2DFAF867" w14:textId="77777777" w:rsidR="002449C2" w:rsidRDefault="002449C2">
      <w:pPr>
        <w:shd w:val="clear" w:color="auto" w:fill="FFFFFF"/>
        <w:spacing w:after="0" w:line="240" w:lineRule="auto"/>
        <w:ind w:firstLine="567"/>
        <w:jc w:val="both"/>
        <w:rPr>
          <w:rFonts w:ascii="Times New Roman" w:eastAsia="Times New Roman" w:hAnsi="Times New Roman"/>
          <w:sz w:val="26"/>
          <w:szCs w:val="26"/>
          <w:lang w:eastAsia="ru-RU"/>
        </w:rPr>
      </w:pPr>
    </w:p>
    <w:p w14:paraId="101843BD" w14:textId="77777777" w:rsidR="002449C2" w:rsidRDefault="002449C2">
      <w:pPr>
        <w:shd w:val="clear" w:color="auto" w:fill="FFFFFF"/>
        <w:spacing w:after="0" w:line="240" w:lineRule="auto"/>
        <w:ind w:firstLine="567"/>
        <w:jc w:val="both"/>
        <w:rPr>
          <w:rFonts w:ascii="Times New Roman" w:eastAsia="Times New Roman" w:hAnsi="Times New Roman"/>
          <w:sz w:val="26"/>
          <w:szCs w:val="26"/>
          <w:lang w:eastAsia="ru-RU"/>
        </w:rPr>
      </w:pPr>
    </w:p>
    <w:p w14:paraId="0DEB659B" w14:textId="77777777" w:rsidR="002449C2" w:rsidRDefault="002449C2">
      <w:pPr>
        <w:shd w:val="clear" w:color="auto" w:fill="FFFFFF"/>
        <w:spacing w:after="0" w:line="240" w:lineRule="auto"/>
        <w:ind w:firstLine="567"/>
        <w:jc w:val="both"/>
        <w:rPr>
          <w:rFonts w:ascii="Times New Roman" w:eastAsia="Times New Roman" w:hAnsi="Times New Roman"/>
          <w:sz w:val="26"/>
          <w:szCs w:val="26"/>
          <w:lang w:eastAsia="ru-RU"/>
        </w:rPr>
      </w:pPr>
    </w:p>
    <w:p w14:paraId="1AA5AAC7" w14:textId="77777777" w:rsidR="002449C2" w:rsidRDefault="002449C2">
      <w:pPr>
        <w:shd w:val="clear" w:color="auto" w:fill="FFFFFF"/>
        <w:spacing w:after="0" w:line="240" w:lineRule="auto"/>
        <w:ind w:firstLine="567"/>
        <w:jc w:val="both"/>
        <w:rPr>
          <w:rFonts w:ascii="Times New Roman" w:eastAsia="Times New Roman" w:hAnsi="Times New Roman"/>
          <w:sz w:val="26"/>
          <w:szCs w:val="26"/>
          <w:lang w:eastAsia="ru-RU"/>
        </w:rPr>
      </w:pPr>
    </w:p>
    <w:p w14:paraId="609541FF" w14:textId="77777777" w:rsidR="002449C2" w:rsidRDefault="002449C2">
      <w:pPr>
        <w:shd w:val="clear" w:color="auto" w:fill="FFFFFF"/>
        <w:spacing w:after="0" w:line="240" w:lineRule="auto"/>
        <w:ind w:firstLine="567"/>
        <w:jc w:val="both"/>
        <w:rPr>
          <w:rFonts w:ascii="Times New Roman" w:eastAsia="Times New Roman" w:hAnsi="Times New Roman"/>
          <w:sz w:val="26"/>
          <w:szCs w:val="26"/>
          <w:lang w:eastAsia="ru-RU"/>
        </w:rPr>
      </w:pPr>
    </w:p>
    <w:p w14:paraId="5911CC32"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Подготовку персонала в собственном центре отличает ряд преимуществ:</w:t>
      </w:r>
    </w:p>
    <w:p w14:paraId="1AD37DF9"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корпоративные стандарты и формы обучения;</w:t>
      </w:r>
    </w:p>
    <w:p w14:paraId="3E946AD6"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формирование подходов к обучению, связанных со стратегическими планами Общества;</w:t>
      </w:r>
    </w:p>
    <w:p w14:paraId="5ED3621E"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оперативное реагирование и перестройка учебного процесса;</w:t>
      </w:r>
    </w:p>
    <w:p w14:paraId="6E67F296"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использование учебно-тренировочных полигонов компании;</w:t>
      </w:r>
    </w:p>
    <w:p w14:paraId="24D24E98"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квалификация персонала, прошедшего обучение максимально приближена к потребностям компании.</w:t>
      </w:r>
    </w:p>
    <w:p w14:paraId="331DD87D"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Партнерами Компании в области дополнительной подготовки кадров также являются образовательные организации, имеющие лицензии на право ведения образовательной деятельности по необходимым Обществу направлениям подготовки персонала: оперативно-технологическое управление, релейная защита, технологическое присоединение, тарифное регулирование, информационные технологии, программное обеспечение, экологическая безопасность, бухгалтерский учет, антикоррупционная деятельность и др.</w:t>
      </w:r>
    </w:p>
    <w:p w14:paraId="1B0700E3"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Реализованные в 2024 году обучающие мероприятия обеспечили выполнение Обществом планов по обязательному обучению (обучение в области промышленной безопасности, «Правила по охране труда при работе на высоте», «Стропальщик», «Рабочий люльки», «Машинист автовышки и автогидроподъемника», «Контролер технического состояния автотранспортных средств» и др.). </w:t>
      </w:r>
    </w:p>
    <w:p w14:paraId="76B9D742"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2024 году было продолжено обучение сотрудников «методам выполнения работ по технологии без снятия напряжения в электроустановках до 1000 В» (в рамках исполнения Дорожной карты по внедрению технологии производства работ под напряжением в распределительных электрических сетях напряжением 0,4-20 кВ группы компаний «Россети» (письмо ПАО «Россети» от 27.07.2020 № МА/116/856)), а также обучение руководителей Общества в ЧОУ ДПО «Центр работ под напряжением» (г. Заинск) с посещением РЭС и предприятий, входящих в состав АО «Северная компания» для ознакомления с организацией рабочих процессов при выполнении работ методом под напряжением, инновационных подходов к работе и перенятия опыта. </w:t>
      </w:r>
    </w:p>
    <w:p w14:paraId="5283F42A"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Фактические затраты на подготовку персонала составили 110716,21 тыс. рублей, из них 93814,48 тыс. рублей (84,7%) –это затраты на подготовку персонала на базе корпоративного учебного центра. В 2023 году на подготовку персонала было направлено 86730,49 тыс. рублей., из них на подготовку в корпоративном учебном центре – 65 662,39 тыс. рублей. (75,7%). </w:t>
      </w:r>
    </w:p>
    <w:p w14:paraId="2B3ACC65"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 Соотношение фактических затрат на подготовку персонала к ФЗП в отчетном году составило 1 % (в 2023 году – 0,9 %).</w:t>
      </w:r>
    </w:p>
    <w:p w14:paraId="09C01011" w14:textId="77777777" w:rsidR="002449C2" w:rsidRDefault="002449C2">
      <w:pPr>
        <w:shd w:val="clear" w:color="auto" w:fill="FFFFFF"/>
        <w:spacing w:before="120" w:after="120" w:line="240" w:lineRule="auto"/>
        <w:ind w:firstLine="567"/>
        <w:jc w:val="both"/>
        <w:rPr>
          <w:rFonts w:ascii="Times New Roman" w:eastAsia="Times New Roman" w:hAnsi="Times New Roman"/>
          <w:b/>
          <w:sz w:val="26"/>
          <w:szCs w:val="26"/>
          <w:lang w:eastAsia="ar-SA"/>
        </w:rPr>
      </w:pPr>
    </w:p>
    <w:p w14:paraId="283519B2" w14:textId="77777777" w:rsidR="002449C2" w:rsidRDefault="00123961">
      <w:pPr>
        <w:shd w:val="clear" w:color="auto" w:fill="FFFFFF"/>
        <w:spacing w:before="120" w:after="120" w:line="240" w:lineRule="auto"/>
        <w:ind w:firstLine="567"/>
        <w:jc w:val="both"/>
        <w:rPr>
          <w:rFonts w:ascii="Times New Roman" w:eastAsia="Times New Roman" w:hAnsi="Times New Roman"/>
          <w:b/>
          <w:sz w:val="26"/>
          <w:szCs w:val="26"/>
          <w:lang w:eastAsia="ar-SA"/>
        </w:rPr>
      </w:pPr>
      <w:r>
        <w:rPr>
          <w:rFonts w:ascii="Times New Roman" w:eastAsia="Times New Roman" w:hAnsi="Times New Roman"/>
          <w:b/>
          <w:sz w:val="26"/>
          <w:szCs w:val="26"/>
          <w:lang w:eastAsia="ar-SA"/>
        </w:rPr>
        <w:t>Работа с кадровыми резервами Общества</w:t>
      </w:r>
    </w:p>
    <w:p w14:paraId="18277A03"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целях своевременного обеспечения потребностей Общества квалифицированным персоналом, создания условий для наиболее полного раскрытия трудового потенциала работников в ПАО «Россети Юг» на постоянной основе ведется работа по формированию и развитию управленческого кадрового резерва. </w:t>
      </w:r>
    </w:p>
    <w:p w14:paraId="3D808F58"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2024 году, в целях внедрения единого системного подхода и регламентации процедуры формирования управленческого кадрового резерва в группе компаний «Россети» было пересмотрено и утверждено в новой редакции Положение по формированию и развитию кадровых резервов ПАО «Россети Юг» (далее – Положение).</w:t>
      </w:r>
    </w:p>
    <w:p w14:paraId="0807FD09"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соответствии с новыми требованиями Положения в Обществе сформированы 2 уровня управленческого кадрового резерва – управленческий кадровый резерв ПАО «Россети Юг» и управленческий кадровый резерв филиалом ПАО «Россети Юг».</w:t>
      </w:r>
    </w:p>
    <w:p w14:paraId="3583027C"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Управленческий кадровый резерв ПАО «Россети Юг» формируется на следующие руководящие позиции:</w:t>
      </w:r>
    </w:p>
    <w:p w14:paraId="7E031C12"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Заместитель Генерального директора по направлению;</w:t>
      </w:r>
    </w:p>
    <w:p w14:paraId="5858D440"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Заместитель Генерального директора – директор филиала Общества;</w:t>
      </w:r>
    </w:p>
    <w:p w14:paraId="62D382E0"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руководители структурных подразделений прямого подчинения Генеральному директору Общества;</w:t>
      </w:r>
    </w:p>
    <w:p w14:paraId="6750AD3B"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руководители структурных подразделений исполнительного аппарата Общества;</w:t>
      </w:r>
    </w:p>
    <w:p w14:paraId="1D1292D1"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руководители подразделений исполнительного аппарата Общества.</w:t>
      </w:r>
    </w:p>
    <w:p w14:paraId="6C97225B"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Управленческий кадровый резерв филиалов формируется на руководящие позиции:</w:t>
      </w:r>
    </w:p>
    <w:p w14:paraId="7D0DF35E"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заместитель директора филиала;</w:t>
      </w:r>
    </w:p>
    <w:p w14:paraId="1B3E5629"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 руководители структурных подразделений аппаратов управлений филиалов Общества; </w:t>
      </w:r>
    </w:p>
    <w:p w14:paraId="417C23DC"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 руководители подразделений аппаратов управлений филиалов Общества; </w:t>
      </w:r>
    </w:p>
    <w:p w14:paraId="527874E7"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иные должности, в соответствии с приложением 3 к Положению.</w:t>
      </w:r>
    </w:p>
    <w:p w14:paraId="7229B4C8"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Проводимая в Обществе работа по формированию кадровых резервов позволяет оперативно и качественно обеспечивать потребности Общества в сотрудниках, подготовленных к работе на руководящих позициях.</w:t>
      </w:r>
    </w:p>
    <w:p w14:paraId="450947F4"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Основными критериями для включения работников в управленческий кадровый резерв являются:</w:t>
      </w:r>
    </w:p>
    <w:p w14:paraId="101A39AE"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соответствие формальным требованиям (возраст, квалификация, опыт работы на определенных должностях);</w:t>
      </w:r>
    </w:p>
    <w:p w14:paraId="59237A1D"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высокая профессиональная квалификация;</w:t>
      </w:r>
    </w:p>
    <w:p w14:paraId="41108353"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высокие результаты производственной деятельности;</w:t>
      </w:r>
    </w:p>
    <w:p w14:paraId="318AEA5C"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наличие личностного и управленческого потенциала, необходимого для профессионального развития и карьерного роста.</w:t>
      </w:r>
    </w:p>
    <w:p w14:paraId="394D91C8"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2024 году в состав управленческого кадрового резерва вошли 816 наиболее перспективных работников Компании. Обеспеченность управленческих должностей кадровым резервом на конец отчетного периода составила 103,2%.</w:t>
      </w:r>
    </w:p>
    <w:p w14:paraId="6FDE6EA2"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Численность молодых специалистов в структуре кадрового резерва Компании на конец отчетного периода составила 264 человека или 32% от общей численности резервистов.</w:t>
      </w:r>
    </w:p>
    <w:p w14:paraId="434739E8"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Состав кадрового резерва ежегодно актуализируется, осуществляется дополнительный набор среди специалистов Общества на смену резервистам, назначенным на вышестоящие целевые должности и выбывшим из кадрового резерва. Списки управленческого кадрового резерва утверждаются Комитетом по кадрам и вознаграждениям Совета директоров ПАО «Россети Юг» с периодичностью один раз в два года.</w:t>
      </w:r>
    </w:p>
    <w:p w14:paraId="1E855944"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2024 году по Обществу и филиалам в целом коэффициент текучести резервистов составил 6,4 %, замещение вакантных руководящих позиций резервистами – 87,8%, продвижение резервистов – 55,3%.</w:t>
      </w:r>
    </w:p>
    <w:p w14:paraId="7CBE5353"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Работники, состоящие в управленческом кадровом резерве Общества, регулярно принимают участие в обучающих программах, отраслевых всероссийских и региональных конференциях, позволяющих ознакомиться с передовым опытом электросетевых компаний, изучить новые технологии, освоить более эффективные методы работы. Так, в 2024 году для членов управленческого кадрового резерва Общества были организованы тематические тренинги и программы обучения по темам:</w:t>
      </w:r>
    </w:p>
    <w:p w14:paraId="2C8F9E40"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«Риск-ориентированное мышление в области СУОТ»;</w:t>
      </w:r>
    </w:p>
    <w:p w14:paraId="1CB6C3E9"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«Руководители и специалисты организаций, потребителей тепловой энергии (обслуживающих организаций)»</w:t>
      </w:r>
    </w:p>
    <w:p w14:paraId="2A868023"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«Успешный руководитель: инструменты управления»;</w:t>
      </w:r>
    </w:p>
    <w:p w14:paraId="04EE84ED"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«Основы аудита поведения при проверках работающих бригад (поведенческий аудит)»;</w:t>
      </w:r>
    </w:p>
    <w:p w14:paraId="4D6E3324"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«Эффективные продажи»;</w:t>
      </w:r>
    </w:p>
    <w:p w14:paraId="17ACCB04"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«Управление проектами» и др.</w:t>
      </w:r>
    </w:p>
    <w:p w14:paraId="5AF5113F"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Работники из состава молодежного резерва представляли Компанию на Международном форуме молодых специалистов «Форсаж-2024», Российской энергетической неделе (РЭН - 2024).</w:t>
      </w:r>
    </w:p>
    <w:p w14:paraId="06A391F4"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2024 году сотрудники ПАО «Россети Юг», в том числе представители кадровых резервов, приняли участие в ежегодном конкурсе «Лучший по профессии» и представили свои исследовательские работы в более 27 номинациях. По итогам конкурса 2024 года в число победителей вошли 10 представителей управленческого кадрового резерва, в т.ч. 3 представителя молодежного резерва Общества.</w:t>
      </w:r>
    </w:p>
    <w:p w14:paraId="4C22FEFA" w14:textId="77777777" w:rsidR="002449C2" w:rsidRDefault="00123961">
      <w:pPr>
        <w:keepNext/>
        <w:keepLines/>
        <w:shd w:val="clear" w:color="auto" w:fill="FFFFFF"/>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106" w:name="_Toc195174943"/>
      <w:bookmarkStart w:id="107" w:name="_Toc196143036"/>
      <w:r>
        <w:rPr>
          <w:rFonts w:ascii="Times New Roman" w:eastAsia="Times New Roman" w:hAnsi="Times New Roman"/>
          <w:color w:val="385623"/>
          <w:sz w:val="28"/>
          <w:szCs w:val="28"/>
          <w:lang w:eastAsia="en-US" w:bidi="en-US"/>
        </w:rPr>
        <w:t>Молодежная политика Общества</w:t>
      </w:r>
      <w:bookmarkEnd w:id="106"/>
      <w:bookmarkEnd w:id="107"/>
    </w:p>
    <w:p w14:paraId="759CA5A4"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Мероприятия молодежной политики компании проводятся с целью профессиональной ориентации школьников, повышения престижа профессий энергетической отрасли и выявления талантливой молодежи и ориентированы на последовательную работу со школьниками, студентами и молодыми специалистами.</w:t>
      </w:r>
    </w:p>
    <w:p w14:paraId="158B8934" w14:textId="77777777" w:rsidR="002449C2" w:rsidRDefault="00123961">
      <w:pPr>
        <w:shd w:val="clear" w:color="auto" w:fill="FFFFFF"/>
        <w:spacing w:before="120" w:after="120" w:line="240" w:lineRule="auto"/>
        <w:ind w:firstLine="567"/>
        <w:jc w:val="both"/>
        <w:rPr>
          <w:rFonts w:ascii="Times New Roman" w:eastAsia="Times New Roman" w:hAnsi="Times New Roman"/>
          <w:b/>
          <w:sz w:val="26"/>
          <w:szCs w:val="26"/>
          <w:lang w:eastAsia="ar-SA"/>
        </w:rPr>
      </w:pPr>
      <w:r>
        <w:rPr>
          <w:rFonts w:ascii="Times New Roman" w:eastAsia="Times New Roman" w:hAnsi="Times New Roman"/>
          <w:b/>
          <w:sz w:val="26"/>
          <w:szCs w:val="26"/>
          <w:lang w:eastAsia="ar-SA"/>
        </w:rPr>
        <w:t>Работа со школьниками</w:t>
      </w:r>
    </w:p>
    <w:p w14:paraId="251B56DA"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Задача ранней профессиональной ориентации – знакомство школьников с профессией энергетика, ориентация на получение профильного образования и работу в ПАО «Россети Юг», выявление хорошо подготовленных, мотивированных школьников для направления их на целевое обучение в профильные учебные заведения. </w:t>
      </w:r>
    </w:p>
    <w:p w14:paraId="24DF9D33" w14:textId="77777777" w:rsidR="002449C2" w:rsidRDefault="00123961">
      <w:pPr>
        <w:spacing w:after="0" w:line="240" w:lineRule="auto"/>
        <w:ind w:firstLine="708"/>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С 2018 года мы принимаем участие в организации и проведении региональных этапов Всероссийской олимпиады школьников компаний Группы «Россети». Участники соревнуются в знаниях по физике, математике и информатике. Так, в 2024 году приняли участие 475 школьника, представляющий регионы присутствия компании. Победители и призеры Олимпиады, а также школьники, набравшие по итогам большее количество баллов, приняли участие в Энергетической проектной смене на базе Всероссийского детского центра «Орленок», где смогли реализовать интереснейшие проекты с опытными наставниками – преподавателями ведущих энергетических вузов страны. По итогам проектной смены команды представили прототипы проектных решений, программные продукты на суд жюри, в состав которого вошли руководители технического блока компаний группы. </w:t>
      </w:r>
    </w:p>
    <w:p w14:paraId="319E6341"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2024 году впервые был реализован проект в сфере профессиональной ориентации школьников «Энергокружки ПАО Россети Юг», были созданы 7 Энергокружков (150 чел.)  в регионах присутствия компании. Школьники, дополнительно занимаются углубленным изучением профильной дисциплины– физикой, для них проводятся экскурсии, применение полученных знаний школьники демонстрируют на практических занятиях, которые ведут наши действующие работники.</w:t>
      </w:r>
    </w:p>
    <w:p w14:paraId="24527128"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Ежегодно, в целях популяризации технических специальностей среди молодежи ПАО «Россети Юг» проводит Дни открытых дверей для школьников и студентов. Данное мероприятие позволяет участникам узнать об истории отрасли и энергосистемы региона, о специфике деятельности различных подразделений, а также побывать на энергообъектах компании.</w:t>
      </w:r>
    </w:p>
    <w:p w14:paraId="09CBDC62"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рамках реализации проекта «Билет в будущее», в 2024 году для школьников 7-11 классов были проведены уроки по электробезопасности и экскурсии на объекты филиала ПАО «Россети Юг» - «Волгоградэнерго».</w:t>
      </w:r>
    </w:p>
    <w:p w14:paraId="6CD24EB3"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течение года в школах-партнерах, детских лагерях и кванториумах специалисты ПАО «Россети Юг» проводят уроки профессиональной ориентации для учащихся средних и старших классов.</w:t>
      </w:r>
    </w:p>
    <w:p w14:paraId="5B222495" w14:textId="77777777"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Представители ПАО «Россети Юг» в рамках проведения отраслевого Дня энергетики приняли участие в Международной выставке-форуме «Россия» (ВДНХ, г. Москва). Специалисты рассказали школьникам о деятельности группы компаний «Россети», о молодежной политике и проектах, которые реализует «группа компаний Россети», а также провели интерактив для всех желающих.</w:t>
      </w:r>
    </w:p>
    <w:p w14:paraId="47E25633" w14:textId="77777777" w:rsidR="002449C2" w:rsidRDefault="002449C2">
      <w:pPr>
        <w:spacing w:after="0" w:line="240" w:lineRule="auto"/>
        <w:ind w:firstLine="709"/>
        <w:jc w:val="both"/>
        <w:rPr>
          <w:rFonts w:ascii="Times New Roman" w:eastAsia="Times New Roman" w:hAnsi="Times New Roman"/>
          <w:sz w:val="26"/>
          <w:szCs w:val="26"/>
          <w:lang w:eastAsia="ru-RU"/>
        </w:rPr>
      </w:pPr>
    </w:p>
    <w:p w14:paraId="5111B5D9" w14:textId="77777777" w:rsidR="002449C2" w:rsidRDefault="00123961">
      <w:pPr>
        <w:spacing w:before="120" w:after="120" w:line="240" w:lineRule="auto"/>
        <w:ind w:left="709"/>
        <w:rPr>
          <w:rFonts w:ascii="Times New Roman" w:hAnsi="Times New Roman"/>
          <w:b/>
          <w:sz w:val="26"/>
          <w:szCs w:val="26"/>
        </w:rPr>
      </w:pPr>
      <w:r>
        <w:rPr>
          <w:rFonts w:ascii="Times New Roman" w:hAnsi="Times New Roman"/>
          <w:b/>
          <w:sz w:val="26"/>
          <w:szCs w:val="26"/>
        </w:rPr>
        <w:t>Работа со студентами</w:t>
      </w:r>
    </w:p>
    <w:p w14:paraId="2F7A1F13"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Работа со студентами профильных специальностей, нацелена на обеспечение компании квалифицированными специалистами, мотивированными на работу в энергетической отрасли. Ключевыми направлениями работы со студентами в 2024 году стали:</w:t>
      </w:r>
    </w:p>
    <w:p w14:paraId="7B06DC30" w14:textId="77777777" w:rsidR="002449C2" w:rsidRDefault="00123961">
      <w:pPr>
        <w:numPr>
          <w:ilvl w:val="0"/>
          <w:numId w:val="44"/>
        </w:numPr>
        <w:spacing w:after="0" w:line="240" w:lineRule="auto"/>
        <w:ind w:left="0" w:firstLine="709"/>
        <w:contextualSpacing/>
        <w:jc w:val="both"/>
        <w:rPr>
          <w:rFonts w:ascii="Times New Roman" w:hAnsi="Times New Roman"/>
          <w:sz w:val="26"/>
          <w:szCs w:val="26"/>
        </w:rPr>
      </w:pPr>
      <w:r>
        <w:rPr>
          <w:rFonts w:ascii="Times New Roman" w:hAnsi="Times New Roman"/>
          <w:sz w:val="26"/>
          <w:szCs w:val="26"/>
        </w:rPr>
        <w:t>Организация прохождения производственных и преддипломных практик студентов профильных учебных заведений в компании. За 2024 год в подразделениях компании производственную и преддипломную практику прошли 898 студентов.</w:t>
      </w:r>
    </w:p>
    <w:p w14:paraId="513A17CB" w14:textId="77777777" w:rsidR="002449C2" w:rsidRDefault="00123961">
      <w:pPr>
        <w:widowControl w:val="0"/>
        <w:shd w:val="clear" w:color="auto" w:fill="FFFFFF"/>
        <w:spacing w:after="0" w:line="240" w:lineRule="auto"/>
        <w:ind w:firstLine="709"/>
        <w:contextualSpacing/>
        <w:jc w:val="both"/>
        <w:rPr>
          <w:rFonts w:ascii="Times New Roman" w:eastAsia="Times New Roman" w:hAnsi="Times New Roman"/>
          <w:color w:val="000000"/>
          <w:sz w:val="26"/>
          <w:szCs w:val="26"/>
          <w:lang w:eastAsia="ru-RU"/>
        </w:rPr>
      </w:pPr>
      <w:r>
        <w:rPr>
          <w:rFonts w:ascii="Times New Roman" w:hAnsi="Times New Roman"/>
          <w:sz w:val="26"/>
          <w:szCs w:val="26"/>
        </w:rPr>
        <w:t xml:space="preserve">2. Организация целевой подготовки специалистов по профильным для Общества направлениям специальности с целью дальнейшего трудоустройства в Компанию. По целевому направлению от ПАО «Россети Юг» в вузах-партнерах обучается 171 </w:t>
      </w:r>
      <w:r>
        <w:rPr>
          <w:rFonts w:ascii="Times New Roman" w:hAnsi="Times New Roman"/>
          <w:color w:val="000000"/>
          <w:sz w:val="26"/>
          <w:szCs w:val="26"/>
        </w:rPr>
        <w:t xml:space="preserve">чел., из них поступили на обучение по целевым договорам в 2024 году 35 студентов. </w:t>
      </w:r>
      <w:r>
        <w:rPr>
          <w:rFonts w:ascii="Times New Roman" w:eastAsia="Times New Roman" w:hAnsi="Times New Roman"/>
          <w:color w:val="000000"/>
          <w:sz w:val="26"/>
          <w:szCs w:val="26"/>
          <w:lang w:eastAsia="ru-RU"/>
        </w:rPr>
        <w:t>Для студентов-целевиков организовано предоставление мер поддержки – корпоративная стипендия при хорошей академической успеваемости.</w:t>
      </w:r>
    </w:p>
    <w:p w14:paraId="3CAFB86A"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рамках сотрудничества с НИУ «МЭИ» г. Москва и Волжским филиалом НИУ «МЭИ» в отчетном году продолжает действовать проект «Предуниверсарий для целевых студентов». В рамках проекта осуществлялась подготовка учащихся 11-х классов к сдаче ЕГЭ (по предметам: математика, физика и русский язык) и дальнейшее направление абитуриентов на целевое обучение по основной образовательной программе бакалавриата по направлению специальности «Электроэнергетика и электротехника» в ФГБОУ ВО «НИУ «МЭИ» г. Москва (1 чел.) и в филиал ФГБОУ ВО «НИУ «МЭИ» в г. Волжский (3 чел.).</w:t>
      </w:r>
    </w:p>
    <w:p w14:paraId="3C42830A" w14:textId="77777777" w:rsidR="002449C2" w:rsidRDefault="00123961">
      <w:pPr>
        <w:spacing w:after="0" w:line="240" w:lineRule="auto"/>
        <w:ind w:firstLine="708"/>
        <w:contextualSpacing/>
        <w:jc w:val="both"/>
        <w:rPr>
          <w:rFonts w:ascii="Times New Roman" w:hAnsi="Times New Roman"/>
          <w:sz w:val="26"/>
          <w:szCs w:val="26"/>
        </w:rPr>
      </w:pPr>
      <w:r>
        <w:rPr>
          <w:rFonts w:ascii="Times New Roman" w:hAnsi="Times New Roman"/>
          <w:sz w:val="26"/>
          <w:szCs w:val="26"/>
        </w:rPr>
        <w:t>3. Работа студенческих отрядов на объектах компании. В отчетном году в период летнего трудового сезона на объектах ПАО «Россети Юг» трудилось 119 студентов профильных специальностей из 9 вузов-партнеров. Во время летнего трудового сезона бойцы прошли обучение по теме: «</w:t>
      </w:r>
      <w:r>
        <w:rPr>
          <w:rFonts w:ascii="Times New Roman" w:hAnsi="Times New Roman"/>
          <w:sz w:val="26"/>
          <w:szCs w:val="26"/>
          <w:lang w:eastAsia="ar-SA"/>
        </w:rPr>
        <w:t>Электромонтер по эксплуатации электросчетчиков</w:t>
      </w:r>
      <w:r>
        <w:rPr>
          <w:rFonts w:ascii="Times New Roman" w:hAnsi="Times New Roman"/>
          <w:sz w:val="26"/>
          <w:szCs w:val="26"/>
        </w:rPr>
        <w:t>», проверку знаний с присвоением 2-й и 3-й групп по электробезопасности. Для бойцов были организованы командообразующие, обучающие, спортивные мероприятия, хакатон, киберчемпионат, конкурс профессионального мастерства и творческий конкурс. По итогам работы в летнем трудовом сезоне был определен лучший студенческий энергетический отряд ПАО «Россети Юг» - «Вспышка» Южно-Российского государственного политехнического университета (НПИ) имени М.И. Платова, бойцы которого стали участниками мероприятий, посвященных закрытию трудового сезона студенческих отрядов группы компаний «Россети» в г. Москве.</w:t>
      </w:r>
    </w:p>
    <w:p w14:paraId="5EA9E9E0" w14:textId="77777777" w:rsidR="002449C2" w:rsidRDefault="00123961">
      <w:pPr>
        <w:spacing w:after="0" w:line="240" w:lineRule="auto"/>
        <w:ind w:firstLine="709"/>
        <w:jc w:val="both"/>
        <w:rPr>
          <w:rFonts w:ascii="Times New Roman" w:hAnsi="Times New Roman"/>
          <w:sz w:val="26"/>
          <w:szCs w:val="26"/>
        </w:rPr>
      </w:pPr>
      <w:r>
        <w:rPr>
          <w:rFonts w:ascii="Times New Roman" w:hAnsi="Times New Roman"/>
          <w:sz w:val="26"/>
          <w:szCs w:val="26"/>
        </w:rPr>
        <w:t>4. Проект «Молодой рабочий». В рамках проекта в Компанию трудоустраиваются студенты 3-х и 4-х курсов вузов и ссузов, обучающиеся на очной форме обучения по индивидуальному графику. Таким работникам выплачивается поддерживающая стипендия в размере 3 000 рублей в месяц. В 2024 году в Компанию было принято 70 человек.</w:t>
      </w:r>
    </w:p>
    <w:p w14:paraId="377E2F03" w14:textId="77777777" w:rsidR="002449C2" w:rsidRDefault="002449C2">
      <w:pPr>
        <w:spacing w:after="0" w:line="240" w:lineRule="auto"/>
        <w:contextualSpacing/>
        <w:jc w:val="both"/>
        <w:rPr>
          <w:rFonts w:ascii="Times New Roman" w:hAnsi="Times New Roman"/>
          <w:sz w:val="26"/>
          <w:szCs w:val="26"/>
        </w:rPr>
      </w:pPr>
    </w:p>
    <w:p w14:paraId="7EDE4A7F" w14:textId="77777777" w:rsidR="002449C2" w:rsidRDefault="00123961">
      <w:pPr>
        <w:spacing w:after="0" w:line="240" w:lineRule="auto"/>
        <w:ind w:left="709"/>
        <w:jc w:val="both"/>
        <w:rPr>
          <w:rFonts w:ascii="Times New Roman" w:hAnsi="Times New Roman"/>
          <w:b/>
          <w:sz w:val="26"/>
          <w:szCs w:val="26"/>
        </w:rPr>
      </w:pPr>
      <w:r>
        <w:rPr>
          <w:rFonts w:ascii="Times New Roman" w:hAnsi="Times New Roman"/>
          <w:b/>
          <w:sz w:val="26"/>
          <w:szCs w:val="26"/>
        </w:rPr>
        <w:t>Работа с молодыми специалистами</w:t>
      </w:r>
    </w:p>
    <w:p w14:paraId="30DCE41F" w14:textId="77777777" w:rsidR="002449C2" w:rsidRDefault="00123961">
      <w:pPr>
        <w:tabs>
          <w:tab w:val="left" w:pos="142"/>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Привлечение молодежи в компанию, адаптация и развитие молодых специалистов – важное звено молодежной политики компании. Молодые специалисты принимают участие в различных форумах, конференциях и конкурсах. Для вовлечения молодежи в деятельность компании ведется работа с молодежным кадровым резервом, создан Совет молодых специалистов, который включает 100 специалистов компании, реализуются адресные программы развития и социальной поддержки, целевой аудиторией которых является молодежь компании.</w:t>
      </w:r>
    </w:p>
    <w:p w14:paraId="25284803" w14:textId="77777777" w:rsidR="002449C2" w:rsidRDefault="00123961">
      <w:pPr>
        <w:tabs>
          <w:tab w:val="left" w:pos="709"/>
        </w:tabs>
        <w:spacing w:after="0" w:line="240" w:lineRule="auto"/>
        <w:jc w:val="both"/>
        <w:rPr>
          <w:rFonts w:ascii="Times New Roman" w:hAnsi="Times New Roman"/>
          <w:sz w:val="26"/>
          <w:szCs w:val="26"/>
        </w:rPr>
      </w:pPr>
      <w:r>
        <w:rPr>
          <w:rFonts w:ascii="Times New Roman" w:hAnsi="Times New Roman"/>
          <w:sz w:val="26"/>
          <w:szCs w:val="26"/>
        </w:rPr>
        <w:tab/>
        <w:t xml:space="preserve">Специалисты ПАО «Россети Юг» выступают в роли экспертов в мероприятиях для студентов и школьников, в числе которых отборочный этап Международного инженерного чемпионата по решению инженерных кейсов среди учащихся вузов и региональный этап Всероссийского конкурса научно-технологических проектов «Большие вызовы». </w:t>
      </w:r>
    </w:p>
    <w:p w14:paraId="155F7143" w14:textId="77777777" w:rsidR="002449C2" w:rsidRDefault="00123961">
      <w:pPr>
        <w:spacing w:after="0" w:line="240" w:lineRule="auto"/>
        <w:jc w:val="both"/>
        <w:rPr>
          <w:rFonts w:ascii="Times New Roman" w:hAnsi="Times New Roman"/>
          <w:sz w:val="26"/>
          <w:szCs w:val="26"/>
        </w:rPr>
      </w:pPr>
      <w:r>
        <w:rPr>
          <w:rFonts w:ascii="Times New Roman" w:hAnsi="Times New Roman"/>
          <w:sz w:val="26"/>
          <w:szCs w:val="26"/>
        </w:rPr>
        <w:tab/>
        <w:t>Молодые специалисты ПАО «Россети Юг» стали участниками межрегионального форума Работающей молодежи Юга, организованный межрегиональной общественной организацией «Работающая молодежь Юга» и Комитетом по молодежной политике Ростовской области. Участие в форуме позволило молодым специалистам обменяться передовым опытом и наладить сотрудничество между представителями различных отраслей – промышленности, энергетики, сельского хозяйства, транспорта, связи, строительства, финансов, образования и искусства.</w:t>
      </w:r>
    </w:p>
    <w:p w14:paraId="0988C679" w14:textId="77777777" w:rsidR="002449C2" w:rsidRDefault="00123961">
      <w:pPr>
        <w:spacing w:after="0" w:line="240" w:lineRule="auto"/>
        <w:ind w:firstLine="708"/>
        <w:jc w:val="both"/>
        <w:rPr>
          <w:rFonts w:ascii="Times New Roman" w:hAnsi="Times New Roman"/>
          <w:sz w:val="26"/>
          <w:szCs w:val="26"/>
        </w:rPr>
      </w:pPr>
      <w:r>
        <w:rPr>
          <w:rFonts w:ascii="Times New Roman" w:hAnsi="Times New Roman"/>
          <w:sz w:val="26"/>
          <w:szCs w:val="26"/>
        </w:rPr>
        <w:t>Молодые специалисты исполнительного аппарата и филиала ПАО «Россети Юг» - «Астраханьэнерго» приняли участие в Дне молодежи. В рамках фестиваля работники ПАО «Россети Юг», совместно с представителями МЭС Юга, в рамках маршрута «Вместе с карьерой», рассказали школьникам, студентам и молодым специалистам о группе компаний «Россети» – потенциальном работодателе, о вакансиях Компаний, о проектах и конкурсах, реализуемых в группе компаний «Россети». Молодые специалисты провели для школьников и студентов энергоквиз и мастер-классы по оказанию первой медицинской помощи при поражении электрическим током. Победителям энергоквиза были вручены подарки от компаний, участникам мастер-классов – сувениры.</w:t>
      </w:r>
    </w:p>
    <w:p w14:paraId="5F32CD19" w14:textId="77777777" w:rsidR="002449C2" w:rsidRDefault="00123961">
      <w:pPr>
        <w:spacing w:after="0" w:line="240" w:lineRule="auto"/>
        <w:jc w:val="both"/>
        <w:rPr>
          <w:rFonts w:ascii="Times New Roman" w:hAnsi="Times New Roman"/>
          <w:sz w:val="26"/>
          <w:szCs w:val="26"/>
        </w:rPr>
      </w:pPr>
      <w:r>
        <w:rPr>
          <w:rFonts w:ascii="Times New Roman" w:hAnsi="Times New Roman"/>
          <w:sz w:val="26"/>
          <w:szCs w:val="26"/>
        </w:rPr>
        <w:tab/>
        <w:t>Молодые специалисты ПАО «Россети Юг» стали участниками городского форума Работающей молодежи Юга «Город профессионалов». В рамках форума приняли участие в панельных сессиях на темы: «Роль государственных структур и механизмы регулирования поддержки работающей молодежи» и «Кадровый потенциал: эффективные стратегии взаимодействия с работающей молодежью в компаниях» и лекции на тему: «Ступени развития мышления».</w:t>
      </w:r>
    </w:p>
    <w:p w14:paraId="3AF31A50" w14:textId="77777777" w:rsidR="002449C2" w:rsidRDefault="00123961">
      <w:pPr>
        <w:spacing w:after="0" w:line="240" w:lineRule="auto"/>
        <w:ind w:firstLine="708"/>
        <w:jc w:val="both"/>
        <w:rPr>
          <w:rFonts w:ascii="Times New Roman" w:hAnsi="Times New Roman"/>
          <w:sz w:val="26"/>
          <w:szCs w:val="26"/>
        </w:rPr>
      </w:pPr>
      <w:r>
        <w:rPr>
          <w:rFonts w:ascii="Times New Roman" w:hAnsi="Times New Roman"/>
          <w:sz w:val="26"/>
          <w:szCs w:val="26"/>
        </w:rPr>
        <w:t xml:space="preserve">Молодые специалисты филиала ПАО «Россети Юг» – «Волгоградэнерго» стали участниками Всероссийского фестиваля энергосбережения и экологии #ВместеЯрче – 2024. В программу фестиваля по теме энергосбережения вошли мероприятия: энергетические игры с детьми (энергоребусы, загадки по энергобезопасности), тематические настольные интеллектуальные игры, викторины и конкурсы по энергосбережению, обучение по оказанию доврачебной медицинской помощи. Участие специалистов было отмечено благодарностью Комитета промышленной политики, торговли и топливно-энергетического комплекса Волгоградской области </w:t>
      </w:r>
      <w:proofErr w:type="gramStart"/>
      <w:r>
        <w:rPr>
          <w:rFonts w:ascii="Times New Roman" w:hAnsi="Times New Roman"/>
          <w:sz w:val="26"/>
          <w:szCs w:val="26"/>
        </w:rPr>
        <w:t>и  ГБУ</w:t>
      </w:r>
      <w:proofErr w:type="gramEnd"/>
      <w:r>
        <w:rPr>
          <w:rFonts w:ascii="Times New Roman" w:hAnsi="Times New Roman"/>
          <w:sz w:val="26"/>
          <w:szCs w:val="26"/>
        </w:rPr>
        <w:t xml:space="preserve"> ВО «Волгоградский центр энергоэффективности» за вклад в организацию и проведение мероприятий фестиваля.</w:t>
      </w:r>
    </w:p>
    <w:p w14:paraId="1B454DED" w14:textId="77777777" w:rsidR="002449C2" w:rsidRDefault="00123961">
      <w:pPr>
        <w:spacing w:after="0" w:line="240" w:lineRule="auto"/>
        <w:ind w:firstLine="708"/>
        <w:jc w:val="both"/>
        <w:rPr>
          <w:rFonts w:ascii="Times New Roman" w:hAnsi="Times New Roman"/>
          <w:sz w:val="26"/>
          <w:szCs w:val="26"/>
        </w:rPr>
      </w:pPr>
      <w:r>
        <w:rPr>
          <w:rFonts w:ascii="Times New Roman" w:hAnsi="Times New Roman"/>
          <w:sz w:val="26"/>
          <w:szCs w:val="26"/>
        </w:rPr>
        <w:t>Молодые специалисты филиала Волгоградэнерго совместно с ссузом-партнером «Волгоградским энергетическим колледжем» в рамках церемонии открытия масштабного молодёжного фестиваля #ТриЧетыре организовали профориентационную площадку для участников фестиваля – выпускников школ региона, студентов и работающей молодежи.</w:t>
      </w:r>
    </w:p>
    <w:p w14:paraId="38B22203" w14:textId="77777777" w:rsidR="002449C2" w:rsidRDefault="00123961">
      <w:pPr>
        <w:shd w:val="clear" w:color="auto" w:fill="FFFFFF"/>
        <w:spacing w:after="0" w:line="240" w:lineRule="auto"/>
        <w:ind w:firstLine="567"/>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Показатели в части управления персоналом</w:t>
      </w:r>
    </w:p>
    <w:p w14:paraId="24CF9998" w14:textId="77777777" w:rsidR="002449C2" w:rsidRDefault="002449C2">
      <w:pPr>
        <w:shd w:val="clear" w:color="auto" w:fill="FFFFFF"/>
        <w:spacing w:after="0" w:line="240" w:lineRule="auto"/>
        <w:ind w:firstLine="567"/>
        <w:jc w:val="center"/>
        <w:rPr>
          <w:rFonts w:ascii="Times New Roman" w:eastAsia="Times New Roman" w:hAnsi="Times New Roman"/>
          <w:b/>
          <w:sz w:val="24"/>
          <w:szCs w:val="24"/>
          <w:lang w:eastAsia="ru-RU"/>
        </w:rPr>
      </w:pP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8"/>
        <w:gridCol w:w="947"/>
        <w:gridCol w:w="1065"/>
        <w:gridCol w:w="6"/>
        <w:gridCol w:w="936"/>
        <w:gridCol w:w="9"/>
        <w:gridCol w:w="939"/>
        <w:gridCol w:w="1656"/>
      </w:tblGrid>
      <w:tr w:rsidR="002449C2" w14:paraId="42EF9952" w14:textId="77777777" w:rsidTr="00EF1771">
        <w:trPr>
          <w:cantSplit/>
          <w:trHeight w:val="709"/>
          <w:jc w:val="center"/>
        </w:trPr>
        <w:tc>
          <w:tcPr>
            <w:tcW w:w="4098" w:type="dxa"/>
            <w:vMerge w:val="restart"/>
            <w:shd w:val="clear" w:color="auto" w:fill="auto"/>
            <w:vAlign w:val="center"/>
          </w:tcPr>
          <w:p w14:paraId="4B442127" w14:textId="77777777" w:rsidR="002449C2" w:rsidRDefault="00123961">
            <w:pPr>
              <w:widowControl w:val="0"/>
              <w:spacing w:after="5" w:line="252" w:lineRule="auto"/>
              <w:ind w:left="-113" w:right="-114"/>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Показатели</w:t>
            </w:r>
          </w:p>
        </w:tc>
        <w:tc>
          <w:tcPr>
            <w:tcW w:w="947" w:type="dxa"/>
            <w:vMerge w:val="restart"/>
            <w:shd w:val="clear" w:color="auto" w:fill="auto"/>
            <w:vAlign w:val="center"/>
          </w:tcPr>
          <w:p w14:paraId="0FB8B335" w14:textId="77777777" w:rsidR="002449C2" w:rsidRDefault="00123961">
            <w:pPr>
              <w:widowControl w:val="0"/>
              <w:tabs>
                <w:tab w:val="left" w:pos="40"/>
              </w:tabs>
              <w:spacing w:after="5" w:line="252" w:lineRule="auto"/>
              <w:ind w:left="-111" w:right="-112"/>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Ед. изм.</w:t>
            </w:r>
          </w:p>
        </w:tc>
        <w:tc>
          <w:tcPr>
            <w:tcW w:w="4611" w:type="dxa"/>
            <w:gridSpan w:val="6"/>
            <w:shd w:val="clear" w:color="auto" w:fill="auto"/>
            <w:vAlign w:val="center"/>
          </w:tcPr>
          <w:p w14:paraId="3BBFAA28" w14:textId="77777777" w:rsidR="002449C2" w:rsidRDefault="00123961">
            <w:pPr>
              <w:widowControl w:val="0"/>
              <w:spacing w:after="5" w:line="252"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Период</w:t>
            </w:r>
          </w:p>
        </w:tc>
      </w:tr>
      <w:tr w:rsidR="00E50F6F" w14:paraId="1A1A26D5" w14:textId="77777777" w:rsidTr="00E50F6F">
        <w:trPr>
          <w:cantSplit/>
          <w:jc w:val="center"/>
        </w:trPr>
        <w:tc>
          <w:tcPr>
            <w:tcW w:w="4098" w:type="dxa"/>
            <w:vMerge/>
            <w:shd w:val="clear" w:color="auto" w:fill="auto"/>
          </w:tcPr>
          <w:p w14:paraId="7CD9C1FE" w14:textId="77777777" w:rsidR="00E50F6F" w:rsidRDefault="00E50F6F">
            <w:pPr>
              <w:widowControl w:val="0"/>
              <w:spacing w:after="5" w:line="252" w:lineRule="auto"/>
              <w:ind w:left="426" w:right="-143" w:hanging="426"/>
              <w:jc w:val="center"/>
              <w:rPr>
                <w:rFonts w:ascii="Times New Roman" w:eastAsia="Times New Roman" w:hAnsi="Times New Roman"/>
                <w:b/>
                <w:bCs/>
                <w:color w:val="000000"/>
                <w:sz w:val="20"/>
                <w:szCs w:val="20"/>
                <w:lang w:eastAsia="ru-RU"/>
              </w:rPr>
            </w:pPr>
          </w:p>
        </w:tc>
        <w:tc>
          <w:tcPr>
            <w:tcW w:w="947" w:type="dxa"/>
            <w:vMerge/>
            <w:shd w:val="clear" w:color="auto" w:fill="auto"/>
          </w:tcPr>
          <w:p w14:paraId="48F419FF" w14:textId="77777777" w:rsidR="00E50F6F" w:rsidRDefault="00E50F6F">
            <w:pPr>
              <w:widowControl w:val="0"/>
              <w:tabs>
                <w:tab w:val="left" w:pos="40"/>
              </w:tabs>
              <w:spacing w:after="5" w:line="252" w:lineRule="auto"/>
              <w:ind w:left="426" w:right="-143" w:hanging="426"/>
              <w:jc w:val="both"/>
              <w:rPr>
                <w:rFonts w:ascii="Times New Roman" w:eastAsia="Times New Roman" w:hAnsi="Times New Roman"/>
                <w:b/>
                <w:bCs/>
                <w:color w:val="000000"/>
                <w:sz w:val="20"/>
                <w:szCs w:val="20"/>
                <w:lang w:eastAsia="ru-RU"/>
              </w:rPr>
            </w:pPr>
          </w:p>
        </w:tc>
        <w:tc>
          <w:tcPr>
            <w:tcW w:w="1071" w:type="dxa"/>
            <w:gridSpan w:val="2"/>
            <w:shd w:val="clear" w:color="auto" w:fill="auto"/>
          </w:tcPr>
          <w:p w14:paraId="579614B1" w14:textId="77777777" w:rsidR="00E50F6F" w:rsidRDefault="00E50F6F">
            <w:pPr>
              <w:widowControl w:val="0"/>
              <w:spacing w:after="5" w:line="252" w:lineRule="auto"/>
              <w:ind w:left="-96" w:right="-122"/>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2022 год</w:t>
            </w:r>
          </w:p>
          <w:p w14:paraId="33A4A7F6" w14:textId="77777777" w:rsidR="00E50F6F" w:rsidRDefault="00E50F6F">
            <w:pPr>
              <w:widowControl w:val="0"/>
              <w:spacing w:after="5" w:line="252" w:lineRule="auto"/>
              <w:ind w:left="-96" w:right="-122"/>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факт</w:t>
            </w:r>
          </w:p>
        </w:tc>
        <w:tc>
          <w:tcPr>
            <w:tcW w:w="936" w:type="dxa"/>
            <w:shd w:val="clear" w:color="auto" w:fill="auto"/>
          </w:tcPr>
          <w:p w14:paraId="4ECC6427" w14:textId="77777777" w:rsidR="00E50F6F" w:rsidRDefault="00E50F6F">
            <w:pPr>
              <w:widowControl w:val="0"/>
              <w:spacing w:after="5" w:line="252" w:lineRule="auto"/>
              <w:ind w:left="-113" w:right="-138"/>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2023 год</w:t>
            </w:r>
          </w:p>
          <w:p w14:paraId="122B1991" w14:textId="77777777" w:rsidR="00E50F6F" w:rsidRDefault="00E50F6F">
            <w:pPr>
              <w:widowControl w:val="0"/>
              <w:spacing w:after="5" w:line="252" w:lineRule="auto"/>
              <w:ind w:left="-113" w:right="-138"/>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факт</w:t>
            </w:r>
          </w:p>
        </w:tc>
        <w:tc>
          <w:tcPr>
            <w:tcW w:w="948" w:type="dxa"/>
            <w:gridSpan w:val="2"/>
            <w:shd w:val="clear" w:color="auto" w:fill="auto"/>
          </w:tcPr>
          <w:p w14:paraId="1A808AA6" w14:textId="77777777" w:rsidR="00E50F6F" w:rsidRDefault="00E50F6F">
            <w:pPr>
              <w:widowControl w:val="0"/>
              <w:spacing w:after="5" w:line="252" w:lineRule="auto"/>
              <w:ind w:left="-100" w:right="-143"/>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2024 год</w:t>
            </w:r>
          </w:p>
          <w:p w14:paraId="5053B3E8" w14:textId="77777777" w:rsidR="00E50F6F" w:rsidRDefault="00E50F6F">
            <w:pPr>
              <w:widowControl w:val="0"/>
              <w:spacing w:after="5" w:line="252" w:lineRule="auto"/>
              <w:ind w:left="-100" w:right="-143"/>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факт</w:t>
            </w:r>
          </w:p>
        </w:tc>
        <w:tc>
          <w:tcPr>
            <w:tcW w:w="1656" w:type="dxa"/>
            <w:shd w:val="clear" w:color="auto" w:fill="auto"/>
          </w:tcPr>
          <w:p w14:paraId="2F383370" w14:textId="5B9D1309" w:rsidR="00E50F6F" w:rsidRDefault="00E50F6F">
            <w:r>
              <w:rPr>
                <w:rFonts w:ascii="Times New Roman" w:eastAsia="Times New Roman" w:hAnsi="Times New Roman"/>
                <w:b/>
                <w:bCs/>
                <w:color w:val="000000"/>
                <w:sz w:val="16"/>
                <w:szCs w:val="16"/>
                <w:lang w:eastAsia="ru-RU"/>
              </w:rPr>
              <w:t>изменение 2024/2023, %</w:t>
            </w:r>
          </w:p>
        </w:tc>
      </w:tr>
      <w:tr w:rsidR="00E50F6F" w14:paraId="3F529691" w14:textId="77777777" w:rsidTr="00E50F6F">
        <w:trPr>
          <w:cantSplit/>
          <w:jc w:val="center"/>
        </w:trPr>
        <w:tc>
          <w:tcPr>
            <w:tcW w:w="4098" w:type="dxa"/>
            <w:shd w:val="clear" w:color="auto" w:fill="auto"/>
          </w:tcPr>
          <w:p w14:paraId="7850765E" w14:textId="77777777" w:rsidR="00E50F6F" w:rsidRDefault="00E50F6F">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w:t>
            </w:r>
          </w:p>
        </w:tc>
        <w:tc>
          <w:tcPr>
            <w:tcW w:w="947" w:type="dxa"/>
            <w:shd w:val="clear" w:color="auto" w:fill="auto"/>
          </w:tcPr>
          <w:p w14:paraId="41D9EECE" w14:textId="77777777" w:rsidR="00E50F6F" w:rsidRDefault="00E50F6F">
            <w:pPr>
              <w:widowControl w:val="0"/>
              <w:tabs>
                <w:tab w:val="left" w:pos="40"/>
              </w:tabs>
              <w:spacing w:after="5" w:line="252" w:lineRule="auto"/>
              <w:ind w:left="-112" w:right="-143"/>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2</w:t>
            </w:r>
          </w:p>
        </w:tc>
        <w:tc>
          <w:tcPr>
            <w:tcW w:w="1071" w:type="dxa"/>
            <w:gridSpan w:val="2"/>
            <w:shd w:val="clear" w:color="auto" w:fill="auto"/>
          </w:tcPr>
          <w:p w14:paraId="60AB3C03" w14:textId="77777777" w:rsidR="00E50F6F" w:rsidRDefault="00E50F6F">
            <w:pPr>
              <w:widowControl w:val="0"/>
              <w:spacing w:after="5" w:line="252" w:lineRule="auto"/>
              <w:ind w:left="-110" w:right="-143"/>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3</w:t>
            </w:r>
          </w:p>
        </w:tc>
        <w:tc>
          <w:tcPr>
            <w:tcW w:w="936" w:type="dxa"/>
            <w:shd w:val="clear" w:color="auto" w:fill="auto"/>
          </w:tcPr>
          <w:p w14:paraId="242A1D80" w14:textId="77777777" w:rsidR="00E50F6F" w:rsidRDefault="00E50F6F">
            <w:pPr>
              <w:widowControl w:val="0"/>
              <w:spacing w:after="5" w:line="252" w:lineRule="auto"/>
              <w:ind w:left="-107" w:right="-143"/>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4</w:t>
            </w:r>
          </w:p>
        </w:tc>
        <w:tc>
          <w:tcPr>
            <w:tcW w:w="948" w:type="dxa"/>
            <w:gridSpan w:val="2"/>
            <w:shd w:val="clear" w:color="auto" w:fill="auto"/>
          </w:tcPr>
          <w:p w14:paraId="7EBA8C3E" w14:textId="77777777" w:rsidR="00E50F6F" w:rsidRDefault="00E50F6F">
            <w:pPr>
              <w:widowControl w:val="0"/>
              <w:spacing w:after="5" w:line="252" w:lineRule="auto"/>
              <w:ind w:left="-108" w:right="-143"/>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5</w:t>
            </w:r>
          </w:p>
        </w:tc>
        <w:tc>
          <w:tcPr>
            <w:tcW w:w="1656" w:type="dxa"/>
            <w:shd w:val="clear" w:color="auto" w:fill="auto"/>
          </w:tcPr>
          <w:p w14:paraId="0FD37C42" w14:textId="01CAB8B0" w:rsidR="00E50F6F" w:rsidRDefault="00E50F6F">
            <w:r>
              <w:rPr>
                <w:rFonts w:ascii="Times New Roman" w:eastAsia="Times New Roman" w:hAnsi="Times New Roman"/>
                <w:bCs/>
                <w:color w:val="000000"/>
                <w:sz w:val="20"/>
                <w:szCs w:val="20"/>
                <w:lang w:eastAsia="ru-RU"/>
              </w:rPr>
              <w:t>6</w:t>
            </w:r>
          </w:p>
        </w:tc>
      </w:tr>
      <w:tr w:rsidR="00E50F6F" w14:paraId="03D3A2A0" w14:textId="77777777" w:rsidTr="00E50F6F">
        <w:trPr>
          <w:cantSplit/>
          <w:trHeight w:val="246"/>
          <w:jc w:val="center"/>
        </w:trPr>
        <w:tc>
          <w:tcPr>
            <w:tcW w:w="4098" w:type="dxa"/>
            <w:shd w:val="clear" w:color="auto" w:fill="auto"/>
          </w:tcPr>
          <w:p w14:paraId="5E67010E" w14:textId="77777777" w:rsidR="00E50F6F" w:rsidRDefault="00E50F6F">
            <w:pPr>
              <w:widowControl w:val="0"/>
              <w:spacing w:after="5" w:line="252" w:lineRule="auto"/>
              <w:jc w:val="both"/>
              <w:rPr>
                <w:rFonts w:ascii="Times New Roman" w:eastAsia="Times New Roman" w:hAnsi="Times New Roman"/>
                <w:b/>
                <w:color w:val="000000"/>
                <w:sz w:val="20"/>
                <w:szCs w:val="20"/>
                <w:lang w:eastAsia="ru-RU"/>
              </w:rPr>
            </w:pPr>
            <w:r>
              <w:rPr>
                <w:rFonts w:ascii="Times New Roman" w:eastAsia="Times New Roman" w:hAnsi="Times New Roman"/>
                <w:color w:val="000000"/>
                <w:sz w:val="20"/>
                <w:szCs w:val="20"/>
                <w:lang w:eastAsia="ru-RU"/>
              </w:rPr>
              <w:t>Среднесписочная численность персонала</w:t>
            </w:r>
          </w:p>
        </w:tc>
        <w:tc>
          <w:tcPr>
            <w:tcW w:w="947" w:type="dxa"/>
            <w:shd w:val="clear" w:color="auto" w:fill="auto"/>
          </w:tcPr>
          <w:p w14:paraId="30A061C2" w14:textId="77777777" w:rsidR="00E50F6F" w:rsidRDefault="00E50F6F">
            <w:pPr>
              <w:tabs>
                <w:tab w:val="left" w:pos="9356"/>
              </w:tabs>
              <w:spacing w:after="0" w:line="240"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чел.</w:t>
            </w:r>
          </w:p>
        </w:tc>
        <w:tc>
          <w:tcPr>
            <w:tcW w:w="1071" w:type="dxa"/>
            <w:gridSpan w:val="2"/>
            <w:shd w:val="clear" w:color="auto" w:fill="auto"/>
          </w:tcPr>
          <w:p w14:paraId="13D329FE" w14:textId="77777777" w:rsidR="00E50F6F" w:rsidRDefault="00E50F6F">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13 669</w:t>
            </w:r>
          </w:p>
        </w:tc>
        <w:tc>
          <w:tcPr>
            <w:tcW w:w="936" w:type="dxa"/>
            <w:shd w:val="clear" w:color="auto" w:fill="auto"/>
          </w:tcPr>
          <w:p w14:paraId="26FEB8EF" w14:textId="77777777" w:rsidR="00E50F6F" w:rsidRDefault="00E50F6F">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13 567</w:t>
            </w:r>
          </w:p>
        </w:tc>
        <w:tc>
          <w:tcPr>
            <w:tcW w:w="948" w:type="dxa"/>
            <w:gridSpan w:val="2"/>
            <w:shd w:val="clear" w:color="auto" w:fill="auto"/>
          </w:tcPr>
          <w:p w14:paraId="1509837E" w14:textId="77777777" w:rsidR="00E50F6F" w:rsidRDefault="00E50F6F">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12 956</w:t>
            </w:r>
          </w:p>
        </w:tc>
        <w:tc>
          <w:tcPr>
            <w:tcW w:w="1656" w:type="dxa"/>
            <w:shd w:val="clear" w:color="auto" w:fill="auto"/>
          </w:tcPr>
          <w:p w14:paraId="7BD70B26" w14:textId="3021323F" w:rsidR="00E50F6F" w:rsidRDefault="00E50F6F">
            <w:r>
              <w:rPr>
                <w:rFonts w:ascii="Times New Roman" w:eastAsia="Times New Roman" w:hAnsi="Times New Roman"/>
                <w:bCs/>
                <w:color w:val="000000"/>
                <w:sz w:val="20"/>
                <w:szCs w:val="20"/>
                <w:lang w:eastAsia="ru-RU"/>
              </w:rPr>
              <w:t>-4,5</w:t>
            </w:r>
          </w:p>
        </w:tc>
      </w:tr>
      <w:tr w:rsidR="00E50F6F" w14:paraId="3FAE7D2C" w14:textId="77777777" w:rsidTr="00E50F6F">
        <w:trPr>
          <w:cantSplit/>
          <w:jc w:val="center"/>
        </w:trPr>
        <w:tc>
          <w:tcPr>
            <w:tcW w:w="4098" w:type="dxa"/>
            <w:shd w:val="clear" w:color="auto" w:fill="auto"/>
          </w:tcPr>
          <w:p w14:paraId="6912844D" w14:textId="77777777" w:rsidR="00E50F6F" w:rsidRDefault="00E50F6F" w:rsidP="002F440D">
            <w:pPr>
              <w:widowControl w:val="0"/>
              <w:spacing w:after="5" w:line="252"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Распределение среднесписочной численности персонала по филиалам за отчетный год</w:t>
            </w:r>
            <w:r>
              <w:rPr>
                <w:rStyle w:val="af"/>
                <w:rFonts w:ascii="Times New Roman" w:eastAsia="Times New Roman" w:hAnsi="Times New Roman"/>
                <w:color w:val="000000"/>
                <w:sz w:val="20"/>
                <w:szCs w:val="20"/>
                <w:lang w:eastAsia="ru-RU"/>
              </w:rPr>
              <w:footnoteReference w:id="12"/>
            </w:r>
          </w:p>
        </w:tc>
        <w:tc>
          <w:tcPr>
            <w:tcW w:w="947" w:type="dxa"/>
            <w:shd w:val="clear" w:color="auto" w:fill="auto"/>
          </w:tcPr>
          <w:p w14:paraId="066A7650" w14:textId="77777777" w:rsidR="00E50F6F" w:rsidRDefault="00E50F6F">
            <w:pPr>
              <w:tabs>
                <w:tab w:val="left" w:pos="9356"/>
              </w:tabs>
              <w:spacing w:after="0" w:line="240"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w:t>
            </w:r>
          </w:p>
        </w:tc>
        <w:tc>
          <w:tcPr>
            <w:tcW w:w="1071" w:type="dxa"/>
            <w:gridSpan w:val="2"/>
            <w:shd w:val="clear" w:color="auto" w:fill="auto"/>
          </w:tcPr>
          <w:p w14:paraId="3D498399" w14:textId="77777777" w:rsidR="00E50F6F" w:rsidRDefault="00E50F6F">
            <w:pPr>
              <w:widowControl w:val="0"/>
              <w:spacing w:after="5" w:line="252" w:lineRule="auto"/>
              <w:ind w:left="-102" w:right="-109" w:firstLine="2"/>
              <w:jc w:val="center"/>
              <w:rPr>
                <w:rFonts w:ascii="Times New Roman" w:eastAsia="Times New Roman" w:hAnsi="Times New Roman"/>
                <w:bCs/>
                <w:color w:val="000000"/>
                <w:sz w:val="20"/>
                <w:szCs w:val="20"/>
                <w:lang w:eastAsia="ru-RU"/>
              </w:rPr>
            </w:pPr>
            <w:r>
              <w:rPr>
                <w:rFonts w:ascii="Times New Roman" w:eastAsia="Times New Roman" w:hAnsi="Times New Roman"/>
                <w:color w:val="000000"/>
                <w:sz w:val="20"/>
                <w:szCs w:val="20"/>
                <w:lang w:eastAsia="ru-RU"/>
              </w:rPr>
              <w:t>Х</w:t>
            </w:r>
          </w:p>
        </w:tc>
        <w:tc>
          <w:tcPr>
            <w:tcW w:w="936" w:type="dxa"/>
            <w:shd w:val="clear" w:color="auto" w:fill="auto"/>
          </w:tcPr>
          <w:p w14:paraId="484A68B0" w14:textId="77777777" w:rsidR="00E50F6F" w:rsidRDefault="00E50F6F">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color w:val="000000"/>
                <w:sz w:val="20"/>
                <w:szCs w:val="20"/>
                <w:lang w:eastAsia="ru-RU"/>
              </w:rPr>
              <w:t>Х</w:t>
            </w:r>
          </w:p>
        </w:tc>
        <w:tc>
          <w:tcPr>
            <w:tcW w:w="948" w:type="dxa"/>
            <w:gridSpan w:val="2"/>
            <w:shd w:val="clear" w:color="auto" w:fill="auto"/>
          </w:tcPr>
          <w:p w14:paraId="699EF530" w14:textId="77777777" w:rsidR="00E50F6F" w:rsidRDefault="00E50F6F">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Х</w:t>
            </w:r>
          </w:p>
        </w:tc>
        <w:tc>
          <w:tcPr>
            <w:tcW w:w="1656" w:type="dxa"/>
            <w:shd w:val="clear" w:color="auto" w:fill="auto"/>
          </w:tcPr>
          <w:p w14:paraId="409C1A6C" w14:textId="524A64F1" w:rsidR="00E50F6F" w:rsidRDefault="00E50F6F">
            <w:r>
              <w:rPr>
                <w:rFonts w:ascii="Times New Roman" w:eastAsia="Times New Roman" w:hAnsi="Times New Roman"/>
                <w:bCs/>
                <w:color w:val="000000"/>
                <w:sz w:val="20"/>
                <w:szCs w:val="20"/>
                <w:lang w:eastAsia="ru-RU"/>
              </w:rPr>
              <w:t>Х</w:t>
            </w:r>
          </w:p>
        </w:tc>
      </w:tr>
      <w:tr w:rsidR="00E50F6F" w14:paraId="642B6B72" w14:textId="77777777" w:rsidTr="00E50F6F">
        <w:trPr>
          <w:cantSplit/>
          <w:trHeight w:val="248"/>
          <w:jc w:val="center"/>
        </w:trPr>
        <w:tc>
          <w:tcPr>
            <w:tcW w:w="4098" w:type="dxa"/>
            <w:shd w:val="clear" w:color="auto" w:fill="auto"/>
          </w:tcPr>
          <w:p w14:paraId="2404E457" w14:textId="77777777" w:rsidR="00E50F6F" w:rsidRDefault="00E50F6F">
            <w:pPr>
              <w:widowControl w:val="0"/>
              <w:spacing w:after="5" w:line="252" w:lineRule="auto"/>
              <w:jc w:val="both"/>
              <w:rPr>
                <w:rFonts w:ascii="Times New Roman" w:eastAsia="Times New Roman" w:hAnsi="Times New Roman"/>
                <w:b/>
                <w:color w:val="000000"/>
                <w:sz w:val="20"/>
                <w:szCs w:val="20"/>
                <w:lang w:eastAsia="ru-RU"/>
              </w:rPr>
            </w:pPr>
            <w:r>
              <w:rPr>
                <w:rFonts w:ascii="Times New Roman" w:eastAsia="Times New Roman" w:hAnsi="Times New Roman"/>
                <w:color w:val="000000"/>
                <w:sz w:val="20"/>
                <w:szCs w:val="20"/>
                <w:lang w:eastAsia="ru-RU"/>
              </w:rPr>
              <w:t>Уровень обеспеченности персоналом</w:t>
            </w:r>
          </w:p>
        </w:tc>
        <w:tc>
          <w:tcPr>
            <w:tcW w:w="947" w:type="dxa"/>
            <w:shd w:val="clear" w:color="auto" w:fill="auto"/>
          </w:tcPr>
          <w:p w14:paraId="6AB8B1E6" w14:textId="77777777" w:rsidR="00E50F6F" w:rsidRDefault="00E50F6F">
            <w:pPr>
              <w:tabs>
                <w:tab w:val="left" w:pos="9356"/>
              </w:tabs>
              <w:spacing w:after="0" w:line="240"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w:t>
            </w:r>
          </w:p>
        </w:tc>
        <w:tc>
          <w:tcPr>
            <w:tcW w:w="1071" w:type="dxa"/>
            <w:gridSpan w:val="2"/>
            <w:shd w:val="clear" w:color="auto" w:fill="auto"/>
          </w:tcPr>
          <w:p w14:paraId="4A8DABA8" w14:textId="77777777" w:rsidR="00E50F6F" w:rsidRDefault="00E50F6F">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95,7</w:t>
            </w:r>
          </w:p>
        </w:tc>
        <w:tc>
          <w:tcPr>
            <w:tcW w:w="936" w:type="dxa"/>
            <w:shd w:val="clear" w:color="auto" w:fill="auto"/>
          </w:tcPr>
          <w:p w14:paraId="37FF2379" w14:textId="77777777" w:rsidR="00E50F6F" w:rsidRDefault="00E50F6F">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93,4</w:t>
            </w:r>
          </w:p>
        </w:tc>
        <w:tc>
          <w:tcPr>
            <w:tcW w:w="948" w:type="dxa"/>
            <w:gridSpan w:val="2"/>
            <w:shd w:val="clear" w:color="auto" w:fill="auto"/>
          </w:tcPr>
          <w:p w14:paraId="5200B1D2" w14:textId="77777777" w:rsidR="00E50F6F" w:rsidRDefault="00E50F6F">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88,0</w:t>
            </w:r>
          </w:p>
        </w:tc>
        <w:tc>
          <w:tcPr>
            <w:tcW w:w="1656" w:type="dxa"/>
            <w:shd w:val="clear" w:color="auto" w:fill="auto"/>
          </w:tcPr>
          <w:p w14:paraId="3F2406F3" w14:textId="667150D5" w:rsidR="00E50F6F" w:rsidRDefault="00E50F6F">
            <w:r>
              <w:rPr>
                <w:rFonts w:ascii="Times New Roman" w:eastAsia="Times New Roman" w:hAnsi="Times New Roman"/>
                <w:color w:val="000000"/>
                <w:sz w:val="20"/>
                <w:szCs w:val="20"/>
                <w:lang w:eastAsia="ru-RU"/>
              </w:rPr>
              <w:t>-5,4 пп</w:t>
            </w:r>
          </w:p>
        </w:tc>
      </w:tr>
      <w:tr w:rsidR="00E50F6F" w14:paraId="5FDD09EB" w14:textId="77777777" w:rsidTr="00E50F6F">
        <w:trPr>
          <w:cantSplit/>
          <w:trHeight w:val="247"/>
          <w:jc w:val="center"/>
        </w:trPr>
        <w:tc>
          <w:tcPr>
            <w:tcW w:w="4098" w:type="dxa"/>
            <w:shd w:val="clear" w:color="auto" w:fill="auto"/>
          </w:tcPr>
          <w:p w14:paraId="70C5E614" w14:textId="77777777" w:rsidR="00E50F6F" w:rsidRDefault="00E50F6F">
            <w:pPr>
              <w:widowControl w:val="0"/>
              <w:spacing w:after="5" w:line="252"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Уровень обеспеченности производственным персоналом</w:t>
            </w:r>
          </w:p>
        </w:tc>
        <w:tc>
          <w:tcPr>
            <w:tcW w:w="947" w:type="dxa"/>
            <w:shd w:val="clear" w:color="auto" w:fill="auto"/>
          </w:tcPr>
          <w:p w14:paraId="73187C28" w14:textId="77777777" w:rsidR="00E50F6F" w:rsidRDefault="00E50F6F">
            <w:pPr>
              <w:tabs>
                <w:tab w:val="left" w:pos="9356"/>
              </w:tabs>
              <w:spacing w:after="0" w:line="240"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w:t>
            </w:r>
          </w:p>
        </w:tc>
        <w:tc>
          <w:tcPr>
            <w:tcW w:w="1071" w:type="dxa"/>
            <w:gridSpan w:val="2"/>
            <w:shd w:val="clear" w:color="auto" w:fill="auto"/>
          </w:tcPr>
          <w:p w14:paraId="0D600425" w14:textId="77777777" w:rsidR="00E50F6F" w:rsidRDefault="00E50F6F">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95,7</w:t>
            </w:r>
          </w:p>
        </w:tc>
        <w:tc>
          <w:tcPr>
            <w:tcW w:w="936" w:type="dxa"/>
            <w:shd w:val="clear" w:color="auto" w:fill="auto"/>
          </w:tcPr>
          <w:p w14:paraId="378BAB6D" w14:textId="77777777" w:rsidR="00E50F6F" w:rsidRDefault="00E50F6F">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93,2</w:t>
            </w:r>
          </w:p>
        </w:tc>
        <w:tc>
          <w:tcPr>
            <w:tcW w:w="948" w:type="dxa"/>
            <w:gridSpan w:val="2"/>
            <w:shd w:val="clear" w:color="auto" w:fill="auto"/>
          </w:tcPr>
          <w:p w14:paraId="043C3FFB" w14:textId="77777777" w:rsidR="00E50F6F" w:rsidRDefault="00E50F6F">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87,7</w:t>
            </w:r>
          </w:p>
        </w:tc>
        <w:tc>
          <w:tcPr>
            <w:tcW w:w="1656" w:type="dxa"/>
            <w:shd w:val="clear" w:color="auto" w:fill="auto"/>
          </w:tcPr>
          <w:p w14:paraId="7269CCA7" w14:textId="10EE1474" w:rsidR="00E50F6F" w:rsidRDefault="00E50F6F">
            <w:r>
              <w:rPr>
                <w:rFonts w:ascii="Times New Roman" w:eastAsia="Times New Roman" w:hAnsi="Times New Roman"/>
                <w:color w:val="000000"/>
                <w:sz w:val="20"/>
                <w:szCs w:val="20"/>
                <w:lang w:eastAsia="ru-RU"/>
              </w:rPr>
              <w:t>-5,5 пп</w:t>
            </w:r>
          </w:p>
        </w:tc>
      </w:tr>
      <w:tr w:rsidR="00E50F6F" w14:paraId="26C4A4DE" w14:textId="77777777" w:rsidTr="00E50F6F">
        <w:trPr>
          <w:cantSplit/>
          <w:trHeight w:val="58"/>
          <w:jc w:val="center"/>
        </w:trPr>
        <w:tc>
          <w:tcPr>
            <w:tcW w:w="4098" w:type="dxa"/>
            <w:shd w:val="clear" w:color="auto" w:fill="auto"/>
          </w:tcPr>
          <w:p w14:paraId="3DD261E6" w14:textId="77777777" w:rsidR="00E50F6F" w:rsidRDefault="00E50F6F">
            <w:pPr>
              <w:widowControl w:val="0"/>
              <w:spacing w:after="5" w:line="252"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Уровень активной текучести персонала</w:t>
            </w:r>
          </w:p>
        </w:tc>
        <w:tc>
          <w:tcPr>
            <w:tcW w:w="947" w:type="dxa"/>
            <w:shd w:val="clear" w:color="auto" w:fill="auto"/>
          </w:tcPr>
          <w:p w14:paraId="4B02931D" w14:textId="77777777" w:rsidR="00E50F6F" w:rsidRDefault="00E50F6F">
            <w:pPr>
              <w:tabs>
                <w:tab w:val="left" w:pos="9356"/>
              </w:tabs>
              <w:spacing w:after="0" w:line="240"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w:t>
            </w:r>
          </w:p>
        </w:tc>
        <w:tc>
          <w:tcPr>
            <w:tcW w:w="1071" w:type="dxa"/>
            <w:gridSpan w:val="2"/>
            <w:shd w:val="clear" w:color="auto" w:fill="auto"/>
            <w:vAlign w:val="center"/>
          </w:tcPr>
          <w:p w14:paraId="3CD2A237" w14:textId="77777777" w:rsidR="00E50F6F" w:rsidRDefault="00E50F6F">
            <w:pPr>
              <w:widowControl w:val="0"/>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6,3</w:t>
            </w:r>
          </w:p>
        </w:tc>
        <w:tc>
          <w:tcPr>
            <w:tcW w:w="936" w:type="dxa"/>
            <w:shd w:val="clear" w:color="auto" w:fill="auto"/>
            <w:vAlign w:val="center"/>
          </w:tcPr>
          <w:p w14:paraId="77A5FA49" w14:textId="77777777" w:rsidR="00E50F6F" w:rsidRDefault="00E50F6F">
            <w:pPr>
              <w:widowControl w:val="0"/>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6,4</w:t>
            </w:r>
          </w:p>
        </w:tc>
        <w:tc>
          <w:tcPr>
            <w:tcW w:w="948" w:type="dxa"/>
            <w:gridSpan w:val="2"/>
            <w:shd w:val="clear" w:color="auto" w:fill="auto"/>
            <w:vAlign w:val="center"/>
          </w:tcPr>
          <w:p w14:paraId="357FA859" w14:textId="77777777" w:rsidR="00E50F6F" w:rsidRDefault="00E50F6F">
            <w:pPr>
              <w:widowControl w:val="0"/>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6,1</w:t>
            </w:r>
          </w:p>
        </w:tc>
        <w:tc>
          <w:tcPr>
            <w:tcW w:w="1656" w:type="dxa"/>
            <w:shd w:val="clear" w:color="auto" w:fill="auto"/>
            <w:vAlign w:val="center"/>
          </w:tcPr>
          <w:p w14:paraId="419FB3E1" w14:textId="3199C1A4" w:rsidR="00E50F6F" w:rsidRDefault="00E50F6F">
            <w:r>
              <w:rPr>
                <w:rFonts w:ascii="Times New Roman" w:hAnsi="Times New Roman"/>
                <w:sz w:val="20"/>
                <w:szCs w:val="20"/>
              </w:rPr>
              <w:t>-0,3 пп</w:t>
            </w:r>
          </w:p>
        </w:tc>
      </w:tr>
      <w:tr w:rsidR="00E50F6F" w14:paraId="5BF9E41B" w14:textId="77777777" w:rsidTr="00E50F6F">
        <w:trPr>
          <w:cantSplit/>
          <w:trHeight w:val="58"/>
          <w:jc w:val="center"/>
        </w:trPr>
        <w:tc>
          <w:tcPr>
            <w:tcW w:w="4098" w:type="dxa"/>
            <w:shd w:val="clear" w:color="auto" w:fill="auto"/>
          </w:tcPr>
          <w:p w14:paraId="60F5A23A" w14:textId="77777777" w:rsidR="00E50F6F" w:rsidRDefault="00E50F6F">
            <w:pPr>
              <w:widowControl w:val="0"/>
              <w:spacing w:after="5" w:line="252"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Гендерный состав</w:t>
            </w:r>
          </w:p>
        </w:tc>
        <w:tc>
          <w:tcPr>
            <w:tcW w:w="947" w:type="dxa"/>
            <w:shd w:val="clear" w:color="auto" w:fill="auto"/>
          </w:tcPr>
          <w:p w14:paraId="4A5D7325" w14:textId="77777777" w:rsidR="00E50F6F" w:rsidRDefault="00E50F6F">
            <w:pPr>
              <w:tabs>
                <w:tab w:val="left" w:pos="9356"/>
              </w:tabs>
              <w:spacing w:after="0" w:line="240"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w:t>
            </w:r>
          </w:p>
        </w:tc>
        <w:tc>
          <w:tcPr>
            <w:tcW w:w="1071" w:type="dxa"/>
            <w:gridSpan w:val="2"/>
            <w:shd w:val="clear" w:color="auto" w:fill="auto"/>
            <w:vAlign w:val="center"/>
          </w:tcPr>
          <w:p w14:paraId="7E1737BE"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 – 74,7</w:t>
            </w:r>
          </w:p>
          <w:p w14:paraId="5BC2640A"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ж – 25,3</w:t>
            </w:r>
          </w:p>
        </w:tc>
        <w:tc>
          <w:tcPr>
            <w:tcW w:w="936" w:type="dxa"/>
            <w:shd w:val="clear" w:color="auto" w:fill="auto"/>
            <w:vAlign w:val="center"/>
          </w:tcPr>
          <w:p w14:paraId="4B84C2C0"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 – 74,2</w:t>
            </w:r>
          </w:p>
          <w:p w14:paraId="3F3027E7"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ж – 25,8</w:t>
            </w:r>
          </w:p>
        </w:tc>
        <w:tc>
          <w:tcPr>
            <w:tcW w:w="948" w:type="dxa"/>
            <w:gridSpan w:val="2"/>
            <w:shd w:val="clear" w:color="auto" w:fill="auto"/>
            <w:vAlign w:val="center"/>
          </w:tcPr>
          <w:p w14:paraId="35778ED4"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 – 73,2</w:t>
            </w:r>
          </w:p>
          <w:p w14:paraId="46AF208D"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ж – 26,8</w:t>
            </w:r>
          </w:p>
        </w:tc>
        <w:tc>
          <w:tcPr>
            <w:tcW w:w="1656" w:type="dxa"/>
            <w:shd w:val="clear" w:color="auto" w:fill="auto"/>
            <w:vAlign w:val="center"/>
          </w:tcPr>
          <w:p w14:paraId="66FFCAFB" w14:textId="77777777" w:rsidR="00E50F6F" w:rsidRDefault="00E50F6F" w:rsidP="00E50F6F">
            <w:pPr>
              <w:widowControl w:val="0"/>
              <w:spacing w:after="5" w:line="252" w:lineRule="auto"/>
              <w:ind w:left="183" w:right="-143" w:hanging="1067"/>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 – -1</w:t>
            </w:r>
          </w:p>
          <w:p w14:paraId="603E957E" w14:textId="7E1AE382" w:rsidR="00E50F6F" w:rsidRDefault="00E50F6F">
            <w:r>
              <w:rPr>
                <w:rFonts w:ascii="Times New Roman" w:eastAsia="Times New Roman" w:hAnsi="Times New Roman"/>
                <w:color w:val="000000"/>
                <w:sz w:val="20"/>
                <w:szCs w:val="20"/>
                <w:lang w:eastAsia="ru-RU"/>
              </w:rPr>
              <w:t>ж – 1</w:t>
            </w:r>
          </w:p>
        </w:tc>
      </w:tr>
      <w:tr w:rsidR="00E50F6F" w14:paraId="14F3A476" w14:textId="77777777" w:rsidTr="00E50F6F">
        <w:trPr>
          <w:cantSplit/>
          <w:trHeight w:val="58"/>
          <w:jc w:val="center"/>
        </w:trPr>
        <w:tc>
          <w:tcPr>
            <w:tcW w:w="4098" w:type="dxa"/>
            <w:shd w:val="clear" w:color="auto" w:fill="auto"/>
          </w:tcPr>
          <w:p w14:paraId="1CB0B7C7" w14:textId="77777777" w:rsidR="00E50F6F" w:rsidRDefault="00E50F6F">
            <w:pPr>
              <w:widowControl w:val="0"/>
              <w:spacing w:after="5" w:line="252"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Гендерный состав руководителей</w:t>
            </w:r>
          </w:p>
        </w:tc>
        <w:tc>
          <w:tcPr>
            <w:tcW w:w="947" w:type="dxa"/>
            <w:shd w:val="clear" w:color="auto" w:fill="auto"/>
          </w:tcPr>
          <w:p w14:paraId="42870A36" w14:textId="77777777" w:rsidR="00E50F6F" w:rsidRDefault="00E50F6F">
            <w:pPr>
              <w:tabs>
                <w:tab w:val="left" w:pos="9356"/>
              </w:tabs>
              <w:spacing w:after="0" w:line="240"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w:t>
            </w:r>
          </w:p>
        </w:tc>
        <w:tc>
          <w:tcPr>
            <w:tcW w:w="1071" w:type="dxa"/>
            <w:gridSpan w:val="2"/>
            <w:shd w:val="clear" w:color="auto" w:fill="auto"/>
            <w:vAlign w:val="center"/>
          </w:tcPr>
          <w:p w14:paraId="519F86F1"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 – 88,2</w:t>
            </w:r>
          </w:p>
          <w:p w14:paraId="7008B6C5"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ж – 11,8</w:t>
            </w:r>
          </w:p>
        </w:tc>
        <w:tc>
          <w:tcPr>
            <w:tcW w:w="936" w:type="dxa"/>
            <w:shd w:val="clear" w:color="auto" w:fill="auto"/>
            <w:vAlign w:val="center"/>
          </w:tcPr>
          <w:p w14:paraId="1958A100"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 – 88,2</w:t>
            </w:r>
          </w:p>
          <w:p w14:paraId="7825332C"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ж – 11,8</w:t>
            </w:r>
          </w:p>
        </w:tc>
        <w:tc>
          <w:tcPr>
            <w:tcW w:w="948" w:type="dxa"/>
            <w:gridSpan w:val="2"/>
            <w:shd w:val="clear" w:color="auto" w:fill="auto"/>
            <w:vAlign w:val="center"/>
          </w:tcPr>
          <w:p w14:paraId="46290556"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 – 88,5</w:t>
            </w:r>
          </w:p>
          <w:p w14:paraId="2EBE92E1"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ж – 11,5</w:t>
            </w:r>
          </w:p>
        </w:tc>
        <w:tc>
          <w:tcPr>
            <w:tcW w:w="1656" w:type="dxa"/>
            <w:shd w:val="clear" w:color="auto" w:fill="auto"/>
            <w:vAlign w:val="center"/>
          </w:tcPr>
          <w:p w14:paraId="6DEA2859" w14:textId="77777777" w:rsidR="00E50F6F" w:rsidRDefault="00E50F6F" w:rsidP="00E50F6F">
            <w:pPr>
              <w:widowControl w:val="0"/>
              <w:spacing w:after="5" w:line="252" w:lineRule="auto"/>
              <w:ind w:left="183" w:right="-143" w:hanging="1067"/>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 – 0,3</w:t>
            </w:r>
          </w:p>
          <w:p w14:paraId="62669875" w14:textId="4B1ADFBC" w:rsidR="00E50F6F" w:rsidRDefault="00E50F6F">
            <w:r>
              <w:rPr>
                <w:rFonts w:ascii="Times New Roman" w:eastAsia="Times New Roman" w:hAnsi="Times New Roman"/>
                <w:color w:val="000000"/>
                <w:sz w:val="20"/>
                <w:szCs w:val="20"/>
                <w:lang w:eastAsia="ru-RU"/>
              </w:rPr>
              <w:t>ж – -0.3</w:t>
            </w:r>
          </w:p>
        </w:tc>
      </w:tr>
      <w:tr w:rsidR="00E50F6F" w14:paraId="73A43569" w14:textId="77777777" w:rsidTr="00E50F6F">
        <w:trPr>
          <w:cantSplit/>
          <w:trHeight w:val="58"/>
          <w:jc w:val="center"/>
        </w:trPr>
        <w:tc>
          <w:tcPr>
            <w:tcW w:w="4098" w:type="dxa"/>
            <w:shd w:val="clear" w:color="auto" w:fill="auto"/>
          </w:tcPr>
          <w:p w14:paraId="61F9022E" w14:textId="77777777" w:rsidR="00E50F6F" w:rsidRDefault="00E50F6F">
            <w:pPr>
              <w:widowControl w:val="0"/>
              <w:spacing w:after="5" w:line="252"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Гендерный состав специалистов</w:t>
            </w:r>
          </w:p>
        </w:tc>
        <w:tc>
          <w:tcPr>
            <w:tcW w:w="947" w:type="dxa"/>
            <w:shd w:val="clear" w:color="auto" w:fill="auto"/>
          </w:tcPr>
          <w:p w14:paraId="28D58B35" w14:textId="77777777" w:rsidR="00E50F6F" w:rsidRDefault="00E50F6F">
            <w:pPr>
              <w:tabs>
                <w:tab w:val="left" w:pos="9356"/>
              </w:tabs>
              <w:spacing w:after="0" w:line="240"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w:t>
            </w:r>
          </w:p>
        </w:tc>
        <w:tc>
          <w:tcPr>
            <w:tcW w:w="1071" w:type="dxa"/>
            <w:gridSpan w:val="2"/>
            <w:shd w:val="clear" w:color="auto" w:fill="auto"/>
            <w:vAlign w:val="center"/>
          </w:tcPr>
          <w:p w14:paraId="234A4AB2"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 – 48,7</w:t>
            </w:r>
          </w:p>
          <w:p w14:paraId="74204B5A"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ж – 51,3</w:t>
            </w:r>
          </w:p>
        </w:tc>
        <w:tc>
          <w:tcPr>
            <w:tcW w:w="936" w:type="dxa"/>
            <w:shd w:val="clear" w:color="auto" w:fill="auto"/>
            <w:vAlign w:val="center"/>
          </w:tcPr>
          <w:p w14:paraId="15F7C0D9"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 – 48,5</w:t>
            </w:r>
          </w:p>
          <w:p w14:paraId="5CADEFC4"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ж – 51,5</w:t>
            </w:r>
          </w:p>
        </w:tc>
        <w:tc>
          <w:tcPr>
            <w:tcW w:w="948" w:type="dxa"/>
            <w:gridSpan w:val="2"/>
            <w:shd w:val="clear" w:color="auto" w:fill="auto"/>
            <w:vAlign w:val="center"/>
          </w:tcPr>
          <w:p w14:paraId="17D40F1E"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 – 47,7</w:t>
            </w:r>
          </w:p>
          <w:p w14:paraId="3D54AE5E"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ж – 52,3</w:t>
            </w:r>
          </w:p>
        </w:tc>
        <w:tc>
          <w:tcPr>
            <w:tcW w:w="1656" w:type="dxa"/>
            <w:shd w:val="clear" w:color="auto" w:fill="auto"/>
            <w:vAlign w:val="center"/>
          </w:tcPr>
          <w:p w14:paraId="1D0F4183"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 – -0,8</w:t>
            </w:r>
          </w:p>
          <w:p w14:paraId="3860C64C" w14:textId="6D50FAFB" w:rsidR="00E50F6F" w:rsidRDefault="00E50F6F">
            <w:r>
              <w:rPr>
                <w:rFonts w:ascii="Times New Roman" w:eastAsia="Times New Roman" w:hAnsi="Times New Roman"/>
                <w:color w:val="000000"/>
                <w:sz w:val="20"/>
                <w:szCs w:val="20"/>
                <w:lang w:eastAsia="ru-RU"/>
              </w:rPr>
              <w:t>ж – 0,8</w:t>
            </w:r>
          </w:p>
        </w:tc>
      </w:tr>
      <w:tr w:rsidR="00E50F6F" w14:paraId="5546FB32" w14:textId="77777777" w:rsidTr="00E50F6F">
        <w:trPr>
          <w:cantSplit/>
          <w:trHeight w:val="58"/>
          <w:jc w:val="center"/>
        </w:trPr>
        <w:tc>
          <w:tcPr>
            <w:tcW w:w="4098" w:type="dxa"/>
            <w:shd w:val="clear" w:color="auto" w:fill="auto"/>
          </w:tcPr>
          <w:p w14:paraId="7DA1FB3F" w14:textId="77777777" w:rsidR="00E50F6F" w:rsidRDefault="00E50F6F">
            <w:pPr>
              <w:widowControl w:val="0"/>
              <w:spacing w:after="5" w:line="252"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Гендерный состав рабочих</w:t>
            </w:r>
          </w:p>
        </w:tc>
        <w:tc>
          <w:tcPr>
            <w:tcW w:w="947" w:type="dxa"/>
            <w:shd w:val="clear" w:color="auto" w:fill="auto"/>
          </w:tcPr>
          <w:p w14:paraId="4A3094B3" w14:textId="77777777" w:rsidR="00E50F6F" w:rsidRDefault="00E50F6F">
            <w:pPr>
              <w:tabs>
                <w:tab w:val="left" w:pos="9356"/>
              </w:tabs>
              <w:spacing w:after="0" w:line="240"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w:t>
            </w:r>
          </w:p>
        </w:tc>
        <w:tc>
          <w:tcPr>
            <w:tcW w:w="1071" w:type="dxa"/>
            <w:gridSpan w:val="2"/>
            <w:shd w:val="clear" w:color="auto" w:fill="auto"/>
            <w:vAlign w:val="center"/>
          </w:tcPr>
          <w:p w14:paraId="44C577C3"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 – 85,4</w:t>
            </w:r>
          </w:p>
          <w:p w14:paraId="66903A6C"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ж – 14,6</w:t>
            </w:r>
          </w:p>
        </w:tc>
        <w:tc>
          <w:tcPr>
            <w:tcW w:w="936" w:type="dxa"/>
            <w:shd w:val="clear" w:color="auto" w:fill="auto"/>
            <w:vAlign w:val="center"/>
          </w:tcPr>
          <w:p w14:paraId="461E1F1F"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 – 84,9</w:t>
            </w:r>
          </w:p>
          <w:p w14:paraId="0C9CB298"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ж – 15,1</w:t>
            </w:r>
          </w:p>
        </w:tc>
        <w:tc>
          <w:tcPr>
            <w:tcW w:w="948" w:type="dxa"/>
            <w:gridSpan w:val="2"/>
            <w:shd w:val="clear" w:color="auto" w:fill="auto"/>
            <w:vAlign w:val="center"/>
          </w:tcPr>
          <w:p w14:paraId="727C2BE3"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 – 84</w:t>
            </w:r>
          </w:p>
          <w:p w14:paraId="20AC85EC"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ж – 16</w:t>
            </w:r>
          </w:p>
        </w:tc>
        <w:tc>
          <w:tcPr>
            <w:tcW w:w="1656" w:type="dxa"/>
            <w:shd w:val="clear" w:color="auto" w:fill="auto"/>
            <w:vAlign w:val="center"/>
          </w:tcPr>
          <w:p w14:paraId="1711FDED" w14:textId="77777777" w:rsidR="00E50F6F" w:rsidRDefault="00E50F6F">
            <w:pPr>
              <w:widowControl w:val="0"/>
              <w:spacing w:after="5" w:line="252" w:lineRule="auto"/>
              <w:ind w:left="183"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 – 0,9</w:t>
            </w:r>
          </w:p>
          <w:p w14:paraId="552A5D37" w14:textId="28473AA6" w:rsidR="00E50F6F" w:rsidRDefault="00E50F6F">
            <w:r>
              <w:rPr>
                <w:rFonts w:ascii="Times New Roman" w:eastAsia="Times New Roman" w:hAnsi="Times New Roman"/>
                <w:color w:val="000000"/>
                <w:sz w:val="20"/>
                <w:szCs w:val="20"/>
                <w:lang w:eastAsia="ru-RU"/>
              </w:rPr>
              <w:t>ж – -0,9</w:t>
            </w:r>
          </w:p>
        </w:tc>
      </w:tr>
      <w:tr w:rsidR="008F4DD0" w14:paraId="755D867D" w14:textId="77777777" w:rsidTr="00731F36">
        <w:trPr>
          <w:cantSplit/>
          <w:trHeight w:val="281"/>
          <w:jc w:val="center"/>
        </w:trPr>
        <w:tc>
          <w:tcPr>
            <w:tcW w:w="4098" w:type="dxa"/>
            <w:shd w:val="clear" w:color="auto" w:fill="auto"/>
          </w:tcPr>
          <w:p w14:paraId="1F1F9372" w14:textId="77777777" w:rsidR="008F4DD0" w:rsidRDefault="008F4DD0">
            <w:pPr>
              <w:widowControl w:val="0"/>
              <w:spacing w:after="5" w:line="252" w:lineRule="auto"/>
              <w:jc w:val="both"/>
              <w:rPr>
                <w:rFonts w:ascii="Times New Roman" w:eastAsia="Times New Roman" w:hAnsi="Times New Roman"/>
                <w:b/>
                <w:color w:val="000000"/>
                <w:sz w:val="20"/>
                <w:szCs w:val="20"/>
                <w:lang w:eastAsia="ru-RU"/>
              </w:rPr>
            </w:pPr>
            <w:r>
              <w:rPr>
                <w:rFonts w:ascii="Times New Roman" w:eastAsia="Times New Roman" w:hAnsi="Times New Roman"/>
                <w:color w:val="000000"/>
                <w:sz w:val="20"/>
                <w:szCs w:val="20"/>
                <w:lang w:eastAsia="ru-RU"/>
              </w:rPr>
              <w:t>Средний возраст работников</w:t>
            </w:r>
          </w:p>
        </w:tc>
        <w:tc>
          <w:tcPr>
            <w:tcW w:w="947" w:type="dxa"/>
            <w:shd w:val="clear" w:color="auto" w:fill="auto"/>
          </w:tcPr>
          <w:p w14:paraId="19682D92" w14:textId="77777777" w:rsidR="008F4DD0" w:rsidRDefault="008F4DD0">
            <w:pPr>
              <w:tabs>
                <w:tab w:val="left" w:pos="9356"/>
              </w:tabs>
              <w:spacing w:after="0" w:line="240"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лет</w:t>
            </w:r>
          </w:p>
        </w:tc>
        <w:tc>
          <w:tcPr>
            <w:tcW w:w="1071" w:type="dxa"/>
            <w:gridSpan w:val="2"/>
            <w:shd w:val="clear" w:color="auto" w:fill="auto"/>
            <w:vAlign w:val="center"/>
          </w:tcPr>
          <w:p w14:paraId="4CA8F382" w14:textId="77777777" w:rsidR="008F4DD0" w:rsidRDefault="008F4DD0">
            <w:pPr>
              <w:widowControl w:val="0"/>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43,8</w:t>
            </w:r>
          </w:p>
        </w:tc>
        <w:tc>
          <w:tcPr>
            <w:tcW w:w="936" w:type="dxa"/>
            <w:shd w:val="clear" w:color="auto" w:fill="auto"/>
            <w:vAlign w:val="center"/>
          </w:tcPr>
          <w:p w14:paraId="0892A848" w14:textId="77777777" w:rsidR="008F4DD0" w:rsidRDefault="008F4DD0">
            <w:pPr>
              <w:widowControl w:val="0"/>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45,2</w:t>
            </w:r>
          </w:p>
        </w:tc>
        <w:tc>
          <w:tcPr>
            <w:tcW w:w="948" w:type="dxa"/>
            <w:gridSpan w:val="2"/>
            <w:shd w:val="clear" w:color="auto" w:fill="auto"/>
            <w:vAlign w:val="center"/>
          </w:tcPr>
          <w:p w14:paraId="7D4E94C4" w14:textId="77777777" w:rsidR="008F4DD0" w:rsidRDefault="008F4DD0">
            <w:pPr>
              <w:widowControl w:val="0"/>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45,5</w:t>
            </w:r>
          </w:p>
        </w:tc>
        <w:tc>
          <w:tcPr>
            <w:tcW w:w="1656" w:type="dxa"/>
            <w:shd w:val="clear" w:color="auto" w:fill="auto"/>
            <w:vAlign w:val="center"/>
          </w:tcPr>
          <w:p w14:paraId="77D9B0B8" w14:textId="02C39FBC" w:rsidR="008F4DD0" w:rsidRDefault="008F4DD0">
            <w:r>
              <w:rPr>
                <w:rFonts w:ascii="Times New Roman" w:eastAsia="Times New Roman" w:hAnsi="Times New Roman"/>
                <w:color w:val="000000"/>
                <w:sz w:val="20"/>
                <w:szCs w:val="20"/>
                <w:lang w:eastAsia="ru-RU"/>
              </w:rPr>
              <w:t>0</w:t>
            </w:r>
          </w:p>
        </w:tc>
      </w:tr>
      <w:tr w:rsidR="008F4DD0" w14:paraId="023DFBC1" w14:textId="77777777" w:rsidTr="00731F36">
        <w:trPr>
          <w:cantSplit/>
          <w:trHeight w:val="403"/>
          <w:jc w:val="center"/>
        </w:trPr>
        <w:tc>
          <w:tcPr>
            <w:tcW w:w="4098" w:type="dxa"/>
            <w:shd w:val="clear" w:color="auto" w:fill="auto"/>
          </w:tcPr>
          <w:p w14:paraId="1FFD6F29" w14:textId="77777777" w:rsidR="008F4DD0" w:rsidRDefault="008F4DD0">
            <w:pPr>
              <w:widowControl w:val="0"/>
              <w:spacing w:after="5" w:line="252"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Возрастной состав персонала в разрезе групп: до 35 лет, от 35 лет до 50 лет и старше 50 лет</w:t>
            </w:r>
          </w:p>
        </w:tc>
        <w:tc>
          <w:tcPr>
            <w:tcW w:w="947" w:type="dxa"/>
            <w:shd w:val="clear" w:color="auto" w:fill="auto"/>
          </w:tcPr>
          <w:p w14:paraId="589E3436" w14:textId="77777777" w:rsidR="008F4DD0" w:rsidRDefault="008F4DD0">
            <w:pPr>
              <w:tabs>
                <w:tab w:val="left" w:pos="9356"/>
              </w:tabs>
              <w:spacing w:after="0" w:line="240"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 %</w:t>
            </w:r>
          </w:p>
        </w:tc>
        <w:tc>
          <w:tcPr>
            <w:tcW w:w="1071" w:type="dxa"/>
            <w:gridSpan w:val="2"/>
            <w:shd w:val="clear" w:color="auto" w:fill="auto"/>
          </w:tcPr>
          <w:p w14:paraId="4845DDEC" w14:textId="77777777" w:rsidR="008F4DD0" w:rsidRDefault="008F4DD0">
            <w:pPr>
              <w:widowControl w:val="0"/>
              <w:spacing w:after="5" w:line="252" w:lineRule="auto"/>
              <w:ind w:right="-143"/>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до 35 лет – 23,1;</w:t>
            </w:r>
          </w:p>
          <w:p w14:paraId="3B5F8C90" w14:textId="77777777" w:rsidR="008F4DD0" w:rsidRDefault="008F4DD0">
            <w:pPr>
              <w:widowControl w:val="0"/>
              <w:spacing w:after="5" w:line="252" w:lineRule="auto"/>
              <w:ind w:right="-143"/>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от 35 лет до 50 лет – 40,4;</w:t>
            </w:r>
          </w:p>
          <w:p w14:paraId="5BA04461" w14:textId="77777777" w:rsidR="008F4DD0" w:rsidRDefault="008F4DD0">
            <w:pPr>
              <w:widowControl w:val="0"/>
              <w:spacing w:after="5" w:line="252" w:lineRule="auto"/>
              <w:ind w:right="-143"/>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старше 50 лет – 36,5</w:t>
            </w:r>
          </w:p>
        </w:tc>
        <w:tc>
          <w:tcPr>
            <w:tcW w:w="936" w:type="dxa"/>
            <w:shd w:val="clear" w:color="auto" w:fill="auto"/>
          </w:tcPr>
          <w:p w14:paraId="2E6C35CD" w14:textId="77777777" w:rsidR="008F4DD0" w:rsidRDefault="008F4DD0">
            <w:pPr>
              <w:widowControl w:val="0"/>
              <w:spacing w:after="5" w:line="252" w:lineRule="auto"/>
              <w:ind w:right="-143"/>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до 35 лет – 21,2;</w:t>
            </w:r>
          </w:p>
          <w:p w14:paraId="0858B6EB" w14:textId="77777777" w:rsidR="008F4DD0" w:rsidRDefault="008F4DD0">
            <w:pPr>
              <w:widowControl w:val="0"/>
              <w:spacing w:after="5" w:line="252" w:lineRule="auto"/>
              <w:ind w:right="-143"/>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от 35 лет до 50 лет – 41,2;</w:t>
            </w:r>
          </w:p>
          <w:p w14:paraId="4E6E06C0" w14:textId="77777777" w:rsidR="008F4DD0" w:rsidRDefault="008F4DD0">
            <w:pPr>
              <w:widowControl w:val="0"/>
              <w:spacing w:after="5" w:line="252" w:lineRule="auto"/>
              <w:ind w:right="-143"/>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старше 50 лет – 37,6</w:t>
            </w:r>
          </w:p>
        </w:tc>
        <w:tc>
          <w:tcPr>
            <w:tcW w:w="948" w:type="dxa"/>
            <w:gridSpan w:val="2"/>
            <w:shd w:val="clear" w:color="auto" w:fill="auto"/>
          </w:tcPr>
          <w:p w14:paraId="6E05C21F" w14:textId="77777777" w:rsidR="008F4DD0" w:rsidRDefault="008F4DD0">
            <w:pPr>
              <w:widowControl w:val="0"/>
              <w:spacing w:after="5" w:line="252" w:lineRule="auto"/>
              <w:ind w:right="-143"/>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до 35 лет – 18,8;</w:t>
            </w:r>
          </w:p>
          <w:p w14:paraId="6DF51F50" w14:textId="77777777" w:rsidR="008F4DD0" w:rsidRDefault="008F4DD0">
            <w:pPr>
              <w:widowControl w:val="0"/>
              <w:spacing w:after="5" w:line="252" w:lineRule="auto"/>
              <w:ind w:right="-143"/>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от 35 лет до 50 лет – 41,8;</w:t>
            </w:r>
          </w:p>
          <w:p w14:paraId="6FBF2A3C" w14:textId="77777777" w:rsidR="008F4DD0" w:rsidRDefault="008F4DD0">
            <w:pPr>
              <w:widowControl w:val="0"/>
              <w:spacing w:after="5" w:line="252" w:lineRule="auto"/>
              <w:ind w:right="-143"/>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старше 50 лет – 39,4</w:t>
            </w:r>
          </w:p>
        </w:tc>
        <w:tc>
          <w:tcPr>
            <w:tcW w:w="1656" w:type="dxa"/>
            <w:shd w:val="clear" w:color="auto" w:fill="auto"/>
          </w:tcPr>
          <w:p w14:paraId="72DE7500" w14:textId="77777777" w:rsidR="008F4DD0" w:rsidRDefault="008F4DD0">
            <w:pPr>
              <w:widowControl w:val="0"/>
              <w:spacing w:after="5" w:line="252" w:lineRule="auto"/>
              <w:ind w:right="-143"/>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до 35 лет –       -2,4;</w:t>
            </w:r>
          </w:p>
          <w:p w14:paraId="5B3B7344" w14:textId="77777777" w:rsidR="008F4DD0" w:rsidRDefault="008F4DD0">
            <w:pPr>
              <w:widowControl w:val="0"/>
              <w:spacing w:after="5" w:line="252" w:lineRule="auto"/>
              <w:ind w:right="-143"/>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от 35 лет до 50 лет – 0,6;</w:t>
            </w:r>
          </w:p>
          <w:p w14:paraId="1B50B50A" w14:textId="12C1D1B2" w:rsidR="008F4DD0" w:rsidRDefault="008F4DD0">
            <w:r>
              <w:rPr>
                <w:rFonts w:ascii="Times New Roman" w:eastAsia="Times New Roman" w:hAnsi="Times New Roman"/>
                <w:color w:val="000000"/>
                <w:sz w:val="16"/>
                <w:szCs w:val="16"/>
                <w:lang w:eastAsia="ru-RU"/>
              </w:rPr>
              <w:t>старше 50 лет – 1,8</w:t>
            </w:r>
          </w:p>
        </w:tc>
      </w:tr>
      <w:tr w:rsidR="008F4DD0" w14:paraId="6B555583" w14:textId="77777777" w:rsidTr="00731F36">
        <w:trPr>
          <w:cantSplit/>
          <w:trHeight w:val="58"/>
          <w:jc w:val="center"/>
        </w:trPr>
        <w:tc>
          <w:tcPr>
            <w:tcW w:w="4098" w:type="dxa"/>
            <w:shd w:val="clear" w:color="auto" w:fill="auto"/>
          </w:tcPr>
          <w:p w14:paraId="1EEFDAA8" w14:textId="77777777" w:rsidR="008F4DD0" w:rsidRDefault="008F4DD0">
            <w:pPr>
              <w:widowControl w:val="0"/>
              <w:spacing w:after="5" w:line="252"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Структура персонала по образованию: основное/среднее общее, начальное/среднее профессиональное, высшее образование</w:t>
            </w:r>
          </w:p>
        </w:tc>
        <w:tc>
          <w:tcPr>
            <w:tcW w:w="947" w:type="dxa"/>
            <w:shd w:val="clear" w:color="auto" w:fill="auto"/>
          </w:tcPr>
          <w:p w14:paraId="72A413B5" w14:textId="77777777" w:rsidR="008F4DD0" w:rsidRDefault="008F4DD0">
            <w:pPr>
              <w:tabs>
                <w:tab w:val="left" w:pos="9356"/>
              </w:tabs>
              <w:spacing w:after="0" w:line="240" w:lineRule="auto"/>
              <w:ind w:left="426" w:right="-143" w:hanging="426"/>
              <w:rPr>
                <w:rFonts w:ascii="Times New Roman" w:eastAsia="Times New Roman" w:hAnsi="Times New Roman"/>
                <w:sz w:val="20"/>
                <w:szCs w:val="20"/>
                <w:lang w:eastAsia="ru-RU"/>
              </w:rPr>
            </w:pPr>
            <w:r>
              <w:rPr>
                <w:rFonts w:ascii="Times New Roman" w:eastAsia="Times New Roman" w:hAnsi="Times New Roman"/>
                <w:sz w:val="20"/>
                <w:szCs w:val="20"/>
                <w:lang w:eastAsia="ru-RU"/>
              </w:rPr>
              <w:t>%, %, %</w:t>
            </w:r>
          </w:p>
        </w:tc>
        <w:tc>
          <w:tcPr>
            <w:tcW w:w="1071" w:type="dxa"/>
            <w:gridSpan w:val="2"/>
            <w:shd w:val="clear" w:color="auto" w:fill="auto"/>
          </w:tcPr>
          <w:p w14:paraId="1B94EBD6" w14:textId="77777777" w:rsidR="008F4DD0" w:rsidRDefault="008F4DD0">
            <w:pPr>
              <w:widowControl w:val="0"/>
              <w:spacing w:after="5" w:line="252" w:lineRule="auto"/>
              <w:ind w:right="-143"/>
              <w:rPr>
                <w:rFonts w:ascii="Times New Roman" w:eastAsia="Times New Roman" w:hAnsi="Times New Roman"/>
                <w:sz w:val="16"/>
                <w:szCs w:val="16"/>
                <w:lang w:eastAsia="ru-RU"/>
              </w:rPr>
            </w:pPr>
            <w:r>
              <w:rPr>
                <w:rFonts w:ascii="Times New Roman" w:eastAsia="Times New Roman" w:hAnsi="Times New Roman"/>
                <w:sz w:val="16"/>
                <w:szCs w:val="16"/>
                <w:lang w:eastAsia="ru-RU"/>
              </w:rPr>
              <w:t>Основное/среднее общее – 7,6;</w:t>
            </w:r>
          </w:p>
          <w:p w14:paraId="3B282591" w14:textId="77777777" w:rsidR="008F4DD0" w:rsidRDefault="008F4DD0">
            <w:pPr>
              <w:widowControl w:val="0"/>
              <w:spacing w:after="5" w:line="252" w:lineRule="auto"/>
              <w:ind w:right="-143"/>
              <w:rPr>
                <w:rFonts w:ascii="Times New Roman" w:eastAsia="Times New Roman" w:hAnsi="Times New Roman"/>
                <w:sz w:val="16"/>
                <w:szCs w:val="16"/>
                <w:lang w:eastAsia="ru-RU"/>
              </w:rPr>
            </w:pPr>
            <w:r>
              <w:rPr>
                <w:rFonts w:ascii="Times New Roman" w:eastAsia="Times New Roman" w:hAnsi="Times New Roman"/>
                <w:sz w:val="16"/>
                <w:szCs w:val="16"/>
                <w:lang w:eastAsia="ru-RU"/>
              </w:rPr>
              <w:t>начальное/среднее профессиональное – 46,4;</w:t>
            </w:r>
          </w:p>
          <w:p w14:paraId="0E3607B1" w14:textId="77777777" w:rsidR="008F4DD0" w:rsidRDefault="008F4DD0">
            <w:pPr>
              <w:widowControl w:val="0"/>
              <w:spacing w:after="5" w:line="252" w:lineRule="auto"/>
              <w:ind w:right="-143"/>
              <w:rPr>
                <w:rFonts w:ascii="Times New Roman" w:eastAsia="Times New Roman" w:hAnsi="Times New Roman"/>
                <w:sz w:val="16"/>
                <w:szCs w:val="16"/>
                <w:lang w:eastAsia="ru-RU"/>
              </w:rPr>
            </w:pPr>
            <w:r>
              <w:rPr>
                <w:rFonts w:ascii="Times New Roman" w:eastAsia="Times New Roman" w:hAnsi="Times New Roman"/>
                <w:sz w:val="16"/>
                <w:szCs w:val="16"/>
                <w:lang w:eastAsia="ru-RU"/>
              </w:rPr>
              <w:t>высшее образование – 46,0</w:t>
            </w:r>
          </w:p>
        </w:tc>
        <w:tc>
          <w:tcPr>
            <w:tcW w:w="936" w:type="dxa"/>
            <w:shd w:val="clear" w:color="auto" w:fill="auto"/>
          </w:tcPr>
          <w:p w14:paraId="49D1C6E0" w14:textId="77777777" w:rsidR="008F4DD0" w:rsidRDefault="008F4DD0">
            <w:pPr>
              <w:widowControl w:val="0"/>
              <w:spacing w:after="5" w:line="252" w:lineRule="auto"/>
              <w:ind w:right="-143"/>
              <w:rPr>
                <w:rFonts w:ascii="Times New Roman" w:eastAsia="Times New Roman" w:hAnsi="Times New Roman"/>
                <w:sz w:val="16"/>
                <w:szCs w:val="16"/>
                <w:lang w:eastAsia="ru-RU"/>
              </w:rPr>
            </w:pPr>
            <w:r>
              <w:rPr>
                <w:rFonts w:ascii="Times New Roman" w:eastAsia="Times New Roman" w:hAnsi="Times New Roman"/>
                <w:sz w:val="16"/>
                <w:szCs w:val="16"/>
                <w:lang w:eastAsia="ru-RU"/>
              </w:rPr>
              <w:t>Основное/среднее общее – 7,6;</w:t>
            </w:r>
          </w:p>
          <w:p w14:paraId="0FC75459" w14:textId="77777777" w:rsidR="008F4DD0" w:rsidRDefault="008F4DD0">
            <w:pPr>
              <w:widowControl w:val="0"/>
              <w:spacing w:after="5" w:line="252" w:lineRule="auto"/>
              <w:ind w:right="-143"/>
              <w:rPr>
                <w:rFonts w:ascii="Times New Roman" w:eastAsia="Times New Roman" w:hAnsi="Times New Roman"/>
                <w:sz w:val="16"/>
                <w:szCs w:val="16"/>
                <w:lang w:eastAsia="ru-RU"/>
              </w:rPr>
            </w:pPr>
            <w:r>
              <w:rPr>
                <w:rFonts w:ascii="Times New Roman" w:eastAsia="Times New Roman" w:hAnsi="Times New Roman"/>
                <w:sz w:val="16"/>
                <w:szCs w:val="16"/>
                <w:lang w:eastAsia="ru-RU"/>
              </w:rPr>
              <w:t>начальное/среднее профессиональное – 45,9;</w:t>
            </w:r>
          </w:p>
          <w:p w14:paraId="6CFB8D0E" w14:textId="77777777" w:rsidR="008F4DD0" w:rsidRDefault="008F4DD0">
            <w:pPr>
              <w:widowControl w:val="0"/>
              <w:spacing w:after="5" w:line="252" w:lineRule="auto"/>
              <w:ind w:right="-143"/>
              <w:rPr>
                <w:rFonts w:ascii="Times New Roman" w:eastAsia="Times New Roman" w:hAnsi="Times New Roman"/>
                <w:sz w:val="16"/>
                <w:szCs w:val="16"/>
                <w:lang w:eastAsia="ru-RU"/>
              </w:rPr>
            </w:pPr>
            <w:r>
              <w:rPr>
                <w:rFonts w:ascii="Times New Roman" w:eastAsia="Times New Roman" w:hAnsi="Times New Roman"/>
                <w:sz w:val="16"/>
                <w:szCs w:val="16"/>
                <w:lang w:eastAsia="ru-RU"/>
              </w:rPr>
              <w:t>высшее образование – 46,5</w:t>
            </w:r>
          </w:p>
        </w:tc>
        <w:tc>
          <w:tcPr>
            <w:tcW w:w="948" w:type="dxa"/>
            <w:gridSpan w:val="2"/>
            <w:shd w:val="clear" w:color="auto" w:fill="auto"/>
          </w:tcPr>
          <w:p w14:paraId="095F512B" w14:textId="77777777" w:rsidR="008F4DD0" w:rsidRDefault="008F4DD0">
            <w:pPr>
              <w:widowControl w:val="0"/>
              <w:spacing w:after="5" w:line="252" w:lineRule="auto"/>
              <w:ind w:right="-143"/>
              <w:rPr>
                <w:rFonts w:ascii="Times New Roman" w:eastAsia="Times New Roman" w:hAnsi="Times New Roman"/>
                <w:sz w:val="16"/>
                <w:szCs w:val="16"/>
                <w:lang w:eastAsia="ru-RU"/>
              </w:rPr>
            </w:pPr>
            <w:r>
              <w:rPr>
                <w:rFonts w:ascii="Times New Roman" w:eastAsia="Times New Roman" w:hAnsi="Times New Roman"/>
                <w:sz w:val="16"/>
                <w:szCs w:val="16"/>
                <w:lang w:eastAsia="ru-RU"/>
              </w:rPr>
              <w:t>Основное/среднее общее – 14,2;</w:t>
            </w:r>
          </w:p>
          <w:p w14:paraId="28B9947F" w14:textId="77777777" w:rsidR="008F4DD0" w:rsidRDefault="008F4DD0">
            <w:pPr>
              <w:widowControl w:val="0"/>
              <w:spacing w:after="5" w:line="252" w:lineRule="auto"/>
              <w:ind w:right="-143"/>
              <w:rPr>
                <w:rFonts w:ascii="Times New Roman" w:eastAsia="Times New Roman" w:hAnsi="Times New Roman"/>
                <w:sz w:val="16"/>
                <w:szCs w:val="16"/>
                <w:lang w:eastAsia="ru-RU"/>
              </w:rPr>
            </w:pPr>
            <w:r>
              <w:rPr>
                <w:rFonts w:ascii="Times New Roman" w:eastAsia="Times New Roman" w:hAnsi="Times New Roman"/>
                <w:sz w:val="16"/>
                <w:szCs w:val="16"/>
                <w:lang w:eastAsia="ru-RU"/>
              </w:rPr>
              <w:t>начальное/среднее профессиональное – 39,3;</w:t>
            </w:r>
          </w:p>
          <w:p w14:paraId="7282969D" w14:textId="77777777" w:rsidR="008F4DD0" w:rsidRDefault="008F4DD0">
            <w:pPr>
              <w:widowControl w:val="0"/>
              <w:spacing w:after="5" w:line="252" w:lineRule="auto"/>
              <w:ind w:right="-143"/>
              <w:rPr>
                <w:rFonts w:ascii="Times New Roman" w:eastAsia="Times New Roman" w:hAnsi="Times New Roman"/>
                <w:sz w:val="16"/>
                <w:szCs w:val="16"/>
                <w:lang w:eastAsia="ru-RU"/>
              </w:rPr>
            </w:pPr>
            <w:r>
              <w:rPr>
                <w:rFonts w:ascii="Times New Roman" w:eastAsia="Times New Roman" w:hAnsi="Times New Roman"/>
                <w:sz w:val="16"/>
                <w:szCs w:val="16"/>
                <w:lang w:eastAsia="ru-RU"/>
              </w:rPr>
              <w:t>высшее образование – 46,5</w:t>
            </w:r>
          </w:p>
        </w:tc>
        <w:tc>
          <w:tcPr>
            <w:tcW w:w="1656" w:type="dxa"/>
            <w:shd w:val="clear" w:color="auto" w:fill="auto"/>
          </w:tcPr>
          <w:p w14:paraId="4B259695" w14:textId="77777777" w:rsidR="008F4DD0" w:rsidRDefault="008F4DD0">
            <w:pPr>
              <w:widowControl w:val="0"/>
              <w:spacing w:after="5" w:line="252" w:lineRule="auto"/>
              <w:ind w:right="-142"/>
              <w:rPr>
                <w:rFonts w:ascii="Times New Roman" w:eastAsia="Times New Roman" w:hAnsi="Times New Roman"/>
                <w:sz w:val="16"/>
                <w:szCs w:val="16"/>
                <w:lang w:eastAsia="ru-RU"/>
              </w:rPr>
            </w:pPr>
            <w:r>
              <w:rPr>
                <w:rFonts w:ascii="Times New Roman" w:eastAsia="Times New Roman" w:hAnsi="Times New Roman"/>
                <w:sz w:val="16"/>
                <w:szCs w:val="16"/>
                <w:lang w:eastAsia="ru-RU"/>
              </w:rPr>
              <w:t>Основное/среднее общее –  6,6 пп;</w:t>
            </w:r>
          </w:p>
          <w:p w14:paraId="7C0E9E07" w14:textId="77777777" w:rsidR="008F4DD0" w:rsidRDefault="008F4DD0">
            <w:pPr>
              <w:widowControl w:val="0"/>
              <w:spacing w:after="5" w:line="252" w:lineRule="auto"/>
              <w:ind w:right="-143"/>
              <w:rPr>
                <w:rFonts w:ascii="Times New Roman" w:eastAsia="Times New Roman" w:hAnsi="Times New Roman"/>
                <w:sz w:val="16"/>
                <w:szCs w:val="16"/>
                <w:lang w:eastAsia="ru-RU"/>
              </w:rPr>
            </w:pPr>
            <w:r>
              <w:rPr>
                <w:rFonts w:ascii="Times New Roman" w:eastAsia="Times New Roman" w:hAnsi="Times New Roman"/>
                <w:sz w:val="16"/>
                <w:szCs w:val="16"/>
                <w:lang w:eastAsia="ru-RU"/>
              </w:rPr>
              <w:t>начальное/среднее профессиональное –  - 6,6 пп;</w:t>
            </w:r>
          </w:p>
          <w:p w14:paraId="2587F1D6" w14:textId="57D172D2" w:rsidR="008F4DD0" w:rsidRDefault="008F4DD0">
            <w:r>
              <w:rPr>
                <w:rFonts w:ascii="Times New Roman" w:eastAsia="Times New Roman" w:hAnsi="Times New Roman"/>
                <w:sz w:val="16"/>
                <w:szCs w:val="16"/>
                <w:lang w:eastAsia="ru-RU"/>
              </w:rPr>
              <w:t>высшее образование – 0</w:t>
            </w:r>
          </w:p>
        </w:tc>
      </w:tr>
      <w:tr w:rsidR="008F4DD0" w14:paraId="28FA287D" w14:textId="77777777" w:rsidTr="00731F36">
        <w:trPr>
          <w:cantSplit/>
          <w:trHeight w:val="58"/>
          <w:jc w:val="center"/>
        </w:trPr>
        <w:tc>
          <w:tcPr>
            <w:tcW w:w="4098" w:type="dxa"/>
            <w:shd w:val="clear" w:color="auto" w:fill="auto"/>
          </w:tcPr>
          <w:p w14:paraId="43BE7A53" w14:textId="77777777" w:rsidR="008F4DD0" w:rsidRDefault="008F4DD0">
            <w:pPr>
              <w:widowControl w:val="0"/>
              <w:spacing w:after="5" w:line="252"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Число работников, имеющих ученую степень</w:t>
            </w:r>
          </w:p>
        </w:tc>
        <w:tc>
          <w:tcPr>
            <w:tcW w:w="947" w:type="dxa"/>
            <w:shd w:val="clear" w:color="auto" w:fill="auto"/>
          </w:tcPr>
          <w:p w14:paraId="7D67A62E" w14:textId="77777777" w:rsidR="008F4DD0" w:rsidRDefault="008F4DD0">
            <w:pPr>
              <w:tabs>
                <w:tab w:val="left" w:pos="9356"/>
              </w:tabs>
              <w:spacing w:after="0" w:line="240"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чел.</w:t>
            </w:r>
          </w:p>
        </w:tc>
        <w:tc>
          <w:tcPr>
            <w:tcW w:w="1071" w:type="dxa"/>
            <w:gridSpan w:val="2"/>
            <w:shd w:val="clear" w:color="auto" w:fill="auto"/>
            <w:vAlign w:val="center"/>
          </w:tcPr>
          <w:p w14:paraId="0C5F1F5C" w14:textId="77777777" w:rsidR="008F4DD0" w:rsidRDefault="008F4DD0">
            <w:pPr>
              <w:widowControl w:val="0"/>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w:t>
            </w:r>
          </w:p>
        </w:tc>
        <w:tc>
          <w:tcPr>
            <w:tcW w:w="936" w:type="dxa"/>
            <w:shd w:val="clear" w:color="auto" w:fill="auto"/>
            <w:vAlign w:val="center"/>
          </w:tcPr>
          <w:p w14:paraId="3842CE96" w14:textId="77777777" w:rsidR="008F4DD0" w:rsidRDefault="008F4DD0">
            <w:pPr>
              <w:widowControl w:val="0"/>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w:t>
            </w:r>
          </w:p>
        </w:tc>
        <w:tc>
          <w:tcPr>
            <w:tcW w:w="948" w:type="dxa"/>
            <w:gridSpan w:val="2"/>
            <w:shd w:val="clear" w:color="auto" w:fill="auto"/>
            <w:vAlign w:val="center"/>
          </w:tcPr>
          <w:p w14:paraId="75FC12E0" w14:textId="77777777" w:rsidR="008F4DD0" w:rsidRDefault="008F4DD0">
            <w:pPr>
              <w:widowControl w:val="0"/>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w:t>
            </w:r>
          </w:p>
        </w:tc>
        <w:tc>
          <w:tcPr>
            <w:tcW w:w="1656" w:type="dxa"/>
            <w:shd w:val="clear" w:color="auto" w:fill="auto"/>
            <w:vAlign w:val="center"/>
          </w:tcPr>
          <w:p w14:paraId="7CF047A9" w14:textId="516131C3" w:rsidR="008F4DD0" w:rsidRDefault="008F4DD0">
            <w:r>
              <w:rPr>
                <w:rFonts w:ascii="Times New Roman" w:eastAsia="Times New Roman" w:hAnsi="Times New Roman"/>
                <w:color w:val="000000"/>
                <w:sz w:val="20"/>
                <w:szCs w:val="20"/>
                <w:lang w:eastAsia="ru-RU"/>
              </w:rPr>
              <w:t>80%</w:t>
            </w:r>
          </w:p>
        </w:tc>
      </w:tr>
      <w:tr w:rsidR="008F4DD0" w14:paraId="78FF2595" w14:textId="77777777" w:rsidTr="00731F36">
        <w:trPr>
          <w:cantSplit/>
          <w:trHeight w:val="750"/>
          <w:jc w:val="center"/>
        </w:trPr>
        <w:tc>
          <w:tcPr>
            <w:tcW w:w="4098" w:type="dxa"/>
            <w:shd w:val="clear" w:color="auto" w:fill="auto"/>
          </w:tcPr>
          <w:p w14:paraId="1FF01443" w14:textId="77777777" w:rsidR="008F4DD0" w:rsidRDefault="008F4DD0">
            <w:pPr>
              <w:widowControl w:val="0"/>
              <w:spacing w:after="5" w:line="252"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Общее количество принятых на работу работников за отчетный период</w:t>
            </w:r>
          </w:p>
        </w:tc>
        <w:tc>
          <w:tcPr>
            <w:tcW w:w="947" w:type="dxa"/>
            <w:shd w:val="clear" w:color="auto" w:fill="auto"/>
          </w:tcPr>
          <w:p w14:paraId="58460171" w14:textId="77777777" w:rsidR="008F4DD0" w:rsidRDefault="008F4DD0">
            <w:pPr>
              <w:tabs>
                <w:tab w:val="left" w:pos="9356"/>
              </w:tabs>
              <w:spacing w:after="0" w:line="240" w:lineRule="auto"/>
              <w:ind w:right="-143"/>
              <w:rPr>
                <w:rFonts w:ascii="Times New Roman" w:eastAsia="Times New Roman" w:hAnsi="Times New Roman"/>
                <w:color w:val="000000"/>
                <w:sz w:val="20"/>
                <w:szCs w:val="20"/>
                <w:lang w:eastAsia="ru-RU"/>
              </w:rPr>
            </w:pPr>
            <w:r>
              <w:rPr>
                <w:rFonts w:ascii="Times New Roman" w:eastAsia="Times New Roman" w:hAnsi="Times New Roman"/>
                <w:bCs/>
                <w:color w:val="000000"/>
                <w:sz w:val="20"/>
                <w:szCs w:val="20"/>
                <w:lang w:eastAsia="ru-RU"/>
              </w:rPr>
              <w:t>тыс. чел.</w:t>
            </w:r>
          </w:p>
        </w:tc>
        <w:tc>
          <w:tcPr>
            <w:tcW w:w="1071" w:type="dxa"/>
            <w:gridSpan w:val="2"/>
            <w:shd w:val="clear" w:color="auto" w:fill="auto"/>
            <w:vAlign w:val="center"/>
          </w:tcPr>
          <w:p w14:paraId="10B2213F" w14:textId="77777777" w:rsidR="008F4DD0" w:rsidRDefault="008F4DD0">
            <w:pPr>
              <w:widowControl w:val="0"/>
              <w:spacing w:after="5" w:line="252" w:lineRule="auto"/>
              <w:ind w:left="17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w:t>
            </w:r>
          </w:p>
        </w:tc>
        <w:tc>
          <w:tcPr>
            <w:tcW w:w="936" w:type="dxa"/>
            <w:shd w:val="clear" w:color="auto" w:fill="auto"/>
            <w:vAlign w:val="center"/>
          </w:tcPr>
          <w:p w14:paraId="1CB23585" w14:textId="77777777" w:rsidR="008F4DD0" w:rsidRDefault="008F4DD0">
            <w:pPr>
              <w:widowControl w:val="0"/>
              <w:spacing w:after="5" w:line="252" w:lineRule="auto"/>
              <w:ind w:left="17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1,8</w:t>
            </w:r>
          </w:p>
        </w:tc>
        <w:tc>
          <w:tcPr>
            <w:tcW w:w="948" w:type="dxa"/>
            <w:gridSpan w:val="2"/>
            <w:shd w:val="clear" w:color="auto" w:fill="auto"/>
            <w:vAlign w:val="center"/>
          </w:tcPr>
          <w:p w14:paraId="7BBBFBAA" w14:textId="77777777" w:rsidR="008F4DD0" w:rsidRDefault="008F4DD0">
            <w:pPr>
              <w:widowControl w:val="0"/>
              <w:spacing w:after="5" w:line="252" w:lineRule="auto"/>
              <w:ind w:left="17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1,8</w:t>
            </w:r>
          </w:p>
        </w:tc>
        <w:tc>
          <w:tcPr>
            <w:tcW w:w="1656" w:type="dxa"/>
            <w:shd w:val="clear" w:color="auto" w:fill="auto"/>
            <w:vAlign w:val="center"/>
          </w:tcPr>
          <w:p w14:paraId="425604B3" w14:textId="59D46F9F" w:rsidR="008F4DD0" w:rsidRDefault="008F4DD0">
            <w:r>
              <w:rPr>
                <w:rFonts w:ascii="Times New Roman" w:hAnsi="Times New Roman"/>
                <w:sz w:val="20"/>
                <w:szCs w:val="20"/>
              </w:rPr>
              <w:t>0</w:t>
            </w:r>
          </w:p>
        </w:tc>
      </w:tr>
      <w:tr w:rsidR="008F4DD0" w14:paraId="539AECA8" w14:textId="77777777" w:rsidTr="00731F36">
        <w:trPr>
          <w:cantSplit/>
          <w:trHeight w:val="232"/>
          <w:jc w:val="center"/>
        </w:trPr>
        <w:tc>
          <w:tcPr>
            <w:tcW w:w="9656" w:type="dxa"/>
            <w:gridSpan w:val="8"/>
            <w:shd w:val="clear" w:color="auto" w:fill="auto"/>
          </w:tcPr>
          <w:p w14:paraId="305F505E" w14:textId="42805D61" w:rsidR="008F4DD0" w:rsidRDefault="008F4DD0">
            <w:r>
              <w:rPr>
                <w:rFonts w:ascii="Times New Roman" w:eastAsia="Times New Roman" w:hAnsi="Times New Roman"/>
                <w:b/>
                <w:bCs/>
                <w:color w:val="000000"/>
                <w:sz w:val="20"/>
                <w:szCs w:val="20"/>
                <w:lang w:eastAsia="ru-RU"/>
              </w:rPr>
              <w:t>11. Показатели в части социальной политики</w:t>
            </w:r>
          </w:p>
        </w:tc>
      </w:tr>
      <w:tr w:rsidR="00EF1771" w14:paraId="32FB38DC" w14:textId="77777777" w:rsidTr="00731F36">
        <w:trPr>
          <w:cantSplit/>
          <w:trHeight w:val="150"/>
          <w:jc w:val="center"/>
        </w:trPr>
        <w:tc>
          <w:tcPr>
            <w:tcW w:w="4098" w:type="dxa"/>
            <w:shd w:val="clear" w:color="auto" w:fill="auto"/>
          </w:tcPr>
          <w:p w14:paraId="7975BFF2" w14:textId="77777777" w:rsidR="00EF1771" w:rsidRDefault="00EF1771">
            <w:pPr>
              <w:widowControl w:val="0"/>
              <w:spacing w:after="5" w:line="252" w:lineRule="auto"/>
              <w:jc w:val="both"/>
              <w:rPr>
                <w:rFonts w:ascii="Times New Roman" w:hAnsi="Times New Roman"/>
                <w:color w:val="000000"/>
                <w:sz w:val="20"/>
                <w:szCs w:val="20"/>
              </w:rPr>
            </w:pPr>
            <w:r>
              <w:rPr>
                <w:rFonts w:ascii="Times New Roman" w:eastAsia="Times New Roman" w:hAnsi="Times New Roman"/>
                <w:sz w:val="20"/>
                <w:szCs w:val="20"/>
                <w:lang w:eastAsia="ru-RU"/>
              </w:rPr>
              <w:t>Число работников, удостоенных государственных наград</w:t>
            </w:r>
          </w:p>
        </w:tc>
        <w:tc>
          <w:tcPr>
            <w:tcW w:w="947" w:type="dxa"/>
            <w:shd w:val="clear" w:color="auto" w:fill="auto"/>
          </w:tcPr>
          <w:p w14:paraId="35519BBA" w14:textId="77777777" w:rsidR="00EF1771" w:rsidRDefault="00EF1771">
            <w:pPr>
              <w:tabs>
                <w:tab w:val="left" w:pos="9356"/>
              </w:tabs>
              <w:spacing w:after="0" w:line="240"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чел.</w:t>
            </w:r>
          </w:p>
        </w:tc>
        <w:tc>
          <w:tcPr>
            <w:tcW w:w="1065" w:type="dxa"/>
            <w:shd w:val="clear" w:color="auto" w:fill="auto"/>
            <w:vAlign w:val="center"/>
          </w:tcPr>
          <w:p w14:paraId="16D00F4E" w14:textId="77777777" w:rsidR="00EF1771" w:rsidRDefault="00EF1771">
            <w:pPr>
              <w:spacing w:after="0" w:line="240" w:lineRule="auto"/>
              <w:jc w:val="center"/>
              <w:rPr>
                <w:rFonts w:ascii="Cambria" w:eastAsia="Times New Roman" w:hAnsi="Cambria" w:cs="Calibri"/>
                <w:color w:val="000000"/>
                <w:sz w:val="20"/>
                <w:szCs w:val="20"/>
                <w:lang w:eastAsia="ru-RU"/>
              </w:rPr>
            </w:pPr>
            <w:r>
              <w:rPr>
                <w:rFonts w:ascii="Cambria" w:hAnsi="Cambria" w:cs="Calibri"/>
                <w:color w:val="000000"/>
                <w:sz w:val="20"/>
                <w:szCs w:val="20"/>
              </w:rPr>
              <w:t>0</w:t>
            </w:r>
          </w:p>
        </w:tc>
        <w:tc>
          <w:tcPr>
            <w:tcW w:w="951" w:type="dxa"/>
            <w:gridSpan w:val="3"/>
            <w:shd w:val="clear" w:color="auto" w:fill="auto"/>
            <w:vAlign w:val="center"/>
          </w:tcPr>
          <w:p w14:paraId="46E7E9EB" w14:textId="77777777" w:rsidR="00EF1771" w:rsidRDefault="00EF1771">
            <w:pPr>
              <w:jc w:val="center"/>
              <w:rPr>
                <w:rFonts w:ascii="Cambria" w:hAnsi="Cambria" w:cs="Calibri"/>
                <w:color w:val="000000"/>
                <w:sz w:val="20"/>
                <w:szCs w:val="20"/>
              </w:rPr>
            </w:pPr>
            <w:r>
              <w:rPr>
                <w:rFonts w:ascii="Cambria" w:hAnsi="Cambria" w:cs="Calibri"/>
                <w:color w:val="000000"/>
                <w:sz w:val="20"/>
                <w:szCs w:val="20"/>
              </w:rPr>
              <w:t>2</w:t>
            </w:r>
          </w:p>
        </w:tc>
        <w:tc>
          <w:tcPr>
            <w:tcW w:w="939" w:type="dxa"/>
            <w:shd w:val="clear" w:color="auto" w:fill="auto"/>
            <w:vAlign w:val="center"/>
          </w:tcPr>
          <w:p w14:paraId="4A05BA42" w14:textId="77777777" w:rsidR="00EF1771" w:rsidRDefault="00EF1771">
            <w:pPr>
              <w:jc w:val="center"/>
              <w:rPr>
                <w:rFonts w:ascii="Cambria" w:hAnsi="Cambria" w:cs="Calibri"/>
                <w:color w:val="000000"/>
                <w:sz w:val="20"/>
                <w:szCs w:val="20"/>
              </w:rPr>
            </w:pPr>
            <w:r>
              <w:rPr>
                <w:rFonts w:ascii="Cambria" w:hAnsi="Cambria" w:cs="Calibri"/>
                <w:color w:val="000000"/>
                <w:sz w:val="20"/>
                <w:szCs w:val="20"/>
              </w:rPr>
              <w:t>0</w:t>
            </w:r>
          </w:p>
        </w:tc>
        <w:tc>
          <w:tcPr>
            <w:tcW w:w="1656" w:type="dxa"/>
            <w:shd w:val="clear" w:color="auto" w:fill="auto"/>
            <w:vAlign w:val="center"/>
          </w:tcPr>
          <w:p w14:paraId="273EE59B" w14:textId="22319919" w:rsidR="00EF1771" w:rsidRDefault="00EF1771">
            <w:r>
              <w:rPr>
                <w:rFonts w:ascii="Times New Roman" w:hAnsi="Times New Roman"/>
                <w:color w:val="000000"/>
                <w:sz w:val="20"/>
                <w:szCs w:val="20"/>
              </w:rPr>
              <w:t>0</w:t>
            </w:r>
          </w:p>
        </w:tc>
      </w:tr>
      <w:tr w:rsidR="00EF1771" w14:paraId="1630AA44" w14:textId="77777777" w:rsidTr="00731F36">
        <w:trPr>
          <w:cantSplit/>
          <w:trHeight w:val="150"/>
          <w:jc w:val="center"/>
        </w:trPr>
        <w:tc>
          <w:tcPr>
            <w:tcW w:w="4098" w:type="dxa"/>
            <w:shd w:val="clear" w:color="auto" w:fill="auto"/>
          </w:tcPr>
          <w:p w14:paraId="6AC129AF" w14:textId="77777777" w:rsidR="00EF1771" w:rsidRDefault="00EF1771">
            <w:pPr>
              <w:widowControl w:val="0"/>
              <w:spacing w:after="5" w:line="252" w:lineRule="auto"/>
              <w:jc w:val="both"/>
              <w:rPr>
                <w:rFonts w:ascii="Times New Roman" w:hAnsi="Times New Roman"/>
                <w:color w:val="000000"/>
                <w:sz w:val="20"/>
                <w:szCs w:val="20"/>
              </w:rPr>
            </w:pPr>
            <w:r>
              <w:rPr>
                <w:rFonts w:ascii="Times New Roman" w:eastAsia="Times New Roman" w:hAnsi="Times New Roman"/>
                <w:sz w:val="20"/>
                <w:szCs w:val="20"/>
                <w:lang w:eastAsia="ru-RU"/>
              </w:rPr>
              <w:t>Число работников, удостоенных поощрений Президента Российской Федерации и поощрений Правительства Российской Федерации</w:t>
            </w:r>
          </w:p>
        </w:tc>
        <w:tc>
          <w:tcPr>
            <w:tcW w:w="947" w:type="dxa"/>
            <w:shd w:val="clear" w:color="auto" w:fill="auto"/>
          </w:tcPr>
          <w:p w14:paraId="0F690FA5" w14:textId="77777777" w:rsidR="00EF1771" w:rsidRDefault="00EF1771">
            <w:pPr>
              <w:tabs>
                <w:tab w:val="left" w:pos="9356"/>
              </w:tabs>
              <w:spacing w:after="0" w:line="240"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чел.</w:t>
            </w:r>
          </w:p>
        </w:tc>
        <w:tc>
          <w:tcPr>
            <w:tcW w:w="1065" w:type="dxa"/>
            <w:shd w:val="clear" w:color="auto" w:fill="auto"/>
            <w:vAlign w:val="center"/>
          </w:tcPr>
          <w:p w14:paraId="4C89E417" w14:textId="77777777" w:rsidR="00EF1771" w:rsidRDefault="00EF1771">
            <w:pPr>
              <w:jc w:val="center"/>
              <w:rPr>
                <w:rFonts w:ascii="Cambria" w:hAnsi="Cambria" w:cs="Calibri"/>
                <w:color w:val="000000"/>
                <w:sz w:val="20"/>
                <w:szCs w:val="20"/>
              </w:rPr>
            </w:pPr>
            <w:r>
              <w:rPr>
                <w:rFonts w:ascii="Cambria" w:hAnsi="Cambria" w:cs="Calibri"/>
                <w:color w:val="000000"/>
                <w:sz w:val="20"/>
                <w:szCs w:val="20"/>
              </w:rPr>
              <w:t>1</w:t>
            </w:r>
          </w:p>
        </w:tc>
        <w:tc>
          <w:tcPr>
            <w:tcW w:w="951" w:type="dxa"/>
            <w:gridSpan w:val="3"/>
            <w:shd w:val="clear" w:color="auto" w:fill="auto"/>
            <w:vAlign w:val="center"/>
          </w:tcPr>
          <w:p w14:paraId="61001434" w14:textId="77777777" w:rsidR="00EF1771" w:rsidRDefault="00EF1771">
            <w:pPr>
              <w:jc w:val="center"/>
              <w:rPr>
                <w:rFonts w:ascii="Cambria" w:hAnsi="Cambria" w:cs="Calibri"/>
                <w:color w:val="000000"/>
                <w:sz w:val="20"/>
                <w:szCs w:val="20"/>
              </w:rPr>
            </w:pPr>
            <w:r>
              <w:rPr>
                <w:rFonts w:ascii="Cambria" w:hAnsi="Cambria" w:cs="Calibri"/>
                <w:color w:val="000000"/>
                <w:sz w:val="20"/>
                <w:szCs w:val="20"/>
              </w:rPr>
              <w:t>0</w:t>
            </w:r>
          </w:p>
        </w:tc>
        <w:tc>
          <w:tcPr>
            <w:tcW w:w="939" w:type="dxa"/>
            <w:shd w:val="clear" w:color="auto" w:fill="auto"/>
            <w:vAlign w:val="center"/>
          </w:tcPr>
          <w:p w14:paraId="5B140487" w14:textId="77777777" w:rsidR="00EF1771" w:rsidRDefault="00EF1771">
            <w:pPr>
              <w:jc w:val="center"/>
              <w:rPr>
                <w:rFonts w:ascii="Cambria" w:hAnsi="Cambria" w:cs="Calibri"/>
                <w:color w:val="000000"/>
                <w:sz w:val="20"/>
                <w:szCs w:val="20"/>
              </w:rPr>
            </w:pPr>
            <w:r>
              <w:rPr>
                <w:rFonts w:ascii="Cambria" w:hAnsi="Cambria" w:cs="Calibri"/>
                <w:color w:val="000000"/>
                <w:sz w:val="20"/>
                <w:szCs w:val="20"/>
              </w:rPr>
              <w:t>0</w:t>
            </w:r>
          </w:p>
        </w:tc>
        <w:tc>
          <w:tcPr>
            <w:tcW w:w="1656" w:type="dxa"/>
            <w:shd w:val="clear" w:color="auto" w:fill="auto"/>
            <w:vAlign w:val="center"/>
          </w:tcPr>
          <w:p w14:paraId="091C1A7C" w14:textId="2C4DE641" w:rsidR="00EF1771" w:rsidRDefault="00EF1771">
            <w:r>
              <w:rPr>
                <w:rFonts w:ascii="Times New Roman" w:hAnsi="Times New Roman"/>
                <w:color w:val="000000"/>
                <w:sz w:val="20"/>
                <w:szCs w:val="20"/>
              </w:rPr>
              <w:t>0</w:t>
            </w:r>
          </w:p>
        </w:tc>
      </w:tr>
      <w:tr w:rsidR="00EF1771" w14:paraId="4B9AA4F1" w14:textId="77777777" w:rsidTr="00731F36">
        <w:trPr>
          <w:cantSplit/>
          <w:trHeight w:val="165"/>
          <w:jc w:val="center"/>
        </w:trPr>
        <w:tc>
          <w:tcPr>
            <w:tcW w:w="4098" w:type="dxa"/>
            <w:shd w:val="clear" w:color="auto" w:fill="auto"/>
          </w:tcPr>
          <w:p w14:paraId="6400B46A" w14:textId="77777777" w:rsidR="00EF1771" w:rsidRDefault="00EF1771">
            <w:pPr>
              <w:widowControl w:val="0"/>
              <w:spacing w:after="5" w:line="252" w:lineRule="auto"/>
              <w:jc w:val="both"/>
              <w:rPr>
                <w:rFonts w:ascii="Times New Roman" w:hAnsi="Times New Roman"/>
                <w:color w:val="000000"/>
                <w:sz w:val="20"/>
                <w:szCs w:val="20"/>
              </w:rPr>
            </w:pPr>
            <w:r>
              <w:rPr>
                <w:rFonts w:ascii="Times New Roman" w:eastAsia="Times New Roman" w:hAnsi="Times New Roman"/>
                <w:sz w:val="20"/>
                <w:szCs w:val="20"/>
                <w:lang w:eastAsia="ru-RU"/>
              </w:rPr>
              <w:t>Число работников, удостоенных ведомственных наград Минэнерго России</w:t>
            </w:r>
          </w:p>
        </w:tc>
        <w:tc>
          <w:tcPr>
            <w:tcW w:w="947" w:type="dxa"/>
            <w:shd w:val="clear" w:color="auto" w:fill="auto"/>
          </w:tcPr>
          <w:p w14:paraId="0A162BD1" w14:textId="77777777" w:rsidR="00EF1771" w:rsidRDefault="00EF1771">
            <w:pPr>
              <w:tabs>
                <w:tab w:val="left" w:pos="9356"/>
              </w:tabs>
              <w:spacing w:after="0" w:line="240"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чел.</w:t>
            </w:r>
          </w:p>
        </w:tc>
        <w:tc>
          <w:tcPr>
            <w:tcW w:w="1065" w:type="dxa"/>
            <w:shd w:val="clear" w:color="auto" w:fill="auto"/>
            <w:vAlign w:val="center"/>
          </w:tcPr>
          <w:p w14:paraId="0F9B9438" w14:textId="77777777" w:rsidR="00EF1771" w:rsidRDefault="00EF1771">
            <w:pPr>
              <w:jc w:val="center"/>
              <w:rPr>
                <w:rFonts w:ascii="Cambria" w:hAnsi="Cambria" w:cs="Calibri"/>
                <w:color w:val="000000"/>
                <w:sz w:val="20"/>
                <w:szCs w:val="20"/>
              </w:rPr>
            </w:pPr>
            <w:r>
              <w:rPr>
                <w:rFonts w:ascii="Cambria" w:hAnsi="Cambria" w:cs="Calibri"/>
                <w:color w:val="000000"/>
                <w:sz w:val="20"/>
                <w:szCs w:val="20"/>
              </w:rPr>
              <w:t>67</w:t>
            </w:r>
          </w:p>
        </w:tc>
        <w:tc>
          <w:tcPr>
            <w:tcW w:w="951" w:type="dxa"/>
            <w:gridSpan w:val="3"/>
            <w:shd w:val="clear" w:color="auto" w:fill="auto"/>
            <w:vAlign w:val="center"/>
          </w:tcPr>
          <w:p w14:paraId="5E91F106" w14:textId="77777777" w:rsidR="00EF1771" w:rsidRDefault="00EF1771">
            <w:pPr>
              <w:jc w:val="center"/>
              <w:rPr>
                <w:rFonts w:ascii="Cambria" w:hAnsi="Cambria" w:cs="Calibri"/>
                <w:color w:val="000000"/>
                <w:sz w:val="20"/>
                <w:szCs w:val="20"/>
              </w:rPr>
            </w:pPr>
            <w:r>
              <w:rPr>
                <w:rFonts w:ascii="Cambria" w:hAnsi="Cambria" w:cs="Calibri"/>
                <w:color w:val="000000"/>
                <w:sz w:val="20"/>
                <w:szCs w:val="20"/>
              </w:rPr>
              <w:t>61</w:t>
            </w:r>
          </w:p>
        </w:tc>
        <w:tc>
          <w:tcPr>
            <w:tcW w:w="939" w:type="dxa"/>
            <w:shd w:val="clear" w:color="auto" w:fill="auto"/>
            <w:vAlign w:val="center"/>
          </w:tcPr>
          <w:p w14:paraId="1FD8545D" w14:textId="77777777" w:rsidR="00EF1771" w:rsidRDefault="00EF1771">
            <w:pPr>
              <w:jc w:val="center"/>
              <w:rPr>
                <w:rFonts w:ascii="Cambria" w:hAnsi="Cambria" w:cs="Calibri"/>
                <w:color w:val="000000"/>
                <w:sz w:val="20"/>
                <w:szCs w:val="20"/>
              </w:rPr>
            </w:pPr>
            <w:r>
              <w:rPr>
                <w:rFonts w:ascii="Cambria" w:hAnsi="Cambria" w:cs="Calibri"/>
                <w:color w:val="000000"/>
                <w:sz w:val="20"/>
                <w:szCs w:val="20"/>
              </w:rPr>
              <w:t>66</w:t>
            </w:r>
          </w:p>
        </w:tc>
        <w:tc>
          <w:tcPr>
            <w:tcW w:w="1656" w:type="dxa"/>
            <w:shd w:val="clear" w:color="auto" w:fill="auto"/>
            <w:vAlign w:val="center"/>
          </w:tcPr>
          <w:p w14:paraId="6BE85891" w14:textId="5DE48D9A" w:rsidR="00EF1771" w:rsidRDefault="00EF1771">
            <w:r>
              <w:rPr>
                <w:rFonts w:ascii="Times New Roman" w:hAnsi="Times New Roman"/>
                <w:color w:val="000000"/>
                <w:sz w:val="20"/>
                <w:szCs w:val="20"/>
              </w:rPr>
              <w:t>108%</w:t>
            </w:r>
          </w:p>
        </w:tc>
      </w:tr>
      <w:tr w:rsidR="00EF1771" w14:paraId="6EF299E8" w14:textId="77777777" w:rsidTr="00731F36">
        <w:trPr>
          <w:cantSplit/>
          <w:trHeight w:val="165"/>
          <w:jc w:val="center"/>
        </w:trPr>
        <w:tc>
          <w:tcPr>
            <w:tcW w:w="4098" w:type="dxa"/>
            <w:shd w:val="clear" w:color="auto" w:fill="auto"/>
          </w:tcPr>
          <w:p w14:paraId="06B68B8B" w14:textId="77777777" w:rsidR="00EF1771" w:rsidRDefault="00EF1771">
            <w:pPr>
              <w:widowControl w:val="0"/>
              <w:spacing w:after="5" w:line="252" w:lineRule="auto"/>
              <w:jc w:val="both"/>
              <w:rPr>
                <w:rFonts w:ascii="Times New Roman" w:hAnsi="Times New Roman"/>
                <w:color w:val="000000"/>
                <w:sz w:val="20"/>
                <w:szCs w:val="20"/>
              </w:rPr>
            </w:pPr>
            <w:r>
              <w:rPr>
                <w:rFonts w:ascii="Times New Roman" w:eastAsia="Times New Roman" w:hAnsi="Times New Roman"/>
                <w:sz w:val="20"/>
                <w:szCs w:val="20"/>
                <w:lang w:eastAsia="ru-RU"/>
              </w:rPr>
              <w:t>Число работников, удостоенных отраслевых наград</w:t>
            </w:r>
          </w:p>
        </w:tc>
        <w:tc>
          <w:tcPr>
            <w:tcW w:w="947" w:type="dxa"/>
            <w:shd w:val="clear" w:color="auto" w:fill="auto"/>
          </w:tcPr>
          <w:p w14:paraId="24140CBE" w14:textId="77777777" w:rsidR="00EF1771" w:rsidRDefault="00EF1771">
            <w:pPr>
              <w:tabs>
                <w:tab w:val="left" w:pos="9356"/>
              </w:tabs>
              <w:spacing w:after="0" w:line="240"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чел.</w:t>
            </w:r>
          </w:p>
        </w:tc>
        <w:tc>
          <w:tcPr>
            <w:tcW w:w="1065" w:type="dxa"/>
            <w:shd w:val="clear" w:color="auto" w:fill="auto"/>
            <w:vAlign w:val="center"/>
          </w:tcPr>
          <w:p w14:paraId="3039A62C" w14:textId="77777777" w:rsidR="00EF1771" w:rsidRDefault="00EF1771">
            <w:pPr>
              <w:jc w:val="center"/>
              <w:rPr>
                <w:rFonts w:ascii="Cambria" w:hAnsi="Cambria" w:cs="Calibri"/>
                <w:color w:val="000000"/>
                <w:sz w:val="20"/>
                <w:szCs w:val="20"/>
              </w:rPr>
            </w:pPr>
            <w:r>
              <w:rPr>
                <w:rFonts w:ascii="Cambria" w:hAnsi="Cambria" w:cs="Calibri"/>
                <w:color w:val="000000"/>
                <w:sz w:val="20"/>
                <w:szCs w:val="20"/>
              </w:rPr>
              <w:t>90</w:t>
            </w:r>
          </w:p>
        </w:tc>
        <w:tc>
          <w:tcPr>
            <w:tcW w:w="951" w:type="dxa"/>
            <w:gridSpan w:val="3"/>
            <w:shd w:val="clear" w:color="auto" w:fill="auto"/>
            <w:vAlign w:val="center"/>
          </w:tcPr>
          <w:p w14:paraId="2EA8B4F6" w14:textId="77777777" w:rsidR="00EF1771" w:rsidRDefault="00EF1771">
            <w:pPr>
              <w:jc w:val="center"/>
              <w:rPr>
                <w:rFonts w:ascii="Cambria" w:hAnsi="Cambria" w:cs="Calibri"/>
                <w:color w:val="000000"/>
                <w:sz w:val="20"/>
                <w:szCs w:val="20"/>
              </w:rPr>
            </w:pPr>
            <w:r>
              <w:rPr>
                <w:rFonts w:ascii="Cambria" w:hAnsi="Cambria" w:cs="Calibri"/>
                <w:color w:val="000000"/>
                <w:sz w:val="20"/>
                <w:szCs w:val="20"/>
              </w:rPr>
              <w:t>63</w:t>
            </w:r>
          </w:p>
        </w:tc>
        <w:tc>
          <w:tcPr>
            <w:tcW w:w="939" w:type="dxa"/>
            <w:shd w:val="clear" w:color="auto" w:fill="auto"/>
            <w:vAlign w:val="center"/>
          </w:tcPr>
          <w:p w14:paraId="19330614" w14:textId="77777777" w:rsidR="00EF1771" w:rsidRDefault="00EF1771">
            <w:pPr>
              <w:jc w:val="center"/>
              <w:rPr>
                <w:rFonts w:ascii="Cambria" w:hAnsi="Cambria" w:cs="Calibri"/>
                <w:color w:val="000000"/>
                <w:sz w:val="20"/>
                <w:szCs w:val="20"/>
              </w:rPr>
            </w:pPr>
            <w:r>
              <w:rPr>
                <w:rFonts w:ascii="Cambria" w:hAnsi="Cambria" w:cs="Calibri"/>
                <w:color w:val="000000"/>
                <w:sz w:val="20"/>
                <w:szCs w:val="20"/>
              </w:rPr>
              <w:t>73</w:t>
            </w:r>
          </w:p>
        </w:tc>
        <w:tc>
          <w:tcPr>
            <w:tcW w:w="1656" w:type="dxa"/>
            <w:shd w:val="clear" w:color="auto" w:fill="auto"/>
            <w:vAlign w:val="center"/>
          </w:tcPr>
          <w:p w14:paraId="080CD275" w14:textId="0099C13A" w:rsidR="00EF1771" w:rsidRDefault="00EF1771">
            <w:r>
              <w:rPr>
                <w:rFonts w:ascii="Times New Roman" w:hAnsi="Times New Roman"/>
                <w:color w:val="000000"/>
                <w:sz w:val="20"/>
                <w:szCs w:val="20"/>
              </w:rPr>
              <w:t>116%</w:t>
            </w:r>
          </w:p>
        </w:tc>
      </w:tr>
      <w:tr w:rsidR="00EF1771" w14:paraId="0795F928" w14:textId="77777777" w:rsidTr="00731F36">
        <w:trPr>
          <w:cantSplit/>
          <w:trHeight w:val="300"/>
          <w:jc w:val="center"/>
        </w:trPr>
        <w:tc>
          <w:tcPr>
            <w:tcW w:w="4098" w:type="dxa"/>
            <w:shd w:val="clear" w:color="auto" w:fill="auto"/>
          </w:tcPr>
          <w:p w14:paraId="6C075D74" w14:textId="77777777" w:rsidR="00EF1771" w:rsidRDefault="00EF1771">
            <w:pPr>
              <w:widowControl w:val="0"/>
              <w:spacing w:after="5" w:line="252" w:lineRule="auto"/>
              <w:jc w:val="both"/>
              <w:rPr>
                <w:rFonts w:ascii="Times New Roman" w:hAnsi="Times New Roman"/>
                <w:color w:val="000000"/>
                <w:sz w:val="20"/>
                <w:szCs w:val="20"/>
              </w:rPr>
            </w:pPr>
            <w:r>
              <w:rPr>
                <w:rFonts w:ascii="Times New Roman" w:eastAsia="Times New Roman" w:hAnsi="Times New Roman"/>
                <w:sz w:val="20"/>
                <w:szCs w:val="20"/>
                <w:lang w:eastAsia="ru-RU"/>
              </w:rPr>
              <w:t>Число работников, удостоенных корпоративных наград</w:t>
            </w:r>
          </w:p>
        </w:tc>
        <w:tc>
          <w:tcPr>
            <w:tcW w:w="947" w:type="dxa"/>
            <w:shd w:val="clear" w:color="auto" w:fill="auto"/>
          </w:tcPr>
          <w:p w14:paraId="719914DD" w14:textId="77777777" w:rsidR="00EF1771" w:rsidRDefault="00EF1771">
            <w:pPr>
              <w:tabs>
                <w:tab w:val="left" w:pos="9356"/>
              </w:tabs>
              <w:spacing w:after="0" w:line="240"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чел.</w:t>
            </w:r>
          </w:p>
        </w:tc>
        <w:tc>
          <w:tcPr>
            <w:tcW w:w="1065" w:type="dxa"/>
            <w:shd w:val="clear" w:color="auto" w:fill="auto"/>
            <w:vAlign w:val="center"/>
          </w:tcPr>
          <w:p w14:paraId="18C24784" w14:textId="77777777" w:rsidR="00EF1771" w:rsidRDefault="00EF1771">
            <w:pPr>
              <w:jc w:val="center"/>
              <w:rPr>
                <w:rFonts w:ascii="Cambria" w:hAnsi="Cambria" w:cs="Calibri"/>
                <w:color w:val="000000"/>
                <w:sz w:val="20"/>
                <w:szCs w:val="20"/>
              </w:rPr>
            </w:pPr>
            <w:r>
              <w:rPr>
                <w:rFonts w:ascii="Cambria" w:hAnsi="Cambria" w:cs="Calibri"/>
                <w:color w:val="000000"/>
                <w:sz w:val="20"/>
                <w:szCs w:val="20"/>
              </w:rPr>
              <w:t>946</w:t>
            </w:r>
          </w:p>
        </w:tc>
        <w:tc>
          <w:tcPr>
            <w:tcW w:w="951" w:type="dxa"/>
            <w:gridSpan w:val="3"/>
            <w:shd w:val="clear" w:color="auto" w:fill="auto"/>
            <w:vAlign w:val="center"/>
          </w:tcPr>
          <w:p w14:paraId="703E55B6" w14:textId="77777777" w:rsidR="00EF1771" w:rsidRDefault="00EF1771">
            <w:pPr>
              <w:jc w:val="center"/>
              <w:rPr>
                <w:rFonts w:ascii="Cambria" w:hAnsi="Cambria" w:cs="Calibri"/>
                <w:color w:val="000000"/>
                <w:sz w:val="20"/>
                <w:szCs w:val="20"/>
              </w:rPr>
            </w:pPr>
            <w:r>
              <w:rPr>
                <w:rFonts w:ascii="Cambria" w:hAnsi="Cambria" w:cs="Calibri"/>
                <w:color w:val="000000"/>
                <w:sz w:val="20"/>
                <w:szCs w:val="20"/>
              </w:rPr>
              <w:t>702</w:t>
            </w:r>
          </w:p>
        </w:tc>
        <w:tc>
          <w:tcPr>
            <w:tcW w:w="939" w:type="dxa"/>
            <w:shd w:val="clear" w:color="auto" w:fill="auto"/>
            <w:vAlign w:val="center"/>
          </w:tcPr>
          <w:p w14:paraId="226B2141" w14:textId="77777777" w:rsidR="00EF1771" w:rsidRDefault="00EF1771">
            <w:pPr>
              <w:jc w:val="center"/>
              <w:rPr>
                <w:rFonts w:ascii="Cambria" w:hAnsi="Cambria" w:cs="Calibri"/>
                <w:color w:val="000000"/>
                <w:sz w:val="20"/>
                <w:szCs w:val="20"/>
              </w:rPr>
            </w:pPr>
            <w:r>
              <w:rPr>
                <w:rFonts w:ascii="Cambria" w:hAnsi="Cambria" w:cs="Calibri"/>
                <w:color w:val="000000"/>
                <w:sz w:val="20"/>
                <w:szCs w:val="20"/>
              </w:rPr>
              <w:t>1125</w:t>
            </w:r>
          </w:p>
        </w:tc>
        <w:tc>
          <w:tcPr>
            <w:tcW w:w="1656" w:type="dxa"/>
            <w:shd w:val="clear" w:color="auto" w:fill="auto"/>
            <w:vAlign w:val="center"/>
          </w:tcPr>
          <w:p w14:paraId="4AFA8390" w14:textId="2BC4BEF7" w:rsidR="00EF1771" w:rsidRDefault="00EF1771">
            <w:r>
              <w:rPr>
                <w:rFonts w:ascii="Times New Roman" w:hAnsi="Times New Roman"/>
                <w:color w:val="000000"/>
                <w:sz w:val="20"/>
                <w:szCs w:val="20"/>
              </w:rPr>
              <w:t>160%</w:t>
            </w:r>
          </w:p>
        </w:tc>
      </w:tr>
      <w:tr w:rsidR="00EF1771" w14:paraId="39D0BB30" w14:textId="77777777" w:rsidTr="00731F36">
        <w:trPr>
          <w:cantSplit/>
          <w:trHeight w:val="70"/>
          <w:jc w:val="center"/>
        </w:trPr>
        <w:tc>
          <w:tcPr>
            <w:tcW w:w="9656" w:type="dxa"/>
            <w:gridSpan w:val="8"/>
            <w:shd w:val="clear" w:color="auto" w:fill="auto"/>
          </w:tcPr>
          <w:p w14:paraId="2DB953CD" w14:textId="728E36C0" w:rsidR="00EF1771" w:rsidRDefault="00EF1771">
            <w:r>
              <w:rPr>
                <w:rFonts w:ascii="Times New Roman" w:eastAsia="Times New Roman" w:hAnsi="Times New Roman"/>
                <w:b/>
                <w:color w:val="000000"/>
                <w:sz w:val="20"/>
                <w:szCs w:val="20"/>
                <w:lang w:eastAsia="ru-RU"/>
              </w:rPr>
              <w:t>12. Обучение и развитие персонала</w:t>
            </w:r>
          </w:p>
        </w:tc>
      </w:tr>
      <w:tr w:rsidR="00EF1771" w14:paraId="68232597" w14:textId="77777777" w:rsidTr="00731F36">
        <w:trPr>
          <w:cantSplit/>
          <w:trHeight w:val="58"/>
          <w:jc w:val="center"/>
        </w:trPr>
        <w:tc>
          <w:tcPr>
            <w:tcW w:w="4098" w:type="dxa"/>
          </w:tcPr>
          <w:p w14:paraId="17A9E081" w14:textId="77777777" w:rsidR="00EF1771" w:rsidRDefault="00EF1771">
            <w:pPr>
              <w:tabs>
                <w:tab w:val="left" w:pos="9356"/>
              </w:tabs>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Численность работников, принявших участие в образовательных программах с отрывом от работы / соотношение к ССЧ</w:t>
            </w:r>
          </w:p>
        </w:tc>
        <w:tc>
          <w:tcPr>
            <w:tcW w:w="947" w:type="dxa"/>
          </w:tcPr>
          <w:p w14:paraId="6B1673F3" w14:textId="77777777" w:rsidR="00EF1771" w:rsidRDefault="00EF1771">
            <w:pPr>
              <w:widowControl w:val="0"/>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чел.-курс., %,</w:t>
            </w:r>
          </w:p>
        </w:tc>
        <w:tc>
          <w:tcPr>
            <w:tcW w:w="1071" w:type="dxa"/>
            <w:gridSpan w:val="2"/>
            <w:shd w:val="clear" w:color="auto" w:fill="auto"/>
          </w:tcPr>
          <w:p w14:paraId="576B2F3B"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10565</w:t>
            </w:r>
          </w:p>
          <w:p w14:paraId="45FFD14F"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77,3</w:t>
            </w:r>
          </w:p>
        </w:tc>
        <w:tc>
          <w:tcPr>
            <w:tcW w:w="936" w:type="dxa"/>
            <w:shd w:val="clear" w:color="auto" w:fill="auto"/>
          </w:tcPr>
          <w:p w14:paraId="020DAC9A"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8337</w:t>
            </w:r>
          </w:p>
          <w:p w14:paraId="61A34ECF"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61,5</w:t>
            </w:r>
          </w:p>
        </w:tc>
        <w:tc>
          <w:tcPr>
            <w:tcW w:w="948" w:type="dxa"/>
            <w:gridSpan w:val="2"/>
            <w:shd w:val="clear" w:color="auto" w:fill="auto"/>
          </w:tcPr>
          <w:p w14:paraId="51134440"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13114</w:t>
            </w:r>
          </w:p>
          <w:p w14:paraId="6B2E2F0D"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101,2</w:t>
            </w:r>
          </w:p>
        </w:tc>
        <w:tc>
          <w:tcPr>
            <w:tcW w:w="1656" w:type="dxa"/>
            <w:shd w:val="clear" w:color="auto" w:fill="auto"/>
          </w:tcPr>
          <w:p w14:paraId="57AB77E3" w14:textId="22601B74" w:rsidR="00EF1771" w:rsidRDefault="00EF1771">
            <w:r>
              <w:rPr>
                <w:rFonts w:ascii="Times New Roman" w:eastAsia="Times New Roman" w:hAnsi="Times New Roman"/>
                <w:bCs/>
                <w:color w:val="000000"/>
                <w:sz w:val="20"/>
                <w:szCs w:val="20"/>
                <w:lang w:eastAsia="ru-RU"/>
              </w:rPr>
              <w:t>157,3</w:t>
            </w:r>
          </w:p>
        </w:tc>
      </w:tr>
      <w:tr w:rsidR="00EF1771" w14:paraId="046FCFA9" w14:textId="77777777" w:rsidTr="00731F36">
        <w:trPr>
          <w:cantSplit/>
          <w:trHeight w:val="58"/>
          <w:jc w:val="center"/>
        </w:trPr>
        <w:tc>
          <w:tcPr>
            <w:tcW w:w="4098" w:type="dxa"/>
          </w:tcPr>
          <w:p w14:paraId="276601CD" w14:textId="77777777" w:rsidR="00EF1771" w:rsidRDefault="00EF1771">
            <w:pPr>
              <w:tabs>
                <w:tab w:val="left" w:pos="9356"/>
              </w:tabs>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в том числе по направлениям охраны труда и промышленной безопасности / соотношение к ССЧ</w:t>
            </w:r>
          </w:p>
        </w:tc>
        <w:tc>
          <w:tcPr>
            <w:tcW w:w="947" w:type="dxa"/>
          </w:tcPr>
          <w:p w14:paraId="0F5FD730" w14:textId="77777777" w:rsidR="00EF1771" w:rsidRDefault="00EF1771">
            <w:pPr>
              <w:widowControl w:val="0"/>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чел.-курс., %,</w:t>
            </w:r>
          </w:p>
        </w:tc>
        <w:tc>
          <w:tcPr>
            <w:tcW w:w="1071" w:type="dxa"/>
            <w:gridSpan w:val="2"/>
            <w:shd w:val="clear" w:color="auto" w:fill="auto"/>
          </w:tcPr>
          <w:p w14:paraId="6ACF0B60"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4446</w:t>
            </w:r>
          </w:p>
          <w:p w14:paraId="23F451E5"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32,5</w:t>
            </w:r>
          </w:p>
        </w:tc>
        <w:tc>
          <w:tcPr>
            <w:tcW w:w="936" w:type="dxa"/>
            <w:shd w:val="clear" w:color="auto" w:fill="auto"/>
          </w:tcPr>
          <w:p w14:paraId="6EF686F2"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2510</w:t>
            </w:r>
          </w:p>
          <w:p w14:paraId="02A3DA12"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18,5</w:t>
            </w:r>
          </w:p>
        </w:tc>
        <w:tc>
          <w:tcPr>
            <w:tcW w:w="948" w:type="dxa"/>
            <w:gridSpan w:val="2"/>
            <w:shd w:val="clear" w:color="auto" w:fill="auto"/>
          </w:tcPr>
          <w:p w14:paraId="62F1843B"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9026</w:t>
            </w:r>
          </w:p>
          <w:p w14:paraId="666AC544"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69,7</w:t>
            </w:r>
          </w:p>
        </w:tc>
        <w:tc>
          <w:tcPr>
            <w:tcW w:w="1656" w:type="dxa"/>
            <w:shd w:val="clear" w:color="auto" w:fill="auto"/>
          </w:tcPr>
          <w:p w14:paraId="66CDE8FB" w14:textId="7A1FDDD6" w:rsidR="00EF1771" w:rsidRDefault="00EF1771">
            <w:r>
              <w:rPr>
                <w:rFonts w:ascii="Times New Roman" w:eastAsia="Times New Roman" w:hAnsi="Times New Roman"/>
                <w:bCs/>
                <w:color w:val="000000"/>
                <w:sz w:val="20"/>
                <w:szCs w:val="20"/>
                <w:lang w:eastAsia="ru-RU"/>
              </w:rPr>
              <w:t>359,6</w:t>
            </w:r>
          </w:p>
        </w:tc>
      </w:tr>
      <w:tr w:rsidR="00EF1771" w14:paraId="60CA28D0" w14:textId="77777777" w:rsidTr="00731F36">
        <w:trPr>
          <w:cantSplit/>
          <w:trHeight w:val="58"/>
          <w:jc w:val="center"/>
        </w:trPr>
        <w:tc>
          <w:tcPr>
            <w:tcW w:w="4098" w:type="dxa"/>
          </w:tcPr>
          <w:p w14:paraId="507E3E24" w14:textId="77777777" w:rsidR="00EF1771" w:rsidRDefault="00EF1771">
            <w:pPr>
              <w:tabs>
                <w:tab w:val="left" w:pos="9356"/>
              </w:tabs>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в том числе работников, прошедших обучение на базе собственных учебных центров /  соотношение к общему числу прошедших обучение с отрывом от работы</w:t>
            </w:r>
          </w:p>
        </w:tc>
        <w:tc>
          <w:tcPr>
            <w:tcW w:w="947" w:type="dxa"/>
          </w:tcPr>
          <w:p w14:paraId="1622CA51" w14:textId="77777777" w:rsidR="00EF1771" w:rsidRDefault="00EF1771">
            <w:pPr>
              <w:widowControl w:val="0"/>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чел.-курс., %,</w:t>
            </w:r>
          </w:p>
        </w:tc>
        <w:tc>
          <w:tcPr>
            <w:tcW w:w="1071" w:type="dxa"/>
            <w:gridSpan w:val="2"/>
            <w:shd w:val="clear" w:color="auto" w:fill="auto"/>
          </w:tcPr>
          <w:p w14:paraId="4FB833BB"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8889</w:t>
            </w:r>
          </w:p>
          <w:p w14:paraId="68A57083"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84,1</w:t>
            </w:r>
          </w:p>
        </w:tc>
        <w:tc>
          <w:tcPr>
            <w:tcW w:w="936" w:type="dxa"/>
            <w:shd w:val="clear" w:color="auto" w:fill="auto"/>
          </w:tcPr>
          <w:p w14:paraId="2DDA3ACA"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7077</w:t>
            </w:r>
          </w:p>
          <w:p w14:paraId="280E321F"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84,9</w:t>
            </w:r>
          </w:p>
        </w:tc>
        <w:tc>
          <w:tcPr>
            <w:tcW w:w="948" w:type="dxa"/>
            <w:gridSpan w:val="2"/>
            <w:shd w:val="clear" w:color="auto" w:fill="auto"/>
          </w:tcPr>
          <w:p w14:paraId="43A5A7D4"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11743</w:t>
            </w:r>
          </w:p>
          <w:p w14:paraId="45243E51"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89,5</w:t>
            </w:r>
          </w:p>
        </w:tc>
        <w:tc>
          <w:tcPr>
            <w:tcW w:w="1656" w:type="dxa"/>
            <w:shd w:val="clear" w:color="auto" w:fill="auto"/>
          </w:tcPr>
          <w:p w14:paraId="312E85A7" w14:textId="625DE887" w:rsidR="00EF1771" w:rsidRDefault="00EF1771">
            <w:r>
              <w:rPr>
                <w:rFonts w:ascii="Times New Roman" w:eastAsia="Times New Roman" w:hAnsi="Times New Roman"/>
                <w:bCs/>
                <w:color w:val="000000"/>
                <w:sz w:val="20"/>
                <w:szCs w:val="20"/>
                <w:lang w:eastAsia="ru-RU"/>
              </w:rPr>
              <w:t>165,9</w:t>
            </w:r>
          </w:p>
        </w:tc>
      </w:tr>
      <w:tr w:rsidR="00EF1771" w14:paraId="253CE6D0" w14:textId="77777777" w:rsidTr="00731F36">
        <w:trPr>
          <w:cantSplit/>
          <w:trHeight w:val="58"/>
          <w:jc w:val="center"/>
        </w:trPr>
        <w:tc>
          <w:tcPr>
            <w:tcW w:w="4098" w:type="dxa"/>
          </w:tcPr>
          <w:p w14:paraId="468CA8E6" w14:textId="77777777" w:rsidR="00EF1771" w:rsidRDefault="00EF1771">
            <w:pPr>
              <w:tabs>
                <w:tab w:val="left" w:pos="9356"/>
              </w:tabs>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Численность производственного персонала, прошедшего обучение с отрывом от работы, в том числе на базе собственных учебных центров</w:t>
            </w:r>
          </w:p>
        </w:tc>
        <w:tc>
          <w:tcPr>
            <w:tcW w:w="947" w:type="dxa"/>
          </w:tcPr>
          <w:p w14:paraId="1D386AA1" w14:textId="77777777" w:rsidR="00EF1771" w:rsidRDefault="00EF1771">
            <w:pPr>
              <w:widowControl w:val="0"/>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чел.-курс./ чел.</w:t>
            </w:r>
          </w:p>
        </w:tc>
        <w:tc>
          <w:tcPr>
            <w:tcW w:w="1071" w:type="dxa"/>
            <w:gridSpan w:val="2"/>
            <w:shd w:val="clear" w:color="auto" w:fill="auto"/>
          </w:tcPr>
          <w:p w14:paraId="185F6B9F"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9564</w:t>
            </w:r>
          </w:p>
          <w:p w14:paraId="1FB07108"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8217</w:t>
            </w:r>
          </w:p>
        </w:tc>
        <w:tc>
          <w:tcPr>
            <w:tcW w:w="936" w:type="dxa"/>
            <w:shd w:val="clear" w:color="auto" w:fill="auto"/>
          </w:tcPr>
          <w:p w14:paraId="4EECF135"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7731</w:t>
            </w:r>
          </w:p>
          <w:p w14:paraId="72EE6C05"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6764</w:t>
            </w:r>
          </w:p>
        </w:tc>
        <w:tc>
          <w:tcPr>
            <w:tcW w:w="948" w:type="dxa"/>
            <w:gridSpan w:val="2"/>
            <w:shd w:val="clear" w:color="auto" w:fill="auto"/>
          </w:tcPr>
          <w:p w14:paraId="3FB2FFFE"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11891</w:t>
            </w:r>
          </w:p>
          <w:p w14:paraId="511376A2"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10867</w:t>
            </w:r>
          </w:p>
        </w:tc>
        <w:tc>
          <w:tcPr>
            <w:tcW w:w="1656" w:type="dxa"/>
            <w:shd w:val="clear" w:color="auto" w:fill="auto"/>
          </w:tcPr>
          <w:p w14:paraId="4298E79C" w14:textId="77777777" w:rsidR="00EF1771" w:rsidRDefault="00EF1771" w:rsidP="00EF1771">
            <w:pPr>
              <w:widowControl w:val="0"/>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153,8</w:t>
            </w:r>
          </w:p>
          <w:p w14:paraId="54B7AB8B" w14:textId="7EFA2043" w:rsidR="00EF1771" w:rsidRDefault="00EF1771">
            <w:r>
              <w:rPr>
                <w:rFonts w:ascii="Times New Roman" w:eastAsia="Times New Roman" w:hAnsi="Times New Roman"/>
                <w:bCs/>
                <w:color w:val="000000"/>
                <w:sz w:val="20"/>
                <w:szCs w:val="20"/>
                <w:lang w:eastAsia="ru-RU"/>
              </w:rPr>
              <w:t>160,7</w:t>
            </w:r>
          </w:p>
        </w:tc>
      </w:tr>
      <w:tr w:rsidR="00EF1771" w14:paraId="01C983ED" w14:textId="77777777" w:rsidTr="00731F36">
        <w:trPr>
          <w:cantSplit/>
          <w:trHeight w:val="58"/>
          <w:jc w:val="center"/>
        </w:trPr>
        <w:tc>
          <w:tcPr>
            <w:tcW w:w="4098" w:type="dxa"/>
          </w:tcPr>
          <w:p w14:paraId="2C6F81F2" w14:textId="77777777" w:rsidR="00EF1771" w:rsidRDefault="00EF1771">
            <w:pPr>
              <w:tabs>
                <w:tab w:val="left" w:pos="9356"/>
              </w:tabs>
              <w:spacing w:after="0" w:line="240" w:lineRule="auto"/>
              <w:ind w:left="22" w:hanging="22"/>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Распределение численности работников, принявших участие в образовательных программах с отрывом от работы по категориям (руководители, специалисты, рабочие)</w:t>
            </w:r>
          </w:p>
        </w:tc>
        <w:tc>
          <w:tcPr>
            <w:tcW w:w="947" w:type="dxa"/>
          </w:tcPr>
          <w:p w14:paraId="4CD8E639" w14:textId="77777777" w:rsidR="00EF1771" w:rsidRDefault="00EF1771">
            <w:pPr>
              <w:widowControl w:val="0"/>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 %</w:t>
            </w:r>
          </w:p>
        </w:tc>
        <w:tc>
          <w:tcPr>
            <w:tcW w:w="1071" w:type="dxa"/>
            <w:gridSpan w:val="2"/>
            <w:shd w:val="clear" w:color="auto" w:fill="auto"/>
          </w:tcPr>
          <w:p w14:paraId="3804F339" w14:textId="77777777" w:rsidR="00EF1771" w:rsidRDefault="00EF1771">
            <w:pPr>
              <w:widowControl w:val="0"/>
              <w:spacing w:after="5" w:line="252" w:lineRule="auto"/>
              <w:ind w:right="-143" w:hanging="104"/>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Рук.:44,4</w:t>
            </w:r>
          </w:p>
          <w:p w14:paraId="30F3955E" w14:textId="77777777" w:rsidR="00EF1771" w:rsidRDefault="00EF1771">
            <w:pPr>
              <w:widowControl w:val="0"/>
              <w:spacing w:after="5" w:line="252" w:lineRule="auto"/>
              <w:ind w:right="-143" w:hanging="104"/>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Спец.:16,8</w:t>
            </w:r>
          </w:p>
          <w:p w14:paraId="0BB611D1" w14:textId="77777777" w:rsidR="00EF1771" w:rsidRDefault="00EF1771">
            <w:pPr>
              <w:widowControl w:val="0"/>
              <w:spacing w:after="5" w:line="252" w:lineRule="auto"/>
              <w:ind w:right="-143" w:hanging="104"/>
              <w:jc w:val="center"/>
              <w:rPr>
                <w:rFonts w:ascii="Times New Roman" w:eastAsia="Times New Roman" w:hAnsi="Times New Roman"/>
                <w:bCs/>
                <w:color w:val="000000"/>
                <w:sz w:val="18"/>
                <w:szCs w:val="18"/>
                <w:lang w:eastAsia="ru-RU"/>
              </w:rPr>
            </w:pPr>
            <w:r>
              <w:rPr>
                <w:rFonts w:ascii="Times New Roman" w:eastAsia="Times New Roman" w:hAnsi="Times New Roman"/>
                <w:color w:val="000000"/>
                <w:sz w:val="18"/>
                <w:szCs w:val="18"/>
                <w:lang w:eastAsia="ru-RU"/>
              </w:rPr>
              <w:t>Раб.:38,8</w:t>
            </w:r>
          </w:p>
        </w:tc>
        <w:tc>
          <w:tcPr>
            <w:tcW w:w="936" w:type="dxa"/>
            <w:shd w:val="clear" w:color="auto" w:fill="auto"/>
          </w:tcPr>
          <w:p w14:paraId="62D62A28" w14:textId="77777777" w:rsidR="00EF1771" w:rsidRDefault="00EF1771">
            <w:pPr>
              <w:widowControl w:val="0"/>
              <w:spacing w:after="5" w:line="252" w:lineRule="auto"/>
              <w:ind w:right="-143" w:hanging="104"/>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Рук.:21,5</w:t>
            </w:r>
          </w:p>
          <w:p w14:paraId="4D1C3951" w14:textId="77777777" w:rsidR="00EF1771" w:rsidRDefault="00EF1771">
            <w:pPr>
              <w:widowControl w:val="0"/>
              <w:spacing w:after="5" w:line="252" w:lineRule="auto"/>
              <w:ind w:right="-143" w:hanging="104"/>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Спец.:17,5</w:t>
            </w:r>
          </w:p>
          <w:p w14:paraId="4ECFAAC5" w14:textId="77777777" w:rsidR="00EF1771" w:rsidRDefault="00EF1771">
            <w:pPr>
              <w:widowControl w:val="0"/>
              <w:spacing w:after="5" w:line="252" w:lineRule="auto"/>
              <w:ind w:right="-143" w:hanging="104"/>
              <w:jc w:val="center"/>
              <w:rPr>
                <w:rFonts w:ascii="Times New Roman" w:eastAsia="Times New Roman" w:hAnsi="Times New Roman"/>
                <w:bCs/>
                <w:color w:val="000000"/>
                <w:sz w:val="18"/>
                <w:szCs w:val="18"/>
                <w:lang w:eastAsia="ru-RU"/>
              </w:rPr>
            </w:pPr>
            <w:r>
              <w:rPr>
                <w:rFonts w:ascii="Times New Roman" w:eastAsia="Times New Roman" w:hAnsi="Times New Roman"/>
                <w:color w:val="000000"/>
                <w:sz w:val="18"/>
                <w:szCs w:val="18"/>
                <w:lang w:eastAsia="ru-RU"/>
              </w:rPr>
              <w:t>Раб.:61,0</w:t>
            </w:r>
          </w:p>
        </w:tc>
        <w:tc>
          <w:tcPr>
            <w:tcW w:w="948" w:type="dxa"/>
            <w:gridSpan w:val="2"/>
            <w:shd w:val="clear" w:color="auto" w:fill="auto"/>
          </w:tcPr>
          <w:p w14:paraId="0FD73950" w14:textId="77777777" w:rsidR="00EF1771" w:rsidRDefault="00EF1771">
            <w:pPr>
              <w:widowControl w:val="0"/>
              <w:spacing w:after="5" w:line="252" w:lineRule="auto"/>
              <w:ind w:right="-143" w:hanging="104"/>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Рук.:32,7</w:t>
            </w:r>
          </w:p>
          <w:p w14:paraId="4EBE5B33" w14:textId="77777777" w:rsidR="00EF1771" w:rsidRDefault="00EF1771">
            <w:pPr>
              <w:widowControl w:val="0"/>
              <w:spacing w:after="5" w:line="252" w:lineRule="auto"/>
              <w:ind w:right="-143" w:hanging="104"/>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Спец.:19,5</w:t>
            </w:r>
          </w:p>
          <w:p w14:paraId="77BD82A6" w14:textId="77777777" w:rsidR="00EF1771" w:rsidRDefault="00EF1771">
            <w:pPr>
              <w:widowControl w:val="0"/>
              <w:spacing w:after="5" w:line="252" w:lineRule="auto"/>
              <w:ind w:right="-143" w:hanging="104"/>
              <w:jc w:val="center"/>
              <w:rPr>
                <w:rFonts w:ascii="Times New Roman" w:eastAsia="Times New Roman" w:hAnsi="Times New Roman"/>
                <w:bCs/>
                <w:color w:val="000000"/>
                <w:sz w:val="18"/>
                <w:szCs w:val="18"/>
                <w:lang w:eastAsia="ru-RU"/>
              </w:rPr>
            </w:pPr>
            <w:r>
              <w:rPr>
                <w:rFonts w:ascii="Times New Roman" w:eastAsia="Times New Roman" w:hAnsi="Times New Roman"/>
                <w:color w:val="000000"/>
                <w:sz w:val="18"/>
                <w:szCs w:val="18"/>
                <w:lang w:eastAsia="ru-RU"/>
              </w:rPr>
              <w:t>Раб.:47,8</w:t>
            </w:r>
          </w:p>
        </w:tc>
        <w:tc>
          <w:tcPr>
            <w:tcW w:w="1656" w:type="dxa"/>
            <w:shd w:val="clear" w:color="auto" w:fill="auto"/>
          </w:tcPr>
          <w:p w14:paraId="356A7AA2" w14:textId="77777777" w:rsidR="00EF1771" w:rsidRDefault="00EF1771">
            <w:pPr>
              <w:widowControl w:val="0"/>
              <w:spacing w:after="5" w:line="252" w:lineRule="auto"/>
              <w:ind w:right="-143" w:hanging="104"/>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Рук.:239,7</w:t>
            </w:r>
          </w:p>
          <w:p w14:paraId="50EF644E" w14:textId="77777777" w:rsidR="00EF1771" w:rsidRDefault="00EF1771">
            <w:pPr>
              <w:widowControl w:val="0"/>
              <w:spacing w:after="5" w:line="252" w:lineRule="auto"/>
              <w:ind w:right="-143" w:hanging="104"/>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Спец.:175,1</w:t>
            </w:r>
          </w:p>
          <w:p w14:paraId="71B9D912" w14:textId="0AE7DACF" w:rsidR="00EF1771" w:rsidRDefault="00EF1771">
            <w:r>
              <w:rPr>
                <w:rFonts w:ascii="Times New Roman" w:eastAsia="Times New Roman" w:hAnsi="Times New Roman"/>
                <w:color w:val="000000"/>
                <w:sz w:val="18"/>
                <w:szCs w:val="18"/>
                <w:lang w:eastAsia="ru-RU"/>
              </w:rPr>
              <w:t>Раб.:123,2</w:t>
            </w:r>
          </w:p>
        </w:tc>
      </w:tr>
      <w:tr w:rsidR="00EF1771" w14:paraId="2384D6DD" w14:textId="77777777" w:rsidTr="00731F36">
        <w:trPr>
          <w:cantSplit/>
          <w:trHeight w:val="58"/>
          <w:jc w:val="center"/>
        </w:trPr>
        <w:tc>
          <w:tcPr>
            <w:tcW w:w="4098" w:type="dxa"/>
          </w:tcPr>
          <w:p w14:paraId="2AD6BC4B" w14:textId="77777777" w:rsidR="00EF1771" w:rsidRDefault="00EF1771">
            <w:pPr>
              <w:widowControl w:val="0"/>
              <w:spacing w:after="5" w:line="252" w:lineRule="auto"/>
              <w:ind w:left="22" w:hanging="22"/>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Численность работников, принявших участие в образовательных программах, реализованных с применением дистанционных форм обучения</w:t>
            </w:r>
          </w:p>
        </w:tc>
        <w:tc>
          <w:tcPr>
            <w:tcW w:w="947" w:type="dxa"/>
          </w:tcPr>
          <w:p w14:paraId="0B024EA3" w14:textId="77777777" w:rsidR="00EF1771" w:rsidRDefault="00EF1771">
            <w:pPr>
              <w:widowControl w:val="0"/>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чел.-курс.</w:t>
            </w:r>
          </w:p>
        </w:tc>
        <w:tc>
          <w:tcPr>
            <w:tcW w:w="1071" w:type="dxa"/>
            <w:gridSpan w:val="2"/>
            <w:shd w:val="clear" w:color="auto" w:fill="auto"/>
          </w:tcPr>
          <w:p w14:paraId="728F6EF8"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6280</w:t>
            </w:r>
          </w:p>
        </w:tc>
        <w:tc>
          <w:tcPr>
            <w:tcW w:w="936" w:type="dxa"/>
            <w:shd w:val="clear" w:color="auto" w:fill="auto"/>
          </w:tcPr>
          <w:p w14:paraId="03A1234C"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3021</w:t>
            </w:r>
          </w:p>
        </w:tc>
        <w:tc>
          <w:tcPr>
            <w:tcW w:w="948" w:type="dxa"/>
            <w:gridSpan w:val="2"/>
            <w:shd w:val="clear" w:color="auto" w:fill="auto"/>
          </w:tcPr>
          <w:p w14:paraId="57D3D02F"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7516</w:t>
            </w:r>
          </w:p>
        </w:tc>
        <w:tc>
          <w:tcPr>
            <w:tcW w:w="1656" w:type="dxa"/>
            <w:shd w:val="clear" w:color="auto" w:fill="auto"/>
          </w:tcPr>
          <w:p w14:paraId="46CC37C8" w14:textId="334D1BAB" w:rsidR="00EF1771" w:rsidRDefault="00EF1771">
            <w:r>
              <w:rPr>
                <w:rFonts w:ascii="Times New Roman" w:eastAsia="Times New Roman" w:hAnsi="Times New Roman"/>
                <w:i/>
                <w:color w:val="000000"/>
                <w:sz w:val="20"/>
                <w:szCs w:val="20"/>
                <w:lang w:eastAsia="ru-RU"/>
              </w:rPr>
              <w:t>248,8</w:t>
            </w:r>
          </w:p>
        </w:tc>
      </w:tr>
      <w:tr w:rsidR="00EF1771" w14:paraId="7C79D7AB" w14:textId="77777777" w:rsidTr="00731F36">
        <w:trPr>
          <w:cantSplit/>
          <w:trHeight w:val="58"/>
          <w:jc w:val="center"/>
        </w:trPr>
        <w:tc>
          <w:tcPr>
            <w:tcW w:w="4098" w:type="dxa"/>
          </w:tcPr>
          <w:p w14:paraId="3A33A2A5" w14:textId="77777777" w:rsidR="00EF1771" w:rsidRDefault="00EF1771" w:rsidP="00E758CA">
            <w:pPr>
              <w:widowControl w:val="0"/>
              <w:spacing w:after="5" w:line="252" w:lineRule="auto"/>
              <w:ind w:left="22" w:hanging="22"/>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Среднее количество часов обучения на одного работника  с распределением по возрасту</w:t>
            </w:r>
          </w:p>
        </w:tc>
        <w:tc>
          <w:tcPr>
            <w:tcW w:w="947" w:type="dxa"/>
          </w:tcPr>
          <w:p w14:paraId="69F35CEB" w14:textId="77777777" w:rsidR="00EF1771" w:rsidRDefault="00EF1771">
            <w:pPr>
              <w:widowControl w:val="0"/>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чел.-</w:t>
            </w:r>
            <w:proofErr w:type="gramStart"/>
            <w:r>
              <w:rPr>
                <w:rFonts w:ascii="Times New Roman" w:eastAsia="Times New Roman" w:hAnsi="Times New Roman"/>
                <w:color w:val="000000"/>
                <w:sz w:val="20"/>
                <w:szCs w:val="20"/>
                <w:lang w:eastAsia="ru-RU"/>
              </w:rPr>
              <w:t>курс./</w:t>
            </w:r>
            <w:proofErr w:type="gramEnd"/>
          </w:p>
          <w:p w14:paraId="3840A06D" w14:textId="77777777" w:rsidR="00EF1771" w:rsidRDefault="00EF1771">
            <w:pPr>
              <w:widowControl w:val="0"/>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час</w:t>
            </w:r>
          </w:p>
          <w:p w14:paraId="22575582" w14:textId="77777777" w:rsidR="00EF1771" w:rsidRDefault="00EF1771">
            <w:pPr>
              <w:widowControl w:val="0"/>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чел.-</w:t>
            </w:r>
            <w:proofErr w:type="gramStart"/>
            <w:r>
              <w:rPr>
                <w:rFonts w:ascii="Times New Roman" w:eastAsia="Times New Roman" w:hAnsi="Times New Roman"/>
                <w:color w:val="000000"/>
                <w:sz w:val="20"/>
                <w:szCs w:val="20"/>
                <w:lang w:eastAsia="ru-RU"/>
              </w:rPr>
              <w:t>курс./</w:t>
            </w:r>
            <w:proofErr w:type="gramEnd"/>
            <w:r>
              <w:rPr>
                <w:rFonts w:ascii="Times New Roman" w:eastAsia="Times New Roman" w:hAnsi="Times New Roman"/>
                <w:color w:val="000000"/>
                <w:sz w:val="20"/>
                <w:szCs w:val="20"/>
                <w:lang w:eastAsia="ru-RU"/>
              </w:rPr>
              <w:t xml:space="preserve"> %,</w:t>
            </w:r>
          </w:p>
          <w:p w14:paraId="0B7822E3" w14:textId="77777777" w:rsidR="00EF1771" w:rsidRDefault="00EF1771">
            <w:pPr>
              <w:widowControl w:val="0"/>
              <w:spacing w:after="5" w:line="252" w:lineRule="auto"/>
              <w:ind w:left="426" w:right="-143" w:hanging="426"/>
              <w:rPr>
                <w:rFonts w:ascii="Times New Roman" w:eastAsia="Times New Roman" w:hAnsi="Times New Roman"/>
                <w:color w:val="000000"/>
                <w:sz w:val="20"/>
                <w:szCs w:val="20"/>
                <w:lang w:eastAsia="ru-RU"/>
              </w:rPr>
            </w:pPr>
          </w:p>
          <w:p w14:paraId="1ADF1CF5" w14:textId="77777777" w:rsidR="00EF1771" w:rsidRDefault="00EF1771">
            <w:pPr>
              <w:widowControl w:val="0"/>
              <w:spacing w:after="5" w:line="252" w:lineRule="auto"/>
              <w:ind w:right="-143"/>
              <w:rPr>
                <w:rFonts w:ascii="Times New Roman" w:eastAsia="Times New Roman" w:hAnsi="Times New Roman"/>
                <w:color w:val="000000"/>
                <w:sz w:val="20"/>
                <w:szCs w:val="20"/>
                <w:lang w:eastAsia="ru-RU"/>
              </w:rPr>
            </w:pPr>
          </w:p>
        </w:tc>
        <w:tc>
          <w:tcPr>
            <w:tcW w:w="1071" w:type="dxa"/>
            <w:gridSpan w:val="2"/>
            <w:shd w:val="clear" w:color="auto" w:fill="auto"/>
          </w:tcPr>
          <w:p w14:paraId="7C66A935" w14:textId="77777777" w:rsidR="00EF1771" w:rsidRDefault="00EF1771">
            <w:pPr>
              <w:widowControl w:val="0"/>
              <w:spacing w:after="5" w:line="252" w:lineRule="auto"/>
              <w:ind w:left="-254" w:right="-143"/>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45,6</w:t>
            </w:r>
          </w:p>
          <w:p w14:paraId="09765E07" w14:textId="77777777" w:rsidR="00EF1771" w:rsidRDefault="00EF1771">
            <w:pPr>
              <w:widowControl w:val="0"/>
              <w:spacing w:after="5" w:line="252" w:lineRule="auto"/>
              <w:ind w:left="-254" w:right="-143"/>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Муж.:53</w:t>
            </w:r>
          </w:p>
          <w:p w14:paraId="1D01EB1E" w14:textId="77777777" w:rsidR="00EF1771" w:rsidRDefault="00EF1771">
            <w:pPr>
              <w:widowControl w:val="0"/>
              <w:spacing w:after="5" w:line="252" w:lineRule="auto"/>
              <w:ind w:left="-254" w:right="-143"/>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Жен.:22,2</w:t>
            </w:r>
          </w:p>
          <w:p w14:paraId="6DA596B1" w14:textId="77777777" w:rsidR="00EF1771" w:rsidRDefault="00EF1771">
            <w:pPr>
              <w:widowControl w:val="0"/>
              <w:spacing w:after="5" w:line="252" w:lineRule="auto"/>
              <w:ind w:left="-254" w:right="-143"/>
              <w:jc w:val="center"/>
              <w:rPr>
                <w:rFonts w:ascii="Times New Roman" w:eastAsia="Times New Roman" w:hAnsi="Times New Roman"/>
                <w:bCs/>
                <w:color w:val="000000"/>
                <w:sz w:val="20"/>
                <w:szCs w:val="20"/>
                <w:lang w:eastAsia="ru-RU"/>
              </w:rPr>
            </w:pPr>
          </w:p>
        </w:tc>
        <w:tc>
          <w:tcPr>
            <w:tcW w:w="936" w:type="dxa"/>
            <w:shd w:val="clear" w:color="auto" w:fill="auto"/>
          </w:tcPr>
          <w:p w14:paraId="0492F85E" w14:textId="77777777" w:rsidR="00EF1771" w:rsidRDefault="00EF1771">
            <w:pPr>
              <w:widowControl w:val="0"/>
              <w:spacing w:after="5" w:line="252" w:lineRule="auto"/>
              <w:ind w:left="-254" w:right="-143"/>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40,5</w:t>
            </w:r>
          </w:p>
          <w:p w14:paraId="154EEF90" w14:textId="77777777" w:rsidR="00EF1771" w:rsidRDefault="00EF1771">
            <w:pPr>
              <w:widowControl w:val="0"/>
              <w:spacing w:after="5" w:line="252" w:lineRule="auto"/>
              <w:ind w:left="-254" w:right="-143"/>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Муж.:49,6</w:t>
            </w:r>
          </w:p>
          <w:p w14:paraId="104930BF" w14:textId="77777777" w:rsidR="00EF1771" w:rsidRDefault="00EF1771">
            <w:pPr>
              <w:widowControl w:val="0"/>
              <w:spacing w:after="5" w:line="252" w:lineRule="auto"/>
              <w:ind w:left="-254" w:right="-143"/>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Жен.:21,2</w:t>
            </w:r>
          </w:p>
          <w:p w14:paraId="62DFC329" w14:textId="77777777" w:rsidR="00EF1771" w:rsidRDefault="00EF1771">
            <w:pPr>
              <w:widowControl w:val="0"/>
              <w:spacing w:after="5" w:line="252" w:lineRule="auto"/>
              <w:ind w:left="-254" w:right="-143"/>
              <w:jc w:val="center"/>
              <w:rPr>
                <w:rFonts w:ascii="Times New Roman" w:eastAsia="Times New Roman" w:hAnsi="Times New Roman"/>
                <w:bCs/>
                <w:color w:val="000000"/>
                <w:sz w:val="20"/>
                <w:szCs w:val="20"/>
                <w:highlight w:val="yellow"/>
                <w:lang w:eastAsia="ru-RU"/>
              </w:rPr>
            </w:pPr>
          </w:p>
        </w:tc>
        <w:tc>
          <w:tcPr>
            <w:tcW w:w="948" w:type="dxa"/>
            <w:gridSpan w:val="2"/>
            <w:shd w:val="clear" w:color="auto" w:fill="auto"/>
          </w:tcPr>
          <w:p w14:paraId="3D4EE971" w14:textId="77777777" w:rsidR="00EF1771" w:rsidRDefault="00EF1771">
            <w:pPr>
              <w:widowControl w:val="0"/>
              <w:spacing w:after="5" w:line="252" w:lineRule="auto"/>
              <w:ind w:left="-254" w:right="-143"/>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42,4</w:t>
            </w:r>
          </w:p>
          <w:p w14:paraId="175E5CF5" w14:textId="77777777" w:rsidR="00EF1771" w:rsidRDefault="00EF1771">
            <w:pPr>
              <w:widowControl w:val="0"/>
              <w:spacing w:after="5" w:line="252" w:lineRule="auto"/>
              <w:ind w:left="-254" w:right="-143"/>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Муж.:49,9</w:t>
            </w:r>
          </w:p>
          <w:p w14:paraId="1A20F2BB" w14:textId="77777777" w:rsidR="00EF1771" w:rsidRDefault="00EF1771">
            <w:pPr>
              <w:widowControl w:val="0"/>
              <w:spacing w:after="5" w:line="252" w:lineRule="auto"/>
              <w:ind w:left="-254" w:right="-143"/>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Жен.:19,9</w:t>
            </w:r>
          </w:p>
          <w:p w14:paraId="7D0CAD99" w14:textId="77777777" w:rsidR="00EF1771" w:rsidRDefault="00EF1771">
            <w:pPr>
              <w:widowControl w:val="0"/>
              <w:spacing w:after="5" w:line="252" w:lineRule="auto"/>
              <w:ind w:left="-254" w:right="-143"/>
              <w:jc w:val="center"/>
              <w:rPr>
                <w:rFonts w:ascii="Times New Roman" w:eastAsia="Times New Roman" w:hAnsi="Times New Roman"/>
                <w:bCs/>
                <w:color w:val="000000"/>
                <w:sz w:val="20"/>
                <w:szCs w:val="20"/>
                <w:lang w:eastAsia="ru-RU"/>
              </w:rPr>
            </w:pPr>
          </w:p>
        </w:tc>
        <w:tc>
          <w:tcPr>
            <w:tcW w:w="1656" w:type="dxa"/>
            <w:shd w:val="clear" w:color="auto" w:fill="auto"/>
          </w:tcPr>
          <w:p w14:paraId="7CACF157" w14:textId="77777777" w:rsidR="00EF1771" w:rsidRDefault="00EF1771">
            <w:pPr>
              <w:widowControl w:val="0"/>
              <w:spacing w:after="5" w:line="252" w:lineRule="auto"/>
              <w:ind w:left="-254" w:right="-143"/>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104,7</w:t>
            </w:r>
          </w:p>
          <w:p w14:paraId="11B39829" w14:textId="77777777" w:rsidR="00EF1771" w:rsidRDefault="00EF1771">
            <w:pPr>
              <w:widowControl w:val="0"/>
              <w:spacing w:after="5" w:line="252" w:lineRule="auto"/>
              <w:ind w:left="-254" w:right="-143"/>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Муж.:100,6</w:t>
            </w:r>
          </w:p>
          <w:p w14:paraId="31E1129F" w14:textId="77777777" w:rsidR="00EF1771" w:rsidRDefault="00EF1771">
            <w:pPr>
              <w:widowControl w:val="0"/>
              <w:spacing w:after="5" w:line="252" w:lineRule="auto"/>
              <w:ind w:left="-254" w:right="-143"/>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Жен.:93,9</w:t>
            </w:r>
          </w:p>
          <w:p w14:paraId="28A92840" w14:textId="77777777" w:rsidR="00EF1771" w:rsidRDefault="00EF1771"/>
        </w:tc>
      </w:tr>
      <w:tr w:rsidR="00EF1771" w14:paraId="4DF497DC" w14:textId="77777777" w:rsidTr="00731F36">
        <w:trPr>
          <w:cantSplit/>
          <w:trHeight w:val="58"/>
          <w:jc w:val="center"/>
        </w:trPr>
        <w:tc>
          <w:tcPr>
            <w:tcW w:w="4098" w:type="dxa"/>
          </w:tcPr>
          <w:p w14:paraId="6953B2B4" w14:textId="77777777" w:rsidR="00EF1771" w:rsidRDefault="00EF1771">
            <w:pPr>
              <w:widowControl w:val="0"/>
              <w:spacing w:after="5" w:line="252"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Численность персонала, прошедшего оценочные процедуры/ соотношение к ССЧ, в том числе в рамках</w:t>
            </w:r>
          </w:p>
        </w:tc>
        <w:tc>
          <w:tcPr>
            <w:tcW w:w="947" w:type="dxa"/>
          </w:tcPr>
          <w:p w14:paraId="4AFB9FB2" w14:textId="77777777" w:rsidR="00EF1771" w:rsidRDefault="00EF1771">
            <w:pPr>
              <w:widowControl w:val="0"/>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чел., %,</w:t>
            </w:r>
          </w:p>
        </w:tc>
        <w:tc>
          <w:tcPr>
            <w:tcW w:w="1071" w:type="dxa"/>
            <w:gridSpan w:val="2"/>
            <w:shd w:val="clear" w:color="auto" w:fill="auto"/>
            <w:vAlign w:val="center"/>
          </w:tcPr>
          <w:p w14:paraId="322A569E"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2235</w:t>
            </w:r>
          </w:p>
          <w:p w14:paraId="1D49B4E8"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16,3%</w:t>
            </w:r>
          </w:p>
        </w:tc>
        <w:tc>
          <w:tcPr>
            <w:tcW w:w="936" w:type="dxa"/>
            <w:shd w:val="clear" w:color="auto" w:fill="auto"/>
            <w:vAlign w:val="center"/>
          </w:tcPr>
          <w:p w14:paraId="2FADE307"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2239</w:t>
            </w:r>
          </w:p>
          <w:p w14:paraId="3CEB469B"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16,5%</w:t>
            </w:r>
          </w:p>
        </w:tc>
        <w:tc>
          <w:tcPr>
            <w:tcW w:w="948" w:type="dxa"/>
            <w:gridSpan w:val="2"/>
            <w:shd w:val="clear" w:color="auto" w:fill="auto"/>
            <w:vAlign w:val="center"/>
          </w:tcPr>
          <w:p w14:paraId="29007197" w14:textId="77777777" w:rsidR="00EF1771" w:rsidRDefault="00EF1771">
            <w:pPr>
              <w:widowControl w:val="0"/>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1441</w:t>
            </w:r>
            <w:r>
              <w:rPr>
                <w:rStyle w:val="af"/>
                <w:rFonts w:ascii="Times New Roman" w:eastAsia="Times New Roman" w:hAnsi="Times New Roman"/>
                <w:bCs/>
                <w:sz w:val="20"/>
                <w:szCs w:val="20"/>
                <w:lang w:eastAsia="ru-RU"/>
              </w:rPr>
              <w:footnoteReference w:id="13"/>
            </w:r>
          </w:p>
          <w:p w14:paraId="11127A10"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11,1%</w:t>
            </w:r>
          </w:p>
        </w:tc>
        <w:tc>
          <w:tcPr>
            <w:tcW w:w="1656" w:type="dxa"/>
            <w:shd w:val="clear" w:color="auto" w:fill="auto"/>
            <w:vAlign w:val="center"/>
          </w:tcPr>
          <w:p w14:paraId="7D01ED2B" w14:textId="43589774" w:rsidR="00EF1771" w:rsidRDefault="00EF1771">
            <w:r>
              <w:rPr>
                <w:rFonts w:ascii="Times New Roman" w:eastAsia="Times New Roman" w:hAnsi="Times New Roman"/>
                <w:bCs/>
                <w:color w:val="000000"/>
                <w:sz w:val="20"/>
                <w:szCs w:val="20"/>
                <w:lang w:eastAsia="ru-RU"/>
              </w:rPr>
              <w:t>- 35,5%</w:t>
            </w:r>
          </w:p>
        </w:tc>
      </w:tr>
      <w:tr w:rsidR="00EF1771" w14:paraId="79064638" w14:textId="77777777" w:rsidTr="00731F36">
        <w:trPr>
          <w:cantSplit/>
          <w:trHeight w:val="58"/>
          <w:jc w:val="center"/>
        </w:trPr>
        <w:tc>
          <w:tcPr>
            <w:tcW w:w="4098" w:type="dxa"/>
          </w:tcPr>
          <w:p w14:paraId="3B72BBE6" w14:textId="77777777" w:rsidR="00EF1771" w:rsidRDefault="00EF1771">
            <w:pPr>
              <w:widowControl w:val="0"/>
              <w:spacing w:after="5" w:line="252" w:lineRule="auto"/>
              <w:jc w:val="both"/>
              <w:rPr>
                <w:rFonts w:ascii="Times New Roman" w:hAnsi="Times New Roman"/>
                <w:sz w:val="20"/>
                <w:szCs w:val="20"/>
              </w:rPr>
            </w:pPr>
            <w:r>
              <w:rPr>
                <w:rFonts w:ascii="Times New Roman" w:hAnsi="Times New Roman"/>
                <w:sz w:val="20"/>
                <w:szCs w:val="20"/>
              </w:rPr>
              <w:t>- оценки компетенций (корпоративных и управленческих), в том числе при приеме на работу, переводе на новую должность, отборе в кадровый резерв и пр.;</w:t>
            </w:r>
          </w:p>
        </w:tc>
        <w:tc>
          <w:tcPr>
            <w:tcW w:w="947" w:type="dxa"/>
            <w:vMerge w:val="restart"/>
          </w:tcPr>
          <w:p w14:paraId="3B9F2C63" w14:textId="77777777" w:rsidR="00EF1771" w:rsidRDefault="00EF1771">
            <w:pPr>
              <w:widowControl w:val="0"/>
              <w:spacing w:after="5" w:line="252" w:lineRule="auto"/>
              <w:ind w:left="426" w:right="-143" w:hanging="426"/>
              <w:rPr>
                <w:rFonts w:ascii="Times New Roman" w:eastAsia="Times New Roman" w:hAnsi="Times New Roman"/>
                <w:color w:val="000000"/>
                <w:sz w:val="20"/>
                <w:szCs w:val="20"/>
                <w:lang w:eastAsia="ru-RU"/>
              </w:rPr>
            </w:pPr>
          </w:p>
        </w:tc>
        <w:tc>
          <w:tcPr>
            <w:tcW w:w="1071" w:type="dxa"/>
            <w:gridSpan w:val="2"/>
            <w:shd w:val="clear" w:color="auto" w:fill="auto"/>
            <w:vAlign w:val="center"/>
          </w:tcPr>
          <w:p w14:paraId="6476B6E4"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1432</w:t>
            </w:r>
          </w:p>
        </w:tc>
        <w:tc>
          <w:tcPr>
            <w:tcW w:w="936" w:type="dxa"/>
            <w:shd w:val="clear" w:color="auto" w:fill="auto"/>
            <w:vAlign w:val="center"/>
          </w:tcPr>
          <w:p w14:paraId="39533C5E"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1395</w:t>
            </w:r>
          </w:p>
        </w:tc>
        <w:tc>
          <w:tcPr>
            <w:tcW w:w="948" w:type="dxa"/>
            <w:gridSpan w:val="2"/>
            <w:shd w:val="clear" w:color="auto" w:fill="auto"/>
            <w:vAlign w:val="center"/>
          </w:tcPr>
          <w:p w14:paraId="493FBF6F" w14:textId="77777777" w:rsidR="00EF1771" w:rsidRDefault="00EF1771">
            <w:pPr>
              <w:widowControl w:val="0"/>
              <w:spacing w:after="5" w:line="252" w:lineRule="auto"/>
              <w:ind w:left="33" w:right="-143" w:hanging="33"/>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703</w:t>
            </w:r>
          </w:p>
        </w:tc>
        <w:tc>
          <w:tcPr>
            <w:tcW w:w="1656" w:type="dxa"/>
            <w:shd w:val="clear" w:color="auto" w:fill="auto"/>
            <w:vAlign w:val="center"/>
          </w:tcPr>
          <w:p w14:paraId="7486F8DE" w14:textId="37D463C1" w:rsidR="00EF1771" w:rsidRDefault="00EF1771">
            <w:r>
              <w:rPr>
                <w:rFonts w:ascii="Times New Roman" w:eastAsia="Times New Roman" w:hAnsi="Times New Roman"/>
                <w:iCs/>
                <w:color w:val="000000"/>
                <w:sz w:val="20"/>
                <w:szCs w:val="20"/>
                <w:lang w:eastAsia="ru-RU"/>
              </w:rPr>
              <w:t>- 49,6%</w:t>
            </w:r>
          </w:p>
        </w:tc>
      </w:tr>
      <w:tr w:rsidR="00EF1771" w14:paraId="627F8D3A" w14:textId="77777777" w:rsidTr="00731F36">
        <w:trPr>
          <w:cantSplit/>
          <w:trHeight w:val="58"/>
          <w:jc w:val="center"/>
        </w:trPr>
        <w:tc>
          <w:tcPr>
            <w:tcW w:w="4098" w:type="dxa"/>
          </w:tcPr>
          <w:p w14:paraId="00C0D001" w14:textId="77777777" w:rsidR="00EF1771" w:rsidRDefault="00EF1771">
            <w:pPr>
              <w:widowControl w:val="0"/>
              <w:spacing w:after="5" w:line="252" w:lineRule="auto"/>
              <w:jc w:val="both"/>
              <w:rPr>
                <w:rFonts w:ascii="Times New Roman" w:eastAsia="Times New Roman" w:hAnsi="Times New Roman"/>
                <w:color w:val="000000"/>
                <w:sz w:val="20"/>
                <w:szCs w:val="20"/>
                <w:lang w:eastAsia="ru-RU"/>
              </w:rPr>
            </w:pPr>
            <w:r>
              <w:rPr>
                <w:rFonts w:ascii="Times New Roman" w:hAnsi="Times New Roman"/>
                <w:sz w:val="20"/>
                <w:szCs w:val="20"/>
              </w:rPr>
              <w:t>- независимой оценки квалификаций (на базе ЦОКов)</w:t>
            </w:r>
          </w:p>
        </w:tc>
        <w:tc>
          <w:tcPr>
            <w:tcW w:w="947" w:type="dxa"/>
            <w:vMerge/>
          </w:tcPr>
          <w:p w14:paraId="7FF85B00" w14:textId="77777777" w:rsidR="00EF1771" w:rsidRDefault="00EF1771">
            <w:pPr>
              <w:widowControl w:val="0"/>
              <w:spacing w:after="5" w:line="252" w:lineRule="auto"/>
              <w:ind w:left="426" w:right="-143" w:hanging="426"/>
              <w:rPr>
                <w:rFonts w:ascii="Times New Roman" w:eastAsia="Times New Roman" w:hAnsi="Times New Roman"/>
                <w:color w:val="000000"/>
                <w:sz w:val="20"/>
                <w:szCs w:val="20"/>
                <w:lang w:eastAsia="ru-RU"/>
              </w:rPr>
            </w:pPr>
          </w:p>
        </w:tc>
        <w:tc>
          <w:tcPr>
            <w:tcW w:w="1071" w:type="dxa"/>
            <w:gridSpan w:val="2"/>
            <w:shd w:val="clear" w:color="auto" w:fill="auto"/>
            <w:vAlign w:val="center"/>
          </w:tcPr>
          <w:p w14:paraId="75C80862" w14:textId="77777777" w:rsidR="00EF1771" w:rsidRDefault="00EF1771">
            <w:pPr>
              <w:widowControl w:val="0"/>
              <w:shd w:val="clear" w:color="auto" w:fill="FFFFFF"/>
              <w:tabs>
                <w:tab w:val="left" w:pos="3261"/>
              </w:tabs>
              <w:spacing w:after="0" w:line="240" w:lineRule="auto"/>
              <w:ind w:left="426" w:right="-142"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803</w:t>
            </w:r>
          </w:p>
        </w:tc>
        <w:tc>
          <w:tcPr>
            <w:tcW w:w="936" w:type="dxa"/>
            <w:shd w:val="clear" w:color="auto" w:fill="auto"/>
            <w:vAlign w:val="center"/>
          </w:tcPr>
          <w:p w14:paraId="15F686DF"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844</w:t>
            </w:r>
          </w:p>
        </w:tc>
        <w:tc>
          <w:tcPr>
            <w:tcW w:w="948" w:type="dxa"/>
            <w:gridSpan w:val="2"/>
            <w:shd w:val="clear" w:color="auto" w:fill="auto"/>
            <w:vAlign w:val="center"/>
          </w:tcPr>
          <w:p w14:paraId="2DA0E8D0"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738</w:t>
            </w:r>
          </w:p>
        </w:tc>
        <w:tc>
          <w:tcPr>
            <w:tcW w:w="1656" w:type="dxa"/>
            <w:shd w:val="clear" w:color="auto" w:fill="auto"/>
            <w:vAlign w:val="center"/>
          </w:tcPr>
          <w:p w14:paraId="1FC84EB1" w14:textId="3EDED2FD" w:rsidR="00EF1771" w:rsidRDefault="00EF1771">
            <w:r>
              <w:rPr>
                <w:rFonts w:ascii="Times New Roman" w:eastAsia="Times New Roman" w:hAnsi="Times New Roman"/>
                <w:bCs/>
                <w:color w:val="000000"/>
                <w:sz w:val="20"/>
                <w:szCs w:val="20"/>
                <w:lang w:eastAsia="ru-RU"/>
              </w:rPr>
              <w:t>- 12,6 %</w:t>
            </w:r>
          </w:p>
        </w:tc>
      </w:tr>
      <w:tr w:rsidR="00EF1771" w14:paraId="4730F3B0" w14:textId="77777777" w:rsidTr="00731F36">
        <w:trPr>
          <w:cantSplit/>
          <w:trHeight w:val="58"/>
          <w:jc w:val="center"/>
        </w:trPr>
        <w:tc>
          <w:tcPr>
            <w:tcW w:w="4098" w:type="dxa"/>
          </w:tcPr>
          <w:p w14:paraId="5259DB5C" w14:textId="77777777" w:rsidR="00EF1771" w:rsidRDefault="00EF1771">
            <w:pPr>
              <w:widowControl w:val="0"/>
              <w:spacing w:after="5" w:line="252" w:lineRule="auto"/>
              <w:jc w:val="both"/>
              <w:rPr>
                <w:rFonts w:ascii="Times New Roman" w:hAnsi="Times New Roman"/>
                <w:sz w:val="20"/>
                <w:szCs w:val="20"/>
              </w:rPr>
            </w:pPr>
            <w:r>
              <w:rPr>
                <w:rFonts w:ascii="Times New Roman" w:eastAsia="Times New Roman" w:hAnsi="Times New Roman"/>
                <w:color w:val="000000"/>
                <w:sz w:val="20"/>
                <w:szCs w:val="20"/>
                <w:lang w:eastAsia="ru-RU"/>
              </w:rPr>
              <w:t>Численность кадровых резервов</w:t>
            </w:r>
          </w:p>
        </w:tc>
        <w:tc>
          <w:tcPr>
            <w:tcW w:w="947" w:type="dxa"/>
          </w:tcPr>
          <w:p w14:paraId="5C414AD6" w14:textId="77777777" w:rsidR="00EF1771" w:rsidRDefault="00EF1771">
            <w:pPr>
              <w:widowControl w:val="0"/>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чел.</w:t>
            </w:r>
          </w:p>
        </w:tc>
        <w:tc>
          <w:tcPr>
            <w:tcW w:w="1071" w:type="dxa"/>
            <w:gridSpan w:val="2"/>
            <w:shd w:val="clear" w:color="auto" w:fill="auto"/>
          </w:tcPr>
          <w:p w14:paraId="4FE0DB98"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765</w:t>
            </w:r>
          </w:p>
        </w:tc>
        <w:tc>
          <w:tcPr>
            <w:tcW w:w="936" w:type="dxa"/>
          </w:tcPr>
          <w:p w14:paraId="0055269F" w14:textId="77777777" w:rsidR="00EF1771" w:rsidRDefault="00EF1771">
            <w:pPr>
              <w:widowControl w:val="0"/>
              <w:spacing w:after="5" w:line="252" w:lineRule="auto"/>
              <w:ind w:left="426" w:right="-143" w:hanging="426"/>
              <w:jc w:val="center"/>
              <w:rPr>
                <w:rFonts w:ascii="Times New Roman" w:eastAsia="Times New Roman" w:hAnsi="Times New Roman"/>
                <w:i/>
                <w:color w:val="000000"/>
                <w:sz w:val="20"/>
                <w:szCs w:val="20"/>
                <w:lang w:eastAsia="ru-RU"/>
              </w:rPr>
            </w:pPr>
            <w:r>
              <w:rPr>
                <w:rFonts w:ascii="Times New Roman" w:eastAsia="Times New Roman" w:hAnsi="Times New Roman"/>
                <w:i/>
                <w:color w:val="000000"/>
                <w:sz w:val="20"/>
                <w:szCs w:val="20"/>
                <w:lang w:eastAsia="ru-RU"/>
              </w:rPr>
              <w:t>1185</w:t>
            </w:r>
          </w:p>
        </w:tc>
        <w:tc>
          <w:tcPr>
            <w:tcW w:w="948" w:type="dxa"/>
            <w:gridSpan w:val="2"/>
            <w:shd w:val="clear" w:color="auto" w:fill="auto"/>
            <w:vAlign w:val="center"/>
          </w:tcPr>
          <w:p w14:paraId="5DB7516A"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816</w:t>
            </w:r>
          </w:p>
        </w:tc>
        <w:tc>
          <w:tcPr>
            <w:tcW w:w="1656" w:type="dxa"/>
            <w:shd w:val="clear" w:color="auto" w:fill="auto"/>
            <w:vAlign w:val="center"/>
          </w:tcPr>
          <w:p w14:paraId="5C947A9E" w14:textId="4342024B" w:rsidR="00EF1771" w:rsidRDefault="00EF1771">
            <w:r>
              <w:rPr>
                <w:rFonts w:ascii="Times New Roman" w:eastAsia="Times New Roman" w:hAnsi="Times New Roman"/>
                <w:bCs/>
                <w:color w:val="000000"/>
                <w:sz w:val="20"/>
                <w:szCs w:val="20"/>
                <w:lang w:eastAsia="ru-RU"/>
              </w:rPr>
              <w:t>- 31,2 %</w:t>
            </w:r>
          </w:p>
        </w:tc>
      </w:tr>
      <w:tr w:rsidR="00EF1771" w14:paraId="3C68A1AB" w14:textId="77777777" w:rsidTr="00731F36">
        <w:trPr>
          <w:cantSplit/>
          <w:trHeight w:val="58"/>
          <w:jc w:val="center"/>
        </w:trPr>
        <w:tc>
          <w:tcPr>
            <w:tcW w:w="4098" w:type="dxa"/>
          </w:tcPr>
          <w:p w14:paraId="3C017D2E" w14:textId="77777777" w:rsidR="00EF1771" w:rsidRDefault="00EF1771">
            <w:pPr>
              <w:widowControl w:val="0"/>
              <w:spacing w:after="5" w:line="252" w:lineRule="auto"/>
              <w:jc w:val="both"/>
              <w:rPr>
                <w:rFonts w:ascii="Times New Roman" w:hAnsi="Times New Roman"/>
                <w:sz w:val="20"/>
                <w:szCs w:val="20"/>
              </w:rPr>
            </w:pPr>
            <w:r>
              <w:rPr>
                <w:rFonts w:ascii="Times New Roman" w:eastAsia="Times New Roman" w:hAnsi="Times New Roman"/>
                <w:color w:val="000000"/>
                <w:sz w:val="20"/>
                <w:szCs w:val="20"/>
                <w:lang w:eastAsia="ru-RU"/>
              </w:rPr>
              <w:t>Доля руководящих должностей, обеспеченных кадровым резервом</w:t>
            </w:r>
          </w:p>
        </w:tc>
        <w:tc>
          <w:tcPr>
            <w:tcW w:w="947" w:type="dxa"/>
          </w:tcPr>
          <w:p w14:paraId="202C2A2D" w14:textId="77777777" w:rsidR="00EF1771" w:rsidRDefault="00EF1771">
            <w:pPr>
              <w:widowControl w:val="0"/>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w:t>
            </w:r>
          </w:p>
        </w:tc>
        <w:tc>
          <w:tcPr>
            <w:tcW w:w="1071" w:type="dxa"/>
            <w:gridSpan w:val="2"/>
            <w:shd w:val="clear" w:color="auto" w:fill="auto"/>
            <w:vAlign w:val="center"/>
          </w:tcPr>
          <w:p w14:paraId="595AB95E" w14:textId="77777777" w:rsidR="00EF1771" w:rsidRDefault="00EF1771">
            <w:pPr>
              <w:widowControl w:val="0"/>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82,7</w:t>
            </w:r>
          </w:p>
        </w:tc>
        <w:tc>
          <w:tcPr>
            <w:tcW w:w="936" w:type="dxa"/>
          </w:tcPr>
          <w:p w14:paraId="08862DC2" w14:textId="77777777" w:rsidR="00EF1771" w:rsidRDefault="00EF1771">
            <w:pPr>
              <w:widowControl w:val="0"/>
              <w:spacing w:after="5" w:line="252" w:lineRule="auto"/>
              <w:ind w:right="-143"/>
              <w:rPr>
                <w:rFonts w:ascii="Times New Roman" w:eastAsia="Times New Roman" w:hAnsi="Times New Roman"/>
                <w:i/>
                <w:color w:val="000000"/>
                <w:sz w:val="20"/>
                <w:szCs w:val="20"/>
                <w:lang w:eastAsia="ru-RU"/>
              </w:rPr>
            </w:pPr>
            <w:r>
              <w:rPr>
                <w:rFonts w:ascii="Times New Roman" w:eastAsia="Times New Roman" w:hAnsi="Times New Roman"/>
                <w:i/>
                <w:color w:val="000000"/>
                <w:sz w:val="20"/>
                <w:szCs w:val="20"/>
                <w:lang w:eastAsia="ru-RU"/>
              </w:rPr>
              <w:t xml:space="preserve">    91,42</w:t>
            </w:r>
          </w:p>
        </w:tc>
        <w:tc>
          <w:tcPr>
            <w:tcW w:w="948" w:type="dxa"/>
            <w:gridSpan w:val="2"/>
            <w:shd w:val="clear" w:color="auto" w:fill="auto"/>
            <w:vAlign w:val="center"/>
          </w:tcPr>
          <w:p w14:paraId="1E962074"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103,2</w:t>
            </w:r>
          </w:p>
        </w:tc>
        <w:tc>
          <w:tcPr>
            <w:tcW w:w="1656" w:type="dxa"/>
            <w:shd w:val="clear" w:color="auto" w:fill="auto"/>
            <w:vAlign w:val="center"/>
          </w:tcPr>
          <w:p w14:paraId="6C5CBA6C" w14:textId="789661B3" w:rsidR="00EF1771" w:rsidRDefault="00EF1771">
            <w:r>
              <w:rPr>
                <w:rFonts w:ascii="Times New Roman" w:eastAsia="Times New Roman" w:hAnsi="Times New Roman"/>
                <w:bCs/>
                <w:color w:val="000000"/>
                <w:sz w:val="20"/>
                <w:szCs w:val="20"/>
                <w:lang w:eastAsia="ru-RU"/>
              </w:rPr>
              <w:t>+11,78</w:t>
            </w:r>
          </w:p>
        </w:tc>
      </w:tr>
      <w:tr w:rsidR="00EF1771" w14:paraId="3F269319" w14:textId="77777777" w:rsidTr="00731F36">
        <w:trPr>
          <w:cantSplit/>
          <w:trHeight w:val="729"/>
          <w:jc w:val="center"/>
        </w:trPr>
        <w:tc>
          <w:tcPr>
            <w:tcW w:w="4098" w:type="dxa"/>
          </w:tcPr>
          <w:p w14:paraId="150EEE45" w14:textId="77777777" w:rsidR="00EF1771" w:rsidRDefault="00EF1771">
            <w:pPr>
              <w:widowControl w:val="0"/>
              <w:spacing w:after="5" w:line="252" w:lineRule="auto"/>
              <w:jc w:val="both"/>
              <w:rPr>
                <w:rFonts w:ascii="Times New Roman" w:hAnsi="Times New Roman"/>
                <w:sz w:val="20"/>
                <w:szCs w:val="20"/>
              </w:rPr>
            </w:pPr>
            <w:r>
              <w:rPr>
                <w:rFonts w:ascii="Times New Roman" w:eastAsia="Times New Roman" w:hAnsi="Times New Roman"/>
                <w:color w:val="000000"/>
                <w:sz w:val="20"/>
                <w:szCs w:val="20"/>
                <w:lang w:eastAsia="ru-RU"/>
              </w:rPr>
              <w:t>Доля руководящих должностей, укомплектованных внутренними кандидатами, в том числе из числа членов кадровых резервов</w:t>
            </w:r>
          </w:p>
        </w:tc>
        <w:tc>
          <w:tcPr>
            <w:tcW w:w="947" w:type="dxa"/>
          </w:tcPr>
          <w:p w14:paraId="78D79C0A" w14:textId="77777777" w:rsidR="00EF1771" w:rsidRDefault="00EF1771">
            <w:pPr>
              <w:widowControl w:val="0"/>
              <w:spacing w:after="5" w:line="252" w:lineRule="auto"/>
              <w:ind w:left="426" w:right="-143" w:hanging="426"/>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w:t>
            </w:r>
          </w:p>
        </w:tc>
        <w:tc>
          <w:tcPr>
            <w:tcW w:w="1071" w:type="dxa"/>
            <w:gridSpan w:val="2"/>
            <w:shd w:val="clear" w:color="auto" w:fill="auto"/>
            <w:vAlign w:val="center"/>
          </w:tcPr>
          <w:p w14:paraId="028A16B6" w14:textId="77777777" w:rsidR="00EF1771" w:rsidRDefault="00EF1771">
            <w:pPr>
              <w:widowControl w:val="0"/>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77,8</w:t>
            </w:r>
          </w:p>
        </w:tc>
        <w:tc>
          <w:tcPr>
            <w:tcW w:w="936" w:type="dxa"/>
            <w:shd w:val="clear" w:color="auto" w:fill="auto"/>
            <w:vAlign w:val="center"/>
          </w:tcPr>
          <w:p w14:paraId="0695E6F6" w14:textId="77777777" w:rsidR="00EF1771" w:rsidRDefault="00EF1771">
            <w:pPr>
              <w:widowControl w:val="0"/>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75,4</w:t>
            </w:r>
          </w:p>
        </w:tc>
        <w:tc>
          <w:tcPr>
            <w:tcW w:w="948" w:type="dxa"/>
            <w:gridSpan w:val="2"/>
            <w:shd w:val="clear" w:color="auto" w:fill="auto"/>
          </w:tcPr>
          <w:p w14:paraId="3FCA309B" w14:textId="77777777" w:rsidR="00EF1771" w:rsidRDefault="00EF1771">
            <w:pPr>
              <w:widowControl w:val="0"/>
              <w:spacing w:after="5" w:line="252" w:lineRule="auto"/>
              <w:ind w:left="-254" w:right="-143"/>
              <w:jc w:val="center"/>
              <w:rPr>
                <w:rFonts w:ascii="Times New Roman" w:eastAsia="Times New Roman" w:hAnsi="Times New Roman"/>
                <w:bCs/>
                <w:color w:val="000000"/>
                <w:sz w:val="20"/>
                <w:szCs w:val="20"/>
                <w:lang w:eastAsia="ru-RU"/>
              </w:rPr>
            </w:pPr>
          </w:p>
          <w:p w14:paraId="4AB76E7C" w14:textId="77777777" w:rsidR="00EF1771" w:rsidRDefault="00EF1771">
            <w:pPr>
              <w:widowControl w:val="0"/>
              <w:spacing w:after="5" w:line="252" w:lineRule="auto"/>
              <w:ind w:left="-254" w:right="-143"/>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73,8</w:t>
            </w:r>
          </w:p>
        </w:tc>
        <w:tc>
          <w:tcPr>
            <w:tcW w:w="1656" w:type="dxa"/>
            <w:shd w:val="clear" w:color="auto" w:fill="auto"/>
          </w:tcPr>
          <w:p w14:paraId="67630567" w14:textId="77777777" w:rsidR="00EF1771" w:rsidRDefault="00EF1771">
            <w:pPr>
              <w:widowControl w:val="0"/>
              <w:spacing w:after="5" w:line="252" w:lineRule="auto"/>
              <w:ind w:left="426" w:right="-143" w:hanging="426"/>
              <w:jc w:val="center"/>
              <w:rPr>
                <w:rFonts w:ascii="Times New Roman" w:eastAsia="Times New Roman" w:hAnsi="Times New Roman"/>
                <w:i/>
                <w:color w:val="000000"/>
                <w:sz w:val="20"/>
                <w:szCs w:val="20"/>
                <w:lang w:eastAsia="ru-RU"/>
              </w:rPr>
            </w:pPr>
          </w:p>
          <w:p w14:paraId="506EA115" w14:textId="5CD33109" w:rsidR="00EF1771" w:rsidRDefault="00EF1771">
            <w:r>
              <w:rPr>
                <w:rFonts w:ascii="Times New Roman" w:eastAsia="Times New Roman" w:hAnsi="Times New Roman"/>
                <w:i/>
                <w:color w:val="000000"/>
                <w:sz w:val="20"/>
                <w:szCs w:val="20"/>
                <w:lang w:eastAsia="ru-RU"/>
              </w:rPr>
              <w:t>- 1,6 пп</w:t>
            </w:r>
          </w:p>
        </w:tc>
      </w:tr>
      <w:tr w:rsidR="00EF1771" w14:paraId="0792461B" w14:textId="77777777" w:rsidTr="00731F36">
        <w:trPr>
          <w:cantSplit/>
          <w:trHeight w:val="58"/>
          <w:jc w:val="center"/>
        </w:trPr>
        <w:tc>
          <w:tcPr>
            <w:tcW w:w="9656" w:type="dxa"/>
            <w:gridSpan w:val="8"/>
            <w:shd w:val="clear" w:color="auto" w:fill="auto"/>
          </w:tcPr>
          <w:p w14:paraId="0EAF7B01" w14:textId="77777777" w:rsidR="00EF1771" w:rsidRDefault="00EF1771">
            <w:pPr>
              <w:widowControl w:val="0"/>
              <w:spacing w:after="5" w:line="252" w:lineRule="auto"/>
              <w:ind w:left="426" w:right="-143" w:hanging="426"/>
              <w:jc w:val="center"/>
              <w:rPr>
                <w:rFonts w:ascii="Times New Roman" w:eastAsia="Times New Roman" w:hAnsi="Times New Roman"/>
                <w:b/>
                <w:bCs/>
                <w:color w:val="000000"/>
                <w:sz w:val="20"/>
                <w:szCs w:val="20"/>
                <w:lang w:eastAsia="ru-RU"/>
              </w:rPr>
            </w:pPr>
          </w:p>
          <w:p w14:paraId="3E1A072E" w14:textId="7D0EA0E3" w:rsidR="00EF1771" w:rsidRDefault="00EF1771" w:rsidP="00EF1771">
            <w:pPr>
              <w:jc w:val="center"/>
            </w:pPr>
            <w:r>
              <w:rPr>
                <w:rFonts w:ascii="Times New Roman" w:eastAsia="Times New Roman" w:hAnsi="Times New Roman"/>
                <w:b/>
                <w:bCs/>
                <w:color w:val="000000"/>
                <w:sz w:val="20"/>
                <w:szCs w:val="20"/>
                <w:lang w:eastAsia="ru-RU"/>
              </w:rPr>
              <w:t>13. Показатели в части молодежной политики</w:t>
            </w:r>
          </w:p>
        </w:tc>
      </w:tr>
      <w:tr w:rsidR="00EF1771" w14:paraId="028838BC" w14:textId="77777777" w:rsidTr="00731F36">
        <w:trPr>
          <w:cantSplit/>
          <w:trHeight w:val="135"/>
          <w:jc w:val="center"/>
        </w:trPr>
        <w:tc>
          <w:tcPr>
            <w:tcW w:w="4098" w:type="dxa"/>
            <w:shd w:val="clear" w:color="auto" w:fill="auto"/>
          </w:tcPr>
          <w:p w14:paraId="11983DD9" w14:textId="77777777" w:rsidR="00EF1771" w:rsidRDefault="00EF1771">
            <w:pPr>
              <w:tabs>
                <w:tab w:val="left" w:pos="9356"/>
              </w:tabs>
              <w:spacing w:after="0" w:line="240" w:lineRule="auto"/>
              <w:ind w:left="22" w:hanging="2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Число школьников, участвующих в профориентационных проектах группы компаний «Россети»</w:t>
            </w:r>
          </w:p>
        </w:tc>
        <w:tc>
          <w:tcPr>
            <w:tcW w:w="947" w:type="dxa"/>
            <w:shd w:val="clear" w:color="auto" w:fill="auto"/>
          </w:tcPr>
          <w:p w14:paraId="18895E9D" w14:textId="77777777" w:rsidR="00EF1771" w:rsidRDefault="00EF1771">
            <w:pPr>
              <w:widowControl w:val="0"/>
              <w:spacing w:after="5" w:line="252" w:lineRule="auto"/>
              <w:ind w:left="426" w:right="-143" w:hanging="426"/>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чел</w:t>
            </w:r>
          </w:p>
        </w:tc>
        <w:tc>
          <w:tcPr>
            <w:tcW w:w="1071" w:type="dxa"/>
            <w:gridSpan w:val="2"/>
            <w:shd w:val="clear" w:color="auto" w:fill="auto"/>
            <w:vAlign w:val="center"/>
          </w:tcPr>
          <w:p w14:paraId="68FF6A06" w14:textId="77777777" w:rsidR="00EF1771" w:rsidRDefault="00EF177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280</w:t>
            </w:r>
          </w:p>
        </w:tc>
        <w:tc>
          <w:tcPr>
            <w:tcW w:w="936" w:type="dxa"/>
            <w:shd w:val="clear" w:color="auto" w:fill="auto"/>
            <w:vAlign w:val="center"/>
          </w:tcPr>
          <w:p w14:paraId="299362D7" w14:textId="77777777" w:rsidR="00EF1771" w:rsidRDefault="00EF177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286</w:t>
            </w:r>
          </w:p>
        </w:tc>
        <w:tc>
          <w:tcPr>
            <w:tcW w:w="948" w:type="dxa"/>
            <w:gridSpan w:val="2"/>
            <w:shd w:val="clear" w:color="auto" w:fill="auto"/>
            <w:vAlign w:val="center"/>
          </w:tcPr>
          <w:p w14:paraId="164392D9" w14:textId="77777777" w:rsidR="00EF1771" w:rsidRDefault="00EF177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415</w:t>
            </w:r>
          </w:p>
        </w:tc>
        <w:tc>
          <w:tcPr>
            <w:tcW w:w="1656" w:type="dxa"/>
            <w:shd w:val="clear" w:color="auto" w:fill="auto"/>
            <w:vAlign w:val="center"/>
          </w:tcPr>
          <w:p w14:paraId="636DB366" w14:textId="2BE11121" w:rsidR="00EF1771" w:rsidRDefault="00EF1771">
            <w:r>
              <w:rPr>
                <w:rFonts w:ascii="Times New Roman" w:eastAsia="Times New Roman" w:hAnsi="Times New Roman"/>
                <w:bCs/>
                <w:i/>
                <w:color w:val="000000"/>
                <w:sz w:val="20"/>
                <w:szCs w:val="20"/>
                <w:lang w:eastAsia="ru-RU"/>
              </w:rPr>
              <w:t>145,1</w:t>
            </w:r>
          </w:p>
        </w:tc>
      </w:tr>
      <w:tr w:rsidR="00EF1771" w14:paraId="4EF736E9" w14:textId="77777777" w:rsidTr="00731F36">
        <w:trPr>
          <w:cantSplit/>
          <w:trHeight w:val="135"/>
          <w:jc w:val="center"/>
        </w:trPr>
        <w:tc>
          <w:tcPr>
            <w:tcW w:w="4098" w:type="dxa"/>
            <w:shd w:val="clear" w:color="auto" w:fill="auto"/>
          </w:tcPr>
          <w:p w14:paraId="3EF52E42" w14:textId="77777777" w:rsidR="00EF1771" w:rsidRDefault="00EF1771">
            <w:pPr>
              <w:tabs>
                <w:tab w:val="left" w:pos="9356"/>
              </w:tabs>
              <w:spacing w:after="0" w:line="240" w:lineRule="auto"/>
              <w:ind w:left="22" w:hanging="2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Число вузов/ ссузов партнеров в регионах присутствия компании</w:t>
            </w:r>
          </w:p>
        </w:tc>
        <w:tc>
          <w:tcPr>
            <w:tcW w:w="947" w:type="dxa"/>
            <w:shd w:val="clear" w:color="auto" w:fill="auto"/>
          </w:tcPr>
          <w:p w14:paraId="5EFC6907" w14:textId="77777777" w:rsidR="00EF1771" w:rsidRDefault="00EF1771">
            <w:pPr>
              <w:widowControl w:val="0"/>
              <w:spacing w:after="5" w:line="252" w:lineRule="auto"/>
              <w:ind w:left="426" w:right="-143" w:hanging="426"/>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ед./ ед.</w:t>
            </w:r>
          </w:p>
        </w:tc>
        <w:tc>
          <w:tcPr>
            <w:tcW w:w="1071" w:type="dxa"/>
            <w:gridSpan w:val="2"/>
            <w:shd w:val="clear" w:color="auto" w:fill="auto"/>
            <w:vAlign w:val="center"/>
          </w:tcPr>
          <w:p w14:paraId="1456143A" w14:textId="77777777" w:rsidR="00EF1771" w:rsidRDefault="00EF1771">
            <w:pPr>
              <w:widowControl w:val="0"/>
              <w:spacing w:after="5" w:line="252" w:lineRule="auto"/>
              <w:ind w:left="35"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 xml:space="preserve">     18</w:t>
            </w:r>
          </w:p>
        </w:tc>
        <w:tc>
          <w:tcPr>
            <w:tcW w:w="936" w:type="dxa"/>
            <w:shd w:val="clear" w:color="auto" w:fill="auto"/>
            <w:vAlign w:val="center"/>
          </w:tcPr>
          <w:p w14:paraId="4552B103"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i/>
                <w:color w:val="000000"/>
                <w:sz w:val="20"/>
                <w:szCs w:val="20"/>
                <w:lang w:eastAsia="ru-RU"/>
              </w:rPr>
              <w:t>19</w:t>
            </w:r>
          </w:p>
        </w:tc>
        <w:tc>
          <w:tcPr>
            <w:tcW w:w="948" w:type="dxa"/>
            <w:gridSpan w:val="2"/>
            <w:shd w:val="clear" w:color="auto" w:fill="auto"/>
            <w:vAlign w:val="center"/>
          </w:tcPr>
          <w:p w14:paraId="105DA5EC" w14:textId="77777777" w:rsidR="00EF1771" w:rsidRDefault="00EF1771">
            <w:pPr>
              <w:widowControl w:val="0"/>
              <w:spacing w:after="5" w:line="252" w:lineRule="auto"/>
              <w:ind w:left="426" w:right="-143" w:hanging="426"/>
              <w:jc w:val="center"/>
              <w:rPr>
                <w:rFonts w:ascii="Times New Roman" w:eastAsia="Times New Roman" w:hAnsi="Times New Roman"/>
                <w:i/>
                <w:color w:val="000000"/>
                <w:sz w:val="20"/>
                <w:szCs w:val="20"/>
                <w:lang w:eastAsia="ru-RU"/>
              </w:rPr>
            </w:pPr>
            <w:r>
              <w:rPr>
                <w:rFonts w:ascii="Times New Roman" w:eastAsia="Times New Roman" w:hAnsi="Times New Roman"/>
                <w:i/>
                <w:color w:val="000000"/>
                <w:sz w:val="20"/>
                <w:szCs w:val="20"/>
                <w:lang w:eastAsia="ru-RU"/>
              </w:rPr>
              <w:t>19</w:t>
            </w:r>
          </w:p>
        </w:tc>
        <w:tc>
          <w:tcPr>
            <w:tcW w:w="1656" w:type="dxa"/>
            <w:shd w:val="clear" w:color="auto" w:fill="auto"/>
            <w:vAlign w:val="center"/>
          </w:tcPr>
          <w:p w14:paraId="5F1F4DC4" w14:textId="07539821" w:rsidR="00EF1771" w:rsidRDefault="00EF1771">
            <w:r>
              <w:rPr>
                <w:rFonts w:ascii="Times New Roman" w:eastAsia="Times New Roman" w:hAnsi="Times New Roman"/>
                <w:i/>
                <w:color w:val="000000"/>
                <w:sz w:val="20"/>
                <w:szCs w:val="20"/>
                <w:lang w:eastAsia="ru-RU"/>
              </w:rPr>
              <w:t>100,0</w:t>
            </w:r>
          </w:p>
        </w:tc>
      </w:tr>
      <w:tr w:rsidR="00EF1771" w14:paraId="3539B742" w14:textId="77777777" w:rsidTr="00731F36">
        <w:trPr>
          <w:cantSplit/>
          <w:trHeight w:val="240"/>
          <w:jc w:val="center"/>
        </w:trPr>
        <w:tc>
          <w:tcPr>
            <w:tcW w:w="4098" w:type="dxa"/>
            <w:shd w:val="clear" w:color="auto" w:fill="auto"/>
          </w:tcPr>
          <w:p w14:paraId="7D027942" w14:textId="77777777" w:rsidR="00EF1771" w:rsidRDefault="00EF1771">
            <w:pPr>
              <w:tabs>
                <w:tab w:val="left" w:pos="9356"/>
              </w:tabs>
              <w:spacing w:after="0" w:line="240" w:lineRule="auto"/>
              <w:ind w:left="22" w:hanging="2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Число студентов вузов/ ссузов, проходящих подготовку по договорам целевого обучения с компанией</w:t>
            </w:r>
          </w:p>
        </w:tc>
        <w:tc>
          <w:tcPr>
            <w:tcW w:w="947" w:type="dxa"/>
            <w:shd w:val="clear" w:color="auto" w:fill="auto"/>
          </w:tcPr>
          <w:p w14:paraId="62F2D967" w14:textId="77777777" w:rsidR="00EF1771" w:rsidRDefault="00EF1771">
            <w:pPr>
              <w:widowControl w:val="0"/>
              <w:spacing w:after="5" w:line="252" w:lineRule="auto"/>
              <w:ind w:left="426" w:right="-143" w:hanging="426"/>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чел./чел.</w:t>
            </w:r>
          </w:p>
        </w:tc>
        <w:tc>
          <w:tcPr>
            <w:tcW w:w="1071" w:type="dxa"/>
            <w:gridSpan w:val="2"/>
            <w:shd w:val="clear" w:color="auto" w:fill="auto"/>
            <w:vAlign w:val="center"/>
          </w:tcPr>
          <w:p w14:paraId="198B2B26"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121</w:t>
            </w:r>
          </w:p>
        </w:tc>
        <w:tc>
          <w:tcPr>
            <w:tcW w:w="936" w:type="dxa"/>
            <w:shd w:val="clear" w:color="auto" w:fill="auto"/>
            <w:vAlign w:val="center"/>
          </w:tcPr>
          <w:p w14:paraId="0B030568"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i/>
                <w:color w:val="000000"/>
                <w:sz w:val="20"/>
                <w:szCs w:val="20"/>
                <w:lang w:eastAsia="ru-RU"/>
              </w:rPr>
              <w:t>169</w:t>
            </w:r>
          </w:p>
        </w:tc>
        <w:tc>
          <w:tcPr>
            <w:tcW w:w="948" w:type="dxa"/>
            <w:gridSpan w:val="2"/>
            <w:shd w:val="clear" w:color="auto" w:fill="auto"/>
            <w:vAlign w:val="center"/>
          </w:tcPr>
          <w:p w14:paraId="0DF32DE4" w14:textId="77777777" w:rsidR="00EF1771" w:rsidRDefault="00EF1771">
            <w:pPr>
              <w:widowControl w:val="0"/>
              <w:spacing w:after="5" w:line="252" w:lineRule="auto"/>
              <w:ind w:left="426" w:right="-143" w:hanging="426"/>
              <w:jc w:val="center"/>
              <w:rPr>
                <w:rFonts w:ascii="Times New Roman" w:eastAsia="Times New Roman" w:hAnsi="Times New Roman"/>
                <w:i/>
                <w:color w:val="000000"/>
                <w:sz w:val="20"/>
                <w:szCs w:val="20"/>
                <w:lang w:eastAsia="ru-RU"/>
              </w:rPr>
            </w:pPr>
            <w:r>
              <w:rPr>
                <w:rFonts w:ascii="Times New Roman" w:eastAsia="Times New Roman" w:hAnsi="Times New Roman"/>
                <w:i/>
                <w:color w:val="000000"/>
                <w:sz w:val="20"/>
                <w:szCs w:val="20"/>
                <w:lang w:eastAsia="ru-RU"/>
              </w:rPr>
              <w:t>171</w:t>
            </w:r>
          </w:p>
        </w:tc>
        <w:tc>
          <w:tcPr>
            <w:tcW w:w="1656" w:type="dxa"/>
            <w:shd w:val="clear" w:color="auto" w:fill="auto"/>
            <w:vAlign w:val="center"/>
          </w:tcPr>
          <w:p w14:paraId="24F06404" w14:textId="444760B8" w:rsidR="00EF1771" w:rsidRDefault="00EF1771">
            <w:r>
              <w:rPr>
                <w:rFonts w:ascii="Times New Roman" w:eastAsia="Times New Roman" w:hAnsi="Times New Roman"/>
                <w:i/>
                <w:color w:val="000000"/>
                <w:sz w:val="20"/>
                <w:szCs w:val="20"/>
                <w:lang w:eastAsia="ru-RU"/>
              </w:rPr>
              <w:t>101,2</w:t>
            </w:r>
          </w:p>
        </w:tc>
      </w:tr>
      <w:tr w:rsidR="00EF1771" w14:paraId="0588236E" w14:textId="77777777" w:rsidTr="00731F36">
        <w:trPr>
          <w:cantSplit/>
          <w:trHeight w:val="58"/>
          <w:jc w:val="center"/>
        </w:trPr>
        <w:tc>
          <w:tcPr>
            <w:tcW w:w="4098" w:type="dxa"/>
            <w:shd w:val="clear" w:color="auto" w:fill="auto"/>
          </w:tcPr>
          <w:p w14:paraId="02384119" w14:textId="77777777" w:rsidR="00EF1771" w:rsidRDefault="00EF1771">
            <w:pPr>
              <w:tabs>
                <w:tab w:val="left" w:pos="9356"/>
              </w:tabs>
              <w:spacing w:after="0" w:line="240" w:lineRule="auto"/>
              <w:ind w:left="22" w:hanging="2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Число студентов вузов/ ссузов, прошедших практику в компании</w:t>
            </w:r>
          </w:p>
        </w:tc>
        <w:tc>
          <w:tcPr>
            <w:tcW w:w="947" w:type="dxa"/>
            <w:shd w:val="clear" w:color="auto" w:fill="auto"/>
          </w:tcPr>
          <w:p w14:paraId="43261D4F" w14:textId="77777777" w:rsidR="00EF1771" w:rsidRDefault="00EF1771">
            <w:pPr>
              <w:widowControl w:val="0"/>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sz w:val="20"/>
                <w:szCs w:val="20"/>
                <w:lang w:eastAsia="ru-RU"/>
              </w:rPr>
              <w:t>чел./чел.</w:t>
            </w:r>
          </w:p>
        </w:tc>
        <w:tc>
          <w:tcPr>
            <w:tcW w:w="1071" w:type="dxa"/>
            <w:gridSpan w:val="2"/>
            <w:shd w:val="clear" w:color="auto" w:fill="auto"/>
            <w:vAlign w:val="center"/>
          </w:tcPr>
          <w:p w14:paraId="283F2AE5" w14:textId="77777777" w:rsidR="00EF1771" w:rsidRDefault="00EF1771">
            <w:pPr>
              <w:widowControl w:val="0"/>
              <w:spacing w:after="5" w:line="252" w:lineRule="auto"/>
              <w:ind w:left="426" w:right="-175"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724</w:t>
            </w:r>
          </w:p>
        </w:tc>
        <w:tc>
          <w:tcPr>
            <w:tcW w:w="936" w:type="dxa"/>
            <w:shd w:val="clear" w:color="auto" w:fill="auto"/>
            <w:vAlign w:val="center"/>
          </w:tcPr>
          <w:p w14:paraId="1A5D550E"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i/>
                <w:color w:val="000000"/>
                <w:sz w:val="20"/>
                <w:szCs w:val="20"/>
                <w:lang w:eastAsia="ru-RU"/>
              </w:rPr>
              <w:t>823</w:t>
            </w:r>
          </w:p>
        </w:tc>
        <w:tc>
          <w:tcPr>
            <w:tcW w:w="948" w:type="dxa"/>
            <w:gridSpan w:val="2"/>
            <w:shd w:val="clear" w:color="auto" w:fill="auto"/>
            <w:vAlign w:val="center"/>
          </w:tcPr>
          <w:p w14:paraId="0994C6F7" w14:textId="77777777" w:rsidR="00EF1771" w:rsidRDefault="00EF1771">
            <w:pPr>
              <w:widowControl w:val="0"/>
              <w:spacing w:after="5" w:line="252" w:lineRule="auto"/>
              <w:ind w:left="426" w:right="-143" w:hanging="426"/>
              <w:jc w:val="center"/>
              <w:rPr>
                <w:rFonts w:ascii="Times New Roman" w:eastAsia="Times New Roman" w:hAnsi="Times New Roman"/>
                <w:i/>
                <w:color w:val="000000"/>
                <w:sz w:val="20"/>
                <w:szCs w:val="20"/>
                <w:lang w:eastAsia="ru-RU"/>
              </w:rPr>
            </w:pPr>
            <w:r>
              <w:rPr>
                <w:rFonts w:ascii="Times New Roman" w:eastAsia="Times New Roman" w:hAnsi="Times New Roman"/>
                <w:i/>
                <w:color w:val="000000"/>
                <w:sz w:val="20"/>
                <w:szCs w:val="20"/>
                <w:lang w:eastAsia="ru-RU"/>
              </w:rPr>
              <w:t>898</w:t>
            </w:r>
          </w:p>
        </w:tc>
        <w:tc>
          <w:tcPr>
            <w:tcW w:w="1656" w:type="dxa"/>
            <w:shd w:val="clear" w:color="auto" w:fill="auto"/>
            <w:vAlign w:val="center"/>
          </w:tcPr>
          <w:p w14:paraId="596B5426" w14:textId="6D53B0F6" w:rsidR="00EF1771" w:rsidRDefault="00EF1771">
            <w:r>
              <w:rPr>
                <w:rFonts w:ascii="Times New Roman" w:eastAsia="Times New Roman" w:hAnsi="Times New Roman"/>
                <w:i/>
                <w:color w:val="000000"/>
                <w:sz w:val="20"/>
                <w:szCs w:val="20"/>
                <w:lang w:eastAsia="ru-RU"/>
              </w:rPr>
              <w:t>109,1</w:t>
            </w:r>
          </w:p>
        </w:tc>
      </w:tr>
      <w:tr w:rsidR="00EF1771" w14:paraId="50F26E3B" w14:textId="77777777" w:rsidTr="00731F36">
        <w:trPr>
          <w:cantSplit/>
          <w:trHeight w:val="58"/>
          <w:jc w:val="center"/>
        </w:trPr>
        <w:tc>
          <w:tcPr>
            <w:tcW w:w="4098" w:type="dxa"/>
            <w:shd w:val="clear" w:color="auto" w:fill="auto"/>
          </w:tcPr>
          <w:p w14:paraId="52C3DC78" w14:textId="77777777" w:rsidR="00EF1771" w:rsidRDefault="00EF1771">
            <w:pPr>
              <w:tabs>
                <w:tab w:val="left" w:pos="9356"/>
              </w:tabs>
              <w:spacing w:after="0" w:line="240" w:lineRule="auto"/>
              <w:ind w:left="22" w:hanging="2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Число выпускников вузов/ ссузов, трудоустроенных в компанию в отчетном году</w:t>
            </w:r>
          </w:p>
        </w:tc>
        <w:tc>
          <w:tcPr>
            <w:tcW w:w="947" w:type="dxa"/>
            <w:shd w:val="clear" w:color="auto" w:fill="auto"/>
          </w:tcPr>
          <w:p w14:paraId="3EEDD98F" w14:textId="77777777" w:rsidR="00EF1771" w:rsidRDefault="00EF1771">
            <w:pPr>
              <w:widowControl w:val="0"/>
              <w:spacing w:after="5" w:line="252" w:lineRule="auto"/>
              <w:ind w:left="426" w:right="-143" w:hanging="426"/>
              <w:rPr>
                <w:rFonts w:ascii="Times New Roman" w:eastAsia="Times New Roman" w:hAnsi="Times New Roman"/>
                <w:bCs/>
                <w:sz w:val="20"/>
                <w:szCs w:val="20"/>
                <w:lang w:eastAsia="ru-RU"/>
              </w:rPr>
            </w:pPr>
            <w:r>
              <w:rPr>
                <w:rFonts w:ascii="Times New Roman" w:eastAsia="Times New Roman" w:hAnsi="Times New Roman"/>
                <w:bCs/>
                <w:color w:val="000000"/>
                <w:sz w:val="20"/>
                <w:szCs w:val="20"/>
                <w:lang w:eastAsia="ru-RU"/>
              </w:rPr>
              <w:t>чел./ чел.</w:t>
            </w:r>
          </w:p>
        </w:tc>
        <w:tc>
          <w:tcPr>
            <w:tcW w:w="1071" w:type="dxa"/>
            <w:gridSpan w:val="2"/>
            <w:shd w:val="clear" w:color="auto" w:fill="auto"/>
            <w:vAlign w:val="center"/>
          </w:tcPr>
          <w:p w14:paraId="45C0275A" w14:textId="77777777" w:rsidR="00EF1771" w:rsidRDefault="00EF1771">
            <w:pPr>
              <w:widowControl w:val="0"/>
              <w:spacing w:after="5" w:line="252" w:lineRule="auto"/>
              <w:ind w:left="35" w:right="-143" w:hanging="35"/>
              <w:jc w:val="center"/>
              <w:rPr>
                <w:rFonts w:ascii="Times New Roman" w:eastAsia="Times New Roman" w:hAnsi="Times New Roman"/>
                <w:bCs/>
                <w:color w:val="000000"/>
                <w:sz w:val="20"/>
                <w:szCs w:val="20"/>
                <w:lang w:eastAsia="ru-RU"/>
              </w:rPr>
            </w:pPr>
            <w:r>
              <w:rPr>
                <w:rFonts w:ascii="Times New Roman" w:eastAsia="Times New Roman" w:hAnsi="Times New Roman"/>
                <w:color w:val="000000"/>
                <w:sz w:val="20"/>
                <w:szCs w:val="20"/>
                <w:lang w:eastAsia="ru-RU"/>
              </w:rPr>
              <w:t>111</w:t>
            </w:r>
          </w:p>
        </w:tc>
        <w:tc>
          <w:tcPr>
            <w:tcW w:w="936" w:type="dxa"/>
            <w:shd w:val="clear" w:color="auto" w:fill="auto"/>
            <w:vAlign w:val="center"/>
          </w:tcPr>
          <w:p w14:paraId="77B290D1" w14:textId="77777777" w:rsidR="00EF1771" w:rsidRDefault="00EF1771">
            <w:pPr>
              <w:widowControl w:val="0"/>
              <w:spacing w:after="5" w:line="252" w:lineRule="auto"/>
              <w:ind w:left="37" w:right="-143" w:hanging="141"/>
              <w:jc w:val="center"/>
              <w:rPr>
                <w:rFonts w:ascii="Times New Roman" w:eastAsia="Times New Roman" w:hAnsi="Times New Roman"/>
                <w:bCs/>
                <w:color w:val="000000"/>
                <w:sz w:val="20"/>
                <w:szCs w:val="20"/>
                <w:lang w:eastAsia="ru-RU"/>
              </w:rPr>
            </w:pPr>
            <w:r>
              <w:rPr>
                <w:rFonts w:ascii="Times New Roman" w:eastAsia="Times New Roman" w:hAnsi="Times New Roman"/>
                <w:i/>
                <w:iCs/>
                <w:color w:val="000000"/>
                <w:sz w:val="20"/>
                <w:szCs w:val="20"/>
                <w:lang w:eastAsia="ru-RU"/>
              </w:rPr>
              <w:t>171</w:t>
            </w:r>
          </w:p>
        </w:tc>
        <w:tc>
          <w:tcPr>
            <w:tcW w:w="948" w:type="dxa"/>
            <w:gridSpan w:val="2"/>
            <w:shd w:val="clear" w:color="auto" w:fill="auto"/>
            <w:vAlign w:val="center"/>
          </w:tcPr>
          <w:p w14:paraId="186A9C10" w14:textId="77777777" w:rsidR="00EF1771" w:rsidRDefault="00EF1771">
            <w:pPr>
              <w:widowControl w:val="0"/>
              <w:spacing w:after="5" w:line="252" w:lineRule="auto"/>
              <w:ind w:left="426" w:right="-143" w:hanging="426"/>
              <w:jc w:val="center"/>
              <w:rPr>
                <w:rFonts w:ascii="Times New Roman" w:eastAsia="Times New Roman" w:hAnsi="Times New Roman"/>
                <w:i/>
                <w:iCs/>
                <w:color w:val="000000"/>
                <w:sz w:val="20"/>
                <w:szCs w:val="20"/>
                <w:lang w:eastAsia="ru-RU"/>
              </w:rPr>
            </w:pPr>
            <w:r>
              <w:rPr>
                <w:rFonts w:ascii="Times New Roman" w:eastAsia="Times New Roman" w:hAnsi="Times New Roman"/>
                <w:i/>
                <w:iCs/>
                <w:color w:val="000000"/>
                <w:sz w:val="20"/>
                <w:szCs w:val="20"/>
                <w:lang w:eastAsia="ru-RU"/>
              </w:rPr>
              <w:t>89</w:t>
            </w:r>
          </w:p>
        </w:tc>
        <w:tc>
          <w:tcPr>
            <w:tcW w:w="1656" w:type="dxa"/>
            <w:shd w:val="clear" w:color="auto" w:fill="auto"/>
            <w:vAlign w:val="center"/>
          </w:tcPr>
          <w:p w14:paraId="1D86A19B" w14:textId="36262B5C" w:rsidR="00EF1771" w:rsidRDefault="00EF1771">
            <w:r>
              <w:rPr>
                <w:rFonts w:ascii="Times New Roman" w:eastAsia="Times New Roman" w:hAnsi="Times New Roman"/>
                <w:i/>
                <w:iCs/>
                <w:color w:val="000000"/>
                <w:sz w:val="20"/>
                <w:szCs w:val="20"/>
                <w:lang w:eastAsia="ru-RU"/>
              </w:rPr>
              <w:t>-52,0</w:t>
            </w:r>
          </w:p>
        </w:tc>
      </w:tr>
      <w:tr w:rsidR="00EF1771" w14:paraId="7EDA4ED7" w14:textId="77777777" w:rsidTr="00731F36">
        <w:trPr>
          <w:cantSplit/>
          <w:trHeight w:val="58"/>
          <w:jc w:val="center"/>
        </w:trPr>
        <w:tc>
          <w:tcPr>
            <w:tcW w:w="4098" w:type="dxa"/>
            <w:shd w:val="clear" w:color="auto" w:fill="auto"/>
          </w:tcPr>
          <w:p w14:paraId="7F7BACBD" w14:textId="77777777" w:rsidR="00EF1771" w:rsidRDefault="00EF1771">
            <w:pPr>
              <w:tabs>
                <w:tab w:val="left" w:pos="9356"/>
              </w:tabs>
              <w:spacing w:after="0" w:line="240" w:lineRule="auto"/>
              <w:ind w:left="22" w:hanging="2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Число молодых специалистов, принявших участие в конкурсах, форумах, конференциях корпоративного, регионального или федерального уровня</w:t>
            </w:r>
          </w:p>
        </w:tc>
        <w:tc>
          <w:tcPr>
            <w:tcW w:w="947" w:type="dxa"/>
            <w:shd w:val="clear" w:color="auto" w:fill="auto"/>
          </w:tcPr>
          <w:p w14:paraId="469ED0A9" w14:textId="77777777" w:rsidR="00EF1771" w:rsidRDefault="00EF1771">
            <w:pPr>
              <w:widowControl w:val="0"/>
              <w:spacing w:after="5" w:line="252" w:lineRule="auto"/>
              <w:ind w:left="426" w:right="-143" w:hanging="426"/>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чел.</w:t>
            </w:r>
          </w:p>
        </w:tc>
        <w:tc>
          <w:tcPr>
            <w:tcW w:w="1071" w:type="dxa"/>
            <w:gridSpan w:val="2"/>
            <w:shd w:val="clear" w:color="auto" w:fill="auto"/>
            <w:vAlign w:val="center"/>
          </w:tcPr>
          <w:p w14:paraId="55B7C2ED"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34</w:t>
            </w:r>
          </w:p>
        </w:tc>
        <w:tc>
          <w:tcPr>
            <w:tcW w:w="936" w:type="dxa"/>
            <w:shd w:val="clear" w:color="auto" w:fill="auto"/>
            <w:vAlign w:val="center"/>
          </w:tcPr>
          <w:p w14:paraId="05BDEEA5" w14:textId="77777777" w:rsidR="00EF1771" w:rsidRDefault="00EF177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35</w:t>
            </w:r>
          </w:p>
        </w:tc>
        <w:tc>
          <w:tcPr>
            <w:tcW w:w="948" w:type="dxa"/>
            <w:gridSpan w:val="2"/>
            <w:shd w:val="clear" w:color="auto" w:fill="auto"/>
            <w:vAlign w:val="center"/>
          </w:tcPr>
          <w:p w14:paraId="6278DCAC" w14:textId="77777777" w:rsidR="00EF1771" w:rsidRDefault="00EF1771">
            <w:pPr>
              <w:widowControl w:val="0"/>
              <w:spacing w:after="5" w:line="252" w:lineRule="auto"/>
              <w:ind w:left="426" w:right="-143" w:hanging="426"/>
              <w:jc w:val="center"/>
              <w:rPr>
                <w:rFonts w:ascii="Times New Roman" w:eastAsia="Times New Roman" w:hAnsi="Times New Roman"/>
                <w:i/>
                <w:color w:val="000000"/>
                <w:sz w:val="20"/>
                <w:szCs w:val="20"/>
                <w:lang w:eastAsia="ru-RU"/>
              </w:rPr>
            </w:pPr>
            <w:r>
              <w:rPr>
                <w:rFonts w:ascii="Times New Roman" w:eastAsia="Times New Roman" w:hAnsi="Times New Roman"/>
                <w:i/>
                <w:color w:val="000000"/>
                <w:sz w:val="20"/>
                <w:szCs w:val="20"/>
                <w:lang w:eastAsia="ru-RU"/>
              </w:rPr>
              <w:t>35</w:t>
            </w:r>
          </w:p>
        </w:tc>
        <w:tc>
          <w:tcPr>
            <w:tcW w:w="1656" w:type="dxa"/>
            <w:shd w:val="clear" w:color="auto" w:fill="auto"/>
            <w:vAlign w:val="center"/>
          </w:tcPr>
          <w:p w14:paraId="00921272" w14:textId="2CF83ACD" w:rsidR="00EF1771" w:rsidRDefault="00EF1771">
            <w:r>
              <w:rPr>
                <w:rFonts w:ascii="Times New Roman" w:eastAsia="Times New Roman" w:hAnsi="Times New Roman"/>
                <w:i/>
                <w:color w:val="000000"/>
                <w:sz w:val="20"/>
                <w:szCs w:val="20"/>
                <w:lang w:eastAsia="ru-RU"/>
              </w:rPr>
              <w:t>100,0</w:t>
            </w:r>
          </w:p>
        </w:tc>
      </w:tr>
    </w:tbl>
    <w:p w14:paraId="180F8D7D" w14:textId="77777777" w:rsidR="002449C2" w:rsidRDefault="002449C2">
      <w:pPr>
        <w:pStyle w:val="afff1"/>
        <w:jc w:val="both"/>
      </w:pPr>
    </w:p>
    <w:p w14:paraId="27B3AB56" w14:textId="77777777" w:rsidR="002449C2" w:rsidRDefault="00123961">
      <w:pPr>
        <w:keepNext/>
        <w:keepLines/>
        <w:shd w:val="clear" w:color="auto" w:fill="FFFFFF"/>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108" w:name="_Toc195174944"/>
      <w:bookmarkStart w:id="109" w:name="_Toc196143037"/>
      <w:r>
        <w:rPr>
          <w:rFonts w:ascii="Times New Roman" w:eastAsia="Times New Roman" w:hAnsi="Times New Roman"/>
          <w:color w:val="385623"/>
          <w:sz w:val="28"/>
          <w:szCs w:val="28"/>
          <w:lang w:eastAsia="en-US" w:bidi="en-US"/>
        </w:rPr>
        <w:t>Социальная политика</w:t>
      </w:r>
      <w:bookmarkEnd w:id="108"/>
      <w:bookmarkEnd w:id="109"/>
    </w:p>
    <w:p w14:paraId="32C0BB30"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Одним из важнейших условий успешной деятельности ПАО «Россети Юг» считает осуществление эффективной социальной политики. Забота о здоровье сотрудников, ветеранов, организация отдыха и оздоровление детей сотрудников, развитие физической культуры и спорта, социальные выплаты – вот основные позиции социальной ответственности. </w:t>
      </w:r>
    </w:p>
    <w:p w14:paraId="26D9FC14"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Социальная политика Общества в 2024 году осуществлялась на основании Отраслевого тарифного соглашения в электроэнергетике Российской Федерации на 2022-2024 годы, Коллективного договора ПАО «Россети Юг», внутренних положений, приказов и других локальных нормативных актов ПАО «Россети» и ПАО «Россети Юг».</w:t>
      </w:r>
    </w:p>
    <w:p w14:paraId="13A8445D"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 xml:space="preserve">Коллективный договор ПАО «Россети Юг» является результатом эффективного сотрудничества сторон социального партнерства для реализации социально-экономических прав и гарантий сотрудников Общества. </w:t>
      </w:r>
    </w:p>
    <w:p w14:paraId="395366FF"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целях удержания персонала и обеспечения социальной защищенности работников Общества и членов их семей, в соответствии с Коллективным договором ПАО «Россети Юг» на 2023-2025 годы сотрудникам ПАО «Россети Юг» предоставляются социальные льготы и гарантии.</w:t>
      </w:r>
    </w:p>
    <w:p w14:paraId="4FA31BDA" w14:textId="77777777" w:rsidR="002449C2" w:rsidRDefault="002449C2">
      <w:pPr>
        <w:shd w:val="clear" w:color="auto" w:fill="FFFFFF"/>
        <w:spacing w:after="0" w:line="240" w:lineRule="auto"/>
        <w:jc w:val="both"/>
        <w:rPr>
          <w:rFonts w:ascii="Cambria" w:hAnsi="Cambria"/>
          <w:b/>
          <w:sz w:val="26"/>
          <w:szCs w:val="26"/>
        </w:rPr>
      </w:pPr>
    </w:p>
    <w:p w14:paraId="3F706485" w14:textId="77777777" w:rsidR="002449C2" w:rsidRDefault="00123961">
      <w:pPr>
        <w:shd w:val="clear" w:color="auto" w:fill="FFFFFF"/>
        <w:spacing w:after="0" w:line="240" w:lineRule="auto"/>
        <w:jc w:val="both"/>
        <w:rPr>
          <w:rFonts w:ascii="Times New Roman" w:hAnsi="Times New Roman"/>
          <w:b/>
          <w:sz w:val="26"/>
          <w:szCs w:val="26"/>
        </w:rPr>
      </w:pPr>
      <w:r>
        <w:rPr>
          <w:rFonts w:ascii="Times New Roman" w:hAnsi="Times New Roman"/>
          <w:b/>
          <w:sz w:val="26"/>
          <w:szCs w:val="26"/>
        </w:rPr>
        <w:t>Объем средств, направленных на оказание материальной помощи сотрудникам</w:t>
      </w:r>
    </w:p>
    <w:p w14:paraId="55CD127D" w14:textId="77777777" w:rsidR="002449C2" w:rsidRDefault="002449C2">
      <w:pPr>
        <w:shd w:val="clear" w:color="auto" w:fill="FFFFFF"/>
        <w:spacing w:after="0" w:line="240" w:lineRule="auto"/>
        <w:ind w:firstLine="709"/>
        <w:jc w:val="both"/>
        <w:rPr>
          <w:rFonts w:ascii="Times New Roman" w:hAnsi="Times New Roman"/>
          <w:b/>
          <w:sz w:val="24"/>
          <w:szCs w:val="24"/>
        </w:rPr>
      </w:pPr>
    </w:p>
    <w:tbl>
      <w:tblPr>
        <w:tblW w:w="8132" w:type="dxa"/>
        <w:jc w:val="center"/>
        <w:tblLayout w:type="fixed"/>
        <w:tblLook w:val="04A0" w:firstRow="1" w:lastRow="0" w:firstColumn="1" w:lastColumn="0" w:noHBand="0" w:noVBand="1"/>
      </w:tblPr>
      <w:tblGrid>
        <w:gridCol w:w="4847"/>
        <w:gridCol w:w="3285"/>
      </w:tblGrid>
      <w:tr w:rsidR="002449C2" w14:paraId="350FDCC1" w14:textId="77777777" w:rsidTr="00B830B0">
        <w:trPr>
          <w:trHeight w:val="667"/>
          <w:jc w:val="center"/>
        </w:trPr>
        <w:tc>
          <w:tcPr>
            <w:tcW w:w="4847" w:type="dxa"/>
            <w:tcBorders>
              <w:top w:val="single" w:sz="4" w:space="0" w:color="000000"/>
              <w:left w:val="single" w:sz="4" w:space="0" w:color="000000"/>
              <w:bottom w:val="single" w:sz="4" w:space="0" w:color="000000"/>
              <w:right w:val="single" w:sz="4" w:space="0" w:color="000000"/>
            </w:tcBorders>
            <w:vAlign w:val="center"/>
          </w:tcPr>
          <w:p w14:paraId="374B2CE3" w14:textId="77777777" w:rsidR="002449C2" w:rsidRDefault="00123961">
            <w:pPr>
              <w:shd w:val="clear" w:color="auto" w:fill="FFFFFF"/>
              <w:spacing w:after="0" w:line="240" w:lineRule="auto"/>
              <w:jc w:val="both"/>
              <w:rPr>
                <w:rFonts w:ascii="Times New Roman" w:eastAsia="Times New Roman" w:hAnsi="Times New Roman"/>
                <w:lang w:eastAsia="ru-RU"/>
              </w:rPr>
            </w:pPr>
            <w:r>
              <w:rPr>
                <w:rFonts w:ascii="Times New Roman" w:eastAsia="Times New Roman" w:hAnsi="Times New Roman"/>
                <w:lang w:eastAsia="ru-RU"/>
              </w:rPr>
              <w:t>Наименование филиала</w:t>
            </w:r>
          </w:p>
        </w:tc>
        <w:tc>
          <w:tcPr>
            <w:tcW w:w="328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05D462" w14:textId="77777777" w:rsidR="002449C2" w:rsidRDefault="00123961">
            <w:pPr>
              <w:shd w:val="clear" w:color="auto" w:fill="FFFFFF"/>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2024 год</w:t>
            </w:r>
          </w:p>
          <w:p w14:paraId="2CB19E3A" w14:textId="77777777" w:rsidR="002449C2" w:rsidRDefault="00123961">
            <w:pPr>
              <w:shd w:val="clear" w:color="auto" w:fill="FFFFFF"/>
              <w:spacing w:after="0" w:line="240" w:lineRule="auto"/>
              <w:jc w:val="center"/>
              <w:rPr>
                <w:rFonts w:ascii="Times New Roman" w:eastAsia="Times New Roman" w:hAnsi="Times New Roman"/>
                <w:color w:val="FF0000"/>
                <w:lang w:eastAsia="ru-RU"/>
              </w:rPr>
            </w:pPr>
            <w:r>
              <w:rPr>
                <w:rFonts w:ascii="Times New Roman" w:eastAsia="Times New Roman" w:hAnsi="Times New Roman"/>
                <w:color w:val="000000"/>
                <w:lang w:eastAsia="ru-RU"/>
              </w:rPr>
              <w:t>(тыс. руб.)</w:t>
            </w:r>
          </w:p>
        </w:tc>
      </w:tr>
      <w:tr w:rsidR="002449C2" w14:paraId="588DB19B" w14:textId="77777777" w:rsidTr="00B830B0">
        <w:trPr>
          <w:jc w:val="center"/>
        </w:trPr>
        <w:tc>
          <w:tcPr>
            <w:tcW w:w="4847" w:type="dxa"/>
            <w:tcBorders>
              <w:top w:val="single" w:sz="4" w:space="0" w:color="000000"/>
              <w:left w:val="single" w:sz="4" w:space="0" w:color="000000"/>
              <w:bottom w:val="single" w:sz="4" w:space="0" w:color="000000"/>
              <w:right w:val="single" w:sz="4" w:space="0" w:color="000000"/>
            </w:tcBorders>
            <w:vAlign w:val="center"/>
          </w:tcPr>
          <w:p w14:paraId="3C94AF1B" w14:textId="77777777" w:rsidR="002449C2" w:rsidRDefault="00123961">
            <w:pPr>
              <w:shd w:val="clear" w:color="auto" w:fill="FFFFFF"/>
              <w:spacing w:after="0" w:line="240" w:lineRule="auto"/>
              <w:jc w:val="both"/>
              <w:rPr>
                <w:rFonts w:ascii="Times New Roman" w:eastAsia="Times New Roman" w:hAnsi="Times New Roman"/>
                <w:lang w:eastAsia="ru-RU"/>
              </w:rPr>
            </w:pPr>
            <w:r>
              <w:rPr>
                <w:rFonts w:ascii="Times New Roman" w:eastAsia="Times New Roman" w:hAnsi="Times New Roman"/>
                <w:lang w:eastAsia="ru-RU"/>
              </w:rPr>
              <w:t>«Астраханьэнерго»</w:t>
            </w:r>
          </w:p>
        </w:tc>
        <w:tc>
          <w:tcPr>
            <w:tcW w:w="328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0E743A" w14:textId="77777777" w:rsidR="002449C2" w:rsidRDefault="00123961">
            <w:pPr>
              <w:keepNext/>
              <w:keepLines/>
              <w:shd w:val="clear" w:color="auto" w:fill="FFFFFF"/>
              <w:spacing w:after="0" w:line="240" w:lineRule="auto"/>
              <w:contextualSpacing/>
              <w:jc w:val="center"/>
              <w:rPr>
                <w:rFonts w:ascii="Times New Roman" w:eastAsia="Times New Roman" w:hAnsi="Times New Roman"/>
                <w:color w:val="000000"/>
                <w:lang w:eastAsia="ru-RU"/>
              </w:rPr>
            </w:pPr>
            <w:r>
              <w:rPr>
                <w:rFonts w:ascii="Times New Roman" w:eastAsia="Times New Roman" w:hAnsi="Times New Roman"/>
                <w:color w:val="000000"/>
                <w:lang w:eastAsia="ru-RU"/>
              </w:rPr>
              <w:t>7 104,01</w:t>
            </w:r>
          </w:p>
        </w:tc>
      </w:tr>
      <w:tr w:rsidR="002449C2" w14:paraId="4E5DF573" w14:textId="77777777" w:rsidTr="00B830B0">
        <w:trPr>
          <w:jc w:val="center"/>
        </w:trPr>
        <w:tc>
          <w:tcPr>
            <w:tcW w:w="4847" w:type="dxa"/>
            <w:tcBorders>
              <w:top w:val="single" w:sz="4" w:space="0" w:color="000000"/>
              <w:left w:val="single" w:sz="4" w:space="0" w:color="000000"/>
              <w:bottom w:val="single" w:sz="4" w:space="0" w:color="000000"/>
              <w:right w:val="single" w:sz="4" w:space="0" w:color="000000"/>
            </w:tcBorders>
            <w:vAlign w:val="center"/>
          </w:tcPr>
          <w:p w14:paraId="4EE36DA9" w14:textId="77777777" w:rsidR="002449C2" w:rsidRDefault="00123961">
            <w:pPr>
              <w:shd w:val="clear" w:color="auto" w:fill="FFFFFF"/>
              <w:spacing w:after="0" w:line="240" w:lineRule="auto"/>
              <w:jc w:val="both"/>
              <w:rPr>
                <w:rFonts w:ascii="Times New Roman" w:eastAsia="Times New Roman" w:hAnsi="Times New Roman"/>
                <w:lang w:eastAsia="ru-RU"/>
              </w:rPr>
            </w:pPr>
            <w:r>
              <w:rPr>
                <w:rFonts w:ascii="Times New Roman" w:eastAsia="Times New Roman" w:hAnsi="Times New Roman"/>
                <w:lang w:eastAsia="ru-RU"/>
              </w:rPr>
              <w:t>«Волгоградэнерго»</w:t>
            </w:r>
          </w:p>
        </w:tc>
        <w:tc>
          <w:tcPr>
            <w:tcW w:w="328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F2CAE2" w14:textId="77777777" w:rsidR="002449C2" w:rsidRDefault="00123961">
            <w:pPr>
              <w:keepNext/>
              <w:keepLines/>
              <w:shd w:val="clear" w:color="auto" w:fill="FFFFFF"/>
              <w:spacing w:after="0" w:line="240" w:lineRule="auto"/>
              <w:contextualSpacing/>
              <w:jc w:val="center"/>
              <w:rPr>
                <w:rFonts w:ascii="Times New Roman" w:eastAsia="Times New Roman" w:hAnsi="Times New Roman"/>
                <w:color w:val="000000"/>
                <w:lang w:eastAsia="ru-RU"/>
              </w:rPr>
            </w:pPr>
            <w:r>
              <w:rPr>
                <w:rFonts w:ascii="Times New Roman" w:eastAsia="Times New Roman" w:hAnsi="Times New Roman"/>
                <w:color w:val="000000"/>
                <w:lang w:eastAsia="ru-RU"/>
              </w:rPr>
              <w:t>8 016,52</w:t>
            </w:r>
          </w:p>
        </w:tc>
      </w:tr>
      <w:tr w:rsidR="002449C2" w14:paraId="49BE728F" w14:textId="77777777" w:rsidTr="00B830B0">
        <w:trPr>
          <w:jc w:val="center"/>
        </w:trPr>
        <w:tc>
          <w:tcPr>
            <w:tcW w:w="4847" w:type="dxa"/>
            <w:tcBorders>
              <w:top w:val="single" w:sz="4" w:space="0" w:color="000000"/>
              <w:left w:val="single" w:sz="4" w:space="0" w:color="000000"/>
              <w:bottom w:val="single" w:sz="4" w:space="0" w:color="000000"/>
              <w:right w:val="single" w:sz="4" w:space="0" w:color="000000"/>
            </w:tcBorders>
            <w:vAlign w:val="center"/>
          </w:tcPr>
          <w:p w14:paraId="059E2335" w14:textId="77777777" w:rsidR="002449C2" w:rsidRDefault="00123961">
            <w:pPr>
              <w:shd w:val="clear" w:color="auto" w:fill="FFFFFF"/>
              <w:spacing w:after="0" w:line="240" w:lineRule="auto"/>
              <w:jc w:val="both"/>
              <w:rPr>
                <w:rFonts w:ascii="Times New Roman" w:eastAsia="Times New Roman" w:hAnsi="Times New Roman"/>
                <w:lang w:eastAsia="ru-RU"/>
              </w:rPr>
            </w:pPr>
            <w:r>
              <w:rPr>
                <w:rFonts w:ascii="Times New Roman" w:eastAsia="Times New Roman" w:hAnsi="Times New Roman"/>
                <w:lang w:eastAsia="ru-RU"/>
              </w:rPr>
              <w:t>«Калмэнерго»</w:t>
            </w:r>
          </w:p>
        </w:tc>
        <w:tc>
          <w:tcPr>
            <w:tcW w:w="328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B96759" w14:textId="77777777" w:rsidR="002449C2" w:rsidRDefault="00123961">
            <w:pPr>
              <w:keepNext/>
              <w:keepLines/>
              <w:shd w:val="clear" w:color="auto" w:fill="FFFFFF"/>
              <w:spacing w:after="0" w:line="240" w:lineRule="auto"/>
              <w:contextualSpacing/>
              <w:jc w:val="center"/>
              <w:rPr>
                <w:rFonts w:ascii="Times New Roman" w:eastAsia="Times New Roman" w:hAnsi="Times New Roman"/>
                <w:color w:val="000000"/>
                <w:lang w:eastAsia="ru-RU"/>
              </w:rPr>
            </w:pPr>
            <w:r>
              <w:rPr>
                <w:rFonts w:ascii="Times New Roman" w:eastAsia="Times New Roman" w:hAnsi="Times New Roman"/>
                <w:color w:val="000000"/>
                <w:lang w:eastAsia="ru-RU"/>
              </w:rPr>
              <w:t>2 692,73</w:t>
            </w:r>
          </w:p>
        </w:tc>
      </w:tr>
      <w:tr w:rsidR="002449C2" w14:paraId="29D2D590" w14:textId="77777777" w:rsidTr="00B830B0">
        <w:trPr>
          <w:jc w:val="center"/>
        </w:trPr>
        <w:tc>
          <w:tcPr>
            <w:tcW w:w="4847" w:type="dxa"/>
            <w:tcBorders>
              <w:top w:val="single" w:sz="4" w:space="0" w:color="000000"/>
              <w:left w:val="single" w:sz="4" w:space="0" w:color="000000"/>
              <w:bottom w:val="single" w:sz="4" w:space="0" w:color="000000"/>
              <w:right w:val="single" w:sz="4" w:space="0" w:color="000000"/>
            </w:tcBorders>
            <w:vAlign w:val="center"/>
          </w:tcPr>
          <w:p w14:paraId="2A3DBEC1" w14:textId="77777777" w:rsidR="002449C2" w:rsidRDefault="00123961">
            <w:pPr>
              <w:shd w:val="clear" w:color="auto" w:fill="FFFFFF"/>
              <w:spacing w:after="0" w:line="240" w:lineRule="auto"/>
              <w:jc w:val="both"/>
              <w:rPr>
                <w:rFonts w:ascii="Times New Roman" w:eastAsia="Times New Roman" w:hAnsi="Times New Roman"/>
                <w:lang w:eastAsia="ru-RU"/>
              </w:rPr>
            </w:pPr>
            <w:r>
              <w:rPr>
                <w:rFonts w:ascii="Times New Roman" w:eastAsia="Times New Roman" w:hAnsi="Times New Roman"/>
                <w:lang w:eastAsia="ru-RU"/>
              </w:rPr>
              <w:t>«Ростовэнерго»</w:t>
            </w:r>
          </w:p>
        </w:tc>
        <w:tc>
          <w:tcPr>
            <w:tcW w:w="328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CBADAF" w14:textId="77777777" w:rsidR="002449C2" w:rsidRDefault="00123961">
            <w:pPr>
              <w:keepNext/>
              <w:keepLines/>
              <w:shd w:val="clear" w:color="auto" w:fill="FFFFFF"/>
              <w:spacing w:after="0" w:line="240" w:lineRule="auto"/>
              <w:contextualSpacing/>
              <w:jc w:val="center"/>
              <w:rPr>
                <w:rFonts w:ascii="Times New Roman" w:eastAsia="Times New Roman" w:hAnsi="Times New Roman"/>
                <w:color w:val="000000"/>
                <w:lang w:eastAsia="ru-RU"/>
              </w:rPr>
            </w:pPr>
            <w:r>
              <w:rPr>
                <w:rFonts w:ascii="Times New Roman" w:eastAsia="Times New Roman" w:hAnsi="Times New Roman"/>
                <w:color w:val="000000"/>
                <w:lang w:eastAsia="ru-RU"/>
              </w:rPr>
              <w:t>8 728,05</w:t>
            </w:r>
          </w:p>
        </w:tc>
      </w:tr>
      <w:tr w:rsidR="002449C2" w14:paraId="55711BD3" w14:textId="77777777" w:rsidTr="00B830B0">
        <w:trPr>
          <w:jc w:val="center"/>
        </w:trPr>
        <w:tc>
          <w:tcPr>
            <w:tcW w:w="4847" w:type="dxa"/>
            <w:tcBorders>
              <w:top w:val="single" w:sz="4" w:space="0" w:color="000000"/>
              <w:left w:val="single" w:sz="4" w:space="0" w:color="000000"/>
              <w:bottom w:val="single" w:sz="4" w:space="0" w:color="000000"/>
              <w:right w:val="single" w:sz="4" w:space="0" w:color="000000"/>
            </w:tcBorders>
            <w:vAlign w:val="center"/>
          </w:tcPr>
          <w:p w14:paraId="1857B7A0" w14:textId="77777777" w:rsidR="002449C2" w:rsidRDefault="00123961">
            <w:pPr>
              <w:shd w:val="clear" w:color="auto" w:fill="FFFFFF"/>
              <w:spacing w:after="0" w:line="240" w:lineRule="auto"/>
              <w:jc w:val="both"/>
              <w:rPr>
                <w:rFonts w:ascii="Times New Roman" w:eastAsia="Times New Roman" w:hAnsi="Times New Roman"/>
                <w:lang w:eastAsia="ru-RU"/>
              </w:rPr>
            </w:pPr>
            <w:r>
              <w:rPr>
                <w:rFonts w:ascii="Times New Roman" w:eastAsia="Times New Roman" w:hAnsi="Times New Roman"/>
                <w:lang w:eastAsia="ru-RU"/>
              </w:rPr>
              <w:t>Исполнительный аппарат</w:t>
            </w:r>
          </w:p>
        </w:tc>
        <w:tc>
          <w:tcPr>
            <w:tcW w:w="328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82C4572" w14:textId="77777777" w:rsidR="002449C2" w:rsidRDefault="00123961">
            <w:pPr>
              <w:keepNext/>
              <w:keepLines/>
              <w:shd w:val="clear" w:color="auto" w:fill="FFFFFF"/>
              <w:spacing w:after="0" w:line="240" w:lineRule="auto"/>
              <w:contextualSpacing/>
              <w:jc w:val="center"/>
              <w:rPr>
                <w:rFonts w:ascii="Times New Roman" w:eastAsia="Times New Roman" w:hAnsi="Times New Roman"/>
                <w:color w:val="000000"/>
                <w:lang w:eastAsia="ru-RU"/>
              </w:rPr>
            </w:pPr>
            <w:r>
              <w:rPr>
                <w:rFonts w:ascii="Times New Roman" w:eastAsia="Times New Roman" w:hAnsi="Times New Roman"/>
                <w:color w:val="000000"/>
                <w:lang w:eastAsia="ru-RU"/>
              </w:rPr>
              <w:t>1 553,00</w:t>
            </w:r>
          </w:p>
        </w:tc>
      </w:tr>
      <w:tr w:rsidR="002449C2" w14:paraId="23D75280" w14:textId="77777777" w:rsidTr="00B830B0">
        <w:trPr>
          <w:trHeight w:val="705"/>
          <w:jc w:val="center"/>
        </w:trPr>
        <w:tc>
          <w:tcPr>
            <w:tcW w:w="4847" w:type="dxa"/>
            <w:tcBorders>
              <w:top w:val="single" w:sz="4" w:space="0" w:color="000000"/>
              <w:left w:val="single" w:sz="4" w:space="0" w:color="000000"/>
              <w:bottom w:val="single" w:sz="4" w:space="0" w:color="000000"/>
              <w:right w:val="single" w:sz="4" w:space="0" w:color="000000"/>
            </w:tcBorders>
            <w:vAlign w:val="center"/>
          </w:tcPr>
          <w:p w14:paraId="5377D48B" w14:textId="730B45DF" w:rsidR="002449C2" w:rsidRDefault="00123961" w:rsidP="00B830B0">
            <w:pPr>
              <w:shd w:val="clear" w:color="auto" w:fill="FFFFFF"/>
              <w:spacing w:after="0" w:line="240" w:lineRule="auto"/>
              <w:jc w:val="both"/>
              <w:rPr>
                <w:rFonts w:ascii="Times New Roman" w:eastAsia="Times New Roman" w:hAnsi="Times New Roman"/>
                <w:b/>
                <w:lang w:eastAsia="ru-RU"/>
              </w:rPr>
            </w:pPr>
            <w:r>
              <w:rPr>
                <w:rFonts w:ascii="Times New Roman" w:eastAsia="Times New Roman" w:hAnsi="Times New Roman"/>
                <w:b/>
                <w:lang w:eastAsia="ru-RU"/>
              </w:rPr>
              <w:t>ИТОГО по</w:t>
            </w:r>
            <w:r w:rsidR="00B830B0">
              <w:rPr>
                <w:rFonts w:ascii="Times New Roman" w:eastAsia="Times New Roman" w:hAnsi="Times New Roman"/>
                <w:b/>
                <w:lang w:eastAsia="ru-RU"/>
              </w:rPr>
              <w:t xml:space="preserve"> </w:t>
            </w:r>
            <w:r>
              <w:rPr>
                <w:rFonts w:ascii="Times New Roman" w:eastAsia="Times New Roman" w:hAnsi="Times New Roman"/>
                <w:b/>
                <w:lang w:eastAsia="ru-RU"/>
              </w:rPr>
              <w:t>ПАО «Россети Юг»</w:t>
            </w:r>
          </w:p>
        </w:tc>
        <w:tc>
          <w:tcPr>
            <w:tcW w:w="328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21B987" w14:textId="77777777" w:rsidR="002449C2" w:rsidRDefault="00123961">
            <w:pPr>
              <w:keepNext/>
              <w:keepLines/>
              <w:shd w:val="clear" w:color="auto" w:fill="FFFFFF"/>
              <w:spacing w:after="0" w:line="240" w:lineRule="auto"/>
              <w:contextualSpacing/>
              <w:jc w:val="center"/>
              <w:rPr>
                <w:rFonts w:ascii="Times New Roman" w:eastAsia="Times New Roman" w:hAnsi="Times New Roman"/>
                <w:b/>
                <w:color w:val="000000"/>
                <w:lang w:eastAsia="ru-RU"/>
              </w:rPr>
            </w:pPr>
            <w:r>
              <w:rPr>
                <w:rFonts w:ascii="Times New Roman" w:eastAsia="Times New Roman" w:hAnsi="Times New Roman"/>
                <w:b/>
                <w:color w:val="000000"/>
                <w:lang w:eastAsia="ru-RU"/>
              </w:rPr>
              <w:t>28 094,32</w:t>
            </w:r>
          </w:p>
        </w:tc>
      </w:tr>
    </w:tbl>
    <w:p w14:paraId="1684C5E7" w14:textId="77777777" w:rsidR="002449C2" w:rsidRDefault="002449C2">
      <w:pPr>
        <w:shd w:val="clear" w:color="auto" w:fill="FFFFFF"/>
        <w:spacing w:after="0" w:line="240" w:lineRule="auto"/>
        <w:ind w:firstLine="709"/>
        <w:jc w:val="both"/>
        <w:rPr>
          <w:rFonts w:ascii="Times New Roman" w:hAnsi="Times New Roman"/>
          <w:sz w:val="26"/>
          <w:szCs w:val="26"/>
        </w:rPr>
      </w:pPr>
    </w:p>
    <w:p w14:paraId="7EA8FABE"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В 2024 году по итогам коллективных переговоров, исключено из Коллективного договора ограничение свыше 90 дней на получение выплаты материальной помощи в связи с выходом на пенсию, впервые после установления трудовой пенсии по старости. Работник продолжает работать, право на материальную помощь за работников сохраняется.</w:t>
      </w:r>
    </w:p>
    <w:p w14:paraId="33A84455"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 xml:space="preserve">Согласно Коллективного договора в 2024 году произведены единовременные выплаты мобилизованным работникам (призванным на военную службу в связи с частичной мобилизацией) и семьям погибших мобилизованных работников к Дню защитника Отечества, Дню Победы и Дню энергетика более </w:t>
      </w:r>
      <w:r>
        <w:rPr>
          <w:rFonts w:ascii="Times New Roman" w:hAnsi="Times New Roman"/>
          <w:color w:val="000000"/>
          <w:sz w:val="26"/>
          <w:szCs w:val="26"/>
        </w:rPr>
        <w:t>7 270</w:t>
      </w:r>
      <w:r>
        <w:rPr>
          <w:rFonts w:ascii="Times New Roman" w:hAnsi="Times New Roman"/>
          <w:color w:val="FF0000"/>
          <w:sz w:val="26"/>
          <w:szCs w:val="26"/>
        </w:rPr>
        <w:t xml:space="preserve"> </w:t>
      </w:r>
      <w:r>
        <w:rPr>
          <w:rFonts w:ascii="Times New Roman" w:hAnsi="Times New Roman"/>
          <w:sz w:val="26"/>
          <w:szCs w:val="26"/>
        </w:rPr>
        <w:t xml:space="preserve">тыс. руб. Кроме того, организовано поздравление детей мобилизованных работников и погибших работников на </w:t>
      </w:r>
      <w:r>
        <w:rPr>
          <w:rFonts w:ascii="Times New Roman" w:hAnsi="Times New Roman"/>
          <w:color w:val="000000"/>
          <w:sz w:val="26"/>
          <w:szCs w:val="26"/>
        </w:rPr>
        <w:t>сумму 3 712 тыс</w:t>
      </w:r>
      <w:r>
        <w:rPr>
          <w:rFonts w:ascii="Times New Roman" w:hAnsi="Times New Roman"/>
          <w:sz w:val="26"/>
          <w:szCs w:val="26"/>
        </w:rPr>
        <w:t>. руб.</w:t>
      </w:r>
    </w:p>
    <w:p w14:paraId="59524DB7" w14:textId="77777777" w:rsidR="002449C2" w:rsidRDefault="00123961">
      <w:pPr>
        <w:shd w:val="clear" w:color="auto" w:fill="FFFFFF"/>
        <w:spacing w:after="0" w:line="240" w:lineRule="auto"/>
        <w:ind w:firstLine="708"/>
        <w:jc w:val="both"/>
        <w:rPr>
          <w:rFonts w:ascii="Times New Roman" w:hAnsi="Times New Roman"/>
          <w:sz w:val="26"/>
          <w:szCs w:val="26"/>
        </w:rPr>
      </w:pPr>
      <w:r>
        <w:rPr>
          <w:rFonts w:ascii="Times New Roman" w:hAnsi="Times New Roman"/>
          <w:sz w:val="26"/>
          <w:szCs w:val="26"/>
        </w:rPr>
        <w:t xml:space="preserve">В ПАО «Россети Юг» действует Положение об организации отдыха и оздоровления работников, ветеранов ПАО «Россети Юг» и членов их семей (приказ ПАО «Россети Юг» от 09.07.2020 № 385), в соответствии с которым был организован оздоровительный отдых </w:t>
      </w:r>
      <w:r>
        <w:rPr>
          <w:rFonts w:ascii="Times New Roman" w:hAnsi="Times New Roman"/>
          <w:color w:val="000000"/>
          <w:sz w:val="26"/>
          <w:szCs w:val="26"/>
        </w:rPr>
        <w:t xml:space="preserve">для 1 269 сотрудников и членов их семей в АО «База отдыха «Энергетик» и Пансионате «Энергетик» и организован детский оздоровительный отдых для 984 детей сотрудников в детских оздоровительных лагерях. В 2024 году 100 работников, занятых </w:t>
      </w:r>
      <w:r>
        <w:rPr>
          <w:rFonts w:ascii="Times New Roman" w:hAnsi="Times New Roman"/>
          <w:sz w:val="26"/>
          <w:szCs w:val="26"/>
        </w:rPr>
        <w:t>на работах с вредными и (или) опасными производственными факторами, и предпенсионеров смогли отдохнуть в санаториях Краснодарского края и Кавказских Минеральных Вод.</w:t>
      </w:r>
    </w:p>
    <w:p w14:paraId="457C4158" w14:textId="77777777" w:rsidR="002449C2" w:rsidRDefault="00123961">
      <w:pPr>
        <w:shd w:val="clear" w:color="auto" w:fill="FFFFFF"/>
        <w:spacing w:after="0" w:line="240" w:lineRule="auto"/>
        <w:ind w:firstLine="708"/>
        <w:jc w:val="both"/>
        <w:rPr>
          <w:rFonts w:ascii="Times New Roman" w:hAnsi="Times New Roman"/>
          <w:sz w:val="26"/>
          <w:szCs w:val="26"/>
        </w:rPr>
      </w:pPr>
      <w:r>
        <w:rPr>
          <w:rFonts w:ascii="Times New Roman" w:hAnsi="Times New Roman"/>
          <w:sz w:val="26"/>
          <w:szCs w:val="26"/>
        </w:rPr>
        <w:t>В октябре 2024 года введено в действие Положение об организации санаторно-курортного лечения работников производственных отделений и районов электрических сетей филиалов ПАО «Россети Юг» (приказ ПАО «Россети Юг» №633 от 24.10.2024), на основании которого работникам предоставляются льготные путевки в санаторно-курортные учреждения. Всего за 2024 год отдохнули в санатории им. Фрунзе г. Сочи 126 работников Общества.</w:t>
      </w:r>
    </w:p>
    <w:p w14:paraId="4AE39AF8" w14:textId="77777777" w:rsidR="002449C2" w:rsidRDefault="00123961">
      <w:pPr>
        <w:shd w:val="clear" w:color="auto" w:fill="FFFFFF"/>
        <w:spacing w:after="0" w:line="240" w:lineRule="auto"/>
        <w:ind w:firstLine="708"/>
        <w:jc w:val="both"/>
        <w:rPr>
          <w:rFonts w:ascii="Times New Roman" w:hAnsi="Times New Roman"/>
          <w:sz w:val="26"/>
          <w:szCs w:val="26"/>
        </w:rPr>
      </w:pPr>
      <w:r>
        <w:rPr>
          <w:rFonts w:ascii="Times New Roman" w:hAnsi="Times New Roman"/>
          <w:sz w:val="26"/>
          <w:szCs w:val="26"/>
        </w:rPr>
        <w:t xml:space="preserve">В 2024 году между ПАО «Россети Юг» и МКУ «Управление социальной защиты населения Ленинского района города Ростова-на-Дону» заключено соглашение о взаимодействии и обеспечению отдыха и оздоровления детей в Ростовской области. В рамках соглашения ПАО «Россети Юг» возвращены затраты на оздоровительный отдых детей работников в </w:t>
      </w:r>
      <w:r>
        <w:rPr>
          <w:rFonts w:ascii="Times New Roman" w:hAnsi="Times New Roman"/>
          <w:color w:val="000000"/>
          <w:sz w:val="26"/>
          <w:szCs w:val="26"/>
        </w:rPr>
        <w:t>размере 7,</w:t>
      </w:r>
      <w:r>
        <w:rPr>
          <w:rFonts w:ascii="Times New Roman" w:hAnsi="Times New Roman"/>
          <w:sz w:val="26"/>
          <w:szCs w:val="26"/>
        </w:rPr>
        <w:t>4 млн рублей.</w:t>
      </w:r>
    </w:p>
    <w:p w14:paraId="18BCF94F" w14:textId="77777777" w:rsidR="002449C2" w:rsidRDefault="00123961">
      <w:pPr>
        <w:shd w:val="clear" w:color="auto" w:fill="FFFFFF"/>
        <w:spacing w:after="0" w:line="240" w:lineRule="auto"/>
        <w:ind w:firstLine="708"/>
        <w:jc w:val="both"/>
        <w:rPr>
          <w:rFonts w:ascii="Times New Roman" w:hAnsi="Times New Roman"/>
          <w:color w:val="000000"/>
          <w:sz w:val="26"/>
          <w:szCs w:val="26"/>
        </w:rPr>
      </w:pPr>
      <w:r>
        <w:rPr>
          <w:rFonts w:ascii="Times New Roman" w:hAnsi="Times New Roman"/>
          <w:sz w:val="26"/>
          <w:szCs w:val="26"/>
        </w:rPr>
        <w:t xml:space="preserve">В целях привлечения и удержания высококвалифицированных специалистов в Обществе действует Положение о корпоративной поддержке работников филиалов ПАО «Россети Юг». Право на получение корпоративной поддержки в улучшении жилищных условий обладают работники районов электрических сетей и производственных отделений по ключевым электротехническим специальностям, специалисты в возрасте до 45 лет (включительно). Получателями компенсации затрат по уплате процентов по кредитному договору (ипотечному договору) стали электромонтеры, электрослесари, мастера, диспетчеры производственных отделений филиала. Всего данной льготой </w:t>
      </w:r>
      <w:r>
        <w:rPr>
          <w:rFonts w:ascii="Times New Roman" w:hAnsi="Times New Roman"/>
          <w:color w:val="000000"/>
          <w:sz w:val="26"/>
          <w:szCs w:val="26"/>
        </w:rPr>
        <w:t>воспользовались более 300 работников Общества на общую сумму 29 890 тыс. рублей.</w:t>
      </w:r>
    </w:p>
    <w:p w14:paraId="24B4FDAE" w14:textId="77777777" w:rsidR="002449C2" w:rsidRDefault="00123961">
      <w:pPr>
        <w:shd w:val="clear" w:color="auto" w:fill="FFFFFF"/>
        <w:spacing w:after="0" w:line="240" w:lineRule="auto"/>
        <w:ind w:firstLine="708"/>
        <w:jc w:val="both"/>
        <w:rPr>
          <w:rFonts w:ascii="Times New Roman" w:hAnsi="Times New Roman"/>
          <w:color w:val="000000"/>
          <w:sz w:val="26"/>
          <w:szCs w:val="26"/>
        </w:rPr>
      </w:pPr>
      <w:r>
        <w:rPr>
          <w:rFonts w:ascii="Times New Roman" w:hAnsi="Times New Roman"/>
          <w:color w:val="000000"/>
          <w:sz w:val="26"/>
          <w:szCs w:val="26"/>
        </w:rPr>
        <w:t xml:space="preserve">С октября 2024 года в ПАО «Россети Юг» действует Положение о порядке предоставления компенсации расходов по найму (поднайму) жилых помещений работникам районов электрических сетей филиалов ПАО «Россети Юг» (приказ от 01.10.2024 №582). Положение распространяется на вновь принятых/переведенных работников районов электрических сетей, привлекаемых на работу и не имеющих в собственности жилья по месту рабочего места. Всего за 2024 год такой компенсацией воспользовались 10 человек. </w:t>
      </w:r>
    </w:p>
    <w:p w14:paraId="4E74B59B" w14:textId="77777777" w:rsidR="002449C2" w:rsidRDefault="00123961">
      <w:pPr>
        <w:shd w:val="clear" w:color="auto" w:fill="FFFFFF"/>
        <w:spacing w:after="0" w:line="240" w:lineRule="auto"/>
        <w:ind w:firstLine="708"/>
        <w:jc w:val="both"/>
        <w:rPr>
          <w:rFonts w:ascii="Times New Roman" w:hAnsi="Times New Roman"/>
          <w:sz w:val="26"/>
          <w:szCs w:val="26"/>
        </w:rPr>
      </w:pPr>
      <w:r>
        <w:rPr>
          <w:rFonts w:ascii="Times New Roman" w:hAnsi="Times New Roman"/>
          <w:sz w:val="26"/>
          <w:szCs w:val="26"/>
        </w:rPr>
        <w:t>Приоритетным направлением работы являются стабильные социально-трудовые отношения в коллективе, достижению которых способствует эффективное сотрудничество с профсоюзными организациями. Соблюдение интересов сторон социального партнерства, обеспечение и поддержание социальной стабильности ведет к повышению производительности труда, конкурентоспособности Общества.</w:t>
      </w:r>
    </w:p>
    <w:p w14:paraId="6E67DA64" w14:textId="77777777" w:rsidR="002449C2" w:rsidRDefault="00123961">
      <w:pPr>
        <w:shd w:val="clear" w:color="auto" w:fill="FFFFFF"/>
        <w:spacing w:before="120" w:after="120" w:line="240" w:lineRule="auto"/>
        <w:jc w:val="both"/>
        <w:rPr>
          <w:rFonts w:ascii="Times New Roman" w:hAnsi="Times New Roman"/>
          <w:b/>
          <w:sz w:val="26"/>
          <w:szCs w:val="26"/>
        </w:rPr>
      </w:pPr>
      <w:r>
        <w:rPr>
          <w:rFonts w:ascii="Times New Roman" w:hAnsi="Times New Roman"/>
          <w:b/>
          <w:sz w:val="26"/>
          <w:szCs w:val="26"/>
        </w:rPr>
        <w:t xml:space="preserve">Развитие корпоративной культуры и спорта </w:t>
      </w:r>
    </w:p>
    <w:p w14:paraId="21321B6D"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 xml:space="preserve">В соответствии с Коллективным договором Общество осуществляет финансирование расходов на культурно-массовую и физкультурно-оздоровительную работу, которая проводится совместно с первичными профсоюзными организациями. За 2024 год на данные мероприятия перечислены денежные средства 0,3% от ФОТ в </w:t>
      </w:r>
      <w:r>
        <w:rPr>
          <w:rFonts w:ascii="Times New Roman" w:hAnsi="Times New Roman"/>
          <w:color w:val="000000"/>
          <w:sz w:val="26"/>
          <w:szCs w:val="26"/>
        </w:rPr>
        <w:t xml:space="preserve">размере 50 млн </w:t>
      </w:r>
      <w:r>
        <w:rPr>
          <w:rFonts w:ascii="Times New Roman" w:hAnsi="Times New Roman"/>
          <w:sz w:val="26"/>
          <w:szCs w:val="26"/>
        </w:rPr>
        <w:t>руб. Все мероприятия проводились на основании утвержденных планов работы с первичными профсоюзными организациями на 2024 год.</w:t>
      </w:r>
    </w:p>
    <w:p w14:paraId="1A52EA0F"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 xml:space="preserve">Особое внимание ПАО «Россети Юг» уделяет ветеранам электроэнергетики Общества. В Обществе числятся </w:t>
      </w:r>
      <w:r>
        <w:rPr>
          <w:rFonts w:ascii="Times New Roman" w:hAnsi="Times New Roman"/>
          <w:color w:val="000000"/>
          <w:sz w:val="26"/>
          <w:szCs w:val="26"/>
        </w:rPr>
        <w:t xml:space="preserve">3 128 </w:t>
      </w:r>
      <w:r>
        <w:rPr>
          <w:rFonts w:ascii="Times New Roman" w:hAnsi="Times New Roman"/>
          <w:sz w:val="26"/>
          <w:szCs w:val="26"/>
        </w:rPr>
        <w:t xml:space="preserve">ветерана энергетики </w:t>
      </w:r>
      <w:r>
        <w:rPr>
          <w:rFonts w:ascii="Times New Roman" w:hAnsi="Times New Roman"/>
          <w:color w:val="000000"/>
          <w:sz w:val="26"/>
          <w:szCs w:val="26"/>
        </w:rPr>
        <w:t xml:space="preserve">и 31 ветеран </w:t>
      </w:r>
      <w:r>
        <w:rPr>
          <w:rFonts w:ascii="Times New Roman" w:hAnsi="Times New Roman"/>
          <w:sz w:val="26"/>
          <w:szCs w:val="26"/>
        </w:rPr>
        <w:t>Великой Отечественной войны. Работа ветеранских организаций ведется на плановой основе Координационным Советом ветеранов Общества в тесном взаимодействии с управлением по работе с персоналом ПАО «Россети Юг», Советами молодых специалистов Общества, Координационным Советом ветеранов при Правительстве Ростовской области, Комитетом по молодежной политике Ростовской области, ГАУ Ростовской области «Центр патриотического воспитания молодежи», ветеранскими организациями городов и областей, поисковыми отрядами, командованием ЮВО.</w:t>
      </w:r>
    </w:p>
    <w:p w14:paraId="79EA0388"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 xml:space="preserve">В Обществе ведется постоянный мониторинг состояния здоровья ветеранов и условий их проживания, организовано посещение ветеранов на дому с вручением поздравлений и подарков, приуроченных к праздникам и памятным датам, оказание помощи ветеранам в </w:t>
      </w:r>
      <w:r>
        <w:rPr>
          <w:rFonts w:ascii="Times New Roman" w:hAnsi="Times New Roman"/>
          <w:color w:val="000000"/>
          <w:sz w:val="26"/>
          <w:szCs w:val="26"/>
        </w:rPr>
        <w:t xml:space="preserve">приобретении продуктов. В 2024 году оказана материальная поддержка ветеранам в размере 8,7 млн </w:t>
      </w:r>
      <w:r>
        <w:rPr>
          <w:rFonts w:ascii="Times New Roman" w:hAnsi="Times New Roman"/>
          <w:sz w:val="26"/>
          <w:szCs w:val="26"/>
        </w:rPr>
        <w:t xml:space="preserve">рублей, выплаты были направлены на оказание материальной помощи ко Дню Победы, Дню энергетика, материальной помощи по заявлениям в тяжелой жизненной ситуации. В 2024 году ветеранам Общества предоставлены льготные путевки на </w:t>
      </w:r>
      <w:r>
        <w:rPr>
          <w:rFonts w:ascii="Times New Roman" w:hAnsi="Times New Roman"/>
          <w:color w:val="000000"/>
          <w:sz w:val="26"/>
          <w:szCs w:val="26"/>
        </w:rPr>
        <w:t>базу отдыха «Энергетик»</w:t>
      </w:r>
      <w:r>
        <w:rPr>
          <w:rFonts w:ascii="Times New Roman" w:hAnsi="Times New Roman"/>
          <w:sz w:val="26"/>
          <w:szCs w:val="26"/>
        </w:rPr>
        <w:t>. В течение 2024 года при содействии Совета ветеранов Общества были организованы совместные экскурсионные поездки и посещение театра ветеранов Общества и представителей Совета молодежи. Среди ветеранов Общества ко Дню энергетика проводился конкурс новогодней поделки, в котором приняли участие более сорока ветеранов. Все участники получили памятные призы.</w:t>
      </w:r>
    </w:p>
    <w:p w14:paraId="2196808E"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В ПАО «Россети Юг» в 2024 году проведены следующие мероприятия:</w:t>
      </w:r>
    </w:p>
    <w:p w14:paraId="25CE7CB6"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1. В мае 2024 года команда ПАО «Россети Юг» приняла участие во Всероссийском полумарафоне «Забег.РФ».</w:t>
      </w:r>
    </w:p>
    <w:p w14:paraId="7D9323A3"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 xml:space="preserve">2. Мероприятие, посвященное празднованию 81-ой годовщины Победы в Сталинградской битве. В филиале ПАО «Россети Юг» – «Волгоградэнерго» были приобретены и вручены цветы и подарки ветеранам энергетики, имеющим удостоверение «Дети Сталинграда» и участникам Сталинградской битвы. Организовано возложение гирлянды и цветов к Вечному Огню сотрудниками и руководителями филиала. </w:t>
      </w:r>
    </w:p>
    <w:p w14:paraId="10CB1609"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3. В феврале 2024 года в ПАО «Россети Юг» были проведены корпоративные мероприятия, посвященные празднованию Дня защитника Отечества. В филиалах Общества и исполнительном аппарате ПАО «Россети Юг» были организованы торжественные поздравления мужчин.</w:t>
      </w:r>
    </w:p>
    <w:p w14:paraId="5A190772"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4. В преддверии празднования Международного женского дня 8 марта, проведены праздничные мероприятия. Мужской коллектив ПАО «Россети Юг» поздравил женщин с наступающим праздником. Мероприятия прошли в трогательной атмосфере, были украшены хорошим настроением, женскими улыбками и весенними цветами.</w:t>
      </w:r>
    </w:p>
    <w:p w14:paraId="0D3F98C1"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5. Проведен ежегодный конкурс «Россети: рисуют дети!». Дети сотрудников ПАО «Россети Юг» приняли активное участие в конкурсе, победителям были вручены дипломы и памятные подарки.</w:t>
      </w:r>
    </w:p>
    <w:p w14:paraId="5BD3CCA6"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6. В Обществе прошли мероприятия, посвященные Международному Дню защиты детей и Дню знаний. Детям сотрудников были вручены подарочные сертификаты.</w:t>
      </w:r>
    </w:p>
    <w:p w14:paraId="675EE068" w14:textId="77777777" w:rsidR="002449C2" w:rsidRDefault="00123961">
      <w:pPr>
        <w:shd w:val="clear" w:color="auto" w:fill="FFFFFF"/>
        <w:spacing w:after="0" w:line="240" w:lineRule="auto"/>
        <w:ind w:firstLine="709"/>
        <w:jc w:val="both"/>
        <w:rPr>
          <w:rFonts w:ascii="Times New Roman" w:hAnsi="Times New Roman"/>
          <w:color w:val="000000"/>
          <w:sz w:val="26"/>
          <w:szCs w:val="26"/>
        </w:rPr>
      </w:pPr>
      <w:r>
        <w:rPr>
          <w:rFonts w:ascii="Times New Roman" w:hAnsi="Times New Roman"/>
          <w:color w:val="000000"/>
          <w:sz w:val="26"/>
          <w:szCs w:val="26"/>
        </w:rPr>
        <w:t>7. В мае 2024 года организована Открытая спартакиада энергетиков ПАО «Россети Юг». В Спартакиаде приняли участие команды от филиалов ПАО «Россети Юг» и ПАО «Россети Кубань». Соревнования прошли по 7 видам спорта: мини-футбол, волейбол, настольный теннис, шахматы, плавание, гири. Участниками Спартакиады были сданы нормы ГТО.</w:t>
      </w:r>
    </w:p>
    <w:p w14:paraId="3DD3E965" w14:textId="77777777" w:rsidR="002449C2" w:rsidRDefault="00123961">
      <w:pPr>
        <w:shd w:val="clear" w:color="auto" w:fill="FFFFFF"/>
        <w:spacing w:after="0" w:line="240" w:lineRule="auto"/>
        <w:ind w:firstLine="709"/>
        <w:jc w:val="both"/>
        <w:rPr>
          <w:rFonts w:ascii="Times New Roman" w:hAnsi="Times New Roman"/>
          <w:color w:val="000000"/>
          <w:sz w:val="26"/>
          <w:szCs w:val="26"/>
        </w:rPr>
      </w:pPr>
      <w:r>
        <w:rPr>
          <w:rFonts w:ascii="Times New Roman" w:hAnsi="Times New Roman"/>
          <w:color w:val="000000"/>
          <w:sz w:val="26"/>
          <w:szCs w:val="26"/>
        </w:rPr>
        <w:t xml:space="preserve">8. Впервые в сентябре 2024 года организованы соревнования по дисциплинам ГТО, участие принимали команды от филиалов Общества. Соревнования проводились по нескольким дисциплинам ГТО в каждой возрастной группе. </w:t>
      </w:r>
    </w:p>
    <w:p w14:paraId="05ADABF3" w14:textId="77777777" w:rsidR="002449C2" w:rsidRDefault="00123961">
      <w:pPr>
        <w:shd w:val="clear" w:color="auto" w:fill="FFFFFF"/>
        <w:spacing w:after="0" w:line="240" w:lineRule="auto"/>
        <w:ind w:firstLine="709"/>
        <w:jc w:val="both"/>
        <w:rPr>
          <w:rFonts w:ascii="Times New Roman" w:hAnsi="Times New Roman"/>
          <w:color w:val="000000"/>
          <w:sz w:val="26"/>
          <w:szCs w:val="26"/>
        </w:rPr>
      </w:pPr>
      <w:r>
        <w:rPr>
          <w:rFonts w:ascii="Times New Roman" w:hAnsi="Times New Roman"/>
          <w:sz w:val="26"/>
          <w:szCs w:val="26"/>
        </w:rPr>
        <w:t xml:space="preserve">9. В сентябре 2024 года среди сотрудников исполнительного аппарата и филиалов Общества прошел конкурс «Мама, папа, я - спортивная семья». Мероприятие направлено на </w:t>
      </w:r>
      <w:r>
        <w:rPr>
          <w:rFonts w:ascii="Times New Roman" w:hAnsi="Times New Roman"/>
          <w:color w:val="000000"/>
          <w:sz w:val="26"/>
          <w:szCs w:val="26"/>
        </w:rPr>
        <w:t>пропаганду физической культуры и спорта, повышение сплоченности, а также улучшения социально-психологического климата в коллективе.</w:t>
      </w:r>
    </w:p>
    <w:p w14:paraId="72AA3E19"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10. В целях развития корпоративной культуры, привлечения детей работников ПАО «Россети Юг» к популяризации профессий энергетической отрасли, а также в связи с празднованием Дня энергетика в 2024 году организованы конкурс детского рисунка «Дети рисуют энергетику», конкурс детской новогодней поделки «Елка детей энергетиков».</w:t>
      </w:r>
    </w:p>
    <w:p w14:paraId="081D4776"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11. Для сотрудников Общества организованы торжественные мероприятия, посвященные профессиональному празднику Дню Энергетика и Новому году.</w:t>
      </w:r>
    </w:p>
    <w:p w14:paraId="664B2F70" w14:textId="77777777" w:rsidR="002449C2" w:rsidRDefault="00123961">
      <w:pPr>
        <w:shd w:val="clear" w:color="auto" w:fill="FFFFFF"/>
        <w:spacing w:after="0" w:line="240" w:lineRule="auto"/>
        <w:ind w:firstLine="709"/>
        <w:jc w:val="both"/>
        <w:rPr>
          <w:rFonts w:ascii="Times New Roman" w:hAnsi="Times New Roman"/>
          <w:sz w:val="26"/>
          <w:szCs w:val="26"/>
        </w:rPr>
      </w:pPr>
      <w:r>
        <w:rPr>
          <w:rFonts w:ascii="Times New Roman" w:hAnsi="Times New Roman"/>
          <w:sz w:val="26"/>
          <w:szCs w:val="26"/>
        </w:rPr>
        <w:t>12. Во всех филиалах ПАО «Россети Юг» для детей сотрудников были проведены новогодние детские утренники, посещение новогодних спектаклей, где было организовано поздравление детей – победителей «Конкурса детского рисунка» и «Конкурса новогодней поделки». Все дети получили новогодние подарки в виде игрушки – символа будущего года и пакета с всевозможными сладостями.</w:t>
      </w:r>
    </w:p>
    <w:p w14:paraId="6D67D704" w14:textId="77777777" w:rsidR="002449C2" w:rsidRDefault="002449C2">
      <w:pPr>
        <w:shd w:val="clear" w:color="auto" w:fill="FFFFFF"/>
        <w:spacing w:after="0" w:line="240" w:lineRule="auto"/>
        <w:ind w:firstLine="567"/>
        <w:jc w:val="center"/>
        <w:rPr>
          <w:rFonts w:ascii="Times New Roman" w:eastAsia="Times New Roman" w:hAnsi="Times New Roman"/>
          <w:b/>
          <w:sz w:val="24"/>
          <w:szCs w:val="24"/>
          <w:lang w:eastAsia="ru-RU"/>
        </w:rPr>
      </w:pPr>
    </w:p>
    <w:p w14:paraId="43B0B3E8" w14:textId="77777777" w:rsidR="002449C2" w:rsidRDefault="00123961">
      <w:pPr>
        <w:keepNext/>
        <w:keepLines/>
        <w:shd w:val="clear" w:color="auto" w:fill="FFFFFF"/>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110" w:name="_Toc195174945"/>
      <w:bookmarkStart w:id="111" w:name="_Toc196143038"/>
      <w:r>
        <w:rPr>
          <w:rFonts w:ascii="Times New Roman" w:eastAsia="Times New Roman" w:hAnsi="Times New Roman"/>
          <w:color w:val="385623"/>
          <w:sz w:val="28"/>
          <w:szCs w:val="28"/>
          <w:lang w:eastAsia="en-US" w:bidi="en-US"/>
        </w:rPr>
        <w:t>Охрана труда и промышленная безопасность</w:t>
      </w:r>
      <w:bookmarkEnd w:id="110"/>
      <w:bookmarkEnd w:id="111"/>
      <w:r>
        <w:rPr>
          <w:rFonts w:ascii="Times New Roman" w:eastAsia="Times New Roman" w:hAnsi="Times New Roman"/>
          <w:color w:val="385623"/>
          <w:sz w:val="28"/>
          <w:szCs w:val="28"/>
          <w:lang w:eastAsia="en-US" w:bidi="en-US"/>
        </w:rPr>
        <w:t xml:space="preserve"> </w:t>
      </w:r>
    </w:p>
    <w:p w14:paraId="6CF2A412" w14:textId="77777777" w:rsidR="002449C2" w:rsidRDefault="00123961">
      <w:pPr>
        <w:shd w:val="clear" w:color="auto" w:fill="FFFFFF"/>
        <w:spacing w:after="0" w:line="240" w:lineRule="auto"/>
        <w:ind w:firstLine="567"/>
        <w:jc w:val="both"/>
        <w:rPr>
          <w:rFonts w:ascii="Times New Roman" w:eastAsia="Times New Roman" w:hAnsi="Times New Roman"/>
          <w:spacing w:val="20"/>
          <w:sz w:val="26"/>
          <w:szCs w:val="26"/>
          <w:lang w:eastAsia="ru-RU"/>
        </w:rPr>
      </w:pPr>
      <w:r>
        <w:rPr>
          <w:rFonts w:ascii="Times New Roman" w:eastAsia="Times New Roman" w:hAnsi="Times New Roman"/>
          <w:spacing w:val="20"/>
          <w:sz w:val="26"/>
          <w:szCs w:val="26"/>
          <w:lang w:eastAsia="ru-RU"/>
        </w:rPr>
        <w:t xml:space="preserve">Безопасность труда и культура производства – приоритет номер один! </w:t>
      </w:r>
    </w:p>
    <w:p w14:paraId="338D29BF" w14:textId="77777777" w:rsidR="002449C2" w:rsidRDefault="00123961">
      <w:pPr>
        <w:shd w:val="clear" w:color="auto" w:fill="FFFFFF"/>
        <w:spacing w:after="0" w:line="240" w:lineRule="auto"/>
        <w:ind w:firstLine="567"/>
        <w:jc w:val="both"/>
      </w:pPr>
      <w:r>
        <w:rPr>
          <w:rFonts w:ascii="Times New Roman" w:eastAsia="Times New Roman" w:hAnsi="Times New Roman"/>
          <w:sz w:val="26"/>
          <w:szCs w:val="26"/>
          <w:lang w:eastAsia="ru-RU"/>
        </w:rPr>
        <w:t xml:space="preserve">Работники – самая главная ценность Компании и залог её успеха, поэтому работе по охране труда в ПАО «Россети Юг» уделяется самое пристальное внимание. </w:t>
      </w:r>
    </w:p>
    <w:p w14:paraId="49874ABE"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Основная цель Компании в области охраны труда – обеспечение безопасности труда и охрана здоровья работников путем предупреждения несчастных случаев и профессиональных заболеваний на производстве, а также повышения уровня культуры безопасности. </w:t>
      </w:r>
    </w:p>
    <w:p w14:paraId="664B4A5D"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Руководство Компании признает безусловный приоритет сохранения жизни и здоровья работников по отношению к результатам производственной деятельности и применяет исчерпывающие меры для реализации Политики Компании в области охраны труда, в том числе на основе обеспечения высокой эффективности профессиональной деятельности, сохранения работоспособности и здоровья персонала. Не случайно работа в области охраны труда, проводимая руководством Компании на разных уровнях, считается одним из показателей компетентности руководителей и способности осуществлять возложенные на них управленческие функции. </w:t>
      </w:r>
    </w:p>
    <w:p w14:paraId="7170CED6" w14:textId="77777777" w:rsidR="002449C2" w:rsidRDefault="00123961">
      <w:pPr>
        <w:widowControl w:val="0"/>
        <w:tabs>
          <w:tab w:val="left" w:pos="1276"/>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Создание и обеспечение функционирования системы управления охраной труда (далее – СУОТ) в ПАО «Россети Юг» осуществляется с учетом государственных нормативных требований охраны труда, принятых на себя обязательств по охране труда, на основе международных, межгосударственных и национальных стандартов.</w:t>
      </w:r>
    </w:p>
    <w:p w14:paraId="0FBBEE04" w14:textId="77777777" w:rsidR="002449C2" w:rsidRDefault="00123961">
      <w:pPr>
        <w:widowControl w:val="0"/>
        <w:tabs>
          <w:tab w:val="left" w:pos="1276"/>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соответствии с требованиями Трудового кодекса Российской Федерации, с целью обеспечения непрерывного совершенствования деятельности по безопасности труда и сохранению жизни и здоровья работников утверждено и введено в действие Положение о системе управления охраной труда в ПАО «Россети Юг» (далее </w:t>
      </w:r>
      <w:r>
        <w:rPr>
          <w:rFonts w:ascii="Symbol" w:eastAsia="Symbol" w:hAnsi="Symbol" w:cs="Symbol"/>
          <w:sz w:val="26"/>
          <w:szCs w:val="26"/>
          <w:lang w:eastAsia="ru-RU"/>
        </w:rPr>
        <w:sym w:font="Symbol" w:char="F02D"/>
      </w:r>
      <w:r>
        <w:rPr>
          <w:rFonts w:ascii="Times New Roman" w:eastAsia="Times New Roman" w:hAnsi="Times New Roman"/>
          <w:sz w:val="26"/>
          <w:szCs w:val="26"/>
          <w:lang w:eastAsia="ru-RU"/>
        </w:rPr>
        <w:t xml:space="preserve"> Положение).</w:t>
      </w:r>
    </w:p>
    <w:p w14:paraId="37A6D61D"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Положение представляет собой комплекс взаимосвязанных и взаимодействующих между собой элементов (мероприятий и процедур), направленных на реализацию политики и достижение целей в области ОТ и распространяет свое действие на деятельность всех структурных подразделений ПАО «Россети Юг», а также на деятельность подрядчиков и поставщиков, осуществляющих работы на объектах электросетевого хозяйства Общества. </w:t>
      </w:r>
    </w:p>
    <w:p w14:paraId="1670D507"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2024 году проводились внеплановые проверки Государственной инспекцией по труду, в связи с происшествием несчастных случаев. По результатам проведенных проверок системных и существенных нарушений требований охраны труда не выявлялось, были выявлены отдельные случаи нарушения ведения документации, недостатки при проведении психиатрических освидетельствований, проведении обучения по охране труда. </w:t>
      </w:r>
    </w:p>
    <w:p w14:paraId="01A933C1"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Нарушения требований охраны труда, приведшие к несчастным случаям, следующие:</w:t>
      </w:r>
    </w:p>
    <w:p w14:paraId="53332E28" w14:textId="77777777" w:rsidR="002449C2" w:rsidRDefault="00123961">
      <w:pPr>
        <w:pStyle w:val="afff6"/>
        <w:numPr>
          <w:ilvl w:val="0"/>
          <w:numId w:val="66"/>
        </w:numPr>
        <w:shd w:val="clear" w:color="auto" w:fill="FFFFFF"/>
        <w:tabs>
          <w:tab w:val="left" w:pos="851"/>
        </w:tabs>
        <w:ind w:left="0" w:firstLine="567"/>
        <w:jc w:val="both"/>
        <w:rPr>
          <w:rFonts w:eastAsia="Times New Roman"/>
          <w:sz w:val="26"/>
          <w:szCs w:val="26"/>
          <w:lang w:eastAsia="ru-RU"/>
        </w:rPr>
      </w:pPr>
      <w:r>
        <w:rPr>
          <w:rFonts w:eastAsia="Times New Roman"/>
          <w:sz w:val="26"/>
          <w:szCs w:val="26"/>
          <w:lang w:eastAsia="ru-RU"/>
        </w:rPr>
        <w:t>требований безопасности при осмотре оборудования;</w:t>
      </w:r>
    </w:p>
    <w:p w14:paraId="6D7E9377" w14:textId="77777777" w:rsidR="002449C2" w:rsidRDefault="00123961">
      <w:pPr>
        <w:pStyle w:val="afff6"/>
        <w:numPr>
          <w:ilvl w:val="0"/>
          <w:numId w:val="66"/>
        </w:numPr>
        <w:shd w:val="clear" w:color="auto" w:fill="FFFFFF"/>
        <w:tabs>
          <w:tab w:val="left" w:pos="851"/>
        </w:tabs>
        <w:ind w:left="0" w:firstLine="567"/>
        <w:jc w:val="both"/>
        <w:rPr>
          <w:rFonts w:eastAsia="Times New Roman"/>
          <w:sz w:val="26"/>
          <w:szCs w:val="26"/>
          <w:lang w:eastAsia="ru-RU"/>
        </w:rPr>
      </w:pPr>
      <w:r>
        <w:rPr>
          <w:rFonts w:eastAsia="Times New Roman"/>
          <w:sz w:val="26"/>
          <w:szCs w:val="26"/>
          <w:lang w:eastAsia="ru-RU"/>
        </w:rPr>
        <w:t>самовольное расширение объема полученного задания;</w:t>
      </w:r>
    </w:p>
    <w:p w14:paraId="2BEC26DB" w14:textId="77777777" w:rsidR="002449C2" w:rsidRDefault="00123961">
      <w:pPr>
        <w:pStyle w:val="afff6"/>
        <w:numPr>
          <w:ilvl w:val="0"/>
          <w:numId w:val="66"/>
        </w:numPr>
        <w:shd w:val="clear" w:color="auto" w:fill="FFFFFF"/>
        <w:tabs>
          <w:tab w:val="left" w:pos="851"/>
        </w:tabs>
        <w:ind w:left="0" w:firstLine="567"/>
        <w:jc w:val="both"/>
        <w:rPr>
          <w:rFonts w:eastAsia="Times New Roman"/>
          <w:sz w:val="26"/>
          <w:szCs w:val="26"/>
          <w:lang w:eastAsia="ru-RU"/>
        </w:rPr>
      </w:pPr>
      <w:r>
        <w:rPr>
          <w:rFonts w:eastAsia="Times New Roman"/>
          <w:sz w:val="26"/>
          <w:szCs w:val="26"/>
          <w:lang w:eastAsia="ru-RU"/>
        </w:rPr>
        <w:t>невыполнение организационных и технических мероприятий, обеспечивающих безопасное выполнение работ в эл. установках;</w:t>
      </w:r>
    </w:p>
    <w:p w14:paraId="1D9B6552" w14:textId="77777777" w:rsidR="002449C2" w:rsidRDefault="00123961">
      <w:pPr>
        <w:pStyle w:val="afff6"/>
        <w:numPr>
          <w:ilvl w:val="0"/>
          <w:numId w:val="66"/>
        </w:numPr>
        <w:shd w:val="clear" w:color="auto" w:fill="FFFFFF"/>
        <w:tabs>
          <w:tab w:val="left" w:pos="851"/>
        </w:tabs>
        <w:ind w:left="0" w:firstLine="567"/>
        <w:jc w:val="both"/>
        <w:rPr>
          <w:rFonts w:eastAsia="Times New Roman"/>
          <w:sz w:val="26"/>
          <w:szCs w:val="26"/>
          <w:lang w:eastAsia="ru-RU"/>
        </w:rPr>
      </w:pPr>
      <w:r>
        <w:rPr>
          <w:rFonts w:eastAsia="Times New Roman"/>
          <w:sz w:val="26"/>
          <w:szCs w:val="26"/>
          <w:lang w:eastAsia="ru-RU"/>
        </w:rPr>
        <w:t>не применение электрозащитных средств и СИЗ;</w:t>
      </w:r>
    </w:p>
    <w:p w14:paraId="6D8AB262" w14:textId="77777777" w:rsidR="002449C2" w:rsidRDefault="00123961">
      <w:pPr>
        <w:pStyle w:val="afff6"/>
        <w:numPr>
          <w:ilvl w:val="0"/>
          <w:numId w:val="66"/>
        </w:numPr>
        <w:shd w:val="clear" w:color="auto" w:fill="FFFFFF"/>
        <w:tabs>
          <w:tab w:val="left" w:pos="851"/>
        </w:tabs>
        <w:ind w:left="0" w:firstLine="567"/>
        <w:jc w:val="both"/>
        <w:rPr>
          <w:rFonts w:eastAsia="Times New Roman"/>
          <w:sz w:val="26"/>
          <w:szCs w:val="26"/>
          <w:lang w:eastAsia="ru-RU"/>
        </w:rPr>
      </w:pPr>
      <w:r>
        <w:rPr>
          <w:rFonts w:eastAsia="Times New Roman"/>
          <w:sz w:val="26"/>
          <w:szCs w:val="26"/>
          <w:lang w:eastAsia="ru-RU"/>
        </w:rPr>
        <w:t>отсутствие взаимоконтроля в бригадах.</w:t>
      </w:r>
    </w:p>
    <w:p w14:paraId="7CEA5142"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Важным инструментом, позволяющим своевременно и систематически выявлять опасность и риски, а также принимать превентивные меры, является процедура оценки профессиональных рисков.</w:t>
      </w:r>
    </w:p>
    <w:p w14:paraId="443C5453"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Процедура идентификации (выявления) опасностей и оценки уровней профессиональных рисков предусматривает следующие мероприятия:</w:t>
      </w:r>
    </w:p>
    <w:p w14:paraId="597BDE06" w14:textId="77777777" w:rsidR="002449C2" w:rsidRDefault="00123961">
      <w:pPr>
        <w:numPr>
          <w:ilvl w:val="0"/>
          <w:numId w:val="65"/>
        </w:numPr>
        <w:shd w:val="clear" w:color="auto" w:fill="FFFFFF"/>
        <w:tabs>
          <w:tab w:val="left" w:pos="993"/>
        </w:tabs>
        <w:spacing w:after="0" w:line="240" w:lineRule="auto"/>
        <w:ind w:left="0" w:firstLine="567"/>
        <w:jc w:val="both"/>
        <w:rPr>
          <w:rFonts w:ascii="Times New Roman" w:eastAsia="Times New Roman" w:hAnsi="Times New Roman"/>
          <w:bCs/>
          <w:sz w:val="26"/>
          <w:szCs w:val="26"/>
          <w:lang w:eastAsia="ru-RU"/>
        </w:rPr>
      </w:pPr>
      <w:r>
        <w:rPr>
          <w:rFonts w:ascii="Times New Roman" w:eastAsia="Times New Roman" w:hAnsi="Times New Roman"/>
          <w:bCs/>
          <w:sz w:val="26"/>
          <w:szCs w:val="26"/>
          <w:lang w:eastAsia="ru-RU"/>
        </w:rPr>
        <w:t>выявление (идентификацию) опасностей на рабочих местах в структурных подразделениях при существующих мерах контроля;</w:t>
      </w:r>
    </w:p>
    <w:p w14:paraId="00017F46" w14:textId="77777777" w:rsidR="002449C2" w:rsidRDefault="00123961">
      <w:pPr>
        <w:numPr>
          <w:ilvl w:val="0"/>
          <w:numId w:val="65"/>
        </w:numPr>
        <w:shd w:val="clear" w:color="auto" w:fill="FFFFFF"/>
        <w:tabs>
          <w:tab w:val="left" w:pos="993"/>
        </w:tabs>
        <w:spacing w:after="0" w:line="240" w:lineRule="auto"/>
        <w:ind w:left="0" w:firstLine="567"/>
        <w:jc w:val="both"/>
        <w:rPr>
          <w:rFonts w:ascii="Times New Roman" w:eastAsia="Times New Roman" w:hAnsi="Times New Roman"/>
          <w:bCs/>
          <w:sz w:val="26"/>
          <w:szCs w:val="26"/>
          <w:lang w:eastAsia="ru-RU"/>
        </w:rPr>
      </w:pPr>
      <w:r>
        <w:rPr>
          <w:rFonts w:ascii="Times New Roman" w:eastAsia="Times New Roman" w:hAnsi="Times New Roman"/>
          <w:bCs/>
          <w:sz w:val="26"/>
          <w:szCs w:val="26"/>
          <w:lang w:eastAsia="ru-RU"/>
        </w:rPr>
        <w:t>оценку уровней профессиональных рисков от каждой идентифицированной опасности;</w:t>
      </w:r>
    </w:p>
    <w:p w14:paraId="547C53E8" w14:textId="77777777" w:rsidR="002449C2" w:rsidRDefault="00123961">
      <w:pPr>
        <w:numPr>
          <w:ilvl w:val="0"/>
          <w:numId w:val="65"/>
        </w:numPr>
        <w:shd w:val="clear" w:color="auto" w:fill="FFFFFF"/>
        <w:tabs>
          <w:tab w:val="left" w:pos="993"/>
        </w:tabs>
        <w:spacing w:after="0" w:line="240" w:lineRule="auto"/>
        <w:ind w:left="0" w:firstLine="567"/>
        <w:jc w:val="both"/>
        <w:rPr>
          <w:rFonts w:ascii="Times New Roman" w:eastAsia="Times New Roman" w:hAnsi="Times New Roman"/>
          <w:bCs/>
          <w:sz w:val="26"/>
          <w:szCs w:val="26"/>
          <w:lang w:eastAsia="ru-RU"/>
        </w:rPr>
      </w:pPr>
      <w:r>
        <w:rPr>
          <w:rFonts w:ascii="Times New Roman" w:eastAsia="Times New Roman" w:hAnsi="Times New Roman"/>
          <w:bCs/>
          <w:sz w:val="26"/>
          <w:szCs w:val="26"/>
          <w:lang w:eastAsia="ru-RU"/>
        </w:rPr>
        <w:t>оценку приемлемости (допустимости) оцененных уровней профессиональных рисков;</w:t>
      </w:r>
    </w:p>
    <w:p w14:paraId="40ABBCF4" w14:textId="77777777" w:rsidR="002449C2" w:rsidRDefault="00123961">
      <w:pPr>
        <w:numPr>
          <w:ilvl w:val="0"/>
          <w:numId w:val="65"/>
        </w:numPr>
        <w:shd w:val="clear" w:color="auto" w:fill="FFFFFF"/>
        <w:tabs>
          <w:tab w:val="left" w:pos="993"/>
        </w:tabs>
        <w:spacing w:after="0" w:line="240" w:lineRule="auto"/>
        <w:ind w:left="0" w:firstLine="567"/>
        <w:jc w:val="both"/>
        <w:rPr>
          <w:rFonts w:ascii="Times New Roman" w:eastAsia="Times New Roman" w:hAnsi="Times New Roman"/>
          <w:bCs/>
          <w:sz w:val="26"/>
          <w:szCs w:val="26"/>
          <w:lang w:eastAsia="ru-RU"/>
        </w:rPr>
      </w:pPr>
      <w:r>
        <w:rPr>
          <w:rFonts w:ascii="Times New Roman" w:eastAsia="Times New Roman" w:hAnsi="Times New Roman"/>
          <w:bCs/>
          <w:sz w:val="26"/>
          <w:szCs w:val="26"/>
          <w:lang w:eastAsia="ru-RU"/>
        </w:rPr>
        <w:t xml:space="preserve">анализ и оценку достаточности существующих мер по управлению </w:t>
      </w:r>
      <w:r>
        <w:rPr>
          <w:rFonts w:ascii="Times New Roman" w:eastAsia="Times New Roman" w:hAnsi="Times New Roman"/>
          <w:bCs/>
          <w:sz w:val="26"/>
          <w:szCs w:val="26"/>
          <w:lang w:eastAsia="ru-RU"/>
        </w:rPr>
        <w:br w:type="textWrapping" w:clear="all"/>
        <w:t>и контролю за уровнями профессиональных рисков.</w:t>
      </w:r>
    </w:p>
    <w:p w14:paraId="177CC3E5" w14:textId="77777777" w:rsidR="002449C2" w:rsidRDefault="00123961">
      <w:pPr>
        <w:shd w:val="clear" w:color="auto" w:fill="FFFFFF"/>
        <w:tabs>
          <w:tab w:val="left" w:pos="1134"/>
        </w:tabs>
        <w:spacing w:after="0" w:line="240" w:lineRule="auto"/>
        <w:ind w:firstLine="567"/>
        <w:jc w:val="both"/>
        <w:rPr>
          <w:rFonts w:ascii="Times New Roman" w:eastAsia="Times New Roman" w:hAnsi="Times New Roman"/>
          <w:bCs/>
          <w:sz w:val="26"/>
          <w:szCs w:val="26"/>
          <w:lang w:eastAsia="ru-RU"/>
        </w:rPr>
      </w:pPr>
      <w:r>
        <w:rPr>
          <w:rFonts w:ascii="Times New Roman" w:eastAsia="Times New Roman" w:hAnsi="Times New Roman"/>
          <w:bCs/>
          <w:sz w:val="26"/>
          <w:szCs w:val="26"/>
          <w:lang w:eastAsia="ru-RU"/>
        </w:rPr>
        <w:t>Результаты идентификации опасностей и оценки уровней рисков на рабочих местах доводятся до сведения работников следующими способами:</w:t>
      </w:r>
    </w:p>
    <w:p w14:paraId="2873E735" w14:textId="77777777" w:rsidR="002449C2" w:rsidRDefault="00123961">
      <w:pPr>
        <w:shd w:val="clear" w:color="auto" w:fill="FFFFFF"/>
        <w:tabs>
          <w:tab w:val="left" w:pos="1134"/>
        </w:tabs>
        <w:spacing w:after="0" w:line="240" w:lineRule="auto"/>
        <w:ind w:firstLine="567"/>
        <w:jc w:val="both"/>
        <w:rPr>
          <w:rFonts w:ascii="Times New Roman" w:eastAsia="Times New Roman" w:hAnsi="Times New Roman"/>
          <w:bCs/>
          <w:sz w:val="26"/>
          <w:szCs w:val="26"/>
          <w:lang w:eastAsia="ru-RU"/>
        </w:rPr>
      </w:pPr>
      <w:r>
        <w:rPr>
          <w:rFonts w:ascii="Times New Roman" w:eastAsia="Times New Roman" w:hAnsi="Times New Roman"/>
          <w:bCs/>
          <w:sz w:val="26"/>
          <w:szCs w:val="26"/>
          <w:lang w:eastAsia="ru-RU"/>
        </w:rPr>
        <w:t>- при проведении инструктажей по ОТ на рабочем месте;</w:t>
      </w:r>
    </w:p>
    <w:p w14:paraId="0179ACE2" w14:textId="77777777" w:rsidR="002449C2" w:rsidRDefault="00123961">
      <w:pPr>
        <w:shd w:val="clear" w:color="auto" w:fill="FFFFFF"/>
        <w:tabs>
          <w:tab w:val="left" w:pos="1134"/>
        </w:tabs>
        <w:spacing w:after="0" w:line="240" w:lineRule="auto"/>
        <w:ind w:firstLine="567"/>
        <w:jc w:val="both"/>
        <w:rPr>
          <w:rFonts w:ascii="Times New Roman" w:eastAsia="Times New Roman" w:hAnsi="Times New Roman"/>
          <w:bCs/>
          <w:sz w:val="26"/>
          <w:szCs w:val="26"/>
          <w:lang w:eastAsia="ru-RU"/>
        </w:rPr>
      </w:pPr>
      <w:r>
        <w:rPr>
          <w:rFonts w:ascii="Times New Roman" w:eastAsia="Times New Roman" w:hAnsi="Times New Roman"/>
          <w:bCs/>
          <w:sz w:val="26"/>
          <w:szCs w:val="26"/>
          <w:lang w:eastAsia="ru-RU"/>
        </w:rPr>
        <w:t>- размещение сводных данных о результатах оценки рисков в общедоступных местах (информационные стенды, уголки ОТ и т.п.).</w:t>
      </w:r>
    </w:p>
    <w:p w14:paraId="33E9F84C" w14:textId="77777777" w:rsidR="002449C2" w:rsidRDefault="00123961">
      <w:pPr>
        <w:shd w:val="clear" w:color="auto" w:fill="FFFFFF"/>
        <w:tabs>
          <w:tab w:val="left" w:pos="1134"/>
        </w:tabs>
        <w:spacing w:after="0" w:line="240" w:lineRule="auto"/>
        <w:ind w:firstLine="567"/>
        <w:jc w:val="both"/>
        <w:rPr>
          <w:rFonts w:ascii="Times New Roman" w:eastAsia="Times New Roman" w:hAnsi="Times New Roman"/>
          <w:bCs/>
          <w:sz w:val="26"/>
          <w:szCs w:val="26"/>
          <w:lang w:eastAsia="ru-RU"/>
        </w:rPr>
      </w:pPr>
      <w:r>
        <w:rPr>
          <w:rFonts w:ascii="Times New Roman" w:eastAsia="Times New Roman" w:hAnsi="Times New Roman"/>
          <w:bCs/>
          <w:sz w:val="26"/>
          <w:szCs w:val="26"/>
          <w:lang w:eastAsia="ru-RU"/>
        </w:rPr>
        <w:t>Информация о выявленных (идентифицированных) опасностях и уровнях профессиональных рисков используется на всех уровнях управления охраной труда.</w:t>
      </w:r>
    </w:p>
    <w:p w14:paraId="31E75D2B"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Одним из условий </w:t>
      </w:r>
      <w:r>
        <w:rPr>
          <w:rFonts w:ascii="Times New Roman" w:eastAsia="Times New Roman" w:hAnsi="Times New Roman"/>
          <w:sz w:val="26"/>
          <w:szCs w:val="26"/>
          <w:lang w:val="x-none" w:eastAsia="ru-RU"/>
        </w:rPr>
        <w:t xml:space="preserve">эффективного функционирования СУОТ </w:t>
      </w:r>
      <w:r>
        <w:rPr>
          <w:rFonts w:ascii="Times New Roman" w:eastAsia="Times New Roman" w:hAnsi="Times New Roman"/>
          <w:sz w:val="26"/>
          <w:szCs w:val="26"/>
          <w:lang w:eastAsia="ru-RU"/>
        </w:rPr>
        <w:t xml:space="preserve">является </w:t>
      </w:r>
      <w:r>
        <w:rPr>
          <w:rFonts w:ascii="Times New Roman" w:eastAsia="Times New Roman" w:hAnsi="Times New Roman"/>
          <w:sz w:val="26"/>
          <w:szCs w:val="26"/>
          <w:lang w:val="x-none" w:eastAsia="ru-RU"/>
        </w:rPr>
        <w:t xml:space="preserve">высокий </w:t>
      </w:r>
      <w:r>
        <w:rPr>
          <w:rFonts w:ascii="Times New Roman" w:eastAsia="Times New Roman" w:hAnsi="Times New Roman"/>
          <w:sz w:val="26"/>
          <w:szCs w:val="26"/>
          <w:lang w:eastAsia="ru-RU"/>
        </w:rPr>
        <w:t>профессиональный уровень подготовки работников Общества.</w:t>
      </w:r>
    </w:p>
    <w:p w14:paraId="13EE0CA2"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val="x-none" w:eastAsia="ru-RU"/>
        </w:rPr>
        <w:t xml:space="preserve">Требования к профессиональной компетенции работников для выполнения работ устанавливаются нормативными правовыми актами, профессиональными стандартами, локальными нормативными актами и иными внутренними документами </w:t>
      </w:r>
      <w:r>
        <w:rPr>
          <w:rFonts w:ascii="Times New Roman" w:eastAsia="Times New Roman" w:hAnsi="Times New Roman"/>
          <w:sz w:val="26"/>
          <w:szCs w:val="26"/>
          <w:lang w:eastAsia="ru-RU"/>
        </w:rPr>
        <w:t>Общества.</w:t>
      </w:r>
    </w:p>
    <w:p w14:paraId="2E67620E"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Работники Общества должны быть достаточно компетентными в области ОТ, производственной безопасности, обладать знаниями и навыками для идентификации опасностей (рисков), управления/контроля профессиональными рисками, связанными с выполняемой работой.</w:t>
      </w:r>
    </w:p>
    <w:p w14:paraId="4F2981F3" w14:textId="77777777" w:rsidR="002449C2" w:rsidRDefault="00123961">
      <w:pPr>
        <w:shd w:val="clear" w:color="auto" w:fill="FFFFFF"/>
        <w:spacing w:after="0" w:line="240" w:lineRule="auto"/>
        <w:ind w:firstLine="567"/>
        <w:jc w:val="both"/>
        <w:rPr>
          <w:rFonts w:ascii="Times New Roman" w:eastAsia="Times New Roman" w:hAnsi="Times New Roman"/>
          <w:bCs/>
          <w:sz w:val="26"/>
          <w:szCs w:val="26"/>
          <w:lang w:eastAsia="ru-RU"/>
        </w:rPr>
      </w:pPr>
      <w:r>
        <w:rPr>
          <w:rFonts w:ascii="Times New Roman" w:eastAsia="Times New Roman" w:hAnsi="Times New Roman"/>
          <w:bCs/>
          <w:sz w:val="26"/>
          <w:szCs w:val="26"/>
          <w:lang w:eastAsia="ru-RU"/>
        </w:rPr>
        <w:t>Мероприятия по подготовке работников по ОТ включают организацию и проведение:</w:t>
      </w:r>
    </w:p>
    <w:p w14:paraId="066B14B8" w14:textId="77777777" w:rsidR="002449C2" w:rsidRDefault="00123961">
      <w:pPr>
        <w:numPr>
          <w:ilvl w:val="0"/>
          <w:numId w:val="63"/>
        </w:numPr>
        <w:shd w:val="clear" w:color="auto" w:fill="FFFFFF"/>
        <w:tabs>
          <w:tab w:val="left" w:pos="993"/>
        </w:tabs>
        <w:spacing w:after="0" w:line="240" w:lineRule="auto"/>
        <w:ind w:left="0" w:firstLine="567"/>
        <w:jc w:val="both"/>
        <w:rPr>
          <w:rFonts w:ascii="Times New Roman" w:eastAsia="Times New Roman" w:hAnsi="Times New Roman"/>
          <w:bCs/>
          <w:sz w:val="26"/>
          <w:szCs w:val="26"/>
          <w:lang w:eastAsia="ru-RU"/>
        </w:rPr>
      </w:pPr>
      <w:r>
        <w:rPr>
          <w:rFonts w:ascii="Times New Roman" w:eastAsia="Times New Roman" w:hAnsi="Times New Roman"/>
          <w:bCs/>
          <w:sz w:val="26"/>
          <w:szCs w:val="26"/>
          <w:lang w:eastAsia="ru-RU"/>
        </w:rPr>
        <w:t>инструктажей по ОТ при поступлении на работу и в процессе трудовой деятельности;</w:t>
      </w:r>
    </w:p>
    <w:p w14:paraId="550692EF" w14:textId="77777777" w:rsidR="002449C2" w:rsidRDefault="00123961">
      <w:pPr>
        <w:numPr>
          <w:ilvl w:val="0"/>
          <w:numId w:val="63"/>
        </w:numPr>
        <w:shd w:val="clear" w:color="auto" w:fill="FFFFFF"/>
        <w:tabs>
          <w:tab w:val="left" w:pos="993"/>
        </w:tabs>
        <w:spacing w:after="0" w:line="240" w:lineRule="auto"/>
        <w:ind w:left="0" w:firstLine="567"/>
        <w:jc w:val="both"/>
        <w:rPr>
          <w:rFonts w:ascii="Times New Roman" w:eastAsia="Times New Roman" w:hAnsi="Times New Roman"/>
          <w:bCs/>
          <w:sz w:val="26"/>
          <w:szCs w:val="26"/>
          <w:lang w:eastAsia="ru-RU"/>
        </w:rPr>
      </w:pPr>
      <w:r>
        <w:rPr>
          <w:rFonts w:ascii="Times New Roman" w:eastAsia="Times New Roman" w:hAnsi="Times New Roman"/>
          <w:bCs/>
          <w:sz w:val="26"/>
          <w:szCs w:val="26"/>
          <w:lang w:eastAsia="ru-RU"/>
        </w:rPr>
        <w:t>стажировки на рабочем месте (для отдельных категорий работников);</w:t>
      </w:r>
    </w:p>
    <w:p w14:paraId="783FCE96" w14:textId="77777777" w:rsidR="002449C2" w:rsidRDefault="00123961">
      <w:pPr>
        <w:numPr>
          <w:ilvl w:val="0"/>
          <w:numId w:val="63"/>
        </w:numPr>
        <w:shd w:val="clear" w:color="auto" w:fill="FFFFFF"/>
        <w:tabs>
          <w:tab w:val="left" w:pos="993"/>
        </w:tabs>
        <w:spacing w:after="0" w:line="240" w:lineRule="auto"/>
        <w:ind w:left="0" w:firstLine="567"/>
        <w:jc w:val="both"/>
        <w:rPr>
          <w:rFonts w:ascii="Times New Roman" w:eastAsia="Times New Roman" w:hAnsi="Times New Roman"/>
          <w:bCs/>
          <w:sz w:val="26"/>
          <w:szCs w:val="26"/>
          <w:lang w:eastAsia="ru-RU"/>
        </w:rPr>
      </w:pPr>
      <w:r>
        <w:rPr>
          <w:rFonts w:ascii="Times New Roman" w:eastAsia="Times New Roman" w:hAnsi="Times New Roman"/>
          <w:bCs/>
          <w:sz w:val="26"/>
          <w:szCs w:val="26"/>
          <w:lang w:eastAsia="ru-RU"/>
        </w:rPr>
        <w:t>обучения и проверки знаний по ОТ, безопасным методам и приемам выполнения работ;</w:t>
      </w:r>
    </w:p>
    <w:p w14:paraId="42E542AF" w14:textId="77777777" w:rsidR="002449C2" w:rsidRDefault="00123961">
      <w:pPr>
        <w:numPr>
          <w:ilvl w:val="0"/>
          <w:numId w:val="63"/>
        </w:numPr>
        <w:shd w:val="clear" w:color="auto" w:fill="FFFFFF"/>
        <w:tabs>
          <w:tab w:val="left" w:pos="993"/>
        </w:tabs>
        <w:spacing w:after="0" w:line="240" w:lineRule="auto"/>
        <w:ind w:left="0" w:firstLine="567"/>
        <w:jc w:val="both"/>
        <w:rPr>
          <w:rFonts w:ascii="Times New Roman" w:eastAsia="Times New Roman" w:hAnsi="Times New Roman"/>
          <w:bCs/>
          <w:sz w:val="26"/>
          <w:szCs w:val="26"/>
          <w:lang w:eastAsia="ru-RU"/>
        </w:rPr>
      </w:pPr>
      <w:r>
        <w:rPr>
          <w:rFonts w:ascii="Times New Roman" w:eastAsia="Times New Roman" w:hAnsi="Times New Roman"/>
          <w:bCs/>
          <w:sz w:val="26"/>
          <w:szCs w:val="26"/>
          <w:lang w:eastAsia="ru-RU"/>
        </w:rPr>
        <w:t>обучения приемам освобождения пострадавшего от действия электрического тока, приемам оказания первой помощи (для отдельных категорий работников);</w:t>
      </w:r>
    </w:p>
    <w:p w14:paraId="703C0684" w14:textId="77777777" w:rsidR="002449C2" w:rsidRDefault="00123961">
      <w:pPr>
        <w:numPr>
          <w:ilvl w:val="0"/>
          <w:numId w:val="63"/>
        </w:numPr>
        <w:shd w:val="clear" w:color="auto" w:fill="FFFFFF"/>
        <w:tabs>
          <w:tab w:val="left" w:pos="993"/>
        </w:tabs>
        <w:spacing w:after="0" w:line="240" w:lineRule="auto"/>
        <w:ind w:left="0" w:firstLine="567"/>
        <w:jc w:val="both"/>
        <w:rPr>
          <w:rFonts w:ascii="Times New Roman" w:eastAsia="Times New Roman" w:hAnsi="Times New Roman"/>
          <w:bCs/>
          <w:sz w:val="26"/>
          <w:szCs w:val="26"/>
          <w:lang w:eastAsia="ru-RU"/>
        </w:rPr>
      </w:pPr>
      <w:r>
        <w:rPr>
          <w:rFonts w:ascii="Times New Roman" w:eastAsia="Times New Roman" w:hAnsi="Times New Roman"/>
          <w:bCs/>
          <w:sz w:val="26"/>
          <w:szCs w:val="26"/>
          <w:lang w:eastAsia="ru-RU"/>
        </w:rPr>
        <w:t>обучение по использованию и применению средств индивидуальной защиты (для отдельных категорий работников).</w:t>
      </w:r>
    </w:p>
    <w:p w14:paraId="49D2F914" w14:textId="77777777" w:rsidR="002449C2" w:rsidRDefault="00123961">
      <w:pPr>
        <w:shd w:val="clear" w:color="auto" w:fill="FFFFFF"/>
        <w:spacing w:after="0" w:line="240" w:lineRule="auto"/>
        <w:ind w:firstLine="567"/>
        <w:jc w:val="both"/>
        <w:rPr>
          <w:rFonts w:ascii="Times New Roman" w:eastAsia="Times New Roman" w:hAnsi="Times New Roman"/>
          <w:bCs/>
          <w:sz w:val="26"/>
          <w:szCs w:val="26"/>
          <w:lang w:eastAsia="ru-RU"/>
        </w:rPr>
      </w:pPr>
      <w:r>
        <w:rPr>
          <w:rFonts w:ascii="Times New Roman" w:eastAsia="Times New Roman" w:hAnsi="Times New Roman"/>
          <w:bCs/>
          <w:sz w:val="26"/>
          <w:szCs w:val="26"/>
          <w:lang w:eastAsia="ru-RU"/>
        </w:rPr>
        <w:t>Анализ приобретенных работником знаний и практических навыков осуществляется с учетом результатов проведения стажировки на рабочем месте, дублирования, противоаварийных и противопожарных тренировок, а также по результатам периодических наблюдений (различных видов контроля) за выполнением работником возложенных на него функций и задач.</w:t>
      </w:r>
    </w:p>
    <w:p w14:paraId="3DAA494F" w14:textId="77777777" w:rsidR="002449C2" w:rsidRDefault="00123961">
      <w:pPr>
        <w:shd w:val="clear" w:color="auto" w:fill="FFFFFF"/>
        <w:spacing w:after="0" w:line="240" w:lineRule="auto"/>
        <w:ind w:firstLine="567"/>
        <w:jc w:val="both"/>
        <w:rPr>
          <w:rFonts w:ascii="Times New Roman" w:eastAsia="Times New Roman" w:hAnsi="Times New Roman"/>
          <w:bCs/>
          <w:sz w:val="26"/>
          <w:szCs w:val="26"/>
          <w:lang w:eastAsia="ru-RU"/>
        </w:rPr>
      </w:pPr>
      <w:r>
        <w:rPr>
          <w:rFonts w:ascii="Times New Roman" w:eastAsia="Times New Roman" w:hAnsi="Times New Roman"/>
          <w:bCs/>
          <w:sz w:val="26"/>
          <w:szCs w:val="26"/>
          <w:lang w:eastAsia="ru-RU"/>
        </w:rPr>
        <w:t>Для повышения эффективности подготовки работников по ОТ в структурных подразделениях обеспечивается наличие правил и инструкций по ОТ, а также других материалов необходимых для безопасного выполнения работ.</w:t>
      </w:r>
    </w:p>
    <w:p w14:paraId="48CB3BC2" w14:textId="77777777" w:rsidR="002449C2" w:rsidRDefault="00123961">
      <w:pPr>
        <w:shd w:val="clear" w:color="auto" w:fill="FFFFFF"/>
        <w:spacing w:after="0" w:line="240" w:lineRule="auto"/>
        <w:ind w:firstLine="567"/>
        <w:jc w:val="both"/>
        <w:rPr>
          <w:rFonts w:ascii="Times New Roman" w:eastAsia="Times New Roman" w:hAnsi="Times New Roman"/>
          <w:bCs/>
          <w:sz w:val="26"/>
          <w:szCs w:val="26"/>
          <w:lang w:eastAsia="ru-RU"/>
        </w:rPr>
      </w:pPr>
      <w:r>
        <w:rPr>
          <w:rFonts w:ascii="Times New Roman" w:eastAsia="Times New Roman" w:hAnsi="Times New Roman"/>
          <w:bCs/>
          <w:sz w:val="26"/>
          <w:szCs w:val="26"/>
          <w:lang w:eastAsia="ru-RU"/>
        </w:rPr>
        <w:t>Несчастные случаи, профессиональные заболевания, микротравмы (микроповреждения) на рабочих местах Общества, связанные с выполнением работы, подлежат расследованию и учету.</w:t>
      </w:r>
    </w:p>
    <w:p w14:paraId="37C05612"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Расследование причин возникновения несчастных случаев, профессиональных заболеваний и других случаев травмирования направлено на недопущение случаев ухудшения состояния здоровья и безопасности работников, а также выявление недостатков в функционировании СУОТ.</w:t>
      </w:r>
    </w:p>
    <w:p w14:paraId="68B2CD26"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Мероприятия по расследованию и учету несчастных случаев и профессиональных заболеваний предусматривают:</w:t>
      </w:r>
    </w:p>
    <w:p w14:paraId="2E751820" w14:textId="77777777" w:rsidR="002449C2" w:rsidRDefault="00123961">
      <w:pPr>
        <w:numPr>
          <w:ilvl w:val="0"/>
          <w:numId w:val="64"/>
        </w:numPr>
        <w:shd w:val="clear" w:color="auto" w:fill="FFFFFF"/>
        <w:tabs>
          <w:tab w:val="left" w:pos="1134"/>
        </w:tabs>
        <w:spacing w:after="0" w:line="240" w:lineRule="auto"/>
        <w:ind w:left="0"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организацию информирования о несчастных случаях и профессиональных заболеваниях компетентных органов и организаций;</w:t>
      </w:r>
    </w:p>
    <w:p w14:paraId="5D2B5DFD" w14:textId="77777777" w:rsidR="002449C2" w:rsidRDefault="00123961">
      <w:pPr>
        <w:numPr>
          <w:ilvl w:val="0"/>
          <w:numId w:val="64"/>
        </w:numPr>
        <w:shd w:val="clear" w:color="auto" w:fill="FFFFFF"/>
        <w:tabs>
          <w:tab w:val="left" w:pos="1134"/>
        </w:tabs>
        <w:spacing w:after="0" w:line="240" w:lineRule="auto"/>
        <w:ind w:left="0"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организацию и обеспечение надлежащего и своевременного расследования несчастного случая и профессионального заболевания, оформление материалов расследования в соответствии законодательными требованиями.</w:t>
      </w:r>
    </w:p>
    <w:p w14:paraId="63C18EFF"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Выявление и предотвращение опасностей в Обществе осуществляют в ходе проведения следующих мероприятий:</w:t>
      </w:r>
    </w:p>
    <w:p w14:paraId="1397AF8C" w14:textId="77777777" w:rsidR="002449C2" w:rsidRDefault="00123961">
      <w:pPr>
        <w:numPr>
          <w:ilvl w:val="0"/>
          <w:numId w:val="64"/>
        </w:numPr>
        <w:shd w:val="clear" w:color="auto" w:fill="FFFFFF"/>
        <w:tabs>
          <w:tab w:val="left" w:pos="1134"/>
        </w:tabs>
        <w:spacing w:after="0" w:line="240" w:lineRule="auto"/>
        <w:ind w:left="0"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оценки и управления профессиональными рисками, отдельное внимание уделяется работам повышенной опасности;</w:t>
      </w:r>
    </w:p>
    <w:p w14:paraId="3D363858" w14:textId="77777777" w:rsidR="002449C2" w:rsidRDefault="00123961">
      <w:pPr>
        <w:numPr>
          <w:ilvl w:val="0"/>
          <w:numId w:val="64"/>
        </w:numPr>
        <w:shd w:val="clear" w:color="auto" w:fill="FFFFFF"/>
        <w:tabs>
          <w:tab w:val="left" w:pos="1134"/>
        </w:tabs>
        <w:spacing w:after="0" w:line="240" w:lineRule="auto"/>
        <w:ind w:left="0"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проведения специальной оценки условий труда;</w:t>
      </w:r>
    </w:p>
    <w:p w14:paraId="641C616E" w14:textId="77777777" w:rsidR="002449C2" w:rsidRDefault="00123961">
      <w:pPr>
        <w:numPr>
          <w:ilvl w:val="0"/>
          <w:numId w:val="64"/>
        </w:numPr>
        <w:shd w:val="clear" w:color="auto" w:fill="FFFFFF"/>
        <w:tabs>
          <w:tab w:val="left" w:pos="1134"/>
        </w:tabs>
        <w:spacing w:after="0" w:line="240" w:lineRule="auto"/>
        <w:ind w:left="0"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реализация процедуры оперативной оценки рисков непосредственно на рабочем месте перед производством работ;</w:t>
      </w:r>
    </w:p>
    <w:p w14:paraId="2FD2B485" w14:textId="77777777" w:rsidR="002449C2" w:rsidRDefault="00123961">
      <w:pPr>
        <w:numPr>
          <w:ilvl w:val="0"/>
          <w:numId w:val="64"/>
        </w:numPr>
        <w:shd w:val="clear" w:color="auto" w:fill="FFFFFF"/>
        <w:tabs>
          <w:tab w:val="left" w:pos="1134"/>
        </w:tabs>
        <w:spacing w:after="0" w:line="240" w:lineRule="auto"/>
        <w:ind w:left="0"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проведения производственного контроля условий труда;</w:t>
      </w:r>
    </w:p>
    <w:p w14:paraId="416419F3" w14:textId="77777777" w:rsidR="002449C2" w:rsidRDefault="00123961">
      <w:pPr>
        <w:numPr>
          <w:ilvl w:val="0"/>
          <w:numId w:val="64"/>
        </w:numPr>
        <w:shd w:val="clear" w:color="auto" w:fill="FFFFFF"/>
        <w:tabs>
          <w:tab w:val="left" w:pos="1134"/>
        </w:tabs>
        <w:spacing w:after="0" w:line="240" w:lineRule="auto"/>
        <w:ind w:left="0"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предупреждения аварий и ликвидация их последствий;</w:t>
      </w:r>
    </w:p>
    <w:p w14:paraId="38444BA1" w14:textId="77777777" w:rsidR="002449C2" w:rsidRDefault="00123961">
      <w:pPr>
        <w:numPr>
          <w:ilvl w:val="0"/>
          <w:numId w:val="64"/>
        </w:numPr>
        <w:shd w:val="clear" w:color="auto" w:fill="FFFFFF"/>
        <w:tabs>
          <w:tab w:val="left" w:pos="1134"/>
        </w:tabs>
        <w:spacing w:after="0" w:line="240" w:lineRule="auto"/>
        <w:ind w:left="0"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проведения целевых, комплексных и оперативных проверок;</w:t>
      </w:r>
    </w:p>
    <w:p w14:paraId="2F163CDA" w14:textId="77777777" w:rsidR="002449C2" w:rsidRDefault="00123961">
      <w:pPr>
        <w:numPr>
          <w:ilvl w:val="0"/>
          <w:numId w:val="64"/>
        </w:numPr>
        <w:shd w:val="clear" w:color="auto" w:fill="FFFFFF"/>
        <w:tabs>
          <w:tab w:val="left" w:pos="1134"/>
        </w:tabs>
        <w:spacing w:after="160" w:line="240" w:lineRule="auto"/>
        <w:ind w:left="0"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использование в целях контроля за безопасностью производства работ приборов, устройств, оборудования и (или) комплексов (систем) приборов, устройств, оборудования (при их наличии и возможности применения), обеспечивающих дистанционную видео-, аудио- или иную фиксацию процессов производства работ, обеспечение хранения полученной информации.</w:t>
      </w:r>
    </w:p>
    <w:p w14:paraId="0329371D"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2024 году в ПАО «Россети Юг» эксплуатировались 127 опасных производственных объектов III и IV класса опасности (далее-ОПО), все ОПО зарегистрированы в Едином государственном реестре опасных производственных объектов.</w:t>
      </w:r>
    </w:p>
    <w:p w14:paraId="5F3404B0"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На опасных производственных объектах ПАО «Россети Юг» эксплуатируются всего 458 технических устройства (автомобильные грузоподъемные краны, краны манипуляторы, вышки, подъемники, стационарные грузоподъемные краны).</w:t>
      </w:r>
    </w:p>
    <w:p w14:paraId="69A4B3C5"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целях недопущения возникновения аварий на опасных производственных объектах ПАО «Россети Юг» эксплуатация технических устройств на ОПО осуществлялась в соответствии с требованиями нормативных правовых актов в области промышленной безопасности обученными и аттестованными работниками Общества. В 2024 году в области промышленной безопасности проведены следующие мероприятия:</w:t>
      </w:r>
    </w:p>
    <w:p w14:paraId="6E91899F"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технические освидетельствования и экспертиза промышленной безопасности технических устройств, применяемых на опасных производственных объектах (473 технических освидетельствования и 321 экспертиза);</w:t>
      </w:r>
    </w:p>
    <w:p w14:paraId="605978AB"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страхование риска гражданской ответственности владельцев опасных объектов за причинение вреда в результате аварии на ОПО осуществлялось в рамках договора со специализированной организацией;</w:t>
      </w:r>
    </w:p>
    <w:p w14:paraId="63772524"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дополнительное профессиональное образование (повышение квалификации) и предаттестационную подготовку в области промышленной безопасности получили 565 человека;</w:t>
      </w:r>
    </w:p>
    <w:p w14:paraId="6CD8BAEE"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в рамках осуществления производственного контроля за соблюдением требований промышленной безопасности проведено 538 проверок, разработано 946 мероприятий для устранения выявленных нарушений. Мероприятия выполнены в соответствии с установленными сроками;</w:t>
      </w:r>
    </w:p>
    <w:p w14:paraId="51882908"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в целях обеспечения готовности к действиям по локализации и ликвидации последствий аварии на опасных производственных объектах III класса опасности (сети газопотребления) разработаны и утверждены планы мероприятий по локализации и ликвидации последствий аварий, заключены договоры с аварийно-спасательными формированиями на оперативное обслуживание ОПО;</w:t>
      </w:r>
    </w:p>
    <w:p w14:paraId="6F9AF963"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определены действия руководителей и специалистов при возникновении аварии и инцидентов на ОПО. Действия по техническому расследованию и оформлению материалов, учету и анализу аварий и инцидентов утверждены в рамках Положения о производственном контроле за соблюдением требований промышленной безопасности на опасных производственных объектах Общества и Порядка проведения технического расследования, учета и анализа причин инцидентов на опасных производственных объектах ПАО «Россети Юг».</w:t>
      </w:r>
    </w:p>
    <w:p w14:paraId="275E30DF" w14:textId="77777777" w:rsidR="002449C2" w:rsidRDefault="00123961">
      <w:pPr>
        <w:shd w:val="clear" w:color="auto" w:fill="FFFFFF"/>
        <w:spacing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2024 году аварии и инциденты на опасных производственных объектах ПАО «Россети Юг» не зафиксированы.</w:t>
      </w:r>
    </w:p>
    <w:p w14:paraId="63858FAF" w14:textId="77777777" w:rsidR="002449C2" w:rsidRDefault="00123961">
      <w:pPr>
        <w:shd w:val="clear" w:color="auto" w:fill="FFFFFF"/>
        <w:spacing w:after="0" w:line="240" w:lineRule="auto"/>
        <w:ind w:firstLine="567"/>
        <w:jc w:val="both"/>
        <w:rPr>
          <w:rFonts w:ascii="Times New Roman" w:hAnsi="Times New Roman"/>
          <w:sz w:val="26"/>
          <w:szCs w:val="26"/>
        </w:rPr>
      </w:pPr>
      <w:r>
        <w:rPr>
          <w:rFonts w:ascii="Times New Roman" w:hAnsi="Times New Roman"/>
          <w:sz w:val="26"/>
          <w:szCs w:val="26"/>
        </w:rPr>
        <w:t>Производственный травматизм и профессиональные заболевания.</w:t>
      </w:r>
    </w:p>
    <w:p w14:paraId="15E62104"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Обществе действует Политика в области охраны труда группы компаний «Россети», утвержденная Приказом ПАО «Россети Юг» № 659 от 30.10.2023.</w:t>
      </w:r>
    </w:p>
    <w:p w14:paraId="388D5445"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Политика доводится до сведения всех лиц, подрядчиков, осуществляющих деятельность в интересах Общества и экскурсантов, посещающих компанию, при проведении вводного инструктажа.</w:t>
      </w:r>
    </w:p>
    <w:p w14:paraId="20E6AF4A"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Политика представляет собой стиль управления и стратегию высшего руководства в виде публичной документированной декларации работодателя о намерениях и гарантированном выполнении требований ОТ, совокупность видения своей миссии и концепции деятельности по реализации стратегических целей и задач.</w:t>
      </w:r>
    </w:p>
    <w:p w14:paraId="4CDF63A7"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Для реализации Политики, а также заявленных в ней обязательств, и достижения целей в области ОТ в Обществе обеспечивается планирование, разработка и внедрение мероприятий по реализации процедур СУОТ.</w:t>
      </w:r>
    </w:p>
    <w:p w14:paraId="30FED93B"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Специальная оценка условий труда является единым комплексом последовательно осуществляемых мероприятий по идентификации вредных и (или) опасных факторов производственной среды и трудового процесса и оценке уровня их воздействия на работника с учетом отклонения их фактических значений от установленных уполномоченным Правительством Российской Федерации федеральным органом исполнительной власти нормативов (гигиенических нормативов) условий труда и применения средств индивидуальной и коллективной защиты работников. </w:t>
      </w:r>
    </w:p>
    <w:p w14:paraId="3BE084ED"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Основными причинами несоответствия рабочих мест требованиям охраны труда являются следующие вредные (опасные) факторы: шум, общая вибрация, вибрация локальная, химический фактор, напряженность и тяжесть трудового процесса (рабочие места: электромонтеров по ремонту ВЛ, электромонтеров по эксплуатации распределительных сетей, электрослесарей по ремонту оборудования РУ, электрогазосварщиков, водителей автомобиля).</w:t>
      </w:r>
    </w:p>
    <w:p w14:paraId="2F583F6E" w14:textId="77777777" w:rsidR="002449C2" w:rsidRDefault="00123961">
      <w:pPr>
        <w:shd w:val="clear" w:color="auto" w:fill="FFFFFF"/>
        <w:spacing w:after="0" w:line="240" w:lineRule="auto"/>
        <w:ind w:firstLine="567"/>
        <w:jc w:val="both"/>
        <w:rPr>
          <w:sz w:val="26"/>
          <w:szCs w:val="26"/>
        </w:rPr>
      </w:pPr>
      <w:r>
        <w:rPr>
          <w:rFonts w:ascii="Times New Roman" w:hAnsi="Times New Roman"/>
          <w:sz w:val="26"/>
          <w:szCs w:val="26"/>
        </w:rPr>
        <w:t>К выполнению работ повышенной опасности предъявляются дополнительные требования в соответствии с нормативными правовыми актами, содержащими государственные нормативные требования охраны труда такие как:</w:t>
      </w:r>
    </w:p>
    <w:p w14:paraId="678635CD" w14:textId="77777777" w:rsidR="002449C2" w:rsidRDefault="00123961">
      <w:pPr>
        <w:shd w:val="clear" w:color="auto" w:fill="FFFFFF"/>
        <w:spacing w:after="0" w:line="240" w:lineRule="auto"/>
        <w:ind w:firstLine="567"/>
        <w:jc w:val="both"/>
        <w:rPr>
          <w:sz w:val="26"/>
          <w:szCs w:val="26"/>
        </w:rPr>
      </w:pPr>
      <w:r>
        <w:rPr>
          <w:rFonts w:ascii="Times New Roman" w:hAnsi="Times New Roman"/>
          <w:sz w:val="26"/>
          <w:szCs w:val="26"/>
        </w:rPr>
        <w:t>-  утверждение Перечня работ повышенной опасности;</w:t>
      </w:r>
    </w:p>
    <w:p w14:paraId="22CAE752" w14:textId="77777777" w:rsidR="002449C2" w:rsidRDefault="00123961">
      <w:pPr>
        <w:shd w:val="clear" w:color="auto" w:fill="FFFFFF"/>
        <w:spacing w:after="0" w:line="240" w:lineRule="auto"/>
        <w:ind w:firstLine="567"/>
        <w:jc w:val="both"/>
        <w:rPr>
          <w:sz w:val="26"/>
          <w:szCs w:val="26"/>
        </w:rPr>
      </w:pPr>
      <w:r>
        <w:rPr>
          <w:rFonts w:ascii="Times New Roman" w:hAnsi="Times New Roman"/>
          <w:sz w:val="26"/>
          <w:szCs w:val="26"/>
        </w:rPr>
        <w:t>- обучение работников в соответствии с требованиями НПА;</w:t>
      </w:r>
    </w:p>
    <w:p w14:paraId="5D18F334" w14:textId="77777777" w:rsidR="002449C2" w:rsidRDefault="00123961">
      <w:pPr>
        <w:shd w:val="clear" w:color="auto" w:fill="FFFFFF"/>
        <w:spacing w:after="0" w:line="240" w:lineRule="auto"/>
        <w:ind w:firstLine="567"/>
        <w:jc w:val="both"/>
        <w:rPr>
          <w:sz w:val="26"/>
          <w:szCs w:val="26"/>
        </w:rPr>
      </w:pPr>
      <w:r>
        <w:rPr>
          <w:rFonts w:ascii="Times New Roman" w:hAnsi="Times New Roman"/>
          <w:sz w:val="26"/>
          <w:szCs w:val="26"/>
        </w:rPr>
        <w:t>- прохождение предварительных и периодических медицинских осмотров;</w:t>
      </w:r>
    </w:p>
    <w:p w14:paraId="2136F77F" w14:textId="77777777" w:rsidR="002449C2" w:rsidRDefault="00123961">
      <w:pPr>
        <w:shd w:val="clear" w:color="auto" w:fill="FFFFFF"/>
        <w:spacing w:after="0" w:line="240" w:lineRule="auto"/>
        <w:ind w:firstLine="567"/>
        <w:jc w:val="both"/>
        <w:rPr>
          <w:sz w:val="26"/>
          <w:szCs w:val="26"/>
        </w:rPr>
      </w:pPr>
      <w:r>
        <w:rPr>
          <w:rFonts w:ascii="Times New Roman" w:hAnsi="Times New Roman"/>
          <w:sz w:val="26"/>
          <w:szCs w:val="26"/>
        </w:rPr>
        <w:t>- выполнение работ по наряду-допуску с назначением ответственных за производство работ;</w:t>
      </w:r>
    </w:p>
    <w:p w14:paraId="54C1824D" w14:textId="77777777" w:rsidR="002449C2" w:rsidRDefault="00123961">
      <w:pPr>
        <w:shd w:val="clear" w:color="auto" w:fill="FFFFFF"/>
        <w:spacing w:after="0" w:line="240" w:lineRule="auto"/>
        <w:ind w:firstLine="567"/>
        <w:jc w:val="both"/>
        <w:rPr>
          <w:sz w:val="26"/>
          <w:szCs w:val="26"/>
        </w:rPr>
      </w:pPr>
      <w:r>
        <w:rPr>
          <w:rFonts w:ascii="Times New Roman" w:hAnsi="Times New Roman"/>
          <w:sz w:val="26"/>
          <w:szCs w:val="26"/>
        </w:rPr>
        <w:t>- оснащение современными средствами индивидуальной защиты (в т.ч. на высоте).</w:t>
      </w:r>
    </w:p>
    <w:p w14:paraId="1EB0A289"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Информация о работах повышенной опасности, рисках при проведении данного вида работ, мерах по снижению опасностей доводится при проведении инструктажей по обучении по охране труда, проведении инструктажей.</w:t>
      </w:r>
    </w:p>
    <w:p w14:paraId="79581E15"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Работникам, выполняющим свои обязанности на рабочих местах, не соответствующих государственным нормативным требованиям охраны труда, выплачивается компенсация за работу во вредных условиях труда, предоставляются дополнительные оплачиваемые отпуска, повышенный размер оплаты труда, организована выдача молока или других равноценных продуктов (денежная компенсация).</w:t>
      </w:r>
    </w:p>
    <w:p w14:paraId="4487144C"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Для защиты от воздействия вредных и (или) опасных факторов производственной среды и (или) загрязнения, а также на работах, выполняемых в особых температурных условиях, работникам бесплатно выдаются средства индивидуальной защиты и смывающие средства, прошедшие подтверждение соответствия в порядке, установленном законодательством Российской Федерации о техническом регулировании. Персонал Общества обеспечен средствами индивидуальной защиты в полном объёме. Затраты на обеспечение работников защитными средствами и приспособлениями (в том числе средствами защиты от падения с высоты) составили 360 млн 740 тыс. руб. </w:t>
      </w:r>
    </w:p>
    <w:p w14:paraId="0D228D71"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Для мониторинга, контроля и оценки результативности, осуществляемой в рамках функционирования СУОТ, проводится наблюдение за состоянием здоровья работников, включая проведение предварительных и периодических медицинских осмотров (обследований), психиатрических освидетельствований.</w:t>
      </w:r>
    </w:p>
    <w:p w14:paraId="0198D5C3"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соответствии с требованиями законодательства в Обществе организовано проведение медицинских осмотров: один раз в два года для работников, на рабочих местах которых установлено наличие вредных и/или опасных производственных факторов и водителям транспортных средств, ежегодно - для лиц, допущенных к работам на высоте. В 2024 году затраты на проведение периодического медицинского осмотра 7 434 работников (в том числе 4 309 занятых на работах с вредными условиями труда) составили 21 млн 289 тыс. руб.</w:t>
      </w:r>
    </w:p>
    <w:p w14:paraId="5F4D45AC"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2024 году мероприятия по охране труда, предусмотренные законодательством, в Обществе выполнены в полном объеме. Дополнительно был реализован ряд мероприятий, направленных на повышение качества работы с персоналом, развитие культуры безопасности, выявления рисков неэффективной работы системы управления охраной труда и принятия своевременных мер реагирования.</w:t>
      </w:r>
    </w:p>
    <w:p w14:paraId="3276BB4B"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Несмотря на проделанную работу в 2024 году в ПАО «Россети Юг» на производстве произошли 5 несчастных случаев, в результате которых:</w:t>
      </w:r>
    </w:p>
    <w:p w14:paraId="0FFBE917"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- 3 работника получили тяжелые травмы (Ростовэнерго, Астраханьэнерго, исполнительный аппарат Общества);</w:t>
      </w:r>
    </w:p>
    <w:p w14:paraId="4E29DDB6"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- 2 работника погибли (филиалы ПАО «Россети Юг» «Астраханьэнерго», «Волгоградэнерго»).</w:t>
      </w:r>
    </w:p>
    <w:p w14:paraId="372B7E76"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Распределение пострадавших по видам происшествий:</w:t>
      </w:r>
    </w:p>
    <w:p w14:paraId="1A9F4B90"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воздействие электрического тока (3 пострадавших);</w:t>
      </w:r>
    </w:p>
    <w:p w14:paraId="6C228CDB"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воздействие движущихся, разлетающихся, вращающихся предметов и деталей (1 пострадавший);</w:t>
      </w:r>
    </w:p>
    <w:p w14:paraId="04829A95"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дорожно-транспортное происшествие (1 пострадавший).</w:t>
      </w:r>
    </w:p>
    <w:p w14:paraId="217104B2"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Основные причины несчастных случаев: </w:t>
      </w:r>
    </w:p>
    <w:p w14:paraId="07CDEDD8" w14:textId="77777777" w:rsidR="002449C2" w:rsidRDefault="00123961">
      <w:pPr>
        <w:shd w:val="clear" w:color="auto" w:fill="FFFFFF"/>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самовольное расширение объема полученного задания;</w:t>
      </w:r>
    </w:p>
    <w:p w14:paraId="022A2E65" w14:textId="77777777" w:rsidR="002449C2" w:rsidRDefault="00123961">
      <w:pPr>
        <w:shd w:val="clear" w:color="auto" w:fill="FFFFFF"/>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невыполнение организационных и технических мероприятий по обеспечению безопасного производства работ;</w:t>
      </w:r>
    </w:p>
    <w:p w14:paraId="274291A4" w14:textId="77777777" w:rsidR="002449C2" w:rsidRDefault="00123961">
      <w:pPr>
        <w:shd w:val="clear" w:color="auto" w:fill="FFFFFF"/>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неприменение пострадавшими выданных им средств защиты;</w:t>
      </w:r>
    </w:p>
    <w:p w14:paraId="3FD9F5DB" w14:textId="77777777" w:rsidR="002449C2" w:rsidRDefault="00123961">
      <w:pPr>
        <w:shd w:val="clear" w:color="auto" w:fill="FFFFFF"/>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нарушение правил дорожного движения.</w:t>
      </w:r>
    </w:p>
    <w:p w14:paraId="393C712D" w14:textId="7874B603" w:rsidR="002449C2" w:rsidRDefault="00123961">
      <w:pPr>
        <w:shd w:val="clear" w:color="auto" w:fill="FFFFFF"/>
        <w:spacing w:after="160" w:line="259" w:lineRule="auto"/>
        <w:rPr>
          <w:rFonts w:ascii="Times New Roman" w:hAnsi="Times New Roman"/>
          <w:sz w:val="27"/>
          <w:szCs w:val="27"/>
          <w:lang w:eastAsia="en-US"/>
        </w:rPr>
      </w:pPr>
      <w:r>
        <w:rPr>
          <w:rFonts w:ascii="Times New Roman" w:eastAsia="Times New Roman" w:hAnsi="Times New Roman"/>
          <w:sz w:val="26"/>
          <w:szCs w:val="26"/>
          <w:lang w:eastAsia="ru-RU"/>
        </w:rPr>
        <w:t xml:space="preserve">Случаев профессиональных заболеваний персонала ПАО «Россети Юг» в период 2022 – 2024 годы не зарегистрировано. </w:t>
      </w:r>
    </w:p>
    <w:tbl>
      <w:tblPr>
        <w:tblW w:w="10343" w:type="dxa"/>
        <w:jc w:val="center"/>
        <w:tblLayout w:type="fixed"/>
        <w:tblLook w:val="04A0" w:firstRow="1" w:lastRow="0" w:firstColumn="1" w:lastColumn="0" w:noHBand="0" w:noVBand="1"/>
      </w:tblPr>
      <w:tblGrid>
        <w:gridCol w:w="4109"/>
        <w:gridCol w:w="987"/>
        <w:gridCol w:w="993"/>
        <w:gridCol w:w="856"/>
        <w:gridCol w:w="850"/>
        <w:gridCol w:w="1272"/>
        <w:gridCol w:w="1276"/>
      </w:tblGrid>
      <w:tr w:rsidR="002449C2" w14:paraId="5368FBC5" w14:textId="77777777">
        <w:trPr>
          <w:cantSplit/>
          <w:trHeight w:val="709"/>
          <w:jc w:val="center"/>
        </w:trPr>
        <w:tc>
          <w:tcPr>
            <w:tcW w:w="4108" w:type="dxa"/>
            <w:vMerge w:val="restart"/>
            <w:tcBorders>
              <w:top w:val="single" w:sz="4" w:space="0" w:color="000000"/>
              <w:left w:val="single" w:sz="4" w:space="0" w:color="000000"/>
              <w:bottom w:val="single" w:sz="4" w:space="0" w:color="000000"/>
              <w:right w:val="single" w:sz="4" w:space="0" w:color="000000"/>
            </w:tcBorders>
            <w:vAlign w:val="center"/>
          </w:tcPr>
          <w:p w14:paraId="5ECE8F3B" w14:textId="77777777" w:rsidR="002449C2" w:rsidRDefault="00123961">
            <w:pPr>
              <w:pageBreakBefore/>
              <w:widowControl w:val="0"/>
              <w:shd w:val="clear" w:color="auto" w:fill="FFFFFF"/>
              <w:spacing w:after="5" w:line="252" w:lineRule="auto"/>
              <w:ind w:left="-113" w:right="-114"/>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Показатели</w:t>
            </w:r>
          </w:p>
        </w:tc>
        <w:tc>
          <w:tcPr>
            <w:tcW w:w="987" w:type="dxa"/>
            <w:vMerge w:val="restart"/>
            <w:tcBorders>
              <w:top w:val="single" w:sz="4" w:space="0" w:color="000000"/>
              <w:left w:val="single" w:sz="4" w:space="0" w:color="000000"/>
              <w:bottom w:val="single" w:sz="4" w:space="0" w:color="000000"/>
              <w:right w:val="single" w:sz="4" w:space="0" w:color="000000"/>
            </w:tcBorders>
            <w:vAlign w:val="center"/>
          </w:tcPr>
          <w:p w14:paraId="3559BA01" w14:textId="77777777" w:rsidR="002449C2" w:rsidRDefault="00123961">
            <w:pPr>
              <w:widowControl w:val="0"/>
              <w:shd w:val="clear" w:color="auto" w:fill="FFFFFF"/>
              <w:tabs>
                <w:tab w:val="left" w:pos="40"/>
              </w:tabs>
              <w:spacing w:after="5" w:line="252" w:lineRule="auto"/>
              <w:ind w:left="-111" w:right="-112"/>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Ед.изм.</w:t>
            </w:r>
          </w:p>
        </w:tc>
        <w:tc>
          <w:tcPr>
            <w:tcW w:w="3971" w:type="dxa"/>
            <w:gridSpan w:val="4"/>
            <w:tcBorders>
              <w:top w:val="single" w:sz="4" w:space="0" w:color="000000"/>
              <w:left w:val="single" w:sz="4" w:space="0" w:color="000000"/>
              <w:bottom w:val="single" w:sz="4" w:space="0" w:color="000000"/>
              <w:right w:val="single" w:sz="4" w:space="0" w:color="000000"/>
            </w:tcBorders>
            <w:vAlign w:val="center"/>
          </w:tcPr>
          <w:p w14:paraId="4E417D99" w14:textId="77777777" w:rsidR="002449C2" w:rsidRDefault="00123961" w:rsidP="009B513F">
            <w:pPr>
              <w:widowControl w:val="0"/>
              <w:shd w:val="clear" w:color="auto" w:fill="FFFFFF"/>
              <w:spacing w:after="5" w:line="252"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Период</w:t>
            </w:r>
            <w:r w:rsidR="009B513F">
              <w:rPr>
                <w:rStyle w:val="af"/>
                <w:rFonts w:ascii="Times New Roman" w:eastAsia="Times New Roman" w:hAnsi="Times New Roman"/>
                <w:b/>
                <w:bCs/>
                <w:color w:val="000000"/>
                <w:sz w:val="16"/>
                <w:szCs w:val="16"/>
                <w:lang w:eastAsia="ru-RU"/>
              </w:rPr>
              <w:footnoteReference w:id="14"/>
            </w:r>
          </w:p>
        </w:tc>
        <w:tc>
          <w:tcPr>
            <w:tcW w:w="1276" w:type="dxa"/>
            <w:vMerge w:val="restart"/>
            <w:tcBorders>
              <w:top w:val="single" w:sz="4" w:space="0" w:color="000000"/>
              <w:left w:val="single" w:sz="4" w:space="0" w:color="000000"/>
              <w:bottom w:val="single" w:sz="4" w:space="0" w:color="000000"/>
              <w:right w:val="single" w:sz="4" w:space="0" w:color="000000"/>
            </w:tcBorders>
            <w:vAlign w:val="center"/>
          </w:tcPr>
          <w:p w14:paraId="417C2A21" w14:textId="77777777" w:rsidR="002449C2" w:rsidRDefault="00123961">
            <w:pPr>
              <w:widowControl w:val="0"/>
              <w:shd w:val="clear" w:color="auto" w:fill="FFFFFF"/>
              <w:spacing w:after="5" w:line="252" w:lineRule="auto"/>
              <w:ind w:left="-101" w:right="-108"/>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Структурное подразделение, ответственное за согласование ГО ДЗО</w:t>
            </w:r>
          </w:p>
        </w:tc>
      </w:tr>
      <w:tr w:rsidR="002449C2" w14:paraId="74F1D1BB" w14:textId="77777777">
        <w:trPr>
          <w:cantSplit/>
          <w:jc w:val="center"/>
        </w:trPr>
        <w:tc>
          <w:tcPr>
            <w:tcW w:w="4108" w:type="dxa"/>
            <w:vMerge/>
            <w:tcBorders>
              <w:top w:val="single" w:sz="4" w:space="0" w:color="000000"/>
              <w:left w:val="single" w:sz="4" w:space="0" w:color="000000"/>
              <w:bottom w:val="single" w:sz="4" w:space="0" w:color="000000"/>
              <w:right w:val="single" w:sz="4" w:space="0" w:color="000000"/>
            </w:tcBorders>
          </w:tcPr>
          <w:p w14:paraId="7D8F8EDA" w14:textId="77777777" w:rsidR="002449C2" w:rsidRDefault="002449C2">
            <w:pPr>
              <w:widowControl w:val="0"/>
              <w:shd w:val="clear" w:color="auto" w:fill="FFFFFF"/>
              <w:spacing w:after="5" w:line="252" w:lineRule="auto"/>
              <w:ind w:left="426" w:right="-143" w:hanging="426"/>
              <w:jc w:val="center"/>
              <w:rPr>
                <w:rFonts w:ascii="Times New Roman" w:eastAsia="Times New Roman" w:hAnsi="Times New Roman"/>
                <w:b/>
                <w:bCs/>
                <w:color w:val="000000"/>
                <w:sz w:val="20"/>
                <w:szCs w:val="20"/>
                <w:lang w:eastAsia="ru-RU"/>
              </w:rPr>
            </w:pPr>
          </w:p>
        </w:tc>
        <w:tc>
          <w:tcPr>
            <w:tcW w:w="987" w:type="dxa"/>
            <w:vMerge/>
            <w:tcBorders>
              <w:top w:val="single" w:sz="4" w:space="0" w:color="000000"/>
              <w:left w:val="single" w:sz="4" w:space="0" w:color="000000"/>
              <w:bottom w:val="single" w:sz="4" w:space="0" w:color="000000"/>
              <w:right w:val="single" w:sz="4" w:space="0" w:color="000000"/>
            </w:tcBorders>
          </w:tcPr>
          <w:p w14:paraId="07683CAE" w14:textId="77777777" w:rsidR="002449C2" w:rsidRDefault="002449C2">
            <w:pPr>
              <w:widowControl w:val="0"/>
              <w:shd w:val="clear" w:color="auto" w:fill="FFFFFF"/>
              <w:tabs>
                <w:tab w:val="left" w:pos="40"/>
              </w:tabs>
              <w:spacing w:after="5" w:line="252" w:lineRule="auto"/>
              <w:ind w:left="426" w:right="-143" w:hanging="426"/>
              <w:jc w:val="both"/>
              <w:rPr>
                <w:rFonts w:ascii="Times New Roman" w:eastAsia="Times New Roman" w:hAnsi="Times New Roman"/>
                <w:b/>
                <w:bCs/>
                <w:color w:val="000000"/>
                <w:sz w:val="20"/>
                <w:szCs w:val="20"/>
                <w:lang w:eastAsia="ru-RU"/>
              </w:rPr>
            </w:pPr>
          </w:p>
        </w:tc>
        <w:tc>
          <w:tcPr>
            <w:tcW w:w="993" w:type="dxa"/>
            <w:tcBorders>
              <w:top w:val="single" w:sz="4" w:space="0" w:color="000000"/>
              <w:left w:val="single" w:sz="4" w:space="0" w:color="000000"/>
              <w:bottom w:val="single" w:sz="4" w:space="0" w:color="000000"/>
              <w:right w:val="single" w:sz="4" w:space="0" w:color="000000"/>
            </w:tcBorders>
          </w:tcPr>
          <w:p w14:paraId="44EC9FE0" w14:textId="77777777" w:rsidR="002449C2" w:rsidRDefault="00123961">
            <w:pPr>
              <w:widowControl w:val="0"/>
              <w:shd w:val="clear" w:color="auto" w:fill="FFFFFF"/>
              <w:spacing w:after="5" w:line="252" w:lineRule="auto"/>
              <w:ind w:left="-96" w:right="-122"/>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2022 год</w:t>
            </w:r>
          </w:p>
          <w:p w14:paraId="44BE24D9" w14:textId="77777777" w:rsidR="002449C2" w:rsidRDefault="00123961">
            <w:pPr>
              <w:widowControl w:val="0"/>
              <w:shd w:val="clear" w:color="auto" w:fill="FFFFFF"/>
              <w:spacing w:after="5" w:line="252" w:lineRule="auto"/>
              <w:ind w:left="-96" w:right="-122"/>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факт</w:t>
            </w:r>
          </w:p>
        </w:tc>
        <w:tc>
          <w:tcPr>
            <w:tcW w:w="856" w:type="dxa"/>
            <w:tcBorders>
              <w:top w:val="single" w:sz="4" w:space="0" w:color="000000"/>
              <w:left w:val="single" w:sz="4" w:space="0" w:color="000000"/>
              <w:bottom w:val="single" w:sz="4" w:space="0" w:color="000000"/>
              <w:right w:val="single" w:sz="4" w:space="0" w:color="000000"/>
            </w:tcBorders>
          </w:tcPr>
          <w:p w14:paraId="4D9875D1" w14:textId="77777777" w:rsidR="002449C2" w:rsidRDefault="00123961">
            <w:pPr>
              <w:widowControl w:val="0"/>
              <w:shd w:val="clear" w:color="auto" w:fill="FFFFFF"/>
              <w:spacing w:after="5" w:line="252" w:lineRule="auto"/>
              <w:ind w:left="-113" w:right="-138"/>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2023 год</w:t>
            </w:r>
          </w:p>
          <w:p w14:paraId="6CECBCB9" w14:textId="77777777" w:rsidR="002449C2" w:rsidRDefault="00123961">
            <w:pPr>
              <w:widowControl w:val="0"/>
              <w:shd w:val="clear" w:color="auto" w:fill="FFFFFF"/>
              <w:spacing w:after="5" w:line="252" w:lineRule="auto"/>
              <w:ind w:left="-113" w:right="-138"/>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факт</w:t>
            </w:r>
          </w:p>
        </w:tc>
        <w:tc>
          <w:tcPr>
            <w:tcW w:w="850" w:type="dxa"/>
            <w:tcBorders>
              <w:top w:val="single" w:sz="4" w:space="0" w:color="000000"/>
              <w:left w:val="single" w:sz="4" w:space="0" w:color="000000"/>
              <w:bottom w:val="single" w:sz="4" w:space="0" w:color="000000"/>
              <w:right w:val="single" w:sz="4" w:space="0" w:color="000000"/>
            </w:tcBorders>
          </w:tcPr>
          <w:p w14:paraId="5110F154" w14:textId="77777777" w:rsidR="002449C2" w:rsidRDefault="00123961">
            <w:pPr>
              <w:widowControl w:val="0"/>
              <w:shd w:val="clear" w:color="auto" w:fill="FFFFFF"/>
              <w:spacing w:after="5" w:line="252" w:lineRule="auto"/>
              <w:ind w:left="-100" w:right="-143"/>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2024 год</w:t>
            </w:r>
          </w:p>
          <w:p w14:paraId="1207018E" w14:textId="77777777" w:rsidR="002449C2" w:rsidRDefault="00123961">
            <w:pPr>
              <w:widowControl w:val="0"/>
              <w:shd w:val="clear" w:color="auto" w:fill="FFFFFF"/>
              <w:spacing w:after="5" w:line="252" w:lineRule="auto"/>
              <w:ind w:left="-100" w:right="-143"/>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факт</w:t>
            </w:r>
          </w:p>
        </w:tc>
        <w:tc>
          <w:tcPr>
            <w:tcW w:w="1272" w:type="dxa"/>
            <w:tcBorders>
              <w:top w:val="single" w:sz="4" w:space="0" w:color="000000"/>
              <w:left w:val="single" w:sz="4" w:space="0" w:color="000000"/>
              <w:bottom w:val="single" w:sz="4" w:space="0" w:color="000000"/>
              <w:right w:val="single" w:sz="4" w:space="0" w:color="000000"/>
            </w:tcBorders>
          </w:tcPr>
          <w:p w14:paraId="31D3567D" w14:textId="77777777" w:rsidR="002449C2" w:rsidRDefault="00123961" w:rsidP="009B513F">
            <w:pPr>
              <w:widowControl w:val="0"/>
              <w:shd w:val="clear" w:color="auto" w:fill="FFFFFF"/>
              <w:spacing w:after="5" w:line="252" w:lineRule="auto"/>
              <w:ind w:left="-107" w:right="-143"/>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изменение 2024/2023, %</w:t>
            </w:r>
            <w:r w:rsidR="009B513F">
              <w:rPr>
                <w:rStyle w:val="af"/>
                <w:rFonts w:ascii="Times New Roman" w:eastAsia="Times New Roman" w:hAnsi="Times New Roman"/>
                <w:b/>
                <w:bCs/>
                <w:color w:val="000000"/>
                <w:sz w:val="16"/>
                <w:szCs w:val="16"/>
                <w:lang w:eastAsia="ru-RU"/>
              </w:rPr>
              <w:footnoteReference w:id="15"/>
            </w:r>
          </w:p>
        </w:tc>
        <w:tc>
          <w:tcPr>
            <w:tcW w:w="1276" w:type="dxa"/>
            <w:vMerge/>
            <w:tcBorders>
              <w:top w:val="single" w:sz="4" w:space="0" w:color="000000"/>
              <w:left w:val="single" w:sz="4" w:space="0" w:color="000000"/>
              <w:bottom w:val="single" w:sz="4" w:space="0" w:color="000000"/>
              <w:right w:val="single" w:sz="4" w:space="0" w:color="000000"/>
            </w:tcBorders>
          </w:tcPr>
          <w:p w14:paraId="13A9D234" w14:textId="77777777" w:rsidR="002449C2" w:rsidRDefault="002449C2">
            <w:pPr>
              <w:widowControl w:val="0"/>
              <w:shd w:val="clear" w:color="auto" w:fill="FFFFFF"/>
              <w:spacing w:after="5" w:line="252" w:lineRule="auto"/>
              <w:ind w:left="-101" w:right="-143" w:hanging="426"/>
              <w:jc w:val="center"/>
              <w:rPr>
                <w:rFonts w:ascii="Times New Roman" w:eastAsia="Times New Roman" w:hAnsi="Times New Roman"/>
                <w:b/>
                <w:bCs/>
                <w:i/>
                <w:color w:val="000000"/>
                <w:sz w:val="20"/>
                <w:szCs w:val="20"/>
                <w:lang w:eastAsia="ru-RU"/>
              </w:rPr>
            </w:pPr>
          </w:p>
        </w:tc>
      </w:tr>
      <w:tr w:rsidR="002449C2" w14:paraId="2EAE4F55" w14:textId="77777777">
        <w:trPr>
          <w:cantSplit/>
          <w:jc w:val="center"/>
        </w:trPr>
        <w:tc>
          <w:tcPr>
            <w:tcW w:w="4108" w:type="dxa"/>
            <w:tcBorders>
              <w:top w:val="single" w:sz="4" w:space="0" w:color="000000"/>
              <w:left w:val="single" w:sz="4" w:space="0" w:color="000000"/>
              <w:bottom w:val="single" w:sz="4" w:space="0" w:color="000000"/>
              <w:right w:val="single" w:sz="4" w:space="0" w:color="000000"/>
            </w:tcBorders>
          </w:tcPr>
          <w:p w14:paraId="7C07DFA7"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1</w:t>
            </w:r>
          </w:p>
        </w:tc>
        <w:tc>
          <w:tcPr>
            <w:tcW w:w="987" w:type="dxa"/>
            <w:tcBorders>
              <w:top w:val="single" w:sz="4" w:space="0" w:color="000000"/>
              <w:left w:val="single" w:sz="4" w:space="0" w:color="000000"/>
              <w:bottom w:val="single" w:sz="4" w:space="0" w:color="000000"/>
              <w:right w:val="single" w:sz="4" w:space="0" w:color="000000"/>
            </w:tcBorders>
          </w:tcPr>
          <w:p w14:paraId="551BF916" w14:textId="77777777" w:rsidR="002449C2" w:rsidRDefault="00123961">
            <w:pPr>
              <w:widowControl w:val="0"/>
              <w:shd w:val="clear" w:color="auto" w:fill="FFFFFF"/>
              <w:tabs>
                <w:tab w:val="left" w:pos="40"/>
              </w:tabs>
              <w:spacing w:after="5" w:line="252" w:lineRule="auto"/>
              <w:ind w:left="-112" w:right="-143"/>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2</w:t>
            </w:r>
          </w:p>
        </w:tc>
        <w:tc>
          <w:tcPr>
            <w:tcW w:w="993" w:type="dxa"/>
            <w:tcBorders>
              <w:top w:val="single" w:sz="4" w:space="0" w:color="000000"/>
              <w:left w:val="single" w:sz="4" w:space="0" w:color="000000"/>
              <w:bottom w:val="single" w:sz="4" w:space="0" w:color="000000"/>
              <w:right w:val="single" w:sz="4" w:space="0" w:color="000000"/>
            </w:tcBorders>
          </w:tcPr>
          <w:p w14:paraId="2D2F9EBB" w14:textId="77777777" w:rsidR="002449C2" w:rsidRDefault="00123961">
            <w:pPr>
              <w:widowControl w:val="0"/>
              <w:shd w:val="clear" w:color="auto" w:fill="FFFFFF"/>
              <w:spacing w:after="5" w:line="252" w:lineRule="auto"/>
              <w:ind w:left="-110" w:right="-143"/>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3</w:t>
            </w:r>
          </w:p>
        </w:tc>
        <w:tc>
          <w:tcPr>
            <w:tcW w:w="856" w:type="dxa"/>
            <w:tcBorders>
              <w:top w:val="single" w:sz="4" w:space="0" w:color="000000"/>
              <w:left w:val="single" w:sz="4" w:space="0" w:color="000000"/>
              <w:bottom w:val="single" w:sz="4" w:space="0" w:color="000000"/>
              <w:right w:val="single" w:sz="4" w:space="0" w:color="000000"/>
            </w:tcBorders>
          </w:tcPr>
          <w:p w14:paraId="16E92854" w14:textId="77777777" w:rsidR="002449C2" w:rsidRDefault="00123961">
            <w:pPr>
              <w:widowControl w:val="0"/>
              <w:shd w:val="clear" w:color="auto" w:fill="FFFFFF"/>
              <w:spacing w:after="5" w:line="252" w:lineRule="auto"/>
              <w:ind w:left="-107" w:right="-143"/>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4</w:t>
            </w:r>
          </w:p>
        </w:tc>
        <w:tc>
          <w:tcPr>
            <w:tcW w:w="850" w:type="dxa"/>
            <w:tcBorders>
              <w:top w:val="single" w:sz="4" w:space="0" w:color="000000"/>
              <w:left w:val="single" w:sz="4" w:space="0" w:color="000000"/>
              <w:bottom w:val="single" w:sz="4" w:space="0" w:color="000000"/>
              <w:right w:val="single" w:sz="4" w:space="0" w:color="000000"/>
            </w:tcBorders>
          </w:tcPr>
          <w:p w14:paraId="09BCE16E" w14:textId="77777777" w:rsidR="002449C2" w:rsidRDefault="00123961">
            <w:pPr>
              <w:widowControl w:val="0"/>
              <w:shd w:val="clear" w:color="auto" w:fill="FFFFFF"/>
              <w:spacing w:after="5" w:line="252" w:lineRule="auto"/>
              <w:ind w:left="-108" w:right="-143"/>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5</w:t>
            </w:r>
          </w:p>
        </w:tc>
        <w:tc>
          <w:tcPr>
            <w:tcW w:w="1272" w:type="dxa"/>
            <w:tcBorders>
              <w:top w:val="single" w:sz="4" w:space="0" w:color="000000"/>
              <w:left w:val="single" w:sz="4" w:space="0" w:color="000000"/>
              <w:bottom w:val="single" w:sz="4" w:space="0" w:color="000000"/>
              <w:right w:val="single" w:sz="4" w:space="0" w:color="000000"/>
            </w:tcBorders>
          </w:tcPr>
          <w:p w14:paraId="2E20F44E" w14:textId="77777777" w:rsidR="002449C2" w:rsidRDefault="00123961">
            <w:pPr>
              <w:widowControl w:val="0"/>
              <w:shd w:val="clear" w:color="auto" w:fill="FFFFFF"/>
              <w:spacing w:after="5" w:line="252" w:lineRule="auto"/>
              <w:ind w:left="-105" w:right="-143" w:hanging="4"/>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6</w:t>
            </w:r>
          </w:p>
        </w:tc>
        <w:tc>
          <w:tcPr>
            <w:tcW w:w="1276" w:type="dxa"/>
            <w:tcBorders>
              <w:top w:val="single" w:sz="4" w:space="0" w:color="000000"/>
              <w:left w:val="single" w:sz="4" w:space="0" w:color="000000"/>
              <w:bottom w:val="single" w:sz="4" w:space="0" w:color="000000"/>
              <w:right w:val="single" w:sz="4" w:space="0" w:color="000000"/>
            </w:tcBorders>
          </w:tcPr>
          <w:p w14:paraId="414928C8" w14:textId="77777777" w:rsidR="002449C2" w:rsidRDefault="00123961">
            <w:pPr>
              <w:widowControl w:val="0"/>
              <w:shd w:val="clear" w:color="auto" w:fill="FFFFFF"/>
              <w:spacing w:after="5" w:line="252" w:lineRule="auto"/>
              <w:ind w:left="-101" w:right="-108"/>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7</w:t>
            </w:r>
          </w:p>
        </w:tc>
      </w:tr>
      <w:tr w:rsidR="002449C2" w14:paraId="064EBBE2" w14:textId="77777777">
        <w:trPr>
          <w:cantSplit/>
          <w:trHeight w:val="58"/>
          <w:jc w:val="center"/>
        </w:trPr>
        <w:tc>
          <w:tcPr>
            <w:tcW w:w="10342" w:type="dxa"/>
            <w:gridSpan w:val="7"/>
            <w:tcBorders>
              <w:top w:val="single" w:sz="4" w:space="0" w:color="000000"/>
              <w:left w:val="single" w:sz="4" w:space="0" w:color="000000"/>
              <w:bottom w:val="single" w:sz="4" w:space="0" w:color="000000"/>
              <w:right w:val="single" w:sz="4" w:space="0" w:color="000000"/>
            </w:tcBorders>
          </w:tcPr>
          <w:p w14:paraId="70263F13"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
                <w:color w:val="000000"/>
                <w:sz w:val="20"/>
                <w:szCs w:val="20"/>
                <w:lang w:eastAsia="ru-RU"/>
              </w:rPr>
              <w:t>16. Показатели в части управления охраной труда</w:t>
            </w:r>
          </w:p>
        </w:tc>
      </w:tr>
      <w:tr w:rsidR="002449C2" w14:paraId="7ED7EF66" w14:textId="77777777">
        <w:trPr>
          <w:cantSplit/>
          <w:trHeight w:val="58"/>
          <w:jc w:val="center"/>
        </w:trPr>
        <w:tc>
          <w:tcPr>
            <w:tcW w:w="10342" w:type="dxa"/>
            <w:gridSpan w:val="7"/>
            <w:tcBorders>
              <w:top w:val="single" w:sz="4" w:space="0" w:color="000000"/>
              <w:left w:val="single" w:sz="4" w:space="0" w:color="000000"/>
              <w:bottom w:val="single" w:sz="4" w:space="0" w:color="000000"/>
              <w:right w:val="single" w:sz="4" w:space="0" w:color="000000"/>
            </w:tcBorders>
          </w:tcPr>
          <w:p w14:paraId="158A89DF"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sz w:val="20"/>
                <w:szCs w:val="20"/>
                <w:lang w:eastAsia="ru-RU"/>
              </w:rPr>
            </w:pPr>
            <w:r>
              <w:rPr>
                <w:rFonts w:ascii="Times New Roman" w:eastAsia="Times New Roman" w:hAnsi="Times New Roman"/>
                <w:i/>
                <w:color w:val="000000"/>
                <w:sz w:val="20"/>
                <w:szCs w:val="20"/>
                <w:lang w:eastAsia="ru-RU"/>
              </w:rPr>
              <w:t>Несчастные случаи на производстве</w:t>
            </w:r>
          </w:p>
        </w:tc>
      </w:tr>
      <w:tr w:rsidR="002449C2" w14:paraId="794837B5" w14:textId="77777777">
        <w:trPr>
          <w:cantSplit/>
          <w:trHeight w:val="58"/>
          <w:jc w:val="center"/>
        </w:trPr>
        <w:tc>
          <w:tcPr>
            <w:tcW w:w="10342" w:type="dxa"/>
            <w:gridSpan w:val="7"/>
            <w:tcBorders>
              <w:top w:val="single" w:sz="4" w:space="0" w:color="000000"/>
              <w:left w:val="single" w:sz="4" w:space="0" w:color="000000"/>
              <w:bottom w:val="single" w:sz="4" w:space="0" w:color="000000"/>
              <w:right w:val="single" w:sz="4" w:space="0" w:color="000000"/>
            </w:tcBorders>
          </w:tcPr>
          <w:p w14:paraId="3D080F85"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sz w:val="20"/>
                <w:szCs w:val="20"/>
                <w:lang w:eastAsia="ru-RU"/>
              </w:rPr>
            </w:pPr>
            <w:r>
              <w:rPr>
                <w:rFonts w:ascii="Times New Roman" w:eastAsia="Times New Roman" w:hAnsi="Times New Roman"/>
                <w:sz w:val="20"/>
                <w:szCs w:val="20"/>
                <w:lang w:eastAsia="ru-RU"/>
              </w:rPr>
              <w:t>Для работников:</w:t>
            </w:r>
          </w:p>
        </w:tc>
      </w:tr>
      <w:tr w:rsidR="002449C2" w14:paraId="57BC1562" w14:textId="77777777">
        <w:trPr>
          <w:cantSplit/>
          <w:trHeight w:val="58"/>
          <w:jc w:val="center"/>
        </w:trPr>
        <w:tc>
          <w:tcPr>
            <w:tcW w:w="4108" w:type="dxa"/>
            <w:tcBorders>
              <w:top w:val="single" w:sz="4" w:space="0" w:color="000000"/>
              <w:left w:val="single" w:sz="4" w:space="0" w:color="000000"/>
              <w:bottom w:val="single" w:sz="4" w:space="0" w:color="000000"/>
              <w:right w:val="single" w:sz="4" w:space="0" w:color="000000"/>
            </w:tcBorders>
          </w:tcPr>
          <w:p w14:paraId="628E0526" w14:textId="77777777" w:rsidR="002449C2" w:rsidRDefault="00123961">
            <w:pPr>
              <w:shd w:val="clear" w:color="auto" w:fill="FFFFFF"/>
              <w:tabs>
                <w:tab w:val="left" w:pos="9356"/>
              </w:tabs>
              <w:spacing w:after="5" w:line="252" w:lineRule="auto"/>
              <w:jc w:val="both"/>
              <w:rPr>
                <w:rFonts w:ascii="Times New Roman" w:eastAsia="Times New Roman" w:hAnsi="Times New Roman"/>
                <w:color w:val="000000"/>
                <w:sz w:val="20"/>
                <w:szCs w:val="20"/>
                <w:lang w:eastAsia="ru-RU"/>
              </w:rPr>
            </w:pPr>
            <w:r>
              <w:rPr>
                <w:rFonts w:ascii="Times New Roman" w:eastAsia="Times New Roman" w:hAnsi="Times New Roman"/>
                <w:sz w:val="20"/>
                <w:szCs w:val="20"/>
                <w:lang w:eastAsia="ru-RU"/>
              </w:rPr>
              <w:t>Численность пострадавших в результате несчастных случаев на производстве со смертельным исходом, количество несчастных случаев на производстве со смертельным исходом</w:t>
            </w:r>
          </w:p>
        </w:tc>
        <w:tc>
          <w:tcPr>
            <w:tcW w:w="987" w:type="dxa"/>
            <w:tcBorders>
              <w:top w:val="single" w:sz="4" w:space="0" w:color="000000"/>
              <w:left w:val="single" w:sz="4" w:space="0" w:color="000000"/>
              <w:bottom w:val="single" w:sz="4" w:space="0" w:color="000000"/>
              <w:right w:val="single" w:sz="4" w:space="0" w:color="000000"/>
            </w:tcBorders>
          </w:tcPr>
          <w:p w14:paraId="7D68804E" w14:textId="77777777" w:rsidR="002449C2" w:rsidRDefault="00123961">
            <w:pPr>
              <w:widowControl w:val="0"/>
              <w:shd w:val="clear" w:color="auto" w:fill="FFFFFF"/>
              <w:spacing w:after="5" w:line="252" w:lineRule="auto"/>
              <w:ind w:left="113" w:hanging="113"/>
              <w:rPr>
                <w:rFonts w:ascii="Times New Roman" w:eastAsia="Times New Roman" w:hAnsi="Times New Roman"/>
                <w:bCs/>
                <w:color w:val="000000"/>
                <w:sz w:val="20"/>
                <w:szCs w:val="20"/>
                <w:lang w:eastAsia="en-US"/>
              </w:rPr>
            </w:pPr>
            <w:r>
              <w:rPr>
                <w:rFonts w:ascii="Times New Roman" w:eastAsia="Times New Roman" w:hAnsi="Times New Roman"/>
                <w:bCs/>
                <w:color w:val="000000"/>
                <w:sz w:val="20"/>
                <w:szCs w:val="20"/>
                <w:lang w:eastAsia="en-US"/>
              </w:rPr>
              <w:t>чел.</w:t>
            </w:r>
            <w:r>
              <w:rPr>
                <w:rFonts w:ascii="Times New Roman" w:eastAsia="Times New Roman" w:hAnsi="Times New Roman"/>
                <w:bCs/>
                <w:color w:val="000000"/>
                <w:sz w:val="20"/>
                <w:szCs w:val="20"/>
                <w:lang w:val="en-US" w:eastAsia="en-US"/>
              </w:rPr>
              <w:t>/</w:t>
            </w:r>
            <w:r>
              <w:rPr>
                <w:rFonts w:ascii="Times New Roman" w:eastAsia="Times New Roman" w:hAnsi="Times New Roman"/>
                <w:bCs/>
                <w:color w:val="000000"/>
                <w:sz w:val="20"/>
                <w:szCs w:val="20"/>
                <w:lang w:eastAsia="en-US"/>
              </w:rPr>
              <w:t>шт.</w:t>
            </w:r>
          </w:p>
        </w:tc>
        <w:tc>
          <w:tcPr>
            <w:tcW w:w="993" w:type="dxa"/>
            <w:tcBorders>
              <w:top w:val="single" w:sz="4" w:space="0" w:color="000000"/>
              <w:left w:val="single" w:sz="4" w:space="0" w:color="000000"/>
              <w:bottom w:val="single" w:sz="4" w:space="0" w:color="000000"/>
              <w:right w:val="single" w:sz="4" w:space="0" w:color="000000"/>
            </w:tcBorders>
          </w:tcPr>
          <w:p w14:paraId="2D0F3A0E"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0</w:t>
            </w:r>
          </w:p>
        </w:tc>
        <w:tc>
          <w:tcPr>
            <w:tcW w:w="856" w:type="dxa"/>
            <w:tcBorders>
              <w:top w:val="single" w:sz="4" w:space="0" w:color="000000"/>
              <w:left w:val="single" w:sz="4" w:space="0" w:color="000000"/>
              <w:bottom w:val="single" w:sz="4" w:space="0" w:color="000000"/>
              <w:right w:val="single" w:sz="4" w:space="0" w:color="000000"/>
            </w:tcBorders>
          </w:tcPr>
          <w:p w14:paraId="3C32FF88"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0</w:t>
            </w:r>
          </w:p>
        </w:tc>
        <w:tc>
          <w:tcPr>
            <w:tcW w:w="850" w:type="dxa"/>
            <w:tcBorders>
              <w:top w:val="single" w:sz="4" w:space="0" w:color="000000"/>
              <w:left w:val="single" w:sz="4" w:space="0" w:color="000000"/>
              <w:bottom w:val="single" w:sz="4" w:space="0" w:color="000000"/>
              <w:right w:val="single" w:sz="4" w:space="0" w:color="000000"/>
            </w:tcBorders>
          </w:tcPr>
          <w:p w14:paraId="0B81D316"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2/2</w:t>
            </w:r>
          </w:p>
        </w:tc>
        <w:tc>
          <w:tcPr>
            <w:tcW w:w="1272" w:type="dxa"/>
            <w:tcBorders>
              <w:top w:val="single" w:sz="4" w:space="0" w:color="000000"/>
              <w:left w:val="single" w:sz="4" w:space="0" w:color="000000"/>
              <w:bottom w:val="single" w:sz="4" w:space="0" w:color="000000"/>
              <w:right w:val="single" w:sz="4" w:space="0" w:color="000000"/>
            </w:tcBorders>
          </w:tcPr>
          <w:p w14:paraId="0E8B9BD5"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w:t>
            </w:r>
          </w:p>
        </w:tc>
        <w:tc>
          <w:tcPr>
            <w:tcW w:w="1276" w:type="dxa"/>
            <w:vMerge w:val="restart"/>
            <w:tcBorders>
              <w:top w:val="single" w:sz="4" w:space="0" w:color="000000"/>
              <w:left w:val="single" w:sz="4" w:space="0" w:color="000000"/>
              <w:bottom w:val="single" w:sz="4" w:space="0" w:color="000000"/>
              <w:right w:val="single" w:sz="4" w:space="0" w:color="000000"/>
            </w:tcBorders>
          </w:tcPr>
          <w:p w14:paraId="1CE5EDA2" w14:textId="77777777" w:rsidR="002449C2" w:rsidRDefault="00123961">
            <w:pPr>
              <w:widowControl w:val="0"/>
              <w:shd w:val="clear" w:color="auto" w:fill="FFFFFF"/>
              <w:spacing w:after="5" w:line="252" w:lineRule="auto"/>
              <w:ind w:right="-143"/>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Филиал ПАО</w:t>
            </w:r>
          </w:p>
          <w:p w14:paraId="3BDA1C9E" w14:textId="77777777" w:rsidR="002449C2" w:rsidRDefault="00123961">
            <w:pPr>
              <w:widowControl w:val="0"/>
              <w:shd w:val="clear" w:color="auto" w:fill="FFFFFF"/>
              <w:spacing w:after="5" w:line="252" w:lineRule="auto"/>
              <w:ind w:right="-143"/>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«Россети» -Центр</w:t>
            </w:r>
          </w:p>
          <w:p w14:paraId="3988BF27" w14:textId="77777777" w:rsidR="002449C2" w:rsidRDefault="00123961">
            <w:pPr>
              <w:widowControl w:val="0"/>
              <w:shd w:val="clear" w:color="auto" w:fill="FFFFFF"/>
              <w:spacing w:after="5" w:line="252" w:lineRule="auto"/>
              <w:ind w:right="-143"/>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технического</w:t>
            </w:r>
          </w:p>
          <w:p w14:paraId="4E1A0845" w14:textId="77777777" w:rsidR="002449C2" w:rsidRDefault="00123961">
            <w:pPr>
              <w:widowControl w:val="0"/>
              <w:shd w:val="clear" w:color="auto" w:fill="FFFFFF"/>
              <w:spacing w:after="5" w:line="252" w:lineRule="auto"/>
              <w:ind w:right="-143"/>
              <w:rPr>
                <w:rFonts w:ascii="Times New Roman" w:eastAsia="Times New Roman" w:hAnsi="Times New Roman"/>
                <w:bCs/>
                <w:sz w:val="20"/>
                <w:szCs w:val="20"/>
                <w:lang w:eastAsia="ru-RU"/>
              </w:rPr>
            </w:pPr>
            <w:r>
              <w:rPr>
                <w:rFonts w:ascii="Times New Roman" w:eastAsia="Times New Roman" w:hAnsi="Times New Roman"/>
                <w:color w:val="000000"/>
                <w:sz w:val="20"/>
                <w:szCs w:val="20"/>
                <w:lang w:eastAsia="ru-RU"/>
              </w:rPr>
              <w:t>надзора</w:t>
            </w:r>
          </w:p>
        </w:tc>
      </w:tr>
      <w:tr w:rsidR="002449C2" w14:paraId="1E94D534" w14:textId="77777777">
        <w:trPr>
          <w:cantSplit/>
          <w:trHeight w:val="58"/>
          <w:jc w:val="center"/>
        </w:trPr>
        <w:tc>
          <w:tcPr>
            <w:tcW w:w="4108" w:type="dxa"/>
            <w:tcBorders>
              <w:top w:val="single" w:sz="4" w:space="0" w:color="000000"/>
              <w:left w:val="single" w:sz="4" w:space="0" w:color="000000"/>
              <w:bottom w:val="single" w:sz="4" w:space="0" w:color="000000"/>
              <w:right w:val="single" w:sz="4" w:space="0" w:color="000000"/>
            </w:tcBorders>
          </w:tcPr>
          <w:p w14:paraId="658D3408" w14:textId="77777777" w:rsidR="002449C2" w:rsidRDefault="00123961">
            <w:pPr>
              <w:shd w:val="clear" w:color="auto" w:fill="FFFFFF"/>
              <w:tabs>
                <w:tab w:val="left" w:pos="9356"/>
              </w:tabs>
              <w:spacing w:after="5" w:line="252" w:lineRule="auto"/>
              <w:jc w:val="both"/>
              <w:rPr>
                <w:rFonts w:ascii="Times New Roman" w:eastAsia="Times New Roman" w:hAnsi="Times New Roman"/>
                <w:color w:val="000000"/>
                <w:sz w:val="20"/>
                <w:szCs w:val="20"/>
                <w:lang w:eastAsia="ru-RU"/>
              </w:rPr>
            </w:pPr>
            <w:r>
              <w:rPr>
                <w:rFonts w:ascii="Times New Roman" w:eastAsia="Times New Roman" w:hAnsi="Times New Roman"/>
                <w:sz w:val="20"/>
                <w:szCs w:val="20"/>
                <w:lang w:eastAsia="ru-RU"/>
              </w:rPr>
              <w:t>Численность пострадавших в результате несчастных случаев на производстве с травмами тяжелой степени тяжести, количество несчастных случаев на производстве с травмами тяжелой степени тяжести</w:t>
            </w:r>
          </w:p>
        </w:tc>
        <w:tc>
          <w:tcPr>
            <w:tcW w:w="987" w:type="dxa"/>
            <w:tcBorders>
              <w:top w:val="single" w:sz="4" w:space="0" w:color="000000"/>
              <w:left w:val="single" w:sz="4" w:space="0" w:color="000000"/>
              <w:bottom w:val="single" w:sz="4" w:space="0" w:color="000000"/>
              <w:right w:val="single" w:sz="4" w:space="0" w:color="000000"/>
            </w:tcBorders>
          </w:tcPr>
          <w:p w14:paraId="7511F22A" w14:textId="77777777" w:rsidR="002449C2" w:rsidRDefault="00123961">
            <w:pPr>
              <w:widowControl w:val="0"/>
              <w:shd w:val="clear" w:color="auto" w:fill="FFFFFF"/>
              <w:spacing w:after="5" w:line="252" w:lineRule="auto"/>
              <w:ind w:left="113" w:hanging="113"/>
              <w:rPr>
                <w:rFonts w:ascii="Times New Roman" w:eastAsia="Times New Roman" w:hAnsi="Times New Roman"/>
                <w:bCs/>
                <w:color w:val="000000"/>
                <w:sz w:val="20"/>
                <w:szCs w:val="20"/>
                <w:lang w:eastAsia="en-US"/>
              </w:rPr>
            </w:pPr>
            <w:r>
              <w:rPr>
                <w:rFonts w:ascii="Times New Roman" w:eastAsia="Times New Roman" w:hAnsi="Times New Roman"/>
                <w:bCs/>
                <w:color w:val="000000"/>
                <w:sz w:val="20"/>
                <w:szCs w:val="20"/>
                <w:lang w:eastAsia="en-US"/>
              </w:rPr>
              <w:t>чел.</w:t>
            </w:r>
            <w:r>
              <w:rPr>
                <w:rFonts w:ascii="Times New Roman" w:eastAsia="Times New Roman" w:hAnsi="Times New Roman"/>
                <w:bCs/>
                <w:color w:val="000000"/>
                <w:sz w:val="20"/>
                <w:szCs w:val="20"/>
                <w:lang w:val="en-US" w:eastAsia="en-US"/>
              </w:rPr>
              <w:t>/</w:t>
            </w:r>
            <w:r>
              <w:rPr>
                <w:rFonts w:ascii="Times New Roman" w:eastAsia="Times New Roman" w:hAnsi="Times New Roman"/>
                <w:bCs/>
                <w:color w:val="000000"/>
                <w:sz w:val="20"/>
                <w:szCs w:val="20"/>
                <w:lang w:eastAsia="en-US"/>
              </w:rPr>
              <w:t>шт.</w:t>
            </w:r>
          </w:p>
        </w:tc>
        <w:tc>
          <w:tcPr>
            <w:tcW w:w="993" w:type="dxa"/>
            <w:tcBorders>
              <w:top w:val="single" w:sz="4" w:space="0" w:color="000000"/>
              <w:left w:val="single" w:sz="4" w:space="0" w:color="000000"/>
              <w:bottom w:val="single" w:sz="4" w:space="0" w:color="000000"/>
              <w:right w:val="single" w:sz="4" w:space="0" w:color="000000"/>
            </w:tcBorders>
          </w:tcPr>
          <w:p w14:paraId="4C843E9A"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1/1</w:t>
            </w:r>
          </w:p>
        </w:tc>
        <w:tc>
          <w:tcPr>
            <w:tcW w:w="856" w:type="dxa"/>
            <w:tcBorders>
              <w:top w:val="single" w:sz="4" w:space="0" w:color="000000"/>
              <w:left w:val="single" w:sz="4" w:space="0" w:color="000000"/>
              <w:bottom w:val="single" w:sz="4" w:space="0" w:color="000000"/>
              <w:right w:val="single" w:sz="4" w:space="0" w:color="000000"/>
            </w:tcBorders>
          </w:tcPr>
          <w:p w14:paraId="086271D7"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1/1</w:t>
            </w:r>
          </w:p>
        </w:tc>
        <w:tc>
          <w:tcPr>
            <w:tcW w:w="850" w:type="dxa"/>
            <w:tcBorders>
              <w:top w:val="single" w:sz="4" w:space="0" w:color="000000"/>
              <w:left w:val="single" w:sz="4" w:space="0" w:color="000000"/>
              <w:bottom w:val="single" w:sz="4" w:space="0" w:color="000000"/>
              <w:right w:val="single" w:sz="4" w:space="0" w:color="000000"/>
            </w:tcBorders>
          </w:tcPr>
          <w:p w14:paraId="43B5FB0E"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3/3</w:t>
            </w:r>
          </w:p>
        </w:tc>
        <w:tc>
          <w:tcPr>
            <w:tcW w:w="1272" w:type="dxa"/>
            <w:tcBorders>
              <w:top w:val="single" w:sz="4" w:space="0" w:color="000000"/>
              <w:left w:val="single" w:sz="4" w:space="0" w:color="000000"/>
              <w:bottom w:val="single" w:sz="4" w:space="0" w:color="000000"/>
              <w:right w:val="single" w:sz="4" w:space="0" w:color="000000"/>
            </w:tcBorders>
          </w:tcPr>
          <w:p w14:paraId="376D198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300%</w:t>
            </w:r>
          </w:p>
        </w:tc>
        <w:tc>
          <w:tcPr>
            <w:tcW w:w="1276" w:type="dxa"/>
            <w:vMerge/>
            <w:tcBorders>
              <w:top w:val="single" w:sz="4" w:space="0" w:color="000000"/>
              <w:left w:val="single" w:sz="4" w:space="0" w:color="000000"/>
              <w:bottom w:val="single" w:sz="4" w:space="0" w:color="000000"/>
              <w:right w:val="single" w:sz="4" w:space="0" w:color="000000"/>
            </w:tcBorders>
          </w:tcPr>
          <w:p w14:paraId="6F796140" w14:textId="77777777" w:rsidR="002449C2" w:rsidRDefault="002449C2">
            <w:pPr>
              <w:widowControl w:val="0"/>
              <w:shd w:val="clear" w:color="auto" w:fill="FFFFFF"/>
              <w:spacing w:after="5" w:line="252" w:lineRule="auto"/>
              <w:ind w:left="426" w:right="-143" w:hanging="426"/>
              <w:rPr>
                <w:rFonts w:ascii="Times New Roman" w:eastAsia="Times New Roman" w:hAnsi="Times New Roman"/>
                <w:bCs/>
                <w:sz w:val="20"/>
                <w:szCs w:val="20"/>
                <w:lang w:eastAsia="ru-RU"/>
              </w:rPr>
            </w:pPr>
          </w:p>
        </w:tc>
      </w:tr>
      <w:tr w:rsidR="002449C2" w14:paraId="4ED802BB" w14:textId="77777777">
        <w:trPr>
          <w:cantSplit/>
          <w:trHeight w:val="58"/>
          <w:jc w:val="center"/>
        </w:trPr>
        <w:tc>
          <w:tcPr>
            <w:tcW w:w="10342" w:type="dxa"/>
            <w:gridSpan w:val="7"/>
            <w:tcBorders>
              <w:top w:val="single" w:sz="4" w:space="0" w:color="000000"/>
              <w:left w:val="single" w:sz="4" w:space="0" w:color="000000"/>
              <w:bottom w:val="single" w:sz="4" w:space="0" w:color="000000"/>
              <w:right w:val="single" w:sz="4" w:space="0" w:color="000000"/>
            </w:tcBorders>
          </w:tcPr>
          <w:p w14:paraId="4EC3F698"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sz w:val="20"/>
                <w:szCs w:val="20"/>
                <w:lang w:eastAsia="ru-RU"/>
              </w:rPr>
            </w:pPr>
            <w:r>
              <w:rPr>
                <w:rFonts w:ascii="Times New Roman" w:eastAsia="Times New Roman" w:hAnsi="Times New Roman"/>
                <w:sz w:val="20"/>
                <w:szCs w:val="20"/>
                <w:lang w:eastAsia="ru-RU"/>
              </w:rPr>
              <w:t>Для лиц, которые не являются работниками, но работа и (или) рабочее место которых контролируется Обществом:</w:t>
            </w:r>
          </w:p>
        </w:tc>
      </w:tr>
      <w:tr w:rsidR="002449C2" w14:paraId="4688DFFF" w14:textId="77777777">
        <w:trPr>
          <w:cantSplit/>
          <w:trHeight w:val="58"/>
          <w:jc w:val="center"/>
        </w:trPr>
        <w:tc>
          <w:tcPr>
            <w:tcW w:w="4108" w:type="dxa"/>
            <w:tcBorders>
              <w:top w:val="single" w:sz="4" w:space="0" w:color="000000"/>
              <w:left w:val="single" w:sz="4" w:space="0" w:color="000000"/>
              <w:bottom w:val="single" w:sz="4" w:space="0" w:color="000000"/>
              <w:right w:val="single" w:sz="4" w:space="0" w:color="000000"/>
            </w:tcBorders>
          </w:tcPr>
          <w:p w14:paraId="4FED8DC9" w14:textId="77777777" w:rsidR="002449C2" w:rsidRDefault="00123961">
            <w:pPr>
              <w:shd w:val="clear" w:color="auto" w:fill="FFFFFF"/>
              <w:tabs>
                <w:tab w:val="left" w:pos="9356"/>
              </w:tabs>
              <w:spacing w:after="5" w:line="252" w:lineRule="auto"/>
              <w:jc w:val="both"/>
              <w:rPr>
                <w:rFonts w:ascii="Times New Roman" w:eastAsia="Times New Roman" w:hAnsi="Times New Roman"/>
                <w:color w:val="000000"/>
                <w:sz w:val="20"/>
                <w:szCs w:val="20"/>
                <w:lang w:eastAsia="ru-RU"/>
              </w:rPr>
            </w:pPr>
            <w:r>
              <w:rPr>
                <w:rFonts w:ascii="Times New Roman" w:eastAsia="Times New Roman" w:hAnsi="Times New Roman"/>
                <w:sz w:val="20"/>
                <w:szCs w:val="20"/>
                <w:lang w:eastAsia="ru-RU"/>
              </w:rPr>
              <w:t>Численность пострадавших в результате несчастных случаев на производстве со смертельным исходом, количество несчастных случаев на производстве со смертельным исходом</w:t>
            </w:r>
          </w:p>
        </w:tc>
        <w:tc>
          <w:tcPr>
            <w:tcW w:w="987" w:type="dxa"/>
            <w:tcBorders>
              <w:top w:val="single" w:sz="4" w:space="0" w:color="000000"/>
              <w:left w:val="single" w:sz="4" w:space="0" w:color="000000"/>
              <w:bottom w:val="single" w:sz="4" w:space="0" w:color="000000"/>
              <w:right w:val="single" w:sz="4" w:space="0" w:color="000000"/>
            </w:tcBorders>
          </w:tcPr>
          <w:p w14:paraId="6765274B" w14:textId="77777777" w:rsidR="002449C2" w:rsidRDefault="00123961">
            <w:pPr>
              <w:widowControl w:val="0"/>
              <w:shd w:val="clear" w:color="auto" w:fill="FFFFFF"/>
              <w:spacing w:after="5" w:line="252" w:lineRule="auto"/>
              <w:ind w:left="113" w:hanging="113"/>
              <w:rPr>
                <w:rFonts w:ascii="Times New Roman" w:eastAsia="Times New Roman" w:hAnsi="Times New Roman"/>
                <w:bCs/>
                <w:color w:val="000000"/>
                <w:sz w:val="20"/>
                <w:szCs w:val="20"/>
                <w:lang w:eastAsia="en-US"/>
              </w:rPr>
            </w:pPr>
            <w:r>
              <w:rPr>
                <w:rFonts w:ascii="Times New Roman" w:eastAsia="Times New Roman" w:hAnsi="Times New Roman"/>
                <w:bCs/>
                <w:color w:val="000000"/>
                <w:sz w:val="20"/>
                <w:szCs w:val="20"/>
                <w:lang w:eastAsia="en-US"/>
              </w:rPr>
              <w:t>чел.</w:t>
            </w:r>
            <w:r>
              <w:rPr>
                <w:rFonts w:ascii="Times New Roman" w:eastAsia="Times New Roman" w:hAnsi="Times New Roman"/>
                <w:bCs/>
                <w:color w:val="000000"/>
                <w:sz w:val="20"/>
                <w:szCs w:val="20"/>
                <w:lang w:val="en-US" w:eastAsia="en-US"/>
              </w:rPr>
              <w:t>/</w:t>
            </w:r>
            <w:r>
              <w:rPr>
                <w:rFonts w:ascii="Times New Roman" w:eastAsia="Times New Roman" w:hAnsi="Times New Roman"/>
                <w:bCs/>
                <w:color w:val="000000"/>
                <w:sz w:val="20"/>
                <w:szCs w:val="20"/>
                <w:lang w:eastAsia="en-US"/>
              </w:rPr>
              <w:t>шт.</w:t>
            </w:r>
          </w:p>
        </w:tc>
        <w:tc>
          <w:tcPr>
            <w:tcW w:w="993" w:type="dxa"/>
            <w:tcBorders>
              <w:top w:val="single" w:sz="4" w:space="0" w:color="000000"/>
              <w:left w:val="single" w:sz="4" w:space="0" w:color="000000"/>
              <w:bottom w:val="single" w:sz="4" w:space="0" w:color="000000"/>
              <w:right w:val="single" w:sz="4" w:space="0" w:color="000000"/>
            </w:tcBorders>
          </w:tcPr>
          <w:p w14:paraId="2EA148D4"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0</w:t>
            </w:r>
          </w:p>
        </w:tc>
        <w:tc>
          <w:tcPr>
            <w:tcW w:w="856" w:type="dxa"/>
            <w:tcBorders>
              <w:top w:val="single" w:sz="4" w:space="0" w:color="000000"/>
              <w:left w:val="single" w:sz="4" w:space="0" w:color="000000"/>
              <w:bottom w:val="single" w:sz="4" w:space="0" w:color="000000"/>
              <w:right w:val="single" w:sz="4" w:space="0" w:color="000000"/>
            </w:tcBorders>
          </w:tcPr>
          <w:p w14:paraId="7C73CC05"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0</w:t>
            </w:r>
          </w:p>
        </w:tc>
        <w:tc>
          <w:tcPr>
            <w:tcW w:w="850" w:type="dxa"/>
            <w:tcBorders>
              <w:top w:val="single" w:sz="4" w:space="0" w:color="000000"/>
              <w:left w:val="single" w:sz="4" w:space="0" w:color="000000"/>
              <w:bottom w:val="single" w:sz="4" w:space="0" w:color="000000"/>
              <w:right w:val="single" w:sz="4" w:space="0" w:color="000000"/>
            </w:tcBorders>
          </w:tcPr>
          <w:p w14:paraId="0166E850"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0</w:t>
            </w:r>
          </w:p>
        </w:tc>
        <w:tc>
          <w:tcPr>
            <w:tcW w:w="1272" w:type="dxa"/>
            <w:tcBorders>
              <w:top w:val="single" w:sz="4" w:space="0" w:color="000000"/>
              <w:left w:val="single" w:sz="4" w:space="0" w:color="000000"/>
              <w:bottom w:val="single" w:sz="4" w:space="0" w:color="000000"/>
              <w:right w:val="single" w:sz="4" w:space="0" w:color="000000"/>
            </w:tcBorders>
          </w:tcPr>
          <w:p w14:paraId="63EAE85A"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0</w:t>
            </w:r>
          </w:p>
        </w:tc>
        <w:tc>
          <w:tcPr>
            <w:tcW w:w="1276" w:type="dxa"/>
            <w:vMerge w:val="restart"/>
            <w:tcBorders>
              <w:top w:val="single" w:sz="4" w:space="0" w:color="000000"/>
              <w:left w:val="single" w:sz="4" w:space="0" w:color="000000"/>
              <w:bottom w:val="single" w:sz="4" w:space="0" w:color="000000"/>
              <w:right w:val="single" w:sz="4" w:space="0" w:color="000000"/>
            </w:tcBorders>
          </w:tcPr>
          <w:p w14:paraId="45E0B3BD" w14:textId="77777777" w:rsidR="002449C2" w:rsidRDefault="00123961">
            <w:pPr>
              <w:widowControl w:val="0"/>
              <w:shd w:val="clear" w:color="auto" w:fill="FFFFFF"/>
              <w:spacing w:after="5" w:line="252" w:lineRule="auto"/>
              <w:ind w:right="-143"/>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Филиал ПАО</w:t>
            </w:r>
          </w:p>
          <w:p w14:paraId="585C464E" w14:textId="77777777" w:rsidR="002449C2" w:rsidRDefault="00123961">
            <w:pPr>
              <w:widowControl w:val="0"/>
              <w:shd w:val="clear" w:color="auto" w:fill="FFFFFF"/>
              <w:spacing w:after="5" w:line="252" w:lineRule="auto"/>
              <w:ind w:right="-143"/>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«Россети» -Центр</w:t>
            </w:r>
          </w:p>
          <w:p w14:paraId="670206B6" w14:textId="77777777" w:rsidR="002449C2" w:rsidRDefault="00123961">
            <w:pPr>
              <w:widowControl w:val="0"/>
              <w:shd w:val="clear" w:color="auto" w:fill="FFFFFF"/>
              <w:spacing w:after="5" w:line="252" w:lineRule="auto"/>
              <w:ind w:right="-143"/>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технического</w:t>
            </w:r>
          </w:p>
          <w:p w14:paraId="53C84EEE" w14:textId="77777777" w:rsidR="002449C2" w:rsidRDefault="00123961">
            <w:pPr>
              <w:widowControl w:val="0"/>
              <w:shd w:val="clear" w:color="auto" w:fill="FFFFFF"/>
              <w:spacing w:after="5" w:line="252" w:lineRule="auto"/>
              <w:ind w:right="-143"/>
              <w:rPr>
                <w:rFonts w:ascii="Times New Roman" w:eastAsia="Times New Roman" w:hAnsi="Times New Roman"/>
                <w:bCs/>
                <w:sz w:val="20"/>
                <w:szCs w:val="20"/>
                <w:lang w:eastAsia="ru-RU"/>
              </w:rPr>
            </w:pPr>
            <w:r>
              <w:rPr>
                <w:rFonts w:ascii="Times New Roman" w:eastAsia="Times New Roman" w:hAnsi="Times New Roman"/>
                <w:color w:val="000000"/>
                <w:sz w:val="20"/>
                <w:szCs w:val="20"/>
                <w:lang w:eastAsia="ru-RU"/>
              </w:rPr>
              <w:t>надзора</w:t>
            </w:r>
          </w:p>
        </w:tc>
      </w:tr>
      <w:tr w:rsidR="002449C2" w14:paraId="35A63F7C" w14:textId="77777777">
        <w:trPr>
          <w:cantSplit/>
          <w:trHeight w:val="58"/>
          <w:jc w:val="center"/>
        </w:trPr>
        <w:tc>
          <w:tcPr>
            <w:tcW w:w="4108" w:type="dxa"/>
            <w:tcBorders>
              <w:top w:val="single" w:sz="4" w:space="0" w:color="000000"/>
              <w:left w:val="single" w:sz="4" w:space="0" w:color="000000"/>
              <w:bottom w:val="single" w:sz="4" w:space="0" w:color="000000"/>
              <w:right w:val="single" w:sz="4" w:space="0" w:color="000000"/>
            </w:tcBorders>
          </w:tcPr>
          <w:p w14:paraId="0C0603D2" w14:textId="77777777" w:rsidR="002449C2" w:rsidRDefault="00123961">
            <w:pPr>
              <w:shd w:val="clear" w:color="auto" w:fill="FFFFFF"/>
              <w:tabs>
                <w:tab w:val="left" w:pos="9356"/>
              </w:tabs>
              <w:spacing w:after="5" w:line="252" w:lineRule="auto"/>
              <w:jc w:val="both"/>
              <w:rPr>
                <w:rFonts w:ascii="Times New Roman" w:eastAsia="Times New Roman" w:hAnsi="Times New Roman"/>
                <w:color w:val="000000"/>
                <w:sz w:val="20"/>
                <w:szCs w:val="20"/>
                <w:lang w:eastAsia="ru-RU"/>
              </w:rPr>
            </w:pPr>
            <w:r>
              <w:rPr>
                <w:rFonts w:ascii="Times New Roman" w:eastAsia="Times New Roman" w:hAnsi="Times New Roman"/>
                <w:sz w:val="20"/>
                <w:szCs w:val="20"/>
                <w:lang w:eastAsia="ru-RU"/>
              </w:rPr>
              <w:t>Численность пострадавших в результате несчастных случаев на производстве с травмами тяжелой степени тяжести, количество несчастных случаев на производстве  с травмами тяжелой степени тяжести</w:t>
            </w:r>
          </w:p>
        </w:tc>
        <w:tc>
          <w:tcPr>
            <w:tcW w:w="987" w:type="dxa"/>
            <w:tcBorders>
              <w:top w:val="single" w:sz="4" w:space="0" w:color="000000"/>
              <w:left w:val="single" w:sz="4" w:space="0" w:color="000000"/>
              <w:bottom w:val="single" w:sz="4" w:space="0" w:color="000000"/>
              <w:right w:val="single" w:sz="4" w:space="0" w:color="000000"/>
            </w:tcBorders>
          </w:tcPr>
          <w:p w14:paraId="5DCD3C05" w14:textId="77777777" w:rsidR="002449C2" w:rsidRDefault="00123961">
            <w:pPr>
              <w:widowControl w:val="0"/>
              <w:shd w:val="clear" w:color="auto" w:fill="FFFFFF"/>
              <w:spacing w:after="5" w:line="252" w:lineRule="auto"/>
              <w:ind w:left="113" w:hanging="113"/>
              <w:rPr>
                <w:rFonts w:ascii="Times New Roman" w:eastAsia="Times New Roman" w:hAnsi="Times New Roman"/>
                <w:bCs/>
                <w:color w:val="000000"/>
                <w:sz w:val="20"/>
                <w:szCs w:val="20"/>
                <w:lang w:eastAsia="en-US"/>
              </w:rPr>
            </w:pPr>
            <w:r>
              <w:rPr>
                <w:rFonts w:ascii="Times New Roman" w:eastAsia="Times New Roman" w:hAnsi="Times New Roman"/>
                <w:bCs/>
                <w:color w:val="000000"/>
                <w:sz w:val="20"/>
                <w:szCs w:val="20"/>
                <w:lang w:eastAsia="en-US"/>
              </w:rPr>
              <w:t>чел.</w:t>
            </w:r>
            <w:r>
              <w:rPr>
                <w:rFonts w:ascii="Times New Roman" w:eastAsia="Times New Roman" w:hAnsi="Times New Roman"/>
                <w:bCs/>
                <w:color w:val="000000"/>
                <w:sz w:val="20"/>
                <w:szCs w:val="20"/>
                <w:lang w:val="en-US" w:eastAsia="en-US"/>
              </w:rPr>
              <w:t>/</w:t>
            </w:r>
            <w:r>
              <w:rPr>
                <w:rFonts w:ascii="Times New Roman" w:eastAsia="Times New Roman" w:hAnsi="Times New Roman"/>
                <w:bCs/>
                <w:color w:val="000000"/>
                <w:sz w:val="20"/>
                <w:szCs w:val="20"/>
                <w:lang w:eastAsia="en-US"/>
              </w:rPr>
              <w:t>шт.</w:t>
            </w:r>
          </w:p>
        </w:tc>
        <w:tc>
          <w:tcPr>
            <w:tcW w:w="993" w:type="dxa"/>
            <w:tcBorders>
              <w:top w:val="single" w:sz="4" w:space="0" w:color="000000"/>
              <w:left w:val="single" w:sz="4" w:space="0" w:color="000000"/>
              <w:bottom w:val="single" w:sz="4" w:space="0" w:color="000000"/>
              <w:right w:val="single" w:sz="4" w:space="0" w:color="000000"/>
            </w:tcBorders>
          </w:tcPr>
          <w:p w14:paraId="25847684"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0</w:t>
            </w:r>
          </w:p>
        </w:tc>
        <w:tc>
          <w:tcPr>
            <w:tcW w:w="856" w:type="dxa"/>
            <w:tcBorders>
              <w:top w:val="single" w:sz="4" w:space="0" w:color="000000"/>
              <w:left w:val="single" w:sz="4" w:space="0" w:color="000000"/>
              <w:bottom w:val="single" w:sz="4" w:space="0" w:color="000000"/>
              <w:right w:val="single" w:sz="4" w:space="0" w:color="000000"/>
            </w:tcBorders>
          </w:tcPr>
          <w:p w14:paraId="65C3729A"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0</w:t>
            </w:r>
          </w:p>
        </w:tc>
        <w:tc>
          <w:tcPr>
            <w:tcW w:w="850" w:type="dxa"/>
            <w:tcBorders>
              <w:top w:val="single" w:sz="4" w:space="0" w:color="000000"/>
              <w:left w:val="single" w:sz="4" w:space="0" w:color="000000"/>
              <w:bottom w:val="single" w:sz="4" w:space="0" w:color="000000"/>
              <w:right w:val="single" w:sz="4" w:space="0" w:color="000000"/>
            </w:tcBorders>
          </w:tcPr>
          <w:p w14:paraId="1610772F"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0</w:t>
            </w:r>
          </w:p>
        </w:tc>
        <w:tc>
          <w:tcPr>
            <w:tcW w:w="1272" w:type="dxa"/>
            <w:tcBorders>
              <w:top w:val="single" w:sz="4" w:space="0" w:color="000000"/>
              <w:left w:val="single" w:sz="4" w:space="0" w:color="000000"/>
              <w:bottom w:val="single" w:sz="4" w:space="0" w:color="000000"/>
              <w:right w:val="single" w:sz="4" w:space="0" w:color="000000"/>
            </w:tcBorders>
          </w:tcPr>
          <w:p w14:paraId="10B8F582"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0</w:t>
            </w:r>
          </w:p>
        </w:tc>
        <w:tc>
          <w:tcPr>
            <w:tcW w:w="1276" w:type="dxa"/>
            <w:vMerge/>
            <w:tcBorders>
              <w:top w:val="single" w:sz="4" w:space="0" w:color="000000"/>
              <w:left w:val="single" w:sz="4" w:space="0" w:color="000000"/>
              <w:bottom w:val="single" w:sz="4" w:space="0" w:color="000000"/>
              <w:right w:val="single" w:sz="4" w:space="0" w:color="000000"/>
            </w:tcBorders>
          </w:tcPr>
          <w:p w14:paraId="22AF2EE1" w14:textId="77777777" w:rsidR="002449C2" w:rsidRDefault="002449C2">
            <w:pPr>
              <w:widowControl w:val="0"/>
              <w:shd w:val="clear" w:color="auto" w:fill="FFFFFF"/>
              <w:spacing w:after="5" w:line="252" w:lineRule="auto"/>
              <w:ind w:left="426" w:right="-143" w:hanging="426"/>
              <w:rPr>
                <w:rFonts w:ascii="Times New Roman" w:eastAsia="Times New Roman" w:hAnsi="Times New Roman"/>
                <w:bCs/>
                <w:sz w:val="20"/>
                <w:szCs w:val="20"/>
                <w:lang w:eastAsia="ru-RU"/>
              </w:rPr>
            </w:pPr>
          </w:p>
        </w:tc>
      </w:tr>
      <w:tr w:rsidR="002449C2" w14:paraId="7DF257E2" w14:textId="77777777">
        <w:trPr>
          <w:cantSplit/>
          <w:trHeight w:val="58"/>
          <w:jc w:val="center"/>
        </w:trPr>
        <w:tc>
          <w:tcPr>
            <w:tcW w:w="10342" w:type="dxa"/>
            <w:gridSpan w:val="7"/>
            <w:tcBorders>
              <w:top w:val="single" w:sz="4" w:space="0" w:color="000000"/>
              <w:left w:val="single" w:sz="4" w:space="0" w:color="000000"/>
              <w:bottom w:val="single" w:sz="4" w:space="0" w:color="000000"/>
              <w:right w:val="single" w:sz="4" w:space="0" w:color="000000"/>
            </w:tcBorders>
          </w:tcPr>
          <w:p w14:paraId="45DE5868"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sz w:val="20"/>
                <w:szCs w:val="20"/>
                <w:lang w:eastAsia="ru-RU"/>
              </w:rPr>
            </w:pPr>
            <w:r>
              <w:rPr>
                <w:rFonts w:ascii="Times New Roman" w:eastAsia="Times New Roman" w:hAnsi="Times New Roman"/>
                <w:i/>
                <w:color w:val="000000"/>
                <w:sz w:val="20"/>
                <w:szCs w:val="20"/>
                <w:lang w:eastAsia="ru-RU"/>
              </w:rPr>
              <w:t>Профессиональные заболевания и работы, связанные с повышенной опасностью</w:t>
            </w:r>
          </w:p>
        </w:tc>
      </w:tr>
      <w:tr w:rsidR="002449C2" w14:paraId="24866EAD" w14:textId="77777777">
        <w:trPr>
          <w:cantSplit/>
          <w:trHeight w:val="58"/>
          <w:jc w:val="center"/>
        </w:trPr>
        <w:tc>
          <w:tcPr>
            <w:tcW w:w="10342" w:type="dxa"/>
            <w:gridSpan w:val="7"/>
            <w:tcBorders>
              <w:top w:val="single" w:sz="4" w:space="0" w:color="000000"/>
              <w:left w:val="single" w:sz="4" w:space="0" w:color="000000"/>
              <w:bottom w:val="single" w:sz="4" w:space="0" w:color="000000"/>
              <w:right w:val="single" w:sz="4" w:space="0" w:color="000000"/>
            </w:tcBorders>
          </w:tcPr>
          <w:p w14:paraId="55226B97" w14:textId="77777777" w:rsidR="002449C2" w:rsidRDefault="00123961">
            <w:pPr>
              <w:widowControl w:val="0"/>
              <w:shd w:val="clear" w:color="auto" w:fill="FFFFFF"/>
              <w:spacing w:after="5" w:line="252" w:lineRule="auto"/>
              <w:ind w:left="426" w:right="-143" w:hanging="426"/>
              <w:rPr>
                <w:rFonts w:ascii="Times New Roman" w:eastAsia="Times New Roman" w:hAnsi="Times New Roman"/>
                <w:bCs/>
                <w:sz w:val="20"/>
                <w:szCs w:val="20"/>
                <w:lang w:eastAsia="ru-RU"/>
              </w:rPr>
            </w:pPr>
            <w:r>
              <w:rPr>
                <w:rFonts w:ascii="Times New Roman" w:eastAsia="Times New Roman" w:hAnsi="Times New Roman"/>
                <w:sz w:val="20"/>
                <w:szCs w:val="20"/>
                <w:lang w:eastAsia="ru-RU"/>
              </w:rPr>
              <w:t>Для работников:</w:t>
            </w:r>
          </w:p>
        </w:tc>
      </w:tr>
      <w:tr w:rsidR="002449C2" w14:paraId="4D730298" w14:textId="77777777">
        <w:trPr>
          <w:cantSplit/>
          <w:trHeight w:val="58"/>
          <w:jc w:val="center"/>
        </w:trPr>
        <w:tc>
          <w:tcPr>
            <w:tcW w:w="4108" w:type="dxa"/>
            <w:tcBorders>
              <w:top w:val="single" w:sz="4" w:space="0" w:color="000000"/>
              <w:left w:val="single" w:sz="4" w:space="0" w:color="000000"/>
              <w:bottom w:val="single" w:sz="4" w:space="0" w:color="000000"/>
              <w:right w:val="single" w:sz="4" w:space="0" w:color="000000"/>
            </w:tcBorders>
          </w:tcPr>
          <w:p w14:paraId="5450AF20" w14:textId="77777777" w:rsidR="002449C2" w:rsidRDefault="00123961">
            <w:pPr>
              <w:shd w:val="clear" w:color="auto" w:fill="FFFFFF"/>
              <w:tabs>
                <w:tab w:val="left" w:pos="9356"/>
              </w:tabs>
              <w:spacing w:after="5" w:line="252"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Число профессиональных заболеваний, повлекших смерть работника в отчетном году</w:t>
            </w:r>
          </w:p>
        </w:tc>
        <w:tc>
          <w:tcPr>
            <w:tcW w:w="987" w:type="dxa"/>
            <w:tcBorders>
              <w:top w:val="single" w:sz="4" w:space="0" w:color="000000"/>
              <w:left w:val="single" w:sz="4" w:space="0" w:color="000000"/>
              <w:bottom w:val="single" w:sz="4" w:space="0" w:color="000000"/>
              <w:right w:val="single" w:sz="4" w:space="0" w:color="000000"/>
            </w:tcBorders>
          </w:tcPr>
          <w:p w14:paraId="365B3505" w14:textId="77777777" w:rsidR="002449C2" w:rsidRDefault="00123961">
            <w:pPr>
              <w:widowControl w:val="0"/>
              <w:shd w:val="clear" w:color="auto" w:fill="FFFFFF"/>
              <w:spacing w:after="5" w:line="252" w:lineRule="auto"/>
              <w:ind w:left="113" w:hanging="113"/>
              <w:rPr>
                <w:rFonts w:ascii="Times New Roman" w:eastAsia="Times New Roman" w:hAnsi="Times New Roman"/>
                <w:bCs/>
                <w:color w:val="000000"/>
                <w:sz w:val="20"/>
                <w:szCs w:val="20"/>
                <w:lang w:eastAsia="en-US"/>
              </w:rPr>
            </w:pPr>
            <w:r>
              <w:rPr>
                <w:rFonts w:ascii="Times New Roman" w:eastAsia="Times New Roman" w:hAnsi="Times New Roman"/>
                <w:bCs/>
                <w:color w:val="000000"/>
                <w:sz w:val="20"/>
                <w:szCs w:val="20"/>
                <w:lang w:eastAsia="en-US"/>
              </w:rPr>
              <w:t>шт.</w:t>
            </w:r>
          </w:p>
        </w:tc>
        <w:tc>
          <w:tcPr>
            <w:tcW w:w="993" w:type="dxa"/>
            <w:tcBorders>
              <w:top w:val="single" w:sz="4" w:space="0" w:color="000000"/>
              <w:left w:val="single" w:sz="4" w:space="0" w:color="000000"/>
              <w:bottom w:val="single" w:sz="4" w:space="0" w:color="000000"/>
              <w:right w:val="single" w:sz="4" w:space="0" w:color="000000"/>
            </w:tcBorders>
          </w:tcPr>
          <w:p w14:paraId="640DC4D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0</w:t>
            </w:r>
          </w:p>
        </w:tc>
        <w:tc>
          <w:tcPr>
            <w:tcW w:w="856" w:type="dxa"/>
            <w:tcBorders>
              <w:top w:val="single" w:sz="4" w:space="0" w:color="000000"/>
              <w:left w:val="single" w:sz="4" w:space="0" w:color="000000"/>
              <w:bottom w:val="single" w:sz="4" w:space="0" w:color="000000"/>
              <w:right w:val="single" w:sz="4" w:space="0" w:color="000000"/>
            </w:tcBorders>
          </w:tcPr>
          <w:p w14:paraId="7F45B655"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0</w:t>
            </w:r>
          </w:p>
        </w:tc>
        <w:tc>
          <w:tcPr>
            <w:tcW w:w="850" w:type="dxa"/>
            <w:tcBorders>
              <w:top w:val="single" w:sz="4" w:space="0" w:color="000000"/>
              <w:left w:val="single" w:sz="4" w:space="0" w:color="000000"/>
              <w:bottom w:val="single" w:sz="4" w:space="0" w:color="000000"/>
              <w:right w:val="single" w:sz="4" w:space="0" w:color="000000"/>
            </w:tcBorders>
          </w:tcPr>
          <w:p w14:paraId="3070E49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0</w:t>
            </w:r>
          </w:p>
        </w:tc>
        <w:tc>
          <w:tcPr>
            <w:tcW w:w="1272" w:type="dxa"/>
            <w:tcBorders>
              <w:top w:val="single" w:sz="4" w:space="0" w:color="000000"/>
              <w:left w:val="single" w:sz="4" w:space="0" w:color="000000"/>
              <w:bottom w:val="single" w:sz="4" w:space="0" w:color="000000"/>
              <w:right w:val="single" w:sz="4" w:space="0" w:color="000000"/>
            </w:tcBorders>
          </w:tcPr>
          <w:p w14:paraId="75FE9606"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0</w:t>
            </w:r>
          </w:p>
        </w:tc>
        <w:tc>
          <w:tcPr>
            <w:tcW w:w="1276" w:type="dxa"/>
            <w:vMerge w:val="restart"/>
            <w:tcBorders>
              <w:top w:val="single" w:sz="4" w:space="0" w:color="000000"/>
              <w:left w:val="single" w:sz="4" w:space="0" w:color="000000"/>
              <w:bottom w:val="single" w:sz="4" w:space="0" w:color="000000"/>
              <w:right w:val="single" w:sz="4" w:space="0" w:color="000000"/>
            </w:tcBorders>
          </w:tcPr>
          <w:p w14:paraId="42CE5938" w14:textId="77777777" w:rsidR="002449C2" w:rsidRDefault="00123961">
            <w:pPr>
              <w:widowControl w:val="0"/>
              <w:shd w:val="clear" w:color="auto" w:fill="FFFFFF"/>
              <w:spacing w:after="5" w:line="252" w:lineRule="auto"/>
              <w:ind w:right="-143"/>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Филиал ПАО</w:t>
            </w:r>
          </w:p>
          <w:p w14:paraId="014188B2" w14:textId="77777777" w:rsidR="002449C2" w:rsidRDefault="00123961">
            <w:pPr>
              <w:widowControl w:val="0"/>
              <w:shd w:val="clear" w:color="auto" w:fill="FFFFFF"/>
              <w:spacing w:after="5" w:line="252" w:lineRule="auto"/>
              <w:ind w:right="-143"/>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«Россети» -Центр</w:t>
            </w:r>
          </w:p>
          <w:p w14:paraId="4A25D5DA" w14:textId="77777777" w:rsidR="002449C2" w:rsidRDefault="00123961">
            <w:pPr>
              <w:widowControl w:val="0"/>
              <w:shd w:val="clear" w:color="auto" w:fill="FFFFFF"/>
              <w:spacing w:after="5" w:line="252" w:lineRule="auto"/>
              <w:ind w:right="-143"/>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технического</w:t>
            </w:r>
          </w:p>
          <w:p w14:paraId="2889E716" w14:textId="77777777" w:rsidR="002449C2" w:rsidRDefault="00123961">
            <w:pPr>
              <w:widowControl w:val="0"/>
              <w:shd w:val="clear" w:color="auto" w:fill="FFFFFF"/>
              <w:spacing w:after="5" w:line="252" w:lineRule="auto"/>
              <w:ind w:right="-143"/>
              <w:rPr>
                <w:rFonts w:ascii="Times New Roman" w:eastAsia="Times New Roman" w:hAnsi="Times New Roman"/>
                <w:bCs/>
                <w:sz w:val="20"/>
                <w:szCs w:val="20"/>
                <w:lang w:eastAsia="ru-RU"/>
              </w:rPr>
            </w:pPr>
            <w:r>
              <w:rPr>
                <w:rFonts w:ascii="Times New Roman" w:eastAsia="Times New Roman" w:hAnsi="Times New Roman"/>
                <w:color w:val="000000"/>
                <w:sz w:val="20"/>
                <w:szCs w:val="20"/>
                <w:lang w:eastAsia="ru-RU"/>
              </w:rPr>
              <w:t>надзора</w:t>
            </w:r>
          </w:p>
        </w:tc>
      </w:tr>
      <w:tr w:rsidR="002449C2" w14:paraId="56F83388" w14:textId="77777777">
        <w:trPr>
          <w:cantSplit/>
          <w:trHeight w:val="58"/>
          <w:jc w:val="center"/>
        </w:trPr>
        <w:tc>
          <w:tcPr>
            <w:tcW w:w="4108" w:type="dxa"/>
            <w:tcBorders>
              <w:top w:val="single" w:sz="4" w:space="0" w:color="000000"/>
              <w:left w:val="single" w:sz="4" w:space="0" w:color="000000"/>
              <w:bottom w:val="single" w:sz="4" w:space="0" w:color="000000"/>
              <w:right w:val="single" w:sz="4" w:space="0" w:color="000000"/>
            </w:tcBorders>
          </w:tcPr>
          <w:p w14:paraId="5037659F" w14:textId="77777777" w:rsidR="002449C2" w:rsidRDefault="00123961">
            <w:pPr>
              <w:shd w:val="clear" w:color="auto" w:fill="FFFFFF"/>
              <w:tabs>
                <w:tab w:val="left" w:pos="9356"/>
              </w:tabs>
              <w:spacing w:after="5" w:line="252"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Количество работников, признанных инвалидами в результате профессионального заболевания в отчетном году</w:t>
            </w:r>
          </w:p>
        </w:tc>
        <w:tc>
          <w:tcPr>
            <w:tcW w:w="987" w:type="dxa"/>
            <w:tcBorders>
              <w:top w:val="single" w:sz="4" w:space="0" w:color="000000"/>
              <w:left w:val="single" w:sz="4" w:space="0" w:color="000000"/>
              <w:bottom w:val="single" w:sz="4" w:space="0" w:color="000000"/>
              <w:right w:val="single" w:sz="4" w:space="0" w:color="000000"/>
            </w:tcBorders>
          </w:tcPr>
          <w:p w14:paraId="78426DE2" w14:textId="77777777" w:rsidR="002449C2" w:rsidRDefault="00123961">
            <w:pPr>
              <w:widowControl w:val="0"/>
              <w:shd w:val="clear" w:color="auto" w:fill="FFFFFF"/>
              <w:spacing w:after="5" w:line="252" w:lineRule="auto"/>
              <w:ind w:left="113" w:hanging="113"/>
              <w:rPr>
                <w:rFonts w:ascii="Times New Roman" w:eastAsia="Times New Roman" w:hAnsi="Times New Roman"/>
                <w:bCs/>
                <w:color w:val="000000"/>
                <w:sz w:val="20"/>
                <w:szCs w:val="20"/>
                <w:lang w:eastAsia="en-US"/>
              </w:rPr>
            </w:pPr>
            <w:r>
              <w:rPr>
                <w:rFonts w:ascii="Times New Roman" w:eastAsia="Times New Roman" w:hAnsi="Times New Roman"/>
                <w:bCs/>
                <w:color w:val="000000"/>
                <w:sz w:val="20"/>
                <w:szCs w:val="20"/>
                <w:lang w:eastAsia="en-US"/>
              </w:rPr>
              <w:t>чел.</w:t>
            </w:r>
          </w:p>
        </w:tc>
        <w:tc>
          <w:tcPr>
            <w:tcW w:w="993" w:type="dxa"/>
            <w:tcBorders>
              <w:top w:val="single" w:sz="4" w:space="0" w:color="000000"/>
              <w:left w:val="single" w:sz="4" w:space="0" w:color="000000"/>
              <w:bottom w:val="single" w:sz="4" w:space="0" w:color="000000"/>
              <w:right w:val="single" w:sz="4" w:space="0" w:color="000000"/>
            </w:tcBorders>
          </w:tcPr>
          <w:p w14:paraId="277E713D"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0</w:t>
            </w:r>
          </w:p>
        </w:tc>
        <w:tc>
          <w:tcPr>
            <w:tcW w:w="856" w:type="dxa"/>
            <w:tcBorders>
              <w:top w:val="single" w:sz="4" w:space="0" w:color="000000"/>
              <w:left w:val="single" w:sz="4" w:space="0" w:color="000000"/>
              <w:bottom w:val="single" w:sz="4" w:space="0" w:color="000000"/>
              <w:right w:val="single" w:sz="4" w:space="0" w:color="000000"/>
            </w:tcBorders>
          </w:tcPr>
          <w:p w14:paraId="38CAE7A2"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0</w:t>
            </w:r>
          </w:p>
        </w:tc>
        <w:tc>
          <w:tcPr>
            <w:tcW w:w="850" w:type="dxa"/>
            <w:tcBorders>
              <w:top w:val="single" w:sz="4" w:space="0" w:color="000000"/>
              <w:left w:val="single" w:sz="4" w:space="0" w:color="000000"/>
              <w:bottom w:val="single" w:sz="4" w:space="0" w:color="000000"/>
              <w:right w:val="single" w:sz="4" w:space="0" w:color="000000"/>
            </w:tcBorders>
          </w:tcPr>
          <w:p w14:paraId="5B250DB6"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0</w:t>
            </w:r>
          </w:p>
        </w:tc>
        <w:tc>
          <w:tcPr>
            <w:tcW w:w="1272" w:type="dxa"/>
            <w:tcBorders>
              <w:top w:val="single" w:sz="4" w:space="0" w:color="000000"/>
              <w:left w:val="single" w:sz="4" w:space="0" w:color="000000"/>
              <w:bottom w:val="single" w:sz="4" w:space="0" w:color="000000"/>
              <w:right w:val="single" w:sz="4" w:space="0" w:color="000000"/>
            </w:tcBorders>
          </w:tcPr>
          <w:p w14:paraId="378BF37B"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0</w:t>
            </w:r>
          </w:p>
        </w:tc>
        <w:tc>
          <w:tcPr>
            <w:tcW w:w="1276" w:type="dxa"/>
            <w:vMerge/>
            <w:tcBorders>
              <w:top w:val="single" w:sz="4" w:space="0" w:color="000000"/>
              <w:left w:val="single" w:sz="4" w:space="0" w:color="000000"/>
              <w:bottom w:val="single" w:sz="4" w:space="0" w:color="000000"/>
              <w:right w:val="single" w:sz="4" w:space="0" w:color="000000"/>
            </w:tcBorders>
          </w:tcPr>
          <w:p w14:paraId="0F0892E6" w14:textId="77777777" w:rsidR="002449C2" w:rsidRDefault="002449C2">
            <w:pPr>
              <w:widowControl w:val="0"/>
              <w:shd w:val="clear" w:color="auto" w:fill="FFFFFF"/>
              <w:spacing w:after="5" w:line="252" w:lineRule="auto"/>
              <w:ind w:left="426" w:right="-143" w:hanging="426"/>
              <w:rPr>
                <w:rFonts w:ascii="Times New Roman" w:eastAsia="Times New Roman" w:hAnsi="Times New Roman"/>
                <w:bCs/>
                <w:sz w:val="20"/>
                <w:szCs w:val="20"/>
                <w:lang w:eastAsia="ru-RU"/>
              </w:rPr>
            </w:pPr>
          </w:p>
        </w:tc>
      </w:tr>
      <w:tr w:rsidR="002449C2" w14:paraId="0D68EA81" w14:textId="77777777">
        <w:trPr>
          <w:cantSplit/>
          <w:trHeight w:val="58"/>
          <w:jc w:val="center"/>
        </w:trPr>
        <w:tc>
          <w:tcPr>
            <w:tcW w:w="4108" w:type="dxa"/>
            <w:tcBorders>
              <w:top w:val="single" w:sz="4" w:space="0" w:color="000000"/>
              <w:left w:val="single" w:sz="4" w:space="0" w:color="000000"/>
              <w:bottom w:val="single" w:sz="4" w:space="0" w:color="000000"/>
              <w:right w:val="single" w:sz="4" w:space="0" w:color="000000"/>
            </w:tcBorders>
          </w:tcPr>
          <w:p w14:paraId="0ADDC82B" w14:textId="77777777" w:rsidR="002449C2" w:rsidRDefault="00123961">
            <w:pPr>
              <w:shd w:val="clear" w:color="auto" w:fill="FFFFFF"/>
              <w:tabs>
                <w:tab w:val="left" w:pos="9356"/>
              </w:tabs>
              <w:spacing w:after="5" w:line="252"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Число лиц с установленным в отчетном периоде профессиональным заболеванием</w:t>
            </w:r>
          </w:p>
        </w:tc>
        <w:tc>
          <w:tcPr>
            <w:tcW w:w="987" w:type="dxa"/>
            <w:tcBorders>
              <w:top w:val="single" w:sz="4" w:space="0" w:color="000000"/>
              <w:left w:val="single" w:sz="4" w:space="0" w:color="000000"/>
              <w:bottom w:val="single" w:sz="4" w:space="0" w:color="000000"/>
              <w:right w:val="single" w:sz="4" w:space="0" w:color="000000"/>
            </w:tcBorders>
          </w:tcPr>
          <w:p w14:paraId="7954D257" w14:textId="77777777" w:rsidR="002449C2" w:rsidRDefault="00123961">
            <w:pPr>
              <w:widowControl w:val="0"/>
              <w:shd w:val="clear" w:color="auto" w:fill="FFFFFF"/>
              <w:spacing w:after="5" w:line="252" w:lineRule="auto"/>
              <w:ind w:left="113" w:hanging="113"/>
              <w:rPr>
                <w:rFonts w:ascii="Times New Roman" w:eastAsia="Times New Roman" w:hAnsi="Times New Roman"/>
                <w:bCs/>
                <w:color w:val="000000"/>
                <w:sz w:val="20"/>
                <w:szCs w:val="20"/>
                <w:lang w:eastAsia="en-US"/>
              </w:rPr>
            </w:pPr>
            <w:r>
              <w:rPr>
                <w:rFonts w:ascii="Times New Roman" w:eastAsia="Times New Roman" w:hAnsi="Times New Roman"/>
                <w:bCs/>
                <w:color w:val="000000"/>
                <w:sz w:val="20"/>
                <w:szCs w:val="20"/>
                <w:lang w:eastAsia="en-US"/>
              </w:rPr>
              <w:t>чел.</w:t>
            </w:r>
          </w:p>
        </w:tc>
        <w:tc>
          <w:tcPr>
            <w:tcW w:w="993" w:type="dxa"/>
            <w:tcBorders>
              <w:top w:val="single" w:sz="4" w:space="0" w:color="000000"/>
              <w:left w:val="single" w:sz="4" w:space="0" w:color="000000"/>
              <w:bottom w:val="single" w:sz="4" w:space="0" w:color="000000"/>
              <w:right w:val="single" w:sz="4" w:space="0" w:color="000000"/>
            </w:tcBorders>
          </w:tcPr>
          <w:p w14:paraId="461640B3"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0</w:t>
            </w:r>
          </w:p>
        </w:tc>
        <w:tc>
          <w:tcPr>
            <w:tcW w:w="856" w:type="dxa"/>
            <w:tcBorders>
              <w:top w:val="single" w:sz="4" w:space="0" w:color="000000"/>
              <w:left w:val="single" w:sz="4" w:space="0" w:color="000000"/>
              <w:bottom w:val="single" w:sz="4" w:space="0" w:color="000000"/>
              <w:right w:val="single" w:sz="4" w:space="0" w:color="000000"/>
            </w:tcBorders>
          </w:tcPr>
          <w:p w14:paraId="5EBCFED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0</w:t>
            </w:r>
          </w:p>
        </w:tc>
        <w:tc>
          <w:tcPr>
            <w:tcW w:w="850" w:type="dxa"/>
            <w:tcBorders>
              <w:top w:val="single" w:sz="4" w:space="0" w:color="000000"/>
              <w:left w:val="single" w:sz="4" w:space="0" w:color="000000"/>
              <w:bottom w:val="single" w:sz="4" w:space="0" w:color="000000"/>
              <w:right w:val="single" w:sz="4" w:space="0" w:color="000000"/>
            </w:tcBorders>
          </w:tcPr>
          <w:p w14:paraId="1389B349"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0</w:t>
            </w:r>
          </w:p>
        </w:tc>
        <w:tc>
          <w:tcPr>
            <w:tcW w:w="1272" w:type="dxa"/>
            <w:tcBorders>
              <w:top w:val="single" w:sz="4" w:space="0" w:color="000000"/>
              <w:left w:val="single" w:sz="4" w:space="0" w:color="000000"/>
              <w:bottom w:val="single" w:sz="4" w:space="0" w:color="000000"/>
              <w:right w:val="single" w:sz="4" w:space="0" w:color="000000"/>
            </w:tcBorders>
          </w:tcPr>
          <w:p w14:paraId="24AFB2F1" w14:textId="77777777" w:rsidR="002449C2" w:rsidRDefault="00123961">
            <w:pPr>
              <w:widowControl w:val="0"/>
              <w:shd w:val="clear" w:color="auto" w:fill="FFFFFF"/>
              <w:spacing w:after="5" w:line="252" w:lineRule="auto"/>
              <w:ind w:left="426" w:right="-143" w:hanging="426"/>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0</w:t>
            </w:r>
          </w:p>
        </w:tc>
        <w:tc>
          <w:tcPr>
            <w:tcW w:w="1276" w:type="dxa"/>
            <w:vMerge/>
            <w:tcBorders>
              <w:top w:val="single" w:sz="4" w:space="0" w:color="000000"/>
              <w:left w:val="single" w:sz="4" w:space="0" w:color="000000"/>
              <w:bottom w:val="single" w:sz="4" w:space="0" w:color="000000"/>
              <w:right w:val="single" w:sz="4" w:space="0" w:color="000000"/>
            </w:tcBorders>
          </w:tcPr>
          <w:p w14:paraId="03707C9B" w14:textId="77777777" w:rsidR="002449C2" w:rsidRDefault="002449C2">
            <w:pPr>
              <w:widowControl w:val="0"/>
              <w:shd w:val="clear" w:color="auto" w:fill="FFFFFF"/>
              <w:spacing w:after="5" w:line="252" w:lineRule="auto"/>
              <w:ind w:left="426" w:right="-143" w:hanging="426"/>
              <w:rPr>
                <w:rFonts w:ascii="Times New Roman" w:eastAsia="Times New Roman" w:hAnsi="Times New Roman"/>
                <w:bCs/>
                <w:sz w:val="20"/>
                <w:szCs w:val="20"/>
                <w:lang w:eastAsia="ru-RU"/>
              </w:rPr>
            </w:pPr>
          </w:p>
        </w:tc>
      </w:tr>
    </w:tbl>
    <w:p w14:paraId="0CF90014" w14:textId="77777777" w:rsidR="002449C2" w:rsidRDefault="002449C2">
      <w:pPr>
        <w:shd w:val="clear" w:color="auto" w:fill="FFFFFF"/>
        <w:spacing w:after="160" w:line="259" w:lineRule="auto"/>
        <w:rPr>
          <w:lang w:eastAsia="en-US"/>
        </w:rPr>
      </w:pPr>
    </w:p>
    <w:p w14:paraId="4784AEFF" w14:textId="77777777" w:rsidR="002449C2" w:rsidRDefault="00123961">
      <w:pPr>
        <w:shd w:val="clear" w:color="auto" w:fill="FFFFFF"/>
        <w:spacing w:before="240" w:after="160" w:line="259" w:lineRule="auto"/>
        <w:ind w:firstLine="851"/>
        <w:contextualSpacing/>
        <w:rPr>
          <w:rFonts w:ascii="Times New Roman" w:hAnsi="Times New Roman"/>
          <w:sz w:val="26"/>
          <w:szCs w:val="26"/>
          <w:lang w:eastAsia="en-US"/>
        </w:rPr>
      </w:pPr>
      <w:r>
        <w:rPr>
          <w:rFonts w:ascii="Times New Roman" w:hAnsi="Times New Roman"/>
          <w:sz w:val="26"/>
          <w:szCs w:val="26"/>
          <w:lang w:eastAsia="en-US"/>
        </w:rPr>
        <w:t>Затраты ПАО «Россети Юг» на охрану труда за последние 3 года, включая отчетный период, составили:</w:t>
      </w:r>
    </w:p>
    <w:p w14:paraId="483A3B29" w14:textId="77777777" w:rsidR="002449C2" w:rsidRDefault="002449C2">
      <w:pPr>
        <w:shd w:val="clear" w:color="auto" w:fill="FFFFFF"/>
        <w:spacing w:before="240" w:after="160" w:line="259" w:lineRule="auto"/>
        <w:ind w:firstLine="851"/>
        <w:contextualSpacing/>
        <w:rPr>
          <w:rFonts w:ascii="Times New Roman" w:hAnsi="Times New Roman"/>
          <w:sz w:val="26"/>
          <w:szCs w:val="26"/>
          <w:lang w:eastAsia="en-US"/>
        </w:rPr>
      </w:pPr>
    </w:p>
    <w:tbl>
      <w:tblPr>
        <w:tblW w:w="4121" w:type="dxa"/>
        <w:tblInd w:w="704" w:type="dxa"/>
        <w:tblLayout w:type="fixed"/>
        <w:tblLook w:val="04A0" w:firstRow="1" w:lastRow="0" w:firstColumn="1" w:lastColumn="0" w:noHBand="0" w:noVBand="1"/>
      </w:tblPr>
      <w:tblGrid>
        <w:gridCol w:w="1427"/>
        <w:gridCol w:w="307"/>
        <w:gridCol w:w="2387"/>
      </w:tblGrid>
      <w:tr w:rsidR="002449C2" w14:paraId="1DA9A566" w14:textId="77777777">
        <w:tc>
          <w:tcPr>
            <w:tcW w:w="1427" w:type="dxa"/>
          </w:tcPr>
          <w:p w14:paraId="7CFC7B84" w14:textId="77777777" w:rsidR="002449C2" w:rsidRDefault="00123961">
            <w:pPr>
              <w:shd w:val="clear" w:color="auto" w:fill="FFFFFF"/>
              <w:spacing w:after="0" w:line="240" w:lineRule="auto"/>
              <w:contextualSpacing/>
              <w:jc w:val="center"/>
              <w:rPr>
                <w:rFonts w:ascii="Times New Roman" w:hAnsi="Times New Roman"/>
                <w:sz w:val="26"/>
                <w:szCs w:val="26"/>
                <w:lang w:eastAsia="en-US"/>
              </w:rPr>
            </w:pPr>
            <w:r>
              <w:rPr>
                <w:rFonts w:ascii="Times New Roman" w:eastAsia="Times New Roman" w:hAnsi="Times New Roman"/>
                <w:sz w:val="26"/>
                <w:szCs w:val="26"/>
                <w:lang w:eastAsia="ru-RU"/>
              </w:rPr>
              <w:t>2022 год</w:t>
            </w:r>
          </w:p>
        </w:tc>
        <w:tc>
          <w:tcPr>
            <w:tcW w:w="307" w:type="dxa"/>
          </w:tcPr>
          <w:p w14:paraId="7D1B7F2B" w14:textId="77777777" w:rsidR="002449C2" w:rsidRDefault="00123961">
            <w:pPr>
              <w:shd w:val="clear" w:color="auto" w:fill="FFFFFF"/>
              <w:spacing w:after="0" w:line="240" w:lineRule="auto"/>
              <w:contextualSpacing/>
              <w:jc w:val="center"/>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p>
        </w:tc>
        <w:tc>
          <w:tcPr>
            <w:tcW w:w="2387" w:type="dxa"/>
          </w:tcPr>
          <w:p w14:paraId="22EA9D84" w14:textId="77777777" w:rsidR="002449C2" w:rsidRDefault="00123961">
            <w:pPr>
              <w:shd w:val="clear" w:color="auto" w:fill="FFFFFF"/>
              <w:spacing w:after="0" w:line="240" w:lineRule="auto"/>
              <w:contextualSpacing/>
              <w:jc w:val="center"/>
              <w:rPr>
                <w:rFonts w:ascii="Times New Roman" w:hAnsi="Times New Roman"/>
                <w:sz w:val="26"/>
                <w:szCs w:val="26"/>
                <w:lang w:eastAsia="en-US"/>
              </w:rPr>
            </w:pPr>
            <w:r>
              <w:rPr>
                <w:rFonts w:ascii="Times New Roman" w:eastAsia="Times New Roman" w:hAnsi="Times New Roman"/>
                <w:sz w:val="26"/>
                <w:szCs w:val="26"/>
                <w:lang w:eastAsia="ru-RU"/>
              </w:rPr>
              <w:t>335,467</w:t>
            </w:r>
            <w:r>
              <w:rPr>
                <w:rFonts w:ascii="Times New Roman" w:hAnsi="Times New Roman"/>
                <w:sz w:val="26"/>
                <w:szCs w:val="26"/>
                <w:lang w:eastAsia="en-US"/>
              </w:rPr>
              <w:t xml:space="preserve"> млн руб.</w:t>
            </w:r>
          </w:p>
        </w:tc>
      </w:tr>
      <w:tr w:rsidR="002449C2" w14:paraId="70A73298" w14:textId="77777777">
        <w:tc>
          <w:tcPr>
            <w:tcW w:w="1427" w:type="dxa"/>
          </w:tcPr>
          <w:p w14:paraId="103B08BC" w14:textId="77777777" w:rsidR="002449C2" w:rsidRDefault="00123961">
            <w:pPr>
              <w:shd w:val="clear" w:color="auto" w:fill="FFFFFF"/>
              <w:spacing w:after="0" w:line="240" w:lineRule="auto"/>
              <w:contextualSpacing/>
              <w:jc w:val="center"/>
              <w:rPr>
                <w:rFonts w:ascii="Times New Roman" w:eastAsia="Times New Roman" w:hAnsi="Times New Roman"/>
                <w:sz w:val="26"/>
                <w:szCs w:val="26"/>
                <w:lang w:eastAsia="ru-RU"/>
              </w:rPr>
            </w:pPr>
            <w:r>
              <w:rPr>
                <w:rFonts w:ascii="Times New Roman" w:eastAsia="Times New Roman" w:hAnsi="Times New Roman"/>
                <w:sz w:val="26"/>
                <w:szCs w:val="26"/>
                <w:lang w:eastAsia="ru-RU"/>
              </w:rPr>
              <w:t>2023 год</w:t>
            </w:r>
          </w:p>
          <w:p w14:paraId="43CABD22" w14:textId="77777777" w:rsidR="002449C2" w:rsidRDefault="00123961">
            <w:pPr>
              <w:shd w:val="clear" w:color="auto" w:fill="FFFFFF"/>
              <w:spacing w:after="0" w:line="240" w:lineRule="auto"/>
              <w:contextualSpacing/>
              <w:jc w:val="center"/>
              <w:rPr>
                <w:rFonts w:ascii="Times New Roman" w:hAnsi="Times New Roman"/>
                <w:sz w:val="26"/>
                <w:szCs w:val="26"/>
                <w:lang w:eastAsia="en-US"/>
              </w:rPr>
            </w:pPr>
            <w:r>
              <w:rPr>
                <w:rFonts w:ascii="Times New Roman" w:eastAsia="Times New Roman" w:hAnsi="Times New Roman"/>
                <w:sz w:val="26"/>
                <w:szCs w:val="26"/>
                <w:lang w:eastAsia="ru-RU"/>
              </w:rPr>
              <w:t>2024 год</w:t>
            </w:r>
          </w:p>
        </w:tc>
        <w:tc>
          <w:tcPr>
            <w:tcW w:w="307" w:type="dxa"/>
          </w:tcPr>
          <w:p w14:paraId="53C69AF7" w14:textId="77777777" w:rsidR="002449C2" w:rsidRDefault="00123961">
            <w:pPr>
              <w:shd w:val="clear" w:color="auto" w:fill="FFFFFF"/>
              <w:spacing w:after="0" w:line="240" w:lineRule="auto"/>
              <w:contextualSpacing/>
              <w:jc w:val="center"/>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p>
          <w:p w14:paraId="0533D8DD" w14:textId="77777777" w:rsidR="002449C2" w:rsidRDefault="00123961">
            <w:pPr>
              <w:shd w:val="clear" w:color="auto" w:fill="FFFFFF"/>
              <w:spacing w:after="0" w:line="240" w:lineRule="auto"/>
              <w:contextualSpacing/>
              <w:jc w:val="center"/>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p>
        </w:tc>
        <w:tc>
          <w:tcPr>
            <w:tcW w:w="2387" w:type="dxa"/>
          </w:tcPr>
          <w:p w14:paraId="311355AD" w14:textId="77777777" w:rsidR="002449C2" w:rsidRDefault="00123961">
            <w:pPr>
              <w:shd w:val="clear" w:color="auto" w:fill="FFFFFF"/>
              <w:spacing w:after="0" w:line="240" w:lineRule="auto"/>
              <w:contextualSpacing/>
              <w:jc w:val="center"/>
              <w:rPr>
                <w:rFonts w:ascii="Times New Roman" w:hAnsi="Times New Roman"/>
                <w:sz w:val="26"/>
                <w:szCs w:val="26"/>
                <w:lang w:eastAsia="en-US"/>
              </w:rPr>
            </w:pPr>
            <w:r>
              <w:rPr>
                <w:rFonts w:ascii="Times New Roman" w:eastAsia="Times New Roman" w:hAnsi="Times New Roman"/>
                <w:sz w:val="26"/>
                <w:szCs w:val="26"/>
                <w:lang w:eastAsia="ru-RU"/>
              </w:rPr>
              <w:t>423,090</w:t>
            </w:r>
            <w:r>
              <w:rPr>
                <w:rFonts w:ascii="Times New Roman" w:hAnsi="Times New Roman"/>
                <w:sz w:val="26"/>
                <w:szCs w:val="26"/>
                <w:lang w:eastAsia="en-US"/>
              </w:rPr>
              <w:t xml:space="preserve"> млн руб.</w:t>
            </w:r>
          </w:p>
          <w:p w14:paraId="4DCA9AF3" w14:textId="77777777" w:rsidR="002449C2" w:rsidRDefault="00123961">
            <w:pPr>
              <w:shd w:val="clear" w:color="auto" w:fill="FFFFFF"/>
              <w:spacing w:after="0" w:line="240" w:lineRule="auto"/>
              <w:contextualSpacing/>
              <w:jc w:val="center"/>
              <w:rPr>
                <w:rFonts w:ascii="Times New Roman" w:hAnsi="Times New Roman"/>
                <w:sz w:val="26"/>
                <w:szCs w:val="26"/>
                <w:lang w:eastAsia="en-US"/>
              </w:rPr>
            </w:pPr>
            <w:r>
              <w:rPr>
                <w:rFonts w:ascii="Times New Roman" w:hAnsi="Times New Roman"/>
                <w:sz w:val="26"/>
                <w:szCs w:val="26"/>
                <w:lang w:eastAsia="en-US"/>
              </w:rPr>
              <w:t>412,116 млн руб.</w:t>
            </w:r>
          </w:p>
        </w:tc>
      </w:tr>
    </w:tbl>
    <w:p w14:paraId="594CD4A6"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112" w:name="_Toc195174946"/>
      <w:bookmarkStart w:id="113" w:name="_Toc196143039"/>
      <w:r>
        <w:rPr>
          <w:rFonts w:ascii="Times New Roman" w:eastAsia="Times New Roman" w:hAnsi="Times New Roman"/>
          <w:caps/>
          <w:color w:val="632423"/>
          <w:spacing w:val="15"/>
          <w:sz w:val="24"/>
          <w:szCs w:val="24"/>
          <w:lang w:eastAsia="en-US" w:bidi="en-US"/>
        </w:rPr>
        <w:t>Охрана окружающей среды</w:t>
      </w:r>
      <w:bookmarkEnd w:id="112"/>
      <w:bookmarkEnd w:id="113"/>
    </w:p>
    <w:p w14:paraId="7386BFA4" w14:textId="77777777" w:rsidR="002449C2" w:rsidRDefault="00123961">
      <w:pPr>
        <w:tabs>
          <w:tab w:val="left" w:pos="1080"/>
          <w:tab w:val="left" w:pos="1320"/>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Приоритет охраны окружающей природной среды, создание безопасных условий труда, сохранение жизни и здоровья работников, повышение эффективности, применение лучших доступных инновационных и цифровых технологий, обеспечивающих устойчивое развитие и исключающих негативное воздействие на окружающую экосистему и здоровье человека, являются основополагающими принципами Общества.</w:t>
      </w:r>
    </w:p>
    <w:p w14:paraId="1372E088" w14:textId="77777777" w:rsidR="002449C2" w:rsidRDefault="00123961">
      <w:pPr>
        <w:tabs>
          <w:tab w:val="left" w:pos="1080"/>
          <w:tab w:val="left" w:pos="1320"/>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отчетном периоде реализация основных задач Общества в сфере природоохранной деятельности и охраны окружающей среды осуществлялась в рамках:</w:t>
      </w:r>
    </w:p>
    <w:p w14:paraId="391C6EE3" w14:textId="77777777" w:rsidR="002449C2" w:rsidRDefault="00123961">
      <w:pPr>
        <w:tabs>
          <w:tab w:val="left" w:pos="1080"/>
          <w:tab w:val="left" w:pos="1320"/>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Политики в области изменения климата ПАО «Россети», которая устанавливает значимые для группы компаний «Россети» климатические риски, механизмы воздействия на них и мероприятия по адаптации к изменению климата. Целью Политики является систематизация подходов в области изменения климата в процессе осуществления деятельности Общества;</w:t>
      </w:r>
    </w:p>
    <w:p w14:paraId="12D6DE1F" w14:textId="77777777" w:rsidR="002449C2" w:rsidRDefault="00123961">
      <w:pPr>
        <w:tabs>
          <w:tab w:val="left" w:pos="1080"/>
          <w:tab w:val="left" w:pos="1320"/>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Политики в области устойчивого развития ПАО «Россети», определяющей повестку устойчивого развития ПАО «Россети», в том числе в области охраны окружающей среды и рационального природопользования;</w:t>
      </w:r>
    </w:p>
    <w:p w14:paraId="58141511" w14:textId="77777777" w:rsidR="002449C2" w:rsidRDefault="00123961">
      <w:pPr>
        <w:tabs>
          <w:tab w:val="left" w:pos="1080"/>
          <w:tab w:val="left" w:pos="1320"/>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Экологической политики, которая утверждена решением Совета директоров Общества 16.04.2024 (протокол от 16.04.2024 №568/2024). Принципами Экологической политики являются приоритет экологической безопасности в рамках производственной деятельности, принятие решений с учетом потребностей и ожиданий заинтересованных сторон и области распространения системы экологического менеджмента; открытость и доступность информации о проводимой экологической деятельности; совершенствование деятельности и постоянное улучшение основных производственных процессов.</w:t>
      </w:r>
    </w:p>
    <w:p w14:paraId="157903CC" w14:textId="77777777" w:rsidR="002449C2" w:rsidRDefault="00123961">
      <w:pPr>
        <w:tabs>
          <w:tab w:val="left" w:pos="1080"/>
          <w:tab w:val="left" w:pos="1320"/>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Программой реализации экологической политики в ПАО «Россети Юг» определены цели по обеспечению соблюдения природоохранного законодательства Российской Федерации, обозначены задачи по снижению негативного воздействия на окружающую среду. Мероприятия в рамках экологической безопасности направлены на защиту воздушного бассейна, охрану водных, земельных ресурсов, объектов животного мира.</w:t>
      </w:r>
    </w:p>
    <w:p w14:paraId="5E935BAF" w14:textId="77777777" w:rsidR="002449C2" w:rsidRDefault="002449C2">
      <w:pPr>
        <w:tabs>
          <w:tab w:val="left" w:pos="1080"/>
          <w:tab w:val="left" w:pos="1320"/>
        </w:tabs>
        <w:spacing w:after="0" w:line="240" w:lineRule="auto"/>
        <w:ind w:firstLine="709"/>
        <w:jc w:val="both"/>
        <w:rPr>
          <w:rFonts w:ascii="Times New Roman" w:eastAsia="Times New Roman" w:hAnsi="Times New Roman"/>
          <w:sz w:val="26"/>
          <w:szCs w:val="26"/>
          <w:lang w:eastAsia="ru-RU"/>
        </w:rPr>
      </w:pPr>
    </w:p>
    <w:p w14:paraId="563139B7" w14:textId="77777777" w:rsidR="002449C2" w:rsidRDefault="002449C2">
      <w:pPr>
        <w:spacing w:after="0" w:line="240" w:lineRule="auto"/>
        <w:jc w:val="both"/>
        <w:rPr>
          <w:rFonts w:ascii="Times New Roman" w:eastAsia="Times New Roman" w:hAnsi="Times New Roman"/>
          <w:bCs/>
          <w:sz w:val="24"/>
          <w:szCs w:val="28"/>
          <w:lang w:eastAsia="ru-RU"/>
        </w:rPr>
      </w:pPr>
    </w:p>
    <w:p w14:paraId="398005F6" w14:textId="77777777" w:rsidR="002449C2" w:rsidRDefault="00123961">
      <w:pPr>
        <w:spacing w:after="0" w:line="240" w:lineRule="auto"/>
        <w:jc w:val="both"/>
        <w:rPr>
          <w:rFonts w:ascii="Times New Roman" w:eastAsia="Times New Roman" w:hAnsi="Times New Roman"/>
          <w:bCs/>
          <w:i/>
          <w:sz w:val="24"/>
          <w:szCs w:val="28"/>
          <w:lang w:eastAsia="ru-RU"/>
        </w:rPr>
      </w:pPr>
      <w:r>
        <w:rPr>
          <w:rFonts w:ascii="Times New Roman" w:eastAsia="Times New Roman" w:hAnsi="Times New Roman"/>
          <w:bCs/>
          <w:i/>
          <w:sz w:val="24"/>
          <w:szCs w:val="28"/>
          <w:lang w:eastAsia="ru-RU"/>
        </w:rPr>
        <w:t xml:space="preserve">Национальный проект «Экология» </w:t>
      </w:r>
    </w:p>
    <w:tbl>
      <w:tblPr>
        <w:tblpPr w:leftFromText="180" w:rightFromText="180" w:vertAnchor="text" w:horzAnchor="margin" w:tblpY="61"/>
        <w:tblW w:w="9498" w:type="dxa"/>
        <w:tblLayout w:type="fixed"/>
        <w:tblLook w:val="04A0" w:firstRow="1" w:lastRow="0" w:firstColumn="1" w:lastColumn="0" w:noHBand="0" w:noVBand="1"/>
      </w:tblPr>
      <w:tblGrid>
        <w:gridCol w:w="4654"/>
        <w:gridCol w:w="4844"/>
      </w:tblGrid>
      <w:tr w:rsidR="002449C2" w14:paraId="0068D0EA" w14:textId="77777777">
        <w:trPr>
          <w:trHeight w:val="70"/>
        </w:trPr>
        <w:tc>
          <w:tcPr>
            <w:tcW w:w="4654" w:type="dxa"/>
          </w:tcPr>
          <w:p w14:paraId="7F717818" w14:textId="77777777" w:rsidR="002449C2" w:rsidRDefault="00123961">
            <w:pPr>
              <w:tabs>
                <w:tab w:val="left" w:pos="142"/>
              </w:tabs>
              <w:spacing w:before="120" w:after="120" w:line="240" w:lineRule="auto"/>
              <w:jc w:val="center"/>
              <w:rPr>
                <w:sz w:val="20"/>
                <w:szCs w:val="20"/>
                <w:lang w:eastAsia="ru-RU"/>
              </w:rPr>
            </w:pPr>
            <w:r>
              <w:rPr>
                <w:noProof/>
                <w:lang w:eastAsia="ru-RU"/>
              </w:rPr>
              <w:drawing>
                <wp:inline distT="0" distB="0" distL="0" distR="0" wp14:anchorId="48750215" wp14:editId="4BDDC262">
                  <wp:extent cx="2819400" cy="1880235"/>
                  <wp:effectExtent l="0" t="0" r="0" b="0"/>
                  <wp:docPr id="79" name="_x005F_x0000_i4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_x005F_x0000_i4453"/>
                          <pic:cNvPicPr>
                            <a:picLocks noChangeAspect="1" noChangeArrowheads="1"/>
                          </pic:cNvPicPr>
                        </pic:nvPicPr>
                        <pic:blipFill>
                          <a:blip r:embed="rId105"/>
                          <a:stretch>
                            <a:fillRect/>
                          </a:stretch>
                        </pic:blipFill>
                        <pic:spPr bwMode="auto">
                          <a:xfrm>
                            <a:off x="0" y="0"/>
                            <a:ext cx="2819400" cy="1880235"/>
                          </a:xfrm>
                          <a:prstGeom prst="rect">
                            <a:avLst/>
                          </a:prstGeom>
                          <a:noFill/>
                        </pic:spPr>
                      </pic:pic>
                    </a:graphicData>
                  </a:graphic>
                </wp:inline>
              </w:drawing>
            </w:r>
          </w:p>
        </w:tc>
        <w:tc>
          <w:tcPr>
            <w:tcW w:w="4843" w:type="dxa"/>
          </w:tcPr>
          <w:p w14:paraId="3F1926BB" w14:textId="77777777" w:rsidR="002449C2" w:rsidRDefault="002449C2">
            <w:pPr>
              <w:spacing w:after="0" w:line="240" w:lineRule="auto"/>
              <w:jc w:val="both"/>
              <w:rPr>
                <w:sz w:val="20"/>
                <w:szCs w:val="20"/>
                <w:lang w:eastAsia="ru-RU"/>
              </w:rPr>
            </w:pPr>
          </w:p>
          <w:p w14:paraId="42EFB112" w14:textId="77777777" w:rsidR="002449C2" w:rsidRDefault="00123961">
            <w:pPr>
              <w:tabs>
                <w:tab w:val="left" w:pos="142"/>
              </w:tabs>
              <w:spacing w:before="120" w:after="120" w:line="240" w:lineRule="auto"/>
              <w:jc w:val="center"/>
              <w:rPr>
                <w:sz w:val="20"/>
                <w:szCs w:val="20"/>
                <w:lang w:eastAsia="ru-RU"/>
              </w:rPr>
            </w:pPr>
            <w:r>
              <w:rPr>
                <w:rFonts w:ascii="Times New Roman" w:eastAsia="Times New Roman" w:hAnsi="Times New Roman"/>
                <w:bCs/>
                <w:sz w:val="20"/>
                <w:szCs w:val="28"/>
                <w:lang w:eastAsia="ru-RU"/>
              </w:rPr>
              <w:t>«Россети Юг» построили инфраструктуру для электроснабжения экотехнопарка в Ростовской области.</w:t>
            </w:r>
            <w:r>
              <w:rPr>
                <w:rFonts w:ascii="Times New Roman" w:eastAsia="Times New Roman" w:hAnsi="Times New Roman"/>
                <w:sz w:val="20"/>
                <w:szCs w:val="28"/>
                <w:lang w:eastAsia="ru-RU"/>
              </w:rPr>
              <w:t xml:space="preserve"> </w:t>
            </w:r>
            <w:r>
              <w:rPr>
                <w:rFonts w:ascii="Times New Roman" w:eastAsia="Times New Roman" w:hAnsi="Times New Roman"/>
                <w:bCs/>
                <w:sz w:val="20"/>
                <w:szCs w:val="28"/>
                <w:lang w:eastAsia="ru-RU"/>
              </w:rPr>
              <w:t>Энергетики возвели линию электропередачи 110 кВ протяженностью 4 км протянули более 12 км провода. Суммарная мощность присоединения составит свыше 5 МВт.</w:t>
            </w:r>
          </w:p>
        </w:tc>
      </w:tr>
    </w:tbl>
    <w:p w14:paraId="50235E86" w14:textId="77777777" w:rsidR="002449C2" w:rsidRDefault="002449C2">
      <w:pPr>
        <w:tabs>
          <w:tab w:val="left" w:pos="1080"/>
          <w:tab w:val="left" w:pos="1320"/>
        </w:tabs>
        <w:spacing w:after="0" w:line="240" w:lineRule="auto"/>
        <w:ind w:firstLine="709"/>
        <w:jc w:val="both"/>
        <w:rPr>
          <w:rFonts w:ascii="Times New Roman" w:eastAsia="Times New Roman" w:hAnsi="Times New Roman"/>
          <w:sz w:val="26"/>
          <w:szCs w:val="26"/>
          <w:lang w:eastAsia="ru-RU"/>
        </w:rPr>
      </w:pPr>
    </w:p>
    <w:p w14:paraId="77EE1963" w14:textId="77777777" w:rsidR="002449C2" w:rsidRDefault="00123961">
      <w:pPr>
        <w:keepNext/>
        <w:keepLines/>
        <w:shd w:val="clear" w:color="auto" w:fill="FFFFFF"/>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114" w:name="_Toc195174947"/>
      <w:bookmarkStart w:id="115" w:name="_Toc196143040"/>
      <w:r>
        <w:rPr>
          <w:rFonts w:ascii="Times New Roman" w:eastAsia="Times New Roman" w:hAnsi="Times New Roman"/>
          <w:color w:val="385623"/>
          <w:sz w:val="28"/>
          <w:szCs w:val="28"/>
          <w:lang w:eastAsia="en-US" w:bidi="en-US"/>
        </w:rPr>
        <w:t>Экологическая политика</w:t>
      </w:r>
      <w:bookmarkEnd w:id="114"/>
      <w:bookmarkEnd w:id="115"/>
    </w:p>
    <w:p w14:paraId="0450E9F9" w14:textId="77777777" w:rsidR="002449C2" w:rsidRDefault="00123961">
      <w:pPr>
        <w:shd w:val="clear" w:color="auto" w:fill="FFFFFF"/>
        <w:spacing w:after="0" w:line="240" w:lineRule="auto"/>
        <w:ind w:right="-1" w:firstLine="720"/>
        <w:jc w:val="both"/>
        <w:rPr>
          <w:rFonts w:ascii="Times New Roman" w:hAnsi="Times New Roman"/>
          <w:iCs/>
          <w:sz w:val="26"/>
          <w:szCs w:val="26"/>
        </w:rPr>
      </w:pPr>
      <w:r>
        <w:rPr>
          <w:rFonts w:ascii="Times New Roman" w:hAnsi="Times New Roman"/>
          <w:sz w:val="26"/>
          <w:szCs w:val="26"/>
        </w:rPr>
        <w:t xml:space="preserve">Основными целями </w:t>
      </w:r>
      <w:r>
        <w:rPr>
          <w:rFonts w:ascii="Times New Roman" w:hAnsi="Times New Roman"/>
          <w:iCs/>
          <w:sz w:val="26"/>
          <w:szCs w:val="26"/>
        </w:rPr>
        <w:t xml:space="preserve">в рамках реализации Экологической политики </w:t>
      </w:r>
      <w:r>
        <w:rPr>
          <w:rFonts w:ascii="Times New Roman" w:hAnsi="Times New Roman"/>
          <w:sz w:val="26"/>
          <w:szCs w:val="26"/>
        </w:rPr>
        <w:t>электросетевого комплекса в</w:t>
      </w:r>
      <w:r>
        <w:rPr>
          <w:rFonts w:ascii="Times New Roman" w:hAnsi="Times New Roman"/>
          <w:iCs/>
          <w:sz w:val="26"/>
          <w:szCs w:val="26"/>
        </w:rPr>
        <w:t xml:space="preserve"> 2024 году были определены:</w:t>
      </w:r>
    </w:p>
    <w:p w14:paraId="2F2CA470" w14:textId="77777777" w:rsidR="002449C2" w:rsidRDefault="00123961">
      <w:pPr>
        <w:shd w:val="clear" w:color="auto" w:fill="FFFFFF"/>
        <w:spacing w:after="0" w:line="240" w:lineRule="auto"/>
        <w:ind w:right="-1" w:firstLine="720"/>
        <w:jc w:val="both"/>
        <w:rPr>
          <w:rFonts w:ascii="Times New Roman" w:hAnsi="Times New Roman"/>
          <w:iCs/>
          <w:sz w:val="26"/>
          <w:szCs w:val="26"/>
        </w:rPr>
      </w:pPr>
      <w:r>
        <w:rPr>
          <w:rFonts w:ascii="Times New Roman" w:hAnsi="Times New Roman"/>
          <w:sz w:val="26"/>
          <w:szCs w:val="26"/>
        </w:rPr>
        <w:t>- выполнение Графика вывода из эксплуатации ПХБ-содержащего оборудования и сдачи на уничтожение ПАО «Россети Юг»;</w:t>
      </w:r>
    </w:p>
    <w:p w14:paraId="5EAD3241" w14:textId="77777777" w:rsidR="002449C2" w:rsidRDefault="00123961">
      <w:pPr>
        <w:shd w:val="clear" w:color="auto" w:fill="FFFFFF"/>
        <w:spacing w:after="0" w:line="240" w:lineRule="auto"/>
        <w:ind w:right="-1" w:firstLine="720"/>
        <w:jc w:val="both"/>
        <w:rPr>
          <w:rFonts w:ascii="Times New Roman" w:hAnsi="Times New Roman"/>
          <w:iCs/>
          <w:sz w:val="26"/>
          <w:szCs w:val="26"/>
        </w:rPr>
      </w:pPr>
      <w:r>
        <w:rPr>
          <w:rFonts w:ascii="Times New Roman" w:hAnsi="Times New Roman"/>
          <w:sz w:val="26"/>
          <w:szCs w:val="26"/>
        </w:rPr>
        <w:t>- обеспечение выполнения мероприятий Программы реализации Экологической политики ПАО «Россети Юг».</w:t>
      </w:r>
    </w:p>
    <w:p w14:paraId="356DD216" w14:textId="77777777" w:rsidR="002449C2" w:rsidRDefault="00123961">
      <w:pPr>
        <w:shd w:val="clear" w:color="auto" w:fill="FFFFFF"/>
        <w:spacing w:after="0" w:line="240" w:lineRule="auto"/>
        <w:ind w:right="-1" w:firstLine="720"/>
        <w:jc w:val="both"/>
        <w:rPr>
          <w:rFonts w:ascii="Times New Roman" w:hAnsi="Times New Roman"/>
          <w:sz w:val="26"/>
          <w:szCs w:val="26"/>
        </w:rPr>
      </w:pPr>
      <w:r>
        <w:rPr>
          <w:rFonts w:ascii="Times New Roman" w:hAnsi="Times New Roman"/>
          <w:sz w:val="26"/>
          <w:szCs w:val="26"/>
        </w:rPr>
        <w:t>В рамках Экологического менеджмента в 2024 году в ПАО «Россети Юг» проведены следующие мероприятия:</w:t>
      </w:r>
    </w:p>
    <w:p w14:paraId="5121741A" w14:textId="77777777" w:rsidR="002449C2" w:rsidRDefault="00123961">
      <w:pPr>
        <w:shd w:val="clear" w:color="auto" w:fill="FFFFFF"/>
        <w:spacing w:after="0" w:line="240" w:lineRule="auto"/>
        <w:ind w:right="-1" w:firstLine="720"/>
        <w:jc w:val="both"/>
        <w:rPr>
          <w:rFonts w:ascii="Times New Roman" w:hAnsi="Times New Roman"/>
          <w:sz w:val="26"/>
          <w:szCs w:val="26"/>
        </w:rPr>
      </w:pPr>
      <w:r>
        <w:rPr>
          <w:rFonts w:ascii="Times New Roman" w:hAnsi="Times New Roman"/>
          <w:sz w:val="26"/>
          <w:szCs w:val="26"/>
        </w:rPr>
        <w:t>- анализ соответствия производственной деятельности Общества обязательным экологическим требованиям за 2023 год, установлены целевые показатели результативности процесса на 2024 год;</w:t>
      </w:r>
    </w:p>
    <w:p w14:paraId="0B6FE8AF" w14:textId="77777777" w:rsidR="002449C2" w:rsidRDefault="00123961">
      <w:pPr>
        <w:pStyle w:val="ListParagraph1SubtleEmphasishead5-31Table-NormalRSHBTable-Normal2ACList011Tit"/>
        <w:numPr>
          <w:ilvl w:val="0"/>
          <w:numId w:val="46"/>
        </w:numPr>
        <w:shd w:val="clear" w:color="auto" w:fill="FFFFFF"/>
        <w:tabs>
          <w:tab w:val="left" w:pos="275"/>
          <w:tab w:val="left" w:pos="512"/>
          <w:tab w:val="left" w:pos="851"/>
        </w:tabs>
        <w:spacing w:after="0" w:line="240" w:lineRule="auto"/>
        <w:ind w:left="0" w:firstLine="567"/>
        <w:contextualSpacing/>
        <w:jc w:val="both"/>
        <w:rPr>
          <w:rFonts w:ascii="Times New Roman" w:hAnsi="Times New Roman"/>
          <w:sz w:val="26"/>
          <w:szCs w:val="26"/>
        </w:rPr>
      </w:pPr>
      <w:r>
        <w:rPr>
          <w:rFonts w:ascii="Times New Roman" w:hAnsi="Times New Roman"/>
          <w:sz w:val="26"/>
          <w:szCs w:val="26"/>
        </w:rPr>
        <w:t>- в ноябре 2024 года в филиале ПАО «Россети Юг» – «Волгоградэнерго» проведен сертификационный аудит на соответствие требованиям стандарта ГОСТ Р ИСО 14001. Группа аудиторов заключила, что организация поддерживает систему управления в соответствии с требованиями стандарта и продемонстрировала её способность систематически достигать согласованные требования к услугам в рамках области применения системы, Политики организации и ее целей;</w:t>
      </w:r>
    </w:p>
    <w:p w14:paraId="5F3E2FE1" w14:textId="77777777" w:rsidR="002449C2" w:rsidRDefault="00123961">
      <w:pPr>
        <w:pStyle w:val="ListParagraph1SubtleEmphasishead5-31Table-NormalRSHBTable-Normal2ACList011Tit"/>
        <w:numPr>
          <w:ilvl w:val="0"/>
          <w:numId w:val="46"/>
        </w:numPr>
        <w:shd w:val="clear" w:color="auto" w:fill="FFFFFF"/>
        <w:tabs>
          <w:tab w:val="left" w:pos="275"/>
          <w:tab w:val="left" w:pos="512"/>
          <w:tab w:val="left" w:pos="851"/>
        </w:tabs>
        <w:spacing w:after="0" w:line="240" w:lineRule="auto"/>
        <w:ind w:left="0" w:firstLine="567"/>
        <w:contextualSpacing/>
        <w:jc w:val="both"/>
        <w:rPr>
          <w:rFonts w:ascii="Times New Roman" w:hAnsi="Times New Roman"/>
          <w:sz w:val="26"/>
          <w:szCs w:val="26"/>
        </w:rPr>
      </w:pPr>
      <w:r>
        <w:rPr>
          <w:rFonts w:ascii="Times New Roman" w:hAnsi="Times New Roman"/>
          <w:sz w:val="26"/>
          <w:szCs w:val="26"/>
        </w:rPr>
        <w:t>показатель бизнес - процесса «Управление экологией» «Выполнение Программы реализации экологической политики» в 2024 году выполнен на 100 %.</w:t>
      </w:r>
    </w:p>
    <w:p w14:paraId="6FBFAE51" w14:textId="77777777" w:rsidR="002449C2" w:rsidRDefault="002449C2">
      <w:pPr>
        <w:shd w:val="clear" w:color="auto" w:fill="FFFFFF"/>
        <w:spacing w:after="0" w:line="240" w:lineRule="auto"/>
        <w:ind w:right="-1" w:firstLine="720"/>
        <w:jc w:val="both"/>
        <w:rPr>
          <w:rFonts w:ascii="Times New Roman" w:hAnsi="Times New Roman"/>
          <w:sz w:val="26"/>
          <w:szCs w:val="26"/>
        </w:rPr>
      </w:pPr>
    </w:p>
    <w:p w14:paraId="278F42A0" w14:textId="77777777" w:rsidR="002449C2" w:rsidRDefault="00123961">
      <w:pPr>
        <w:shd w:val="clear" w:color="auto" w:fill="FFFFFF"/>
        <w:spacing w:before="120" w:after="120" w:line="240" w:lineRule="auto"/>
        <w:ind w:firstLine="567"/>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Результаты в области охраны окружающей среды</w:t>
      </w:r>
    </w:p>
    <w:p w14:paraId="3DFBCEDD" w14:textId="77777777" w:rsidR="002449C2" w:rsidRDefault="00123961">
      <w:pPr>
        <w:shd w:val="clear" w:color="auto" w:fill="FFFFFF"/>
        <w:tabs>
          <w:tab w:val="left" w:pos="1080"/>
          <w:tab w:val="left" w:pos="1320"/>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соответствии с Федеральным законом «Об охране окружающей среды» все производственные площадки ПАО «Россети Юг», оказывающие негативное воздействие на окружающую среду, находятся на учете в государственных органах. Всего зарегистрировано 141 объектов: III категория – 115 ед., IV - 26 ед.</w:t>
      </w:r>
    </w:p>
    <w:p w14:paraId="003BCCDB" w14:textId="77777777" w:rsidR="002449C2" w:rsidRDefault="00123961">
      <w:pPr>
        <w:shd w:val="clear" w:color="auto" w:fill="FFFFFF"/>
        <w:tabs>
          <w:tab w:val="left" w:pos="709"/>
          <w:tab w:val="left" w:pos="851"/>
          <w:tab w:val="left" w:pos="993"/>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2024 году в Обществе действовали 15 лицензий на право пользования недрами с целью добычи подземных вод: 4 лицензий в филиале «Волгоградэнерго» и 11 в филиале «Ростовэнерго». В целях охраны и рационального использования водных ресурсов в рамках лицензионных соглашений в 2024 году проведена оценка качества подземных вод (наблюдение за уровнем и температурой подземных вод, учет водопотребления, отбор проб на бактериологический и химический анализ, определение физических свойств воды). </w:t>
      </w:r>
    </w:p>
    <w:p w14:paraId="112E9580" w14:textId="77777777" w:rsidR="002449C2" w:rsidRDefault="00123961">
      <w:pPr>
        <w:shd w:val="clear" w:color="auto" w:fill="FFFFFF"/>
        <w:tabs>
          <w:tab w:val="left" w:pos="709"/>
          <w:tab w:val="left" w:pos="851"/>
          <w:tab w:val="left" w:pos="993"/>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целях охраны и рационального использования земель в Обществе организован регулярный контроль за раздельным накоплением коммунальных и производственных отходов (отработанные шины, трансформаторы, аккумуляторы, ртутьсодержащие лампы, масла, отходы металлов и др.), их своевременная передача специализированным организациям для обезвреживания, размещения. В 2024 году передано на обезвреживание 529 шт. и выведено из эксплуатации 1118 шт. конденсаторов с трихлордифенилом - отходов оборудования, содержащего чрезвычайно опасные загрязняющие вещества.</w:t>
      </w:r>
    </w:p>
    <w:p w14:paraId="4329FBDC"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Все производственные площадки филиалов ПАО «Россети Юг» в 2024 году были обеспечены разрешительной документацией, по мере истечения сроков ее действия своевременно разрабатываются новые документы. Для контроля объема выбросов загрязняющих веществ в атмосферу в соответствии с графиками в 2024 году Обществом привлекались аккредитованные лаборатории. Превышений нормативных показателей не установлено.</w:t>
      </w:r>
    </w:p>
    <w:p w14:paraId="3CAFFD25" w14:textId="77777777" w:rsidR="002449C2" w:rsidRDefault="00123961">
      <w:pPr>
        <w:shd w:val="clear" w:color="auto" w:fill="FFFFFF"/>
        <w:tabs>
          <w:tab w:val="left" w:pos="1080"/>
          <w:tab w:val="left" w:pos="1320"/>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целях переподготовки и повышения квалификации работников в 2024 году было обучено 65 человек по программам повышения квалификации руководителей и специалистов в области охраны окружающей среды и экологической безопасности и системе экологического менеджмента.</w:t>
      </w:r>
    </w:p>
    <w:p w14:paraId="468F58C5" w14:textId="77777777" w:rsidR="002449C2" w:rsidRDefault="00123961">
      <w:pPr>
        <w:shd w:val="clear" w:color="auto" w:fill="FFFFFF"/>
        <w:spacing w:before="120" w:after="120" w:line="240" w:lineRule="auto"/>
        <w:ind w:firstLine="567"/>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Применение перспективных технологий и решений в области охраны окружающей среды</w:t>
      </w:r>
    </w:p>
    <w:tbl>
      <w:tblPr>
        <w:tblW w:w="2376" w:type="dxa"/>
        <w:tblLayout w:type="fixed"/>
        <w:tblLook w:val="04A0" w:firstRow="1" w:lastRow="0" w:firstColumn="1" w:lastColumn="0" w:noHBand="0" w:noVBand="1"/>
      </w:tblPr>
      <w:tblGrid>
        <w:gridCol w:w="1242"/>
        <w:gridCol w:w="1134"/>
      </w:tblGrid>
      <w:tr w:rsidR="002449C2" w14:paraId="5F35DF64" w14:textId="77777777">
        <w:tc>
          <w:tcPr>
            <w:tcW w:w="1241" w:type="dxa"/>
          </w:tcPr>
          <w:p w14:paraId="044D5FBA" w14:textId="77777777" w:rsidR="002449C2" w:rsidRDefault="00123961">
            <w:pPr>
              <w:shd w:val="clear" w:color="auto" w:fill="FFFFFF"/>
              <w:spacing w:before="120" w:after="120" w:line="240" w:lineRule="auto"/>
              <w:jc w:val="both"/>
              <w:rPr>
                <w:rFonts w:ascii="Times New Roman" w:eastAsia="Times New Roman" w:hAnsi="Times New Roman"/>
                <w:b/>
                <w:sz w:val="26"/>
                <w:szCs w:val="26"/>
                <w:lang w:eastAsia="ru-RU"/>
              </w:rPr>
            </w:pPr>
            <w:r>
              <w:rPr>
                <w:noProof/>
                <w:lang w:eastAsia="ru-RU"/>
              </w:rPr>
              <w:drawing>
                <wp:inline distT="0" distB="0" distL="0" distR="0" wp14:anchorId="157712E1" wp14:editId="141BFD16">
                  <wp:extent cx="532765" cy="541655"/>
                  <wp:effectExtent l="0" t="0" r="0" b="0"/>
                  <wp:docPr id="80" name="_x005F_x0000_i4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_x005F_x0000_i4454"/>
                          <pic:cNvPicPr>
                            <a:picLocks noChangeAspect="1" noChangeArrowheads="1"/>
                          </pic:cNvPicPr>
                        </pic:nvPicPr>
                        <pic:blipFill>
                          <a:blip r:embed="rId106">
                            <a:extLst>
                              <a:ext uri="{96DAC541-7B7A-43D3-8B79-37D633B846F1}">
                                <asvg:svgBlip xmlns:asvg="http://schemas.microsoft.com/office/drawing/2016/SVG/main" xmlns:w10="urn:schemas-microsoft-com:office:word" xmlns:w="http://schemas.openxmlformats.org/wordprocessingml/2006/main" xmlns:v="urn:schemas-microsoft-com:vml" xmlns:o="urn:schemas-microsoft-com:office:office" xmlns="" r:embed="rId107"/>
                              </a:ext>
                            </a:extLst>
                          </a:blip>
                          <a:stretch>
                            <a:fillRect/>
                          </a:stretch>
                        </pic:blipFill>
                        <pic:spPr bwMode="auto">
                          <a:xfrm>
                            <a:off x="0" y="0"/>
                            <a:ext cx="532765" cy="541655"/>
                          </a:xfrm>
                          <a:prstGeom prst="rect">
                            <a:avLst/>
                          </a:prstGeom>
                          <a:noFill/>
                        </pic:spPr>
                      </pic:pic>
                    </a:graphicData>
                  </a:graphic>
                </wp:inline>
              </w:drawing>
            </w:r>
          </w:p>
        </w:tc>
        <w:tc>
          <w:tcPr>
            <w:tcW w:w="1134" w:type="dxa"/>
          </w:tcPr>
          <w:p w14:paraId="275E141A" w14:textId="77777777" w:rsidR="002449C2" w:rsidRDefault="00123961">
            <w:pPr>
              <w:shd w:val="clear" w:color="auto" w:fill="FFFFFF"/>
              <w:spacing w:before="120" w:after="120" w:line="240" w:lineRule="auto"/>
              <w:jc w:val="both"/>
              <w:rPr>
                <w:rFonts w:ascii="Times New Roman" w:eastAsia="Times New Roman" w:hAnsi="Times New Roman"/>
                <w:b/>
                <w:sz w:val="26"/>
                <w:szCs w:val="26"/>
                <w:lang w:eastAsia="ru-RU"/>
              </w:rPr>
            </w:pPr>
            <w:r>
              <w:rPr>
                <w:noProof/>
                <w:lang w:eastAsia="ru-RU"/>
              </w:rPr>
              <w:drawing>
                <wp:inline distT="0" distB="0" distL="0" distR="0" wp14:anchorId="10C8E314" wp14:editId="05BC1E95">
                  <wp:extent cx="534035" cy="542925"/>
                  <wp:effectExtent l="0" t="0" r="0" b="0"/>
                  <wp:docPr id="81" name="_x005F_x0000_i4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_x005F_x0000_i4455"/>
                          <pic:cNvPicPr>
                            <a:picLocks noChangeAspect="1" noChangeArrowheads="1"/>
                          </pic:cNvPicPr>
                        </pic:nvPicPr>
                        <pic:blipFill>
                          <a:blip r:embed="rId108">
                            <a:extLst>
                              <a:ext uri="{96DAC541-7B7A-43D3-8B79-37D633B846F1}">
                                <asvg:svgBlip xmlns:asvg="http://schemas.microsoft.com/office/drawing/2016/SVG/main" xmlns:w10="urn:schemas-microsoft-com:office:word" xmlns:w="http://schemas.openxmlformats.org/wordprocessingml/2006/main" xmlns:v="urn:schemas-microsoft-com:vml" xmlns:o="urn:schemas-microsoft-com:office:office" xmlns="" r:embed="rId109"/>
                              </a:ext>
                            </a:extLst>
                          </a:blip>
                          <a:stretch>
                            <a:fillRect/>
                          </a:stretch>
                        </pic:blipFill>
                        <pic:spPr bwMode="auto">
                          <a:xfrm>
                            <a:off x="0" y="0"/>
                            <a:ext cx="534035" cy="542925"/>
                          </a:xfrm>
                          <a:prstGeom prst="rect">
                            <a:avLst/>
                          </a:prstGeom>
                          <a:noFill/>
                        </pic:spPr>
                      </pic:pic>
                    </a:graphicData>
                  </a:graphic>
                </wp:inline>
              </w:drawing>
            </w:r>
          </w:p>
        </w:tc>
      </w:tr>
    </w:tbl>
    <w:p w14:paraId="30C7F724"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 целью повышения уровня экологической безопасности в 2024 году проведены следующие мероприятия:</w:t>
      </w:r>
    </w:p>
    <w:p w14:paraId="0260E491" w14:textId="77777777" w:rsidR="002449C2" w:rsidRDefault="00123961">
      <w:pPr>
        <w:numPr>
          <w:ilvl w:val="0"/>
          <w:numId w:val="17"/>
        </w:numPr>
        <w:shd w:val="clear" w:color="auto" w:fill="FFFFFF"/>
        <w:tabs>
          <w:tab w:val="left" w:pos="851"/>
        </w:tabs>
        <w:spacing w:after="0" w:line="240" w:lineRule="auto"/>
        <w:ind w:left="0" w:firstLine="426"/>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замена масляных выключателей на вакуумные (86 шт.);</w:t>
      </w:r>
    </w:p>
    <w:p w14:paraId="5A2D42E6" w14:textId="77777777" w:rsidR="002449C2" w:rsidRDefault="00123961">
      <w:pPr>
        <w:numPr>
          <w:ilvl w:val="0"/>
          <w:numId w:val="17"/>
        </w:numPr>
        <w:shd w:val="clear" w:color="auto" w:fill="FFFFFF"/>
        <w:tabs>
          <w:tab w:val="left" w:pos="851"/>
        </w:tabs>
        <w:spacing w:after="0" w:line="240" w:lineRule="auto"/>
        <w:ind w:left="0" w:firstLine="426"/>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замена маслонаполненных вводов на вводы с твердой изоляцией (28 шт.);</w:t>
      </w:r>
    </w:p>
    <w:p w14:paraId="156C628D" w14:textId="77777777" w:rsidR="002449C2" w:rsidRDefault="00123961">
      <w:pPr>
        <w:numPr>
          <w:ilvl w:val="0"/>
          <w:numId w:val="17"/>
        </w:numPr>
        <w:shd w:val="clear" w:color="auto" w:fill="FFFFFF"/>
        <w:tabs>
          <w:tab w:val="left" w:pos="567"/>
          <w:tab w:val="left" w:pos="851"/>
        </w:tabs>
        <w:spacing w:after="0" w:line="240" w:lineRule="auto"/>
        <w:ind w:left="0" w:firstLine="426"/>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оснащение воздушных ЛЭП 0,4 кВ и выше птицезащитными устройствами 6 690 шт.);</w:t>
      </w:r>
    </w:p>
    <w:p w14:paraId="7A0D8267" w14:textId="77777777" w:rsidR="002449C2" w:rsidRDefault="00123961">
      <w:pPr>
        <w:shd w:val="clear" w:color="auto" w:fill="FFFFFF"/>
        <w:spacing w:after="0" w:line="240" w:lineRule="auto"/>
        <w:contextualSpacing/>
        <w:jc w:val="center"/>
        <w:rPr>
          <w:rFonts w:ascii="Times New Roman" w:eastAsia="Times New Roman" w:hAnsi="Times New Roman"/>
          <w:sz w:val="26"/>
          <w:szCs w:val="26"/>
          <w:lang w:eastAsia="ru-RU"/>
        </w:rPr>
      </w:pPr>
      <w:r>
        <w:rPr>
          <w:rFonts w:ascii="Times New Roman" w:eastAsia="Times New Roman" w:hAnsi="Times New Roman"/>
          <w:sz w:val="26"/>
          <w:szCs w:val="26"/>
          <w:lang w:eastAsia="ru-RU"/>
        </w:rPr>
        <w:t>Использование новых технологий для охраны окружающей среды</w:t>
      </w:r>
    </w:p>
    <w:tbl>
      <w:tblPr>
        <w:tblW w:w="6612" w:type="dxa"/>
        <w:jc w:val="center"/>
        <w:tblLayout w:type="fixed"/>
        <w:tblLook w:val="04A0" w:firstRow="1" w:lastRow="0" w:firstColumn="1" w:lastColumn="0" w:noHBand="0" w:noVBand="1"/>
      </w:tblPr>
      <w:tblGrid>
        <w:gridCol w:w="2829"/>
        <w:gridCol w:w="568"/>
        <w:gridCol w:w="1284"/>
        <w:gridCol w:w="966"/>
        <w:gridCol w:w="965"/>
      </w:tblGrid>
      <w:tr w:rsidR="002449C2" w14:paraId="129841D0" w14:textId="77777777">
        <w:trPr>
          <w:trHeight w:val="294"/>
          <w:jc w:val="center"/>
        </w:trPr>
        <w:tc>
          <w:tcPr>
            <w:tcW w:w="2829" w:type="dxa"/>
            <w:tcBorders>
              <w:top w:val="single" w:sz="4" w:space="0" w:color="000000"/>
              <w:left w:val="single" w:sz="4" w:space="0" w:color="000000"/>
              <w:bottom w:val="single" w:sz="4" w:space="0" w:color="000000"/>
              <w:right w:val="single" w:sz="4" w:space="0" w:color="000000"/>
            </w:tcBorders>
          </w:tcPr>
          <w:p w14:paraId="735098AF" w14:textId="77777777" w:rsidR="002449C2" w:rsidRDefault="002449C2">
            <w:pPr>
              <w:shd w:val="clear" w:color="auto" w:fill="FFFFFF"/>
              <w:spacing w:after="0" w:line="240" w:lineRule="auto"/>
              <w:rPr>
                <w:rFonts w:ascii="Times New Roman" w:eastAsia="Times New Roman" w:hAnsi="Times New Roman"/>
                <w:sz w:val="18"/>
                <w:szCs w:val="18"/>
                <w:lang w:eastAsia="ar-SA"/>
              </w:rPr>
            </w:pPr>
          </w:p>
        </w:tc>
        <w:tc>
          <w:tcPr>
            <w:tcW w:w="568" w:type="dxa"/>
            <w:tcBorders>
              <w:top w:val="single" w:sz="4" w:space="0" w:color="000000"/>
              <w:left w:val="single" w:sz="4" w:space="0" w:color="000000"/>
              <w:bottom w:val="single" w:sz="4" w:space="0" w:color="000000"/>
              <w:right w:val="single" w:sz="4" w:space="0" w:color="000000"/>
            </w:tcBorders>
          </w:tcPr>
          <w:p w14:paraId="75FE67BC" w14:textId="77777777" w:rsidR="002449C2" w:rsidRDefault="002449C2">
            <w:pPr>
              <w:shd w:val="clear" w:color="auto" w:fill="FFFFFF"/>
              <w:spacing w:after="0" w:line="240" w:lineRule="auto"/>
              <w:rPr>
                <w:rFonts w:ascii="Times New Roman" w:eastAsia="Times New Roman" w:hAnsi="Times New Roman"/>
                <w:sz w:val="18"/>
                <w:szCs w:val="18"/>
                <w:lang w:eastAsia="ar-SA"/>
              </w:rPr>
            </w:pPr>
          </w:p>
        </w:tc>
        <w:tc>
          <w:tcPr>
            <w:tcW w:w="1284" w:type="dxa"/>
            <w:tcBorders>
              <w:top w:val="single" w:sz="4" w:space="0" w:color="000000"/>
              <w:left w:val="single" w:sz="4" w:space="0" w:color="000000"/>
              <w:bottom w:val="single" w:sz="4" w:space="0" w:color="000000"/>
              <w:right w:val="single" w:sz="4" w:space="0" w:color="000000"/>
            </w:tcBorders>
          </w:tcPr>
          <w:p w14:paraId="3BDE825F"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2022</w:t>
            </w:r>
          </w:p>
        </w:tc>
        <w:tc>
          <w:tcPr>
            <w:tcW w:w="966" w:type="dxa"/>
            <w:tcBorders>
              <w:top w:val="single" w:sz="4" w:space="0" w:color="000000"/>
              <w:left w:val="single" w:sz="4" w:space="0" w:color="000000"/>
              <w:bottom w:val="single" w:sz="4" w:space="0" w:color="000000"/>
              <w:right w:val="single" w:sz="4" w:space="0" w:color="000000"/>
            </w:tcBorders>
          </w:tcPr>
          <w:p w14:paraId="623C3FB7"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2023</w:t>
            </w:r>
          </w:p>
        </w:tc>
        <w:tc>
          <w:tcPr>
            <w:tcW w:w="965" w:type="dxa"/>
            <w:tcBorders>
              <w:top w:val="single" w:sz="4" w:space="0" w:color="000000"/>
              <w:left w:val="single" w:sz="4" w:space="0" w:color="000000"/>
              <w:bottom w:val="single" w:sz="4" w:space="0" w:color="000000"/>
              <w:right w:val="single" w:sz="4" w:space="0" w:color="000000"/>
            </w:tcBorders>
          </w:tcPr>
          <w:p w14:paraId="3C653B14"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2024</w:t>
            </w:r>
          </w:p>
        </w:tc>
      </w:tr>
      <w:tr w:rsidR="002449C2" w14:paraId="53841253" w14:textId="77777777">
        <w:trPr>
          <w:trHeight w:val="306"/>
          <w:jc w:val="center"/>
        </w:trPr>
        <w:tc>
          <w:tcPr>
            <w:tcW w:w="2829" w:type="dxa"/>
            <w:tcBorders>
              <w:top w:val="single" w:sz="4" w:space="0" w:color="000000"/>
              <w:left w:val="single" w:sz="4" w:space="0" w:color="000000"/>
              <w:bottom w:val="single" w:sz="4" w:space="0" w:color="000000"/>
              <w:right w:val="single" w:sz="4" w:space="0" w:color="000000"/>
            </w:tcBorders>
          </w:tcPr>
          <w:p w14:paraId="76219057" w14:textId="77777777" w:rsidR="002449C2" w:rsidRDefault="00123961">
            <w:pPr>
              <w:shd w:val="clear" w:color="auto" w:fill="FFFFFF"/>
              <w:spacing w:after="0" w:line="240" w:lineRule="auto"/>
              <w:rPr>
                <w:rFonts w:ascii="Times New Roman" w:eastAsia="Times New Roman" w:hAnsi="Times New Roman"/>
                <w:sz w:val="18"/>
                <w:szCs w:val="18"/>
                <w:lang w:eastAsia="ar-SA"/>
              </w:rPr>
            </w:pPr>
            <w:r>
              <w:rPr>
                <w:rFonts w:ascii="Times New Roman" w:eastAsia="Times New Roman" w:hAnsi="Times New Roman"/>
                <w:sz w:val="18"/>
                <w:szCs w:val="18"/>
                <w:lang w:eastAsia="ar-SA"/>
              </w:rPr>
              <w:t>Вакуумные выключатели 35 кВ</w:t>
            </w:r>
          </w:p>
        </w:tc>
        <w:tc>
          <w:tcPr>
            <w:tcW w:w="568" w:type="dxa"/>
            <w:tcBorders>
              <w:top w:val="single" w:sz="4" w:space="0" w:color="000000"/>
              <w:left w:val="single" w:sz="4" w:space="0" w:color="000000"/>
              <w:bottom w:val="single" w:sz="4" w:space="0" w:color="000000"/>
              <w:right w:val="single" w:sz="4" w:space="0" w:color="000000"/>
            </w:tcBorders>
            <w:vAlign w:val="bottom"/>
          </w:tcPr>
          <w:p w14:paraId="00AB5A43" w14:textId="77777777" w:rsidR="002449C2" w:rsidRDefault="00123961">
            <w:pPr>
              <w:shd w:val="clear" w:color="auto" w:fill="FFFFFF"/>
              <w:spacing w:after="0" w:line="240" w:lineRule="auto"/>
              <w:rPr>
                <w:rFonts w:ascii="Times New Roman" w:eastAsia="Times New Roman" w:hAnsi="Times New Roman"/>
                <w:sz w:val="18"/>
                <w:szCs w:val="18"/>
                <w:lang w:eastAsia="ar-SA"/>
              </w:rPr>
            </w:pPr>
            <w:r>
              <w:rPr>
                <w:rFonts w:ascii="Times New Roman" w:eastAsia="Times New Roman" w:hAnsi="Times New Roman"/>
                <w:sz w:val="18"/>
                <w:szCs w:val="18"/>
                <w:lang w:eastAsia="ar-SA"/>
              </w:rPr>
              <w:t>шт.</w:t>
            </w:r>
          </w:p>
        </w:tc>
        <w:tc>
          <w:tcPr>
            <w:tcW w:w="1284" w:type="dxa"/>
            <w:tcBorders>
              <w:top w:val="single" w:sz="4" w:space="0" w:color="000000"/>
              <w:left w:val="single" w:sz="4" w:space="0" w:color="000000"/>
              <w:bottom w:val="single" w:sz="4" w:space="0" w:color="000000"/>
              <w:right w:val="single" w:sz="4" w:space="0" w:color="000000"/>
            </w:tcBorders>
          </w:tcPr>
          <w:p w14:paraId="48B26B2B"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138</w:t>
            </w:r>
          </w:p>
        </w:tc>
        <w:tc>
          <w:tcPr>
            <w:tcW w:w="966" w:type="dxa"/>
            <w:tcBorders>
              <w:top w:val="single" w:sz="4" w:space="0" w:color="000000"/>
              <w:left w:val="single" w:sz="4" w:space="0" w:color="000000"/>
              <w:bottom w:val="single" w:sz="4" w:space="0" w:color="000000"/>
              <w:right w:val="single" w:sz="4" w:space="0" w:color="000000"/>
            </w:tcBorders>
          </w:tcPr>
          <w:p w14:paraId="7FC63E9D" w14:textId="77777777" w:rsidR="002449C2" w:rsidRDefault="00123961">
            <w:pPr>
              <w:shd w:val="clear" w:color="auto" w:fill="FFFFFF"/>
              <w:spacing w:after="0" w:line="240" w:lineRule="auto"/>
              <w:jc w:val="center"/>
              <w:rPr>
                <w:rFonts w:ascii="Times New Roman" w:hAnsi="Times New Roman"/>
                <w:sz w:val="18"/>
                <w:szCs w:val="18"/>
                <w:lang w:eastAsia="ar-SA"/>
              </w:rPr>
            </w:pPr>
            <w:r>
              <w:rPr>
                <w:rFonts w:ascii="Times New Roman" w:hAnsi="Times New Roman"/>
                <w:sz w:val="18"/>
                <w:szCs w:val="18"/>
                <w:lang w:eastAsia="ar-SA"/>
              </w:rPr>
              <w:t>139</w:t>
            </w:r>
          </w:p>
        </w:tc>
        <w:tc>
          <w:tcPr>
            <w:tcW w:w="965" w:type="dxa"/>
            <w:tcBorders>
              <w:top w:val="single" w:sz="4" w:space="0" w:color="000000"/>
              <w:left w:val="single" w:sz="4" w:space="0" w:color="000000"/>
              <w:bottom w:val="single" w:sz="4" w:space="0" w:color="000000"/>
              <w:right w:val="single" w:sz="4" w:space="0" w:color="000000"/>
            </w:tcBorders>
          </w:tcPr>
          <w:p w14:paraId="735D0B36" w14:textId="77777777" w:rsidR="002449C2" w:rsidRDefault="00123961">
            <w:pPr>
              <w:shd w:val="clear" w:color="auto" w:fill="FFFFFF"/>
              <w:spacing w:after="0" w:line="240" w:lineRule="auto"/>
              <w:jc w:val="center"/>
              <w:rPr>
                <w:rFonts w:ascii="Times New Roman" w:hAnsi="Times New Roman"/>
                <w:sz w:val="18"/>
                <w:szCs w:val="18"/>
                <w:lang w:eastAsia="ar-SA"/>
              </w:rPr>
            </w:pPr>
            <w:r>
              <w:rPr>
                <w:rFonts w:ascii="Times New Roman" w:hAnsi="Times New Roman"/>
                <w:sz w:val="18"/>
                <w:szCs w:val="18"/>
                <w:lang w:eastAsia="ar-SA"/>
              </w:rPr>
              <w:t>-</w:t>
            </w:r>
          </w:p>
        </w:tc>
      </w:tr>
      <w:tr w:rsidR="002449C2" w14:paraId="48E71C64" w14:textId="77777777">
        <w:trPr>
          <w:trHeight w:val="306"/>
          <w:jc w:val="center"/>
        </w:trPr>
        <w:tc>
          <w:tcPr>
            <w:tcW w:w="2829" w:type="dxa"/>
            <w:tcBorders>
              <w:top w:val="single" w:sz="4" w:space="0" w:color="000000"/>
              <w:left w:val="single" w:sz="4" w:space="0" w:color="000000"/>
              <w:bottom w:val="single" w:sz="4" w:space="0" w:color="000000"/>
              <w:right w:val="single" w:sz="4" w:space="0" w:color="000000"/>
            </w:tcBorders>
          </w:tcPr>
          <w:p w14:paraId="0CBFCFCD" w14:textId="77777777" w:rsidR="002449C2" w:rsidRDefault="00123961">
            <w:pPr>
              <w:shd w:val="clear" w:color="auto" w:fill="FFFFFF"/>
              <w:spacing w:after="0" w:line="240" w:lineRule="auto"/>
              <w:rPr>
                <w:rFonts w:ascii="Times New Roman" w:eastAsia="Times New Roman" w:hAnsi="Times New Roman"/>
                <w:sz w:val="18"/>
                <w:szCs w:val="18"/>
                <w:lang w:eastAsia="ar-SA"/>
              </w:rPr>
            </w:pPr>
            <w:r>
              <w:rPr>
                <w:rFonts w:ascii="Times New Roman" w:eastAsia="Times New Roman" w:hAnsi="Times New Roman"/>
                <w:sz w:val="18"/>
                <w:szCs w:val="18"/>
                <w:lang w:eastAsia="ar-SA"/>
              </w:rPr>
              <w:t>Вакуумные выключатели 3-20 кВ</w:t>
            </w:r>
          </w:p>
        </w:tc>
        <w:tc>
          <w:tcPr>
            <w:tcW w:w="568" w:type="dxa"/>
            <w:tcBorders>
              <w:top w:val="single" w:sz="4" w:space="0" w:color="000000"/>
              <w:left w:val="single" w:sz="4" w:space="0" w:color="000000"/>
              <w:bottom w:val="single" w:sz="4" w:space="0" w:color="000000"/>
              <w:right w:val="single" w:sz="4" w:space="0" w:color="000000"/>
            </w:tcBorders>
            <w:vAlign w:val="bottom"/>
          </w:tcPr>
          <w:p w14:paraId="35939030" w14:textId="77777777" w:rsidR="002449C2" w:rsidRDefault="00123961">
            <w:pPr>
              <w:shd w:val="clear" w:color="auto" w:fill="FFFFFF"/>
              <w:spacing w:after="0" w:line="240" w:lineRule="auto"/>
              <w:rPr>
                <w:rFonts w:ascii="Times New Roman" w:eastAsia="Times New Roman" w:hAnsi="Times New Roman"/>
                <w:sz w:val="18"/>
                <w:szCs w:val="18"/>
                <w:lang w:eastAsia="ar-SA"/>
              </w:rPr>
            </w:pPr>
            <w:r>
              <w:rPr>
                <w:rFonts w:ascii="Times New Roman" w:eastAsia="Times New Roman" w:hAnsi="Times New Roman"/>
                <w:sz w:val="18"/>
                <w:szCs w:val="18"/>
                <w:lang w:eastAsia="ar-SA"/>
              </w:rPr>
              <w:t>шт.</w:t>
            </w:r>
          </w:p>
        </w:tc>
        <w:tc>
          <w:tcPr>
            <w:tcW w:w="1284" w:type="dxa"/>
            <w:tcBorders>
              <w:top w:val="single" w:sz="4" w:space="0" w:color="000000"/>
              <w:left w:val="single" w:sz="4" w:space="0" w:color="000000"/>
              <w:bottom w:val="single" w:sz="4" w:space="0" w:color="000000"/>
              <w:right w:val="single" w:sz="4" w:space="0" w:color="000000"/>
            </w:tcBorders>
          </w:tcPr>
          <w:p w14:paraId="790F5B6C"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5977</w:t>
            </w:r>
          </w:p>
        </w:tc>
        <w:tc>
          <w:tcPr>
            <w:tcW w:w="966" w:type="dxa"/>
            <w:tcBorders>
              <w:top w:val="single" w:sz="4" w:space="0" w:color="000000"/>
              <w:left w:val="single" w:sz="4" w:space="0" w:color="000000"/>
              <w:bottom w:val="single" w:sz="4" w:space="0" w:color="000000"/>
              <w:right w:val="single" w:sz="4" w:space="0" w:color="000000"/>
            </w:tcBorders>
          </w:tcPr>
          <w:p w14:paraId="5D334434" w14:textId="77777777" w:rsidR="002449C2" w:rsidRDefault="00123961">
            <w:pPr>
              <w:shd w:val="clear" w:color="auto" w:fill="FFFFFF"/>
              <w:spacing w:after="0" w:line="240" w:lineRule="auto"/>
              <w:jc w:val="center"/>
              <w:rPr>
                <w:rFonts w:ascii="Times New Roman" w:hAnsi="Times New Roman"/>
                <w:sz w:val="18"/>
                <w:szCs w:val="18"/>
                <w:lang w:eastAsia="ar-SA"/>
              </w:rPr>
            </w:pPr>
            <w:r>
              <w:rPr>
                <w:rFonts w:ascii="Times New Roman" w:hAnsi="Times New Roman"/>
                <w:sz w:val="18"/>
                <w:szCs w:val="18"/>
                <w:lang w:eastAsia="ar-SA"/>
              </w:rPr>
              <w:t>6061</w:t>
            </w:r>
          </w:p>
        </w:tc>
        <w:tc>
          <w:tcPr>
            <w:tcW w:w="965" w:type="dxa"/>
            <w:tcBorders>
              <w:top w:val="single" w:sz="4" w:space="0" w:color="000000"/>
              <w:left w:val="single" w:sz="4" w:space="0" w:color="000000"/>
              <w:bottom w:val="single" w:sz="4" w:space="0" w:color="000000"/>
              <w:right w:val="single" w:sz="4" w:space="0" w:color="000000"/>
            </w:tcBorders>
          </w:tcPr>
          <w:p w14:paraId="12CC7668" w14:textId="77777777" w:rsidR="002449C2" w:rsidRDefault="00123961">
            <w:pPr>
              <w:shd w:val="clear" w:color="auto" w:fill="FFFFFF"/>
              <w:spacing w:after="0" w:line="240" w:lineRule="auto"/>
              <w:jc w:val="center"/>
              <w:rPr>
                <w:rFonts w:ascii="Times New Roman" w:hAnsi="Times New Roman"/>
                <w:sz w:val="18"/>
                <w:szCs w:val="18"/>
                <w:lang w:eastAsia="ar-SA"/>
              </w:rPr>
            </w:pPr>
            <w:r>
              <w:rPr>
                <w:rFonts w:ascii="Times New Roman" w:hAnsi="Times New Roman"/>
                <w:sz w:val="18"/>
                <w:szCs w:val="18"/>
                <w:lang w:eastAsia="ar-SA"/>
              </w:rPr>
              <w:t>6147</w:t>
            </w:r>
          </w:p>
        </w:tc>
      </w:tr>
      <w:tr w:rsidR="002449C2" w14:paraId="60DA6709" w14:textId="77777777">
        <w:trPr>
          <w:trHeight w:val="294"/>
          <w:jc w:val="center"/>
        </w:trPr>
        <w:tc>
          <w:tcPr>
            <w:tcW w:w="2829" w:type="dxa"/>
            <w:tcBorders>
              <w:top w:val="single" w:sz="4" w:space="0" w:color="000000"/>
              <w:left w:val="single" w:sz="4" w:space="0" w:color="000000"/>
              <w:bottom w:val="single" w:sz="4" w:space="0" w:color="000000"/>
              <w:right w:val="single" w:sz="4" w:space="0" w:color="000000"/>
            </w:tcBorders>
          </w:tcPr>
          <w:p w14:paraId="65391366" w14:textId="77777777" w:rsidR="002449C2" w:rsidRDefault="00123961">
            <w:pPr>
              <w:shd w:val="clear" w:color="auto" w:fill="FFFFFF"/>
              <w:spacing w:after="0" w:line="240" w:lineRule="auto"/>
              <w:rPr>
                <w:rFonts w:ascii="Times New Roman" w:eastAsia="Times New Roman" w:hAnsi="Times New Roman"/>
                <w:sz w:val="18"/>
                <w:szCs w:val="18"/>
                <w:lang w:eastAsia="ar-SA"/>
              </w:rPr>
            </w:pPr>
            <w:r>
              <w:rPr>
                <w:rFonts w:ascii="Times New Roman" w:eastAsia="Times New Roman" w:hAnsi="Times New Roman"/>
                <w:sz w:val="18"/>
                <w:szCs w:val="18"/>
                <w:lang w:eastAsia="ar-SA"/>
              </w:rPr>
              <w:t>СИП на ВЛ</w:t>
            </w:r>
          </w:p>
        </w:tc>
        <w:tc>
          <w:tcPr>
            <w:tcW w:w="568" w:type="dxa"/>
            <w:tcBorders>
              <w:top w:val="single" w:sz="4" w:space="0" w:color="000000"/>
              <w:left w:val="single" w:sz="4" w:space="0" w:color="000000"/>
              <w:bottom w:val="single" w:sz="4" w:space="0" w:color="000000"/>
              <w:right w:val="single" w:sz="4" w:space="0" w:color="000000"/>
            </w:tcBorders>
            <w:vAlign w:val="bottom"/>
          </w:tcPr>
          <w:p w14:paraId="59AA1F8C" w14:textId="77777777" w:rsidR="002449C2" w:rsidRDefault="00123961">
            <w:pPr>
              <w:shd w:val="clear" w:color="auto" w:fill="FFFFFF"/>
              <w:spacing w:after="0" w:line="240" w:lineRule="auto"/>
              <w:rPr>
                <w:rFonts w:ascii="Times New Roman" w:eastAsia="Times New Roman" w:hAnsi="Times New Roman"/>
                <w:sz w:val="18"/>
                <w:szCs w:val="18"/>
                <w:lang w:eastAsia="ar-SA"/>
              </w:rPr>
            </w:pPr>
            <w:r>
              <w:rPr>
                <w:rFonts w:ascii="Times New Roman" w:eastAsia="Times New Roman" w:hAnsi="Times New Roman"/>
                <w:sz w:val="18"/>
                <w:szCs w:val="18"/>
                <w:lang w:eastAsia="ar-SA"/>
              </w:rPr>
              <w:t>км</w:t>
            </w:r>
          </w:p>
        </w:tc>
        <w:tc>
          <w:tcPr>
            <w:tcW w:w="1284" w:type="dxa"/>
            <w:tcBorders>
              <w:top w:val="single" w:sz="4" w:space="0" w:color="000000"/>
              <w:left w:val="single" w:sz="4" w:space="0" w:color="000000"/>
              <w:bottom w:val="single" w:sz="4" w:space="0" w:color="000000"/>
              <w:right w:val="single" w:sz="4" w:space="0" w:color="000000"/>
            </w:tcBorders>
          </w:tcPr>
          <w:p w14:paraId="6E89227C"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455</w:t>
            </w:r>
          </w:p>
        </w:tc>
        <w:tc>
          <w:tcPr>
            <w:tcW w:w="966" w:type="dxa"/>
            <w:tcBorders>
              <w:top w:val="single" w:sz="4" w:space="0" w:color="000000"/>
              <w:left w:val="single" w:sz="4" w:space="0" w:color="000000"/>
              <w:bottom w:val="single" w:sz="4" w:space="0" w:color="000000"/>
              <w:right w:val="single" w:sz="4" w:space="0" w:color="000000"/>
            </w:tcBorders>
          </w:tcPr>
          <w:p w14:paraId="1DFCED14"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327,5</w:t>
            </w:r>
          </w:p>
        </w:tc>
        <w:tc>
          <w:tcPr>
            <w:tcW w:w="965" w:type="dxa"/>
            <w:tcBorders>
              <w:top w:val="single" w:sz="4" w:space="0" w:color="000000"/>
              <w:left w:val="single" w:sz="4" w:space="0" w:color="000000"/>
              <w:bottom w:val="single" w:sz="4" w:space="0" w:color="000000"/>
              <w:right w:val="single" w:sz="4" w:space="0" w:color="000000"/>
            </w:tcBorders>
          </w:tcPr>
          <w:p w14:paraId="0B1FDFD3"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0,195</w:t>
            </w:r>
          </w:p>
        </w:tc>
      </w:tr>
    </w:tbl>
    <w:p w14:paraId="35AFA5C1" w14:textId="77777777" w:rsidR="002449C2" w:rsidRDefault="002449C2">
      <w:pPr>
        <w:shd w:val="clear" w:color="auto" w:fill="FFFFFF"/>
        <w:spacing w:before="120" w:after="120" w:line="240" w:lineRule="auto"/>
        <w:ind w:firstLine="567"/>
        <w:jc w:val="both"/>
        <w:rPr>
          <w:rFonts w:ascii="Times New Roman" w:eastAsia="Times New Roman" w:hAnsi="Times New Roman"/>
          <w:b/>
          <w:sz w:val="26"/>
          <w:szCs w:val="26"/>
          <w:lang w:eastAsia="ru-RU"/>
        </w:rPr>
      </w:pPr>
    </w:p>
    <w:p w14:paraId="2E769CA7" w14:textId="77777777" w:rsidR="002449C2" w:rsidRDefault="00123961">
      <w:pPr>
        <w:keepNext/>
        <w:keepLines/>
        <w:shd w:val="clear" w:color="auto" w:fill="FFFFFF"/>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116" w:name="_Toc195174948"/>
      <w:bookmarkStart w:id="117" w:name="_Toc196143041"/>
      <w:r>
        <w:rPr>
          <w:rFonts w:ascii="Times New Roman" w:eastAsia="Times New Roman" w:hAnsi="Times New Roman"/>
          <w:color w:val="385623"/>
          <w:sz w:val="28"/>
          <w:szCs w:val="28"/>
          <w:lang w:eastAsia="en-US" w:bidi="en-US"/>
        </w:rPr>
        <w:t>Расходы на охрану окружающей среды</w:t>
      </w:r>
      <w:bookmarkEnd w:id="116"/>
      <w:bookmarkEnd w:id="117"/>
    </w:p>
    <w:p w14:paraId="17648DB5" w14:textId="77777777" w:rsidR="002449C2" w:rsidRDefault="00123961">
      <w:pPr>
        <w:shd w:val="clear" w:color="auto" w:fill="FFFFFF"/>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ПАО «Россети Юг» финансирует деятельность, направленную на охрану окружающей среды. Текущие затраты в 2024 году составили 45,48 млн руб.</w:t>
      </w:r>
    </w:p>
    <w:p w14:paraId="079D26D5" w14:textId="77777777" w:rsidR="002449C2" w:rsidRDefault="002449C2">
      <w:pPr>
        <w:shd w:val="clear" w:color="auto" w:fill="FFFFFF"/>
        <w:spacing w:after="0" w:line="240" w:lineRule="auto"/>
        <w:ind w:firstLine="709"/>
        <w:jc w:val="center"/>
        <w:rPr>
          <w:rFonts w:ascii="Times New Roman" w:eastAsia="Times New Roman" w:hAnsi="Times New Roman"/>
          <w:sz w:val="24"/>
          <w:szCs w:val="24"/>
          <w:lang w:eastAsia="ru-RU"/>
        </w:rPr>
      </w:pPr>
    </w:p>
    <w:tbl>
      <w:tblPr>
        <w:tblW w:w="8008" w:type="dxa"/>
        <w:jc w:val="center"/>
        <w:tblLayout w:type="fixed"/>
        <w:tblLook w:val="04A0" w:firstRow="1" w:lastRow="0" w:firstColumn="1" w:lastColumn="0" w:noHBand="0" w:noVBand="1"/>
      </w:tblPr>
      <w:tblGrid>
        <w:gridCol w:w="5524"/>
        <w:gridCol w:w="828"/>
        <w:gridCol w:w="828"/>
        <w:gridCol w:w="828"/>
      </w:tblGrid>
      <w:tr w:rsidR="002449C2" w14:paraId="6FA74348" w14:textId="77777777">
        <w:trPr>
          <w:trHeight w:val="276"/>
          <w:jc w:val="center"/>
        </w:trPr>
        <w:tc>
          <w:tcPr>
            <w:tcW w:w="552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2E77732" w14:textId="77777777" w:rsidR="002449C2" w:rsidRDefault="002449C2">
            <w:pPr>
              <w:shd w:val="clear" w:color="auto" w:fill="FFFFFF"/>
              <w:spacing w:after="0" w:line="240" w:lineRule="auto"/>
              <w:rPr>
                <w:rFonts w:ascii="Times New Roman" w:eastAsia="Times New Roman" w:hAnsi="Times New Roman"/>
                <w:bCs/>
                <w:sz w:val="18"/>
                <w:szCs w:val="18"/>
                <w:lang w:eastAsia="ru-RU"/>
              </w:rPr>
            </w:pPr>
          </w:p>
        </w:tc>
        <w:tc>
          <w:tcPr>
            <w:tcW w:w="828" w:type="dxa"/>
            <w:tcBorders>
              <w:top w:val="single" w:sz="4" w:space="0" w:color="000000"/>
              <w:left w:val="single" w:sz="4" w:space="0" w:color="000000"/>
              <w:bottom w:val="single" w:sz="4" w:space="0" w:color="000000"/>
              <w:right w:val="single" w:sz="4" w:space="0" w:color="000000"/>
            </w:tcBorders>
            <w:shd w:val="clear" w:color="auto" w:fill="FFFFFF"/>
          </w:tcPr>
          <w:p w14:paraId="74D48D61" w14:textId="77777777" w:rsidR="002449C2" w:rsidRDefault="00123961">
            <w:pPr>
              <w:shd w:val="clear" w:color="auto" w:fill="FFFFFF"/>
              <w:spacing w:after="0" w:line="240" w:lineRule="auto"/>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2022</w:t>
            </w:r>
          </w:p>
        </w:tc>
        <w:tc>
          <w:tcPr>
            <w:tcW w:w="828" w:type="dxa"/>
            <w:tcBorders>
              <w:top w:val="single" w:sz="4" w:space="0" w:color="000000"/>
              <w:left w:val="single" w:sz="4" w:space="0" w:color="000000"/>
              <w:bottom w:val="single" w:sz="4" w:space="0" w:color="000000"/>
              <w:right w:val="single" w:sz="4" w:space="0" w:color="000000"/>
            </w:tcBorders>
            <w:shd w:val="clear" w:color="auto" w:fill="FFFFFF"/>
          </w:tcPr>
          <w:p w14:paraId="1940C8BD" w14:textId="77777777" w:rsidR="002449C2" w:rsidRDefault="00123961">
            <w:pPr>
              <w:shd w:val="clear" w:color="auto" w:fill="FFFFFF"/>
              <w:spacing w:after="0" w:line="240" w:lineRule="auto"/>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2023</w:t>
            </w:r>
          </w:p>
        </w:tc>
        <w:tc>
          <w:tcPr>
            <w:tcW w:w="828" w:type="dxa"/>
            <w:tcBorders>
              <w:top w:val="single" w:sz="4" w:space="0" w:color="000000"/>
              <w:left w:val="single" w:sz="4" w:space="0" w:color="000000"/>
              <w:bottom w:val="single" w:sz="4" w:space="0" w:color="000000"/>
              <w:right w:val="single" w:sz="4" w:space="0" w:color="000000"/>
            </w:tcBorders>
            <w:shd w:val="clear" w:color="auto" w:fill="FFFFFF"/>
          </w:tcPr>
          <w:p w14:paraId="6561AFEF" w14:textId="77777777" w:rsidR="002449C2" w:rsidRDefault="00123961">
            <w:pPr>
              <w:shd w:val="clear" w:color="auto" w:fill="FFFFFF"/>
              <w:spacing w:after="0" w:line="240" w:lineRule="auto"/>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2024</w:t>
            </w:r>
          </w:p>
        </w:tc>
      </w:tr>
      <w:tr w:rsidR="002449C2" w14:paraId="478D3777" w14:textId="77777777">
        <w:trPr>
          <w:trHeight w:val="227"/>
          <w:jc w:val="center"/>
        </w:trPr>
        <w:tc>
          <w:tcPr>
            <w:tcW w:w="5523" w:type="dxa"/>
            <w:tcBorders>
              <w:top w:val="single" w:sz="4" w:space="0" w:color="000000"/>
              <w:left w:val="single" w:sz="4" w:space="0" w:color="000000"/>
              <w:bottom w:val="single" w:sz="4" w:space="0" w:color="000000"/>
              <w:right w:val="single" w:sz="4" w:space="0" w:color="000000"/>
            </w:tcBorders>
            <w:shd w:val="clear" w:color="auto" w:fill="FFFFFF"/>
          </w:tcPr>
          <w:p w14:paraId="7ECD0ABA" w14:textId="77777777" w:rsidR="002449C2" w:rsidRDefault="00123961">
            <w:pPr>
              <w:shd w:val="clear" w:color="auto" w:fill="FFFFFF"/>
              <w:spacing w:after="0" w:line="240" w:lineRule="auto"/>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Общие затраты на охрану окружающей среды по типам затрат, млн руб.:</w:t>
            </w:r>
          </w:p>
        </w:tc>
        <w:tc>
          <w:tcPr>
            <w:tcW w:w="828" w:type="dxa"/>
            <w:tcBorders>
              <w:top w:val="single" w:sz="4" w:space="0" w:color="000000"/>
              <w:left w:val="single" w:sz="4" w:space="0" w:color="000000"/>
              <w:bottom w:val="single" w:sz="4" w:space="0" w:color="000000"/>
              <w:right w:val="single" w:sz="4" w:space="0" w:color="000000"/>
            </w:tcBorders>
            <w:shd w:val="clear" w:color="auto" w:fill="FFFFFF"/>
          </w:tcPr>
          <w:p w14:paraId="1B217F3A" w14:textId="77777777" w:rsidR="002449C2" w:rsidRDefault="00123961">
            <w:pPr>
              <w:shd w:val="clear" w:color="auto" w:fill="FFFFFF"/>
              <w:spacing w:after="0" w:line="240" w:lineRule="auto"/>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33,69</w:t>
            </w:r>
          </w:p>
        </w:tc>
        <w:tc>
          <w:tcPr>
            <w:tcW w:w="828" w:type="dxa"/>
            <w:tcBorders>
              <w:top w:val="single" w:sz="4" w:space="0" w:color="000000"/>
              <w:left w:val="single" w:sz="4" w:space="0" w:color="000000"/>
              <w:bottom w:val="single" w:sz="4" w:space="0" w:color="000000"/>
              <w:right w:val="single" w:sz="4" w:space="0" w:color="000000"/>
            </w:tcBorders>
            <w:shd w:val="clear" w:color="auto" w:fill="FFFFFF"/>
          </w:tcPr>
          <w:p w14:paraId="6F1A9F12" w14:textId="77777777" w:rsidR="002449C2" w:rsidRDefault="00123961">
            <w:pPr>
              <w:shd w:val="clear" w:color="auto" w:fill="FFFFFF"/>
              <w:spacing w:after="0" w:line="240" w:lineRule="auto"/>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37,72</w:t>
            </w:r>
          </w:p>
        </w:tc>
        <w:tc>
          <w:tcPr>
            <w:tcW w:w="828" w:type="dxa"/>
            <w:tcBorders>
              <w:top w:val="single" w:sz="4" w:space="0" w:color="000000"/>
              <w:left w:val="single" w:sz="4" w:space="0" w:color="000000"/>
              <w:bottom w:val="single" w:sz="4" w:space="0" w:color="000000"/>
              <w:right w:val="single" w:sz="4" w:space="0" w:color="000000"/>
            </w:tcBorders>
            <w:shd w:val="clear" w:color="auto" w:fill="FFFFFF"/>
          </w:tcPr>
          <w:p w14:paraId="6B556EEC" w14:textId="77777777" w:rsidR="002449C2" w:rsidRDefault="00123961">
            <w:pPr>
              <w:shd w:val="clear" w:color="auto" w:fill="FFFFFF"/>
              <w:spacing w:after="0" w:line="240" w:lineRule="auto"/>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45,48</w:t>
            </w:r>
          </w:p>
        </w:tc>
      </w:tr>
      <w:tr w:rsidR="002449C2" w14:paraId="70CF50FB" w14:textId="77777777">
        <w:trPr>
          <w:trHeight w:val="246"/>
          <w:jc w:val="center"/>
        </w:trPr>
        <w:tc>
          <w:tcPr>
            <w:tcW w:w="5523" w:type="dxa"/>
            <w:tcBorders>
              <w:top w:val="single" w:sz="4" w:space="0" w:color="000000"/>
              <w:left w:val="single" w:sz="4" w:space="0" w:color="000000"/>
              <w:bottom w:val="single" w:sz="4" w:space="0" w:color="000000"/>
              <w:right w:val="single" w:sz="4" w:space="0" w:color="000000"/>
            </w:tcBorders>
          </w:tcPr>
          <w:p w14:paraId="0F95A115" w14:textId="77777777" w:rsidR="002449C2" w:rsidRDefault="00123961">
            <w:pPr>
              <w:shd w:val="clear" w:color="auto" w:fill="FFFFFF"/>
              <w:spacing w:after="0" w:line="240" w:lineRule="auto"/>
              <w:ind w:firstLine="360"/>
              <w:rPr>
                <w:rFonts w:ascii="Times New Roman" w:eastAsia="Times New Roman" w:hAnsi="Times New Roman"/>
                <w:sz w:val="18"/>
                <w:szCs w:val="18"/>
                <w:lang w:eastAsia="ru-RU"/>
              </w:rPr>
            </w:pPr>
            <w:r>
              <w:rPr>
                <w:rFonts w:ascii="Times New Roman" w:eastAsia="Times New Roman" w:hAnsi="Times New Roman"/>
                <w:sz w:val="18"/>
                <w:szCs w:val="18"/>
                <w:lang w:eastAsia="ru-RU"/>
              </w:rPr>
              <w:t>текущие расходы, млн руб.:</w:t>
            </w:r>
          </w:p>
        </w:tc>
        <w:tc>
          <w:tcPr>
            <w:tcW w:w="828" w:type="dxa"/>
            <w:tcBorders>
              <w:top w:val="single" w:sz="4" w:space="0" w:color="000000"/>
              <w:left w:val="single" w:sz="4" w:space="0" w:color="000000"/>
              <w:bottom w:val="single" w:sz="4" w:space="0" w:color="000000"/>
              <w:right w:val="single" w:sz="4" w:space="0" w:color="000000"/>
            </w:tcBorders>
          </w:tcPr>
          <w:p w14:paraId="7A5155BA" w14:textId="77777777" w:rsidR="002449C2" w:rsidRDefault="002449C2">
            <w:pPr>
              <w:shd w:val="clear" w:color="auto" w:fill="FFFFFF"/>
              <w:spacing w:after="0" w:line="240" w:lineRule="auto"/>
              <w:jc w:val="center"/>
              <w:rPr>
                <w:rFonts w:ascii="Times New Roman" w:eastAsia="Times New Roman" w:hAnsi="Times New Roman"/>
                <w:sz w:val="18"/>
                <w:szCs w:val="18"/>
                <w:lang w:eastAsia="ru-RU"/>
              </w:rPr>
            </w:pPr>
          </w:p>
        </w:tc>
        <w:tc>
          <w:tcPr>
            <w:tcW w:w="828" w:type="dxa"/>
            <w:tcBorders>
              <w:top w:val="single" w:sz="4" w:space="0" w:color="000000"/>
              <w:left w:val="single" w:sz="4" w:space="0" w:color="000000"/>
              <w:bottom w:val="single" w:sz="4" w:space="0" w:color="000000"/>
              <w:right w:val="single" w:sz="4" w:space="0" w:color="000000"/>
            </w:tcBorders>
          </w:tcPr>
          <w:p w14:paraId="1D52BC21" w14:textId="77777777" w:rsidR="002449C2" w:rsidRDefault="002449C2">
            <w:pPr>
              <w:shd w:val="clear" w:color="auto" w:fill="FFFFFF"/>
              <w:spacing w:after="0" w:line="240" w:lineRule="auto"/>
              <w:jc w:val="center"/>
              <w:rPr>
                <w:rFonts w:ascii="Times New Roman" w:eastAsia="Times New Roman" w:hAnsi="Times New Roman"/>
                <w:sz w:val="18"/>
                <w:szCs w:val="18"/>
                <w:lang w:eastAsia="ru-RU"/>
              </w:rPr>
            </w:pPr>
          </w:p>
        </w:tc>
        <w:tc>
          <w:tcPr>
            <w:tcW w:w="828" w:type="dxa"/>
            <w:tcBorders>
              <w:top w:val="single" w:sz="4" w:space="0" w:color="000000"/>
              <w:left w:val="single" w:sz="4" w:space="0" w:color="000000"/>
              <w:bottom w:val="single" w:sz="4" w:space="0" w:color="000000"/>
              <w:right w:val="single" w:sz="4" w:space="0" w:color="000000"/>
            </w:tcBorders>
          </w:tcPr>
          <w:p w14:paraId="0A0805B3" w14:textId="77777777" w:rsidR="002449C2" w:rsidRDefault="002449C2">
            <w:pPr>
              <w:shd w:val="clear" w:color="auto" w:fill="FFFFFF"/>
              <w:spacing w:after="0" w:line="240" w:lineRule="auto"/>
              <w:jc w:val="center"/>
              <w:rPr>
                <w:rFonts w:ascii="Times New Roman" w:eastAsia="Times New Roman" w:hAnsi="Times New Roman"/>
                <w:sz w:val="18"/>
                <w:szCs w:val="18"/>
                <w:lang w:eastAsia="ru-RU"/>
              </w:rPr>
            </w:pPr>
          </w:p>
        </w:tc>
      </w:tr>
      <w:tr w:rsidR="002449C2" w14:paraId="34CC46C6" w14:textId="77777777">
        <w:trPr>
          <w:trHeight w:val="112"/>
          <w:jc w:val="center"/>
        </w:trPr>
        <w:tc>
          <w:tcPr>
            <w:tcW w:w="5523" w:type="dxa"/>
            <w:tcBorders>
              <w:top w:val="single" w:sz="4" w:space="0" w:color="000000"/>
              <w:left w:val="single" w:sz="4" w:space="0" w:color="000000"/>
              <w:bottom w:val="single" w:sz="4" w:space="0" w:color="000000"/>
              <w:right w:val="single" w:sz="4" w:space="0" w:color="000000"/>
            </w:tcBorders>
          </w:tcPr>
          <w:p w14:paraId="5C62ACC9" w14:textId="77777777" w:rsidR="002449C2" w:rsidRDefault="00123961">
            <w:pPr>
              <w:shd w:val="clear" w:color="auto" w:fill="FFFFFF"/>
              <w:spacing w:after="0" w:line="240" w:lineRule="auto"/>
              <w:ind w:left="709"/>
              <w:rPr>
                <w:rFonts w:ascii="Times New Roman" w:eastAsia="Times New Roman" w:hAnsi="Times New Roman"/>
                <w:sz w:val="18"/>
                <w:szCs w:val="18"/>
                <w:lang w:eastAsia="ru-RU"/>
              </w:rPr>
            </w:pPr>
            <w:r>
              <w:rPr>
                <w:rFonts w:ascii="Times New Roman" w:eastAsia="Times New Roman" w:hAnsi="Times New Roman"/>
                <w:sz w:val="18"/>
                <w:szCs w:val="18"/>
                <w:lang w:eastAsia="ru-RU"/>
              </w:rPr>
              <w:t>на охрану атмосферного воздуха</w:t>
            </w:r>
          </w:p>
        </w:tc>
        <w:tc>
          <w:tcPr>
            <w:tcW w:w="828" w:type="dxa"/>
            <w:tcBorders>
              <w:top w:val="single" w:sz="4" w:space="0" w:color="000000"/>
              <w:left w:val="single" w:sz="4" w:space="0" w:color="000000"/>
              <w:bottom w:val="single" w:sz="4" w:space="0" w:color="000000"/>
              <w:right w:val="single" w:sz="4" w:space="0" w:color="000000"/>
            </w:tcBorders>
          </w:tcPr>
          <w:p w14:paraId="508B81BF" w14:textId="77777777" w:rsidR="002449C2" w:rsidRDefault="00123961">
            <w:pPr>
              <w:shd w:val="clear" w:color="auto" w:fill="FFFFFF"/>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5,60</w:t>
            </w:r>
          </w:p>
        </w:tc>
        <w:tc>
          <w:tcPr>
            <w:tcW w:w="828" w:type="dxa"/>
            <w:tcBorders>
              <w:top w:val="single" w:sz="4" w:space="0" w:color="000000"/>
              <w:left w:val="single" w:sz="4" w:space="0" w:color="000000"/>
              <w:bottom w:val="single" w:sz="4" w:space="0" w:color="000000"/>
              <w:right w:val="single" w:sz="4" w:space="0" w:color="000000"/>
            </w:tcBorders>
          </w:tcPr>
          <w:p w14:paraId="12FD575A" w14:textId="77777777" w:rsidR="002449C2" w:rsidRDefault="00123961">
            <w:pPr>
              <w:shd w:val="clear" w:color="auto" w:fill="FFFFFF"/>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4,65</w:t>
            </w:r>
          </w:p>
        </w:tc>
        <w:tc>
          <w:tcPr>
            <w:tcW w:w="828" w:type="dxa"/>
            <w:tcBorders>
              <w:top w:val="single" w:sz="4" w:space="0" w:color="000000"/>
              <w:left w:val="single" w:sz="4" w:space="0" w:color="000000"/>
              <w:bottom w:val="single" w:sz="4" w:space="0" w:color="000000"/>
              <w:right w:val="single" w:sz="4" w:space="0" w:color="000000"/>
            </w:tcBorders>
          </w:tcPr>
          <w:p w14:paraId="1C0CDECE" w14:textId="77777777" w:rsidR="002449C2" w:rsidRDefault="00123961">
            <w:pPr>
              <w:shd w:val="clear" w:color="auto" w:fill="FFFFFF"/>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13,39</w:t>
            </w:r>
          </w:p>
        </w:tc>
      </w:tr>
      <w:tr w:rsidR="002449C2" w14:paraId="633F4802" w14:textId="77777777">
        <w:trPr>
          <w:trHeight w:val="116"/>
          <w:jc w:val="center"/>
        </w:trPr>
        <w:tc>
          <w:tcPr>
            <w:tcW w:w="5523" w:type="dxa"/>
            <w:tcBorders>
              <w:top w:val="single" w:sz="4" w:space="0" w:color="000000"/>
              <w:left w:val="single" w:sz="4" w:space="0" w:color="000000"/>
              <w:bottom w:val="single" w:sz="4" w:space="0" w:color="000000"/>
              <w:right w:val="single" w:sz="4" w:space="0" w:color="000000"/>
            </w:tcBorders>
          </w:tcPr>
          <w:p w14:paraId="1BC3EDC7" w14:textId="77777777" w:rsidR="002449C2" w:rsidRDefault="00123961">
            <w:pPr>
              <w:shd w:val="clear" w:color="auto" w:fill="FFFFFF"/>
              <w:spacing w:after="0" w:line="240" w:lineRule="auto"/>
              <w:ind w:left="709"/>
              <w:rPr>
                <w:rFonts w:ascii="Times New Roman" w:eastAsia="Times New Roman" w:hAnsi="Times New Roman"/>
                <w:sz w:val="18"/>
                <w:szCs w:val="18"/>
                <w:lang w:eastAsia="ru-RU"/>
              </w:rPr>
            </w:pPr>
            <w:r>
              <w:rPr>
                <w:rFonts w:ascii="Times New Roman" w:eastAsia="Times New Roman" w:hAnsi="Times New Roman"/>
                <w:sz w:val="18"/>
                <w:szCs w:val="18"/>
                <w:lang w:eastAsia="ru-RU"/>
              </w:rPr>
              <w:t>на охрану окружающей среды от отходов</w:t>
            </w:r>
          </w:p>
        </w:tc>
        <w:tc>
          <w:tcPr>
            <w:tcW w:w="828" w:type="dxa"/>
            <w:tcBorders>
              <w:top w:val="single" w:sz="4" w:space="0" w:color="000000"/>
              <w:left w:val="single" w:sz="4" w:space="0" w:color="000000"/>
              <w:bottom w:val="single" w:sz="4" w:space="0" w:color="000000"/>
              <w:right w:val="single" w:sz="4" w:space="0" w:color="000000"/>
            </w:tcBorders>
          </w:tcPr>
          <w:p w14:paraId="4685A896" w14:textId="77777777" w:rsidR="002449C2" w:rsidRDefault="00123961">
            <w:pPr>
              <w:shd w:val="clear" w:color="auto" w:fill="FFFFFF"/>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14,19</w:t>
            </w:r>
          </w:p>
        </w:tc>
        <w:tc>
          <w:tcPr>
            <w:tcW w:w="828" w:type="dxa"/>
            <w:tcBorders>
              <w:top w:val="single" w:sz="4" w:space="0" w:color="000000"/>
              <w:left w:val="single" w:sz="4" w:space="0" w:color="000000"/>
              <w:bottom w:val="single" w:sz="4" w:space="0" w:color="000000"/>
              <w:right w:val="single" w:sz="4" w:space="0" w:color="000000"/>
            </w:tcBorders>
          </w:tcPr>
          <w:p w14:paraId="10A14C4D" w14:textId="77777777" w:rsidR="002449C2" w:rsidRDefault="00123961">
            <w:pPr>
              <w:shd w:val="clear" w:color="auto" w:fill="FFFFFF"/>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15,42</w:t>
            </w:r>
          </w:p>
        </w:tc>
        <w:tc>
          <w:tcPr>
            <w:tcW w:w="828" w:type="dxa"/>
            <w:tcBorders>
              <w:top w:val="single" w:sz="4" w:space="0" w:color="000000"/>
              <w:left w:val="single" w:sz="4" w:space="0" w:color="000000"/>
              <w:bottom w:val="single" w:sz="4" w:space="0" w:color="000000"/>
              <w:right w:val="single" w:sz="4" w:space="0" w:color="000000"/>
            </w:tcBorders>
          </w:tcPr>
          <w:p w14:paraId="16F8D63B" w14:textId="77777777" w:rsidR="002449C2" w:rsidRDefault="00123961">
            <w:pPr>
              <w:shd w:val="clear" w:color="auto" w:fill="FFFFFF"/>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22,25</w:t>
            </w:r>
          </w:p>
        </w:tc>
      </w:tr>
      <w:tr w:rsidR="002449C2" w14:paraId="0B106DD7" w14:textId="77777777">
        <w:trPr>
          <w:trHeight w:val="55"/>
          <w:jc w:val="center"/>
        </w:trPr>
        <w:tc>
          <w:tcPr>
            <w:tcW w:w="5523" w:type="dxa"/>
            <w:tcBorders>
              <w:top w:val="single" w:sz="4" w:space="0" w:color="000000"/>
              <w:left w:val="single" w:sz="4" w:space="0" w:color="000000"/>
              <w:bottom w:val="single" w:sz="4" w:space="0" w:color="000000"/>
              <w:right w:val="single" w:sz="4" w:space="0" w:color="000000"/>
            </w:tcBorders>
          </w:tcPr>
          <w:p w14:paraId="0DBA65DF" w14:textId="77777777" w:rsidR="002449C2" w:rsidRDefault="00123961">
            <w:pPr>
              <w:shd w:val="clear" w:color="auto" w:fill="FFFFFF"/>
              <w:spacing w:after="0" w:line="240" w:lineRule="auto"/>
              <w:ind w:left="709"/>
              <w:rPr>
                <w:rFonts w:ascii="Times New Roman" w:eastAsia="Times New Roman" w:hAnsi="Times New Roman"/>
                <w:sz w:val="18"/>
                <w:szCs w:val="18"/>
                <w:lang w:eastAsia="ru-RU"/>
              </w:rPr>
            </w:pPr>
            <w:r>
              <w:rPr>
                <w:rFonts w:ascii="Times New Roman" w:eastAsia="Times New Roman" w:hAnsi="Times New Roman"/>
                <w:sz w:val="18"/>
                <w:szCs w:val="18"/>
                <w:lang w:eastAsia="ru-RU"/>
              </w:rPr>
              <w:t>на рекультивацию земель</w:t>
            </w:r>
          </w:p>
        </w:tc>
        <w:tc>
          <w:tcPr>
            <w:tcW w:w="828" w:type="dxa"/>
            <w:tcBorders>
              <w:top w:val="single" w:sz="4" w:space="0" w:color="000000"/>
              <w:left w:val="single" w:sz="4" w:space="0" w:color="000000"/>
              <w:bottom w:val="single" w:sz="4" w:space="0" w:color="000000"/>
              <w:right w:val="single" w:sz="4" w:space="0" w:color="000000"/>
            </w:tcBorders>
          </w:tcPr>
          <w:p w14:paraId="42E2DA21" w14:textId="77777777" w:rsidR="002449C2" w:rsidRDefault="00123961">
            <w:pPr>
              <w:shd w:val="clear" w:color="auto" w:fill="FFFFFF"/>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w:t>
            </w:r>
          </w:p>
        </w:tc>
        <w:tc>
          <w:tcPr>
            <w:tcW w:w="828" w:type="dxa"/>
            <w:tcBorders>
              <w:top w:val="single" w:sz="4" w:space="0" w:color="000000"/>
              <w:left w:val="single" w:sz="4" w:space="0" w:color="000000"/>
              <w:bottom w:val="single" w:sz="4" w:space="0" w:color="000000"/>
              <w:right w:val="single" w:sz="4" w:space="0" w:color="000000"/>
            </w:tcBorders>
          </w:tcPr>
          <w:p w14:paraId="13D6EDB9" w14:textId="77777777" w:rsidR="002449C2" w:rsidRDefault="00123961">
            <w:pPr>
              <w:shd w:val="clear" w:color="auto" w:fill="FFFFFF"/>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w:t>
            </w:r>
          </w:p>
        </w:tc>
        <w:tc>
          <w:tcPr>
            <w:tcW w:w="828" w:type="dxa"/>
            <w:tcBorders>
              <w:top w:val="single" w:sz="4" w:space="0" w:color="000000"/>
              <w:left w:val="single" w:sz="4" w:space="0" w:color="000000"/>
              <w:bottom w:val="single" w:sz="4" w:space="0" w:color="000000"/>
              <w:right w:val="single" w:sz="4" w:space="0" w:color="000000"/>
            </w:tcBorders>
          </w:tcPr>
          <w:p w14:paraId="376A7B7E" w14:textId="77777777" w:rsidR="002449C2" w:rsidRDefault="002449C2">
            <w:pPr>
              <w:shd w:val="clear" w:color="auto" w:fill="FFFFFF"/>
              <w:spacing w:after="0" w:line="240" w:lineRule="auto"/>
              <w:jc w:val="center"/>
              <w:rPr>
                <w:rFonts w:ascii="Times New Roman" w:eastAsia="Times New Roman" w:hAnsi="Times New Roman"/>
                <w:sz w:val="18"/>
                <w:szCs w:val="18"/>
                <w:lang w:eastAsia="ru-RU"/>
              </w:rPr>
            </w:pPr>
          </w:p>
        </w:tc>
      </w:tr>
    </w:tbl>
    <w:p w14:paraId="10527526" w14:textId="77777777" w:rsidR="002449C2" w:rsidRDefault="00123961">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Динамика платежей за негативное воздействие на окружающую среду, тыс. руб.</w:t>
      </w:r>
    </w:p>
    <w:tbl>
      <w:tblPr>
        <w:tblW w:w="7953" w:type="dxa"/>
        <w:jc w:val="center"/>
        <w:tblLayout w:type="fixed"/>
        <w:tblLook w:val="04A0" w:firstRow="1" w:lastRow="0" w:firstColumn="1" w:lastColumn="0" w:noHBand="0" w:noVBand="1"/>
      </w:tblPr>
      <w:tblGrid>
        <w:gridCol w:w="5479"/>
        <w:gridCol w:w="831"/>
        <w:gridCol w:w="829"/>
        <w:gridCol w:w="814"/>
      </w:tblGrid>
      <w:tr w:rsidR="002449C2" w14:paraId="431A4838" w14:textId="77777777">
        <w:trPr>
          <w:trHeight w:val="20"/>
          <w:tblHeader/>
          <w:jc w:val="center"/>
        </w:trPr>
        <w:tc>
          <w:tcPr>
            <w:tcW w:w="5478" w:type="dxa"/>
            <w:tcBorders>
              <w:top w:val="single" w:sz="4" w:space="0" w:color="000000"/>
              <w:left w:val="single" w:sz="4" w:space="0" w:color="000000"/>
              <w:bottom w:val="single" w:sz="4" w:space="0" w:color="000000"/>
              <w:right w:val="single" w:sz="4" w:space="0" w:color="000000"/>
            </w:tcBorders>
            <w:vAlign w:val="center"/>
          </w:tcPr>
          <w:p w14:paraId="4664F471" w14:textId="77777777" w:rsidR="002449C2" w:rsidRDefault="002449C2">
            <w:pPr>
              <w:shd w:val="clear" w:color="auto" w:fill="FFFFFF"/>
              <w:spacing w:after="0" w:line="240" w:lineRule="auto"/>
              <w:ind w:left="316" w:hanging="316"/>
              <w:jc w:val="both"/>
              <w:rPr>
                <w:rFonts w:ascii="Times New Roman" w:eastAsia="Times New Roman" w:hAnsi="Times New Roman"/>
                <w:sz w:val="18"/>
                <w:szCs w:val="18"/>
                <w:lang w:eastAsia="ar-SA"/>
              </w:rPr>
            </w:pPr>
          </w:p>
        </w:tc>
        <w:tc>
          <w:tcPr>
            <w:tcW w:w="831" w:type="dxa"/>
            <w:tcBorders>
              <w:top w:val="single" w:sz="4" w:space="0" w:color="000000"/>
              <w:left w:val="single" w:sz="4" w:space="0" w:color="000000"/>
              <w:bottom w:val="single" w:sz="4" w:space="0" w:color="000000"/>
              <w:right w:val="single" w:sz="4" w:space="0" w:color="000000"/>
            </w:tcBorders>
            <w:tcMar>
              <w:left w:w="5" w:type="dxa"/>
              <w:right w:w="5" w:type="dxa"/>
            </w:tcMar>
          </w:tcPr>
          <w:p w14:paraId="2A027163"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2022</w:t>
            </w:r>
          </w:p>
        </w:tc>
        <w:tc>
          <w:tcPr>
            <w:tcW w:w="829" w:type="dxa"/>
            <w:tcBorders>
              <w:top w:val="single" w:sz="4" w:space="0" w:color="000000"/>
              <w:left w:val="single" w:sz="4" w:space="0" w:color="000000"/>
              <w:bottom w:val="single" w:sz="4" w:space="0" w:color="000000"/>
              <w:right w:val="single" w:sz="4" w:space="0" w:color="000000"/>
            </w:tcBorders>
            <w:tcMar>
              <w:left w:w="5" w:type="dxa"/>
              <w:right w:w="5" w:type="dxa"/>
            </w:tcMar>
          </w:tcPr>
          <w:p w14:paraId="3AC4B0BE"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2023</w:t>
            </w:r>
          </w:p>
        </w:tc>
        <w:tc>
          <w:tcPr>
            <w:tcW w:w="814" w:type="dxa"/>
            <w:tcBorders>
              <w:top w:val="single" w:sz="4" w:space="0" w:color="000000"/>
              <w:left w:val="single" w:sz="4" w:space="0" w:color="000000"/>
              <w:bottom w:val="single" w:sz="4" w:space="0" w:color="000000"/>
              <w:right w:val="single" w:sz="4" w:space="0" w:color="000000"/>
            </w:tcBorders>
            <w:tcMar>
              <w:left w:w="5" w:type="dxa"/>
              <w:right w:w="5" w:type="dxa"/>
            </w:tcMar>
          </w:tcPr>
          <w:p w14:paraId="26BD3155"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2024</w:t>
            </w:r>
          </w:p>
        </w:tc>
      </w:tr>
      <w:tr w:rsidR="002449C2" w14:paraId="127B7BB0" w14:textId="77777777">
        <w:trPr>
          <w:trHeight w:val="20"/>
          <w:jc w:val="center"/>
        </w:trPr>
        <w:tc>
          <w:tcPr>
            <w:tcW w:w="5478" w:type="dxa"/>
            <w:tcBorders>
              <w:top w:val="single" w:sz="4" w:space="0" w:color="000000"/>
              <w:left w:val="single" w:sz="4" w:space="0" w:color="000000"/>
              <w:bottom w:val="single" w:sz="4" w:space="0" w:color="000000"/>
              <w:right w:val="single" w:sz="4" w:space="0" w:color="000000"/>
            </w:tcBorders>
            <w:vAlign w:val="bottom"/>
          </w:tcPr>
          <w:p w14:paraId="62516AFA"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Всего, в т. ч.</w:t>
            </w:r>
          </w:p>
        </w:tc>
        <w:tc>
          <w:tcPr>
            <w:tcW w:w="831" w:type="dxa"/>
            <w:tcBorders>
              <w:top w:val="single" w:sz="4" w:space="0" w:color="000000"/>
              <w:left w:val="single" w:sz="4" w:space="0" w:color="000000"/>
              <w:bottom w:val="single" w:sz="4" w:space="0" w:color="000000"/>
              <w:right w:val="single" w:sz="4" w:space="0" w:color="000000"/>
            </w:tcBorders>
            <w:tcMar>
              <w:left w:w="5" w:type="dxa"/>
              <w:right w:w="5" w:type="dxa"/>
            </w:tcMar>
          </w:tcPr>
          <w:p w14:paraId="6881E278"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46,96</w:t>
            </w:r>
          </w:p>
        </w:tc>
        <w:tc>
          <w:tcPr>
            <w:tcW w:w="829" w:type="dxa"/>
            <w:tcBorders>
              <w:top w:val="single" w:sz="4" w:space="0" w:color="000000"/>
              <w:left w:val="single" w:sz="4" w:space="0" w:color="000000"/>
              <w:bottom w:val="single" w:sz="4" w:space="0" w:color="000000"/>
              <w:right w:val="single" w:sz="4" w:space="0" w:color="000000"/>
            </w:tcBorders>
            <w:tcMar>
              <w:left w:w="5" w:type="dxa"/>
              <w:right w:w="5" w:type="dxa"/>
            </w:tcMar>
          </w:tcPr>
          <w:p w14:paraId="59D9F3C7"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28,23</w:t>
            </w:r>
          </w:p>
        </w:tc>
        <w:tc>
          <w:tcPr>
            <w:tcW w:w="814" w:type="dxa"/>
            <w:tcBorders>
              <w:top w:val="single" w:sz="4" w:space="0" w:color="000000"/>
              <w:left w:val="single" w:sz="4" w:space="0" w:color="000000"/>
              <w:bottom w:val="single" w:sz="4" w:space="0" w:color="000000"/>
              <w:right w:val="single" w:sz="4" w:space="0" w:color="000000"/>
            </w:tcBorders>
            <w:tcMar>
              <w:left w:w="5" w:type="dxa"/>
              <w:right w:w="5" w:type="dxa"/>
            </w:tcMar>
          </w:tcPr>
          <w:p w14:paraId="1969FF7F"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68,36</w:t>
            </w:r>
          </w:p>
        </w:tc>
      </w:tr>
      <w:tr w:rsidR="002449C2" w14:paraId="79C1401F" w14:textId="77777777">
        <w:trPr>
          <w:trHeight w:val="20"/>
          <w:jc w:val="center"/>
        </w:trPr>
        <w:tc>
          <w:tcPr>
            <w:tcW w:w="5478" w:type="dxa"/>
            <w:tcBorders>
              <w:top w:val="single" w:sz="4" w:space="0" w:color="000000"/>
              <w:left w:val="single" w:sz="4" w:space="0" w:color="000000"/>
              <w:bottom w:val="single" w:sz="4" w:space="0" w:color="000000"/>
              <w:right w:val="single" w:sz="4" w:space="0" w:color="000000"/>
            </w:tcBorders>
            <w:vAlign w:val="bottom"/>
          </w:tcPr>
          <w:p w14:paraId="2644CC88"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допустимые объемы</w:t>
            </w:r>
          </w:p>
        </w:tc>
        <w:tc>
          <w:tcPr>
            <w:tcW w:w="831" w:type="dxa"/>
            <w:tcBorders>
              <w:top w:val="single" w:sz="4" w:space="0" w:color="000000"/>
              <w:left w:val="single" w:sz="4" w:space="0" w:color="000000"/>
              <w:bottom w:val="single" w:sz="4" w:space="0" w:color="000000"/>
              <w:right w:val="single" w:sz="4" w:space="0" w:color="000000"/>
            </w:tcBorders>
            <w:tcMar>
              <w:left w:w="5" w:type="dxa"/>
              <w:right w:w="5" w:type="dxa"/>
            </w:tcMar>
          </w:tcPr>
          <w:p w14:paraId="38673CB9"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46,96</w:t>
            </w:r>
          </w:p>
        </w:tc>
        <w:tc>
          <w:tcPr>
            <w:tcW w:w="829" w:type="dxa"/>
            <w:tcBorders>
              <w:top w:val="single" w:sz="4" w:space="0" w:color="000000"/>
              <w:left w:val="single" w:sz="4" w:space="0" w:color="000000"/>
              <w:bottom w:val="single" w:sz="4" w:space="0" w:color="000000"/>
              <w:right w:val="single" w:sz="4" w:space="0" w:color="000000"/>
            </w:tcBorders>
            <w:tcMar>
              <w:left w:w="5" w:type="dxa"/>
              <w:right w:w="5" w:type="dxa"/>
            </w:tcMar>
          </w:tcPr>
          <w:p w14:paraId="6B914B56"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28,23</w:t>
            </w:r>
          </w:p>
        </w:tc>
        <w:tc>
          <w:tcPr>
            <w:tcW w:w="814" w:type="dxa"/>
            <w:tcBorders>
              <w:top w:val="single" w:sz="4" w:space="0" w:color="000000"/>
              <w:left w:val="single" w:sz="4" w:space="0" w:color="000000"/>
              <w:bottom w:val="single" w:sz="4" w:space="0" w:color="000000"/>
              <w:right w:val="single" w:sz="4" w:space="0" w:color="000000"/>
            </w:tcBorders>
            <w:tcMar>
              <w:left w:w="5" w:type="dxa"/>
              <w:right w:w="5" w:type="dxa"/>
            </w:tcMar>
          </w:tcPr>
          <w:p w14:paraId="4004230B"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68,36</w:t>
            </w:r>
          </w:p>
        </w:tc>
      </w:tr>
      <w:tr w:rsidR="002449C2" w14:paraId="2D15EA01" w14:textId="77777777">
        <w:trPr>
          <w:trHeight w:val="20"/>
          <w:jc w:val="center"/>
        </w:trPr>
        <w:tc>
          <w:tcPr>
            <w:tcW w:w="5478" w:type="dxa"/>
            <w:tcBorders>
              <w:top w:val="single" w:sz="4" w:space="0" w:color="000000"/>
              <w:left w:val="single" w:sz="4" w:space="0" w:color="000000"/>
              <w:bottom w:val="single" w:sz="4" w:space="0" w:color="000000"/>
              <w:right w:val="single" w:sz="4" w:space="0" w:color="000000"/>
            </w:tcBorders>
            <w:vAlign w:val="bottom"/>
          </w:tcPr>
          <w:p w14:paraId="05C5F162"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сверхлимитные объемы</w:t>
            </w:r>
          </w:p>
        </w:tc>
        <w:tc>
          <w:tcPr>
            <w:tcW w:w="831" w:type="dxa"/>
            <w:tcBorders>
              <w:top w:val="single" w:sz="4" w:space="0" w:color="000000"/>
              <w:left w:val="single" w:sz="4" w:space="0" w:color="000000"/>
              <w:bottom w:val="single" w:sz="4" w:space="0" w:color="000000"/>
              <w:right w:val="single" w:sz="4" w:space="0" w:color="000000"/>
            </w:tcBorders>
            <w:tcMar>
              <w:left w:w="5" w:type="dxa"/>
              <w:right w:w="5" w:type="dxa"/>
            </w:tcMar>
          </w:tcPr>
          <w:p w14:paraId="15C9E37E"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w:t>
            </w:r>
          </w:p>
        </w:tc>
        <w:tc>
          <w:tcPr>
            <w:tcW w:w="829" w:type="dxa"/>
            <w:tcBorders>
              <w:top w:val="single" w:sz="4" w:space="0" w:color="000000"/>
              <w:left w:val="single" w:sz="4" w:space="0" w:color="000000"/>
              <w:bottom w:val="single" w:sz="4" w:space="0" w:color="000000"/>
              <w:right w:val="single" w:sz="4" w:space="0" w:color="000000"/>
            </w:tcBorders>
            <w:tcMar>
              <w:left w:w="5" w:type="dxa"/>
              <w:right w:w="5" w:type="dxa"/>
            </w:tcMar>
          </w:tcPr>
          <w:p w14:paraId="7D2916A9"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c>
          <w:tcPr>
            <w:tcW w:w="814" w:type="dxa"/>
            <w:tcBorders>
              <w:top w:val="single" w:sz="4" w:space="0" w:color="000000"/>
              <w:left w:val="single" w:sz="4" w:space="0" w:color="000000"/>
              <w:bottom w:val="single" w:sz="4" w:space="0" w:color="000000"/>
              <w:right w:val="single" w:sz="4" w:space="0" w:color="000000"/>
            </w:tcBorders>
            <w:tcMar>
              <w:left w:w="5" w:type="dxa"/>
              <w:right w:w="5" w:type="dxa"/>
            </w:tcMar>
          </w:tcPr>
          <w:p w14:paraId="2C5752F2"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r>
      <w:tr w:rsidR="002449C2" w14:paraId="32FF2CE1" w14:textId="77777777">
        <w:trPr>
          <w:trHeight w:val="20"/>
          <w:jc w:val="center"/>
        </w:trPr>
        <w:tc>
          <w:tcPr>
            <w:tcW w:w="5478" w:type="dxa"/>
            <w:tcBorders>
              <w:top w:val="single" w:sz="4" w:space="0" w:color="000000"/>
              <w:left w:val="single" w:sz="4" w:space="0" w:color="000000"/>
              <w:bottom w:val="single" w:sz="4" w:space="0" w:color="000000"/>
              <w:right w:val="single" w:sz="4" w:space="0" w:color="000000"/>
            </w:tcBorders>
            <w:vAlign w:val="bottom"/>
          </w:tcPr>
          <w:p w14:paraId="3CBEE4E8"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Сбросы в водные объекты, в том числе</w:t>
            </w:r>
          </w:p>
        </w:tc>
        <w:tc>
          <w:tcPr>
            <w:tcW w:w="831" w:type="dxa"/>
            <w:tcBorders>
              <w:top w:val="single" w:sz="4" w:space="0" w:color="000000"/>
              <w:left w:val="single" w:sz="4" w:space="0" w:color="000000"/>
              <w:bottom w:val="single" w:sz="4" w:space="0" w:color="000000"/>
              <w:right w:val="single" w:sz="4" w:space="0" w:color="000000"/>
            </w:tcBorders>
            <w:tcMar>
              <w:left w:w="5" w:type="dxa"/>
              <w:right w:w="5" w:type="dxa"/>
            </w:tcMar>
          </w:tcPr>
          <w:p w14:paraId="02606922"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c>
          <w:tcPr>
            <w:tcW w:w="829" w:type="dxa"/>
            <w:tcBorders>
              <w:top w:val="single" w:sz="4" w:space="0" w:color="000000"/>
              <w:left w:val="single" w:sz="4" w:space="0" w:color="000000"/>
              <w:bottom w:val="single" w:sz="4" w:space="0" w:color="000000"/>
              <w:right w:val="single" w:sz="4" w:space="0" w:color="000000"/>
            </w:tcBorders>
            <w:tcMar>
              <w:left w:w="5" w:type="dxa"/>
              <w:right w:w="5" w:type="dxa"/>
            </w:tcMar>
          </w:tcPr>
          <w:p w14:paraId="47ADF074"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c>
          <w:tcPr>
            <w:tcW w:w="814" w:type="dxa"/>
            <w:tcBorders>
              <w:top w:val="single" w:sz="4" w:space="0" w:color="000000"/>
              <w:left w:val="single" w:sz="4" w:space="0" w:color="000000"/>
              <w:bottom w:val="single" w:sz="4" w:space="0" w:color="000000"/>
              <w:right w:val="single" w:sz="4" w:space="0" w:color="000000"/>
            </w:tcBorders>
            <w:tcMar>
              <w:left w:w="5" w:type="dxa"/>
              <w:right w:w="5" w:type="dxa"/>
            </w:tcMar>
          </w:tcPr>
          <w:p w14:paraId="76EE6755"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r>
      <w:tr w:rsidR="002449C2" w14:paraId="2BED8633" w14:textId="77777777">
        <w:trPr>
          <w:trHeight w:val="20"/>
          <w:jc w:val="center"/>
        </w:trPr>
        <w:tc>
          <w:tcPr>
            <w:tcW w:w="5478" w:type="dxa"/>
            <w:tcBorders>
              <w:top w:val="single" w:sz="4" w:space="0" w:color="000000"/>
              <w:left w:val="single" w:sz="4" w:space="0" w:color="000000"/>
              <w:bottom w:val="single" w:sz="4" w:space="0" w:color="000000"/>
              <w:right w:val="single" w:sz="4" w:space="0" w:color="000000"/>
            </w:tcBorders>
            <w:vAlign w:val="bottom"/>
          </w:tcPr>
          <w:p w14:paraId="0269771A"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допустимые объемы</w:t>
            </w:r>
          </w:p>
        </w:tc>
        <w:tc>
          <w:tcPr>
            <w:tcW w:w="831" w:type="dxa"/>
            <w:tcBorders>
              <w:top w:val="single" w:sz="4" w:space="0" w:color="000000"/>
              <w:left w:val="single" w:sz="4" w:space="0" w:color="000000"/>
              <w:bottom w:val="single" w:sz="4" w:space="0" w:color="000000"/>
              <w:right w:val="single" w:sz="4" w:space="0" w:color="000000"/>
            </w:tcBorders>
            <w:tcMar>
              <w:left w:w="5" w:type="dxa"/>
              <w:right w:w="5" w:type="dxa"/>
            </w:tcMar>
          </w:tcPr>
          <w:p w14:paraId="230ADF3D"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w:t>
            </w:r>
          </w:p>
        </w:tc>
        <w:tc>
          <w:tcPr>
            <w:tcW w:w="829" w:type="dxa"/>
            <w:tcBorders>
              <w:top w:val="single" w:sz="4" w:space="0" w:color="000000"/>
              <w:left w:val="single" w:sz="4" w:space="0" w:color="000000"/>
              <w:bottom w:val="single" w:sz="4" w:space="0" w:color="000000"/>
              <w:right w:val="single" w:sz="4" w:space="0" w:color="000000"/>
            </w:tcBorders>
            <w:tcMar>
              <w:left w:w="5" w:type="dxa"/>
              <w:right w:w="5" w:type="dxa"/>
            </w:tcMar>
          </w:tcPr>
          <w:p w14:paraId="7322E2E1"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c>
          <w:tcPr>
            <w:tcW w:w="814" w:type="dxa"/>
            <w:tcBorders>
              <w:top w:val="single" w:sz="4" w:space="0" w:color="000000"/>
              <w:left w:val="single" w:sz="4" w:space="0" w:color="000000"/>
              <w:bottom w:val="single" w:sz="4" w:space="0" w:color="000000"/>
              <w:right w:val="single" w:sz="4" w:space="0" w:color="000000"/>
            </w:tcBorders>
            <w:tcMar>
              <w:left w:w="5" w:type="dxa"/>
              <w:right w:w="5" w:type="dxa"/>
            </w:tcMar>
          </w:tcPr>
          <w:p w14:paraId="1C66B9AB"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r>
      <w:tr w:rsidR="002449C2" w14:paraId="1CC969A5" w14:textId="77777777">
        <w:trPr>
          <w:trHeight w:val="20"/>
          <w:jc w:val="center"/>
        </w:trPr>
        <w:tc>
          <w:tcPr>
            <w:tcW w:w="5478" w:type="dxa"/>
            <w:tcBorders>
              <w:top w:val="single" w:sz="4" w:space="0" w:color="000000"/>
              <w:left w:val="single" w:sz="4" w:space="0" w:color="000000"/>
              <w:bottom w:val="single" w:sz="4" w:space="0" w:color="000000"/>
              <w:right w:val="single" w:sz="4" w:space="0" w:color="000000"/>
            </w:tcBorders>
            <w:vAlign w:val="bottom"/>
          </w:tcPr>
          <w:p w14:paraId="52422B64"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сверхлимитные объемы</w:t>
            </w:r>
          </w:p>
        </w:tc>
        <w:tc>
          <w:tcPr>
            <w:tcW w:w="831" w:type="dxa"/>
            <w:tcBorders>
              <w:top w:val="single" w:sz="4" w:space="0" w:color="000000"/>
              <w:left w:val="single" w:sz="4" w:space="0" w:color="000000"/>
              <w:bottom w:val="single" w:sz="4" w:space="0" w:color="000000"/>
              <w:right w:val="single" w:sz="4" w:space="0" w:color="000000"/>
            </w:tcBorders>
            <w:tcMar>
              <w:left w:w="5" w:type="dxa"/>
              <w:right w:w="5" w:type="dxa"/>
            </w:tcMar>
          </w:tcPr>
          <w:p w14:paraId="4F878580"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w:t>
            </w:r>
          </w:p>
        </w:tc>
        <w:tc>
          <w:tcPr>
            <w:tcW w:w="829" w:type="dxa"/>
            <w:tcBorders>
              <w:top w:val="single" w:sz="4" w:space="0" w:color="000000"/>
              <w:left w:val="single" w:sz="4" w:space="0" w:color="000000"/>
              <w:bottom w:val="single" w:sz="4" w:space="0" w:color="000000"/>
              <w:right w:val="single" w:sz="4" w:space="0" w:color="000000"/>
            </w:tcBorders>
            <w:tcMar>
              <w:left w:w="5" w:type="dxa"/>
              <w:right w:w="5" w:type="dxa"/>
            </w:tcMar>
          </w:tcPr>
          <w:p w14:paraId="1D19681A"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c>
          <w:tcPr>
            <w:tcW w:w="814" w:type="dxa"/>
            <w:tcBorders>
              <w:top w:val="single" w:sz="4" w:space="0" w:color="000000"/>
              <w:left w:val="single" w:sz="4" w:space="0" w:color="000000"/>
              <w:bottom w:val="single" w:sz="4" w:space="0" w:color="000000"/>
              <w:right w:val="single" w:sz="4" w:space="0" w:color="000000"/>
            </w:tcBorders>
            <w:tcMar>
              <w:left w:w="5" w:type="dxa"/>
              <w:right w:w="5" w:type="dxa"/>
            </w:tcMar>
          </w:tcPr>
          <w:p w14:paraId="72BB76CC"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r>
      <w:tr w:rsidR="002449C2" w14:paraId="56F4EEEA" w14:textId="77777777">
        <w:trPr>
          <w:trHeight w:val="20"/>
          <w:jc w:val="center"/>
        </w:trPr>
        <w:tc>
          <w:tcPr>
            <w:tcW w:w="5478" w:type="dxa"/>
            <w:tcBorders>
              <w:top w:val="single" w:sz="4" w:space="0" w:color="000000"/>
              <w:left w:val="single" w:sz="4" w:space="0" w:color="000000"/>
              <w:bottom w:val="single" w:sz="4" w:space="0" w:color="000000"/>
              <w:right w:val="single" w:sz="4" w:space="0" w:color="000000"/>
            </w:tcBorders>
            <w:vAlign w:val="bottom"/>
          </w:tcPr>
          <w:p w14:paraId="75E6AA64"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Выбросы в атмосферу, в том числе</w:t>
            </w:r>
          </w:p>
        </w:tc>
        <w:tc>
          <w:tcPr>
            <w:tcW w:w="831" w:type="dxa"/>
            <w:tcBorders>
              <w:top w:val="single" w:sz="4" w:space="0" w:color="000000"/>
              <w:left w:val="single" w:sz="4" w:space="0" w:color="000000"/>
              <w:bottom w:val="single" w:sz="4" w:space="0" w:color="000000"/>
              <w:right w:val="single" w:sz="4" w:space="0" w:color="000000"/>
            </w:tcBorders>
            <w:tcMar>
              <w:left w:w="5" w:type="dxa"/>
              <w:right w:w="5" w:type="dxa"/>
            </w:tcMar>
          </w:tcPr>
          <w:p w14:paraId="2D23BB29"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c>
          <w:tcPr>
            <w:tcW w:w="829" w:type="dxa"/>
            <w:tcBorders>
              <w:top w:val="single" w:sz="4" w:space="0" w:color="000000"/>
              <w:left w:val="single" w:sz="4" w:space="0" w:color="000000"/>
              <w:bottom w:val="single" w:sz="4" w:space="0" w:color="000000"/>
              <w:right w:val="single" w:sz="4" w:space="0" w:color="000000"/>
            </w:tcBorders>
            <w:tcMar>
              <w:left w:w="5" w:type="dxa"/>
              <w:right w:w="5" w:type="dxa"/>
            </w:tcMar>
          </w:tcPr>
          <w:p w14:paraId="4ECFDF0C"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c>
          <w:tcPr>
            <w:tcW w:w="814" w:type="dxa"/>
            <w:tcBorders>
              <w:top w:val="single" w:sz="4" w:space="0" w:color="000000"/>
              <w:left w:val="single" w:sz="4" w:space="0" w:color="000000"/>
              <w:bottom w:val="single" w:sz="4" w:space="0" w:color="000000"/>
              <w:right w:val="single" w:sz="4" w:space="0" w:color="000000"/>
            </w:tcBorders>
            <w:tcMar>
              <w:left w:w="5" w:type="dxa"/>
              <w:right w:w="5" w:type="dxa"/>
            </w:tcMar>
          </w:tcPr>
          <w:p w14:paraId="17ACB052"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r>
      <w:tr w:rsidR="002449C2" w14:paraId="7D5B4CE5" w14:textId="77777777">
        <w:trPr>
          <w:trHeight w:val="20"/>
          <w:jc w:val="center"/>
        </w:trPr>
        <w:tc>
          <w:tcPr>
            <w:tcW w:w="5478" w:type="dxa"/>
            <w:tcBorders>
              <w:top w:val="single" w:sz="4" w:space="0" w:color="000000"/>
              <w:left w:val="single" w:sz="4" w:space="0" w:color="000000"/>
              <w:bottom w:val="single" w:sz="4" w:space="0" w:color="000000"/>
              <w:right w:val="single" w:sz="4" w:space="0" w:color="000000"/>
            </w:tcBorders>
            <w:vAlign w:val="bottom"/>
          </w:tcPr>
          <w:p w14:paraId="0D7E5889"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допустимые объемы</w:t>
            </w:r>
          </w:p>
        </w:tc>
        <w:tc>
          <w:tcPr>
            <w:tcW w:w="831" w:type="dxa"/>
            <w:tcBorders>
              <w:top w:val="single" w:sz="4" w:space="0" w:color="000000"/>
              <w:left w:val="single" w:sz="4" w:space="0" w:color="000000"/>
              <w:bottom w:val="single" w:sz="4" w:space="0" w:color="000000"/>
              <w:right w:val="single" w:sz="4" w:space="0" w:color="000000"/>
            </w:tcBorders>
            <w:tcMar>
              <w:left w:w="5" w:type="dxa"/>
              <w:right w:w="5" w:type="dxa"/>
            </w:tcMar>
          </w:tcPr>
          <w:p w14:paraId="431724DC"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2,55</w:t>
            </w:r>
          </w:p>
        </w:tc>
        <w:tc>
          <w:tcPr>
            <w:tcW w:w="829" w:type="dxa"/>
            <w:tcBorders>
              <w:top w:val="single" w:sz="4" w:space="0" w:color="000000"/>
              <w:left w:val="single" w:sz="4" w:space="0" w:color="000000"/>
              <w:bottom w:val="single" w:sz="4" w:space="0" w:color="000000"/>
              <w:right w:val="single" w:sz="4" w:space="0" w:color="000000"/>
            </w:tcBorders>
            <w:tcMar>
              <w:left w:w="5" w:type="dxa"/>
              <w:right w:w="5" w:type="dxa"/>
            </w:tcMar>
          </w:tcPr>
          <w:p w14:paraId="69EDE263"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4,36</w:t>
            </w:r>
          </w:p>
        </w:tc>
        <w:tc>
          <w:tcPr>
            <w:tcW w:w="814" w:type="dxa"/>
            <w:tcBorders>
              <w:top w:val="single" w:sz="4" w:space="0" w:color="000000"/>
              <w:left w:val="single" w:sz="4" w:space="0" w:color="000000"/>
              <w:bottom w:val="single" w:sz="4" w:space="0" w:color="000000"/>
              <w:right w:val="single" w:sz="4" w:space="0" w:color="000000"/>
            </w:tcBorders>
            <w:tcMar>
              <w:left w:w="5" w:type="dxa"/>
              <w:right w:w="5" w:type="dxa"/>
            </w:tcMar>
          </w:tcPr>
          <w:p w14:paraId="6612E154"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4,42</w:t>
            </w:r>
          </w:p>
        </w:tc>
      </w:tr>
      <w:tr w:rsidR="002449C2" w14:paraId="62661E10" w14:textId="77777777">
        <w:trPr>
          <w:trHeight w:val="20"/>
          <w:jc w:val="center"/>
        </w:trPr>
        <w:tc>
          <w:tcPr>
            <w:tcW w:w="5478" w:type="dxa"/>
            <w:tcBorders>
              <w:top w:val="single" w:sz="4" w:space="0" w:color="000000"/>
              <w:left w:val="single" w:sz="4" w:space="0" w:color="000000"/>
              <w:bottom w:val="single" w:sz="4" w:space="0" w:color="000000"/>
              <w:right w:val="single" w:sz="4" w:space="0" w:color="000000"/>
            </w:tcBorders>
            <w:vAlign w:val="bottom"/>
          </w:tcPr>
          <w:p w14:paraId="32A1F749"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сверхлимитные объемы</w:t>
            </w:r>
          </w:p>
        </w:tc>
        <w:tc>
          <w:tcPr>
            <w:tcW w:w="831" w:type="dxa"/>
            <w:tcBorders>
              <w:top w:val="single" w:sz="4" w:space="0" w:color="000000"/>
              <w:left w:val="single" w:sz="4" w:space="0" w:color="000000"/>
              <w:bottom w:val="single" w:sz="4" w:space="0" w:color="000000"/>
              <w:right w:val="single" w:sz="4" w:space="0" w:color="000000"/>
            </w:tcBorders>
            <w:tcMar>
              <w:left w:w="5" w:type="dxa"/>
              <w:right w:w="5" w:type="dxa"/>
            </w:tcMar>
          </w:tcPr>
          <w:p w14:paraId="0A987C5F"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c>
          <w:tcPr>
            <w:tcW w:w="829" w:type="dxa"/>
            <w:tcBorders>
              <w:top w:val="single" w:sz="4" w:space="0" w:color="000000"/>
              <w:left w:val="single" w:sz="4" w:space="0" w:color="000000"/>
              <w:bottom w:val="single" w:sz="4" w:space="0" w:color="000000"/>
              <w:right w:val="single" w:sz="4" w:space="0" w:color="000000"/>
            </w:tcBorders>
            <w:tcMar>
              <w:left w:w="5" w:type="dxa"/>
              <w:right w:w="5" w:type="dxa"/>
            </w:tcMar>
          </w:tcPr>
          <w:p w14:paraId="16E7FB9E"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c>
          <w:tcPr>
            <w:tcW w:w="814" w:type="dxa"/>
            <w:tcBorders>
              <w:top w:val="single" w:sz="4" w:space="0" w:color="000000"/>
              <w:left w:val="single" w:sz="4" w:space="0" w:color="000000"/>
              <w:bottom w:val="single" w:sz="4" w:space="0" w:color="000000"/>
              <w:right w:val="single" w:sz="4" w:space="0" w:color="000000"/>
            </w:tcBorders>
            <w:tcMar>
              <w:left w:w="5" w:type="dxa"/>
              <w:right w:w="5" w:type="dxa"/>
            </w:tcMar>
          </w:tcPr>
          <w:p w14:paraId="5CAC8B3A"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r>
      <w:tr w:rsidR="002449C2" w14:paraId="615F03D7" w14:textId="77777777">
        <w:trPr>
          <w:trHeight w:val="20"/>
          <w:jc w:val="center"/>
        </w:trPr>
        <w:tc>
          <w:tcPr>
            <w:tcW w:w="5478" w:type="dxa"/>
            <w:tcBorders>
              <w:top w:val="single" w:sz="4" w:space="0" w:color="000000"/>
              <w:left w:val="single" w:sz="4" w:space="0" w:color="000000"/>
              <w:bottom w:val="single" w:sz="4" w:space="0" w:color="000000"/>
              <w:right w:val="single" w:sz="4" w:space="0" w:color="000000"/>
            </w:tcBorders>
            <w:vAlign w:val="bottom"/>
          </w:tcPr>
          <w:p w14:paraId="029C3E88"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Размещение отходов, в том числе</w:t>
            </w:r>
          </w:p>
        </w:tc>
        <w:tc>
          <w:tcPr>
            <w:tcW w:w="831" w:type="dxa"/>
            <w:tcBorders>
              <w:top w:val="single" w:sz="4" w:space="0" w:color="000000"/>
              <w:left w:val="single" w:sz="4" w:space="0" w:color="000000"/>
              <w:bottom w:val="single" w:sz="4" w:space="0" w:color="000000"/>
              <w:right w:val="single" w:sz="4" w:space="0" w:color="000000"/>
            </w:tcBorders>
            <w:tcMar>
              <w:left w:w="5" w:type="dxa"/>
              <w:right w:w="5" w:type="dxa"/>
            </w:tcMar>
          </w:tcPr>
          <w:p w14:paraId="3F179E67"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c>
          <w:tcPr>
            <w:tcW w:w="829" w:type="dxa"/>
            <w:tcBorders>
              <w:top w:val="single" w:sz="4" w:space="0" w:color="000000"/>
              <w:left w:val="single" w:sz="4" w:space="0" w:color="000000"/>
              <w:bottom w:val="single" w:sz="4" w:space="0" w:color="000000"/>
              <w:right w:val="single" w:sz="4" w:space="0" w:color="000000"/>
            </w:tcBorders>
            <w:tcMar>
              <w:left w:w="5" w:type="dxa"/>
              <w:right w:w="5" w:type="dxa"/>
            </w:tcMar>
          </w:tcPr>
          <w:p w14:paraId="0824BBB3"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c>
          <w:tcPr>
            <w:tcW w:w="814" w:type="dxa"/>
            <w:tcBorders>
              <w:top w:val="single" w:sz="4" w:space="0" w:color="000000"/>
              <w:left w:val="single" w:sz="4" w:space="0" w:color="000000"/>
              <w:bottom w:val="single" w:sz="4" w:space="0" w:color="000000"/>
              <w:right w:val="single" w:sz="4" w:space="0" w:color="000000"/>
            </w:tcBorders>
            <w:tcMar>
              <w:left w:w="5" w:type="dxa"/>
              <w:right w:w="5" w:type="dxa"/>
            </w:tcMar>
          </w:tcPr>
          <w:p w14:paraId="04418A30"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r>
      <w:tr w:rsidR="002449C2" w14:paraId="5014937A" w14:textId="77777777">
        <w:trPr>
          <w:trHeight w:val="20"/>
          <w:jc w:val="center"/>
        </w:trPr>
        <w:tc>
          <w:tcPr>
            <w:tcW w:w="5478" w:type="dxa"/>
            <w:tcBorders>
              <w:top w:val="single" w:sz="4" w:space="0" w:color="000000"/>
              <w:left w:val="single" w:sz="4" w:space="0" w:color="000000"/>
              <w:bottom w:val="single" w:sz="4" w:space="0" w:color="000000"/>
              <w:right w:val="single" w:sz="4" w:space="0" w:color="000000"/>
            </w:tcBorders>
            <w:vAlign w:val="bottom"/>
          </w:tcPr>
          <w:p w14:paraId="152335FC"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допустимые объемы</w:t>
            </w:r>
          </w:p>
        </w:tc>
        <w:tc>
          <w:tcPr>
            <w:tcW w:w="831" w:type="dxa"/>
            <w:tcBorders>
              <w:top w:val="single" w:sz="4" w:space="0" w:color="000000"/>
              <w:left w:val="single" w:sz="4" w:space="0" w:color="000000"/>
              <w:bottom w:val="single" w:sz="4" w:space="0" w:color="000000"/>
              <w:right w:val="single" w:sz="4" w:space="0" w:color="000000"/>
            </w:tcBorders>
            <w:tcMar>
              <w:left w:w="5" w:type="dxa"/>
              <w:right w:w="5" w:type="dxa"/>
            </w:tcMar>
          </w:tcPr>
          <w:p w14:paraId="02DAC716"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44,41</w:t>
            </w:r>
          </w:p>
        </w:tc>
        <w:tc>
          <w:tcPr>
            <w:tcW w:w="829" w:type="dxa"/>
            <w:tcBorders>
              <w:top w:val="single" w:sz="4" w:space="0" w:color="000000"/>
              <w:left w:val="single" w:sz="4" w:space="0" w:color="000000"/>
              <w:bottom w:val="single" w:sz="4" w:space="0" w:color="000000"/>
              <w:right w:val="single" w:sz="4" w:space="0" w:color="000000"/>
            </w:tcBorders>
            <w:tcMar>
              <w:left w:w="5" w:type="dxa"/>
              <w:right w:w="5" w:type="dxa"/>
            </w:tcMar>
          </w:tcPr>
          <w:p w14:paraId="1E1455DC"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23,87</w:t>
            </w:r>
          </w:p>
        </w:tc>
        <w:tc>
          <w:tcPr>
            <w:tcW w:w="814" w:type="dxa"/>
            <w:tcBorders>
              <w:top w:val="single" w:sz="4" w:space="0" w:color="000000"/>
              <w:left w:val="single" w:sz="4" w:space="0" w:color="000000"/>
              <w:bottom w:val="single" w:sz="4" w:space="0" w:color="000000"/>
              <w:right w:val="single" w:sz="4" w:space="0" w:color="000000"/>
            </w:tcBorders>
            <w:tcMar>
              <w:left w:w="5" w:type="dxa"/>
              <w:right w:w="5" w:type="dxa"/>
            </w:tcMar>
          </w:tcPr>
          <w:p w14:paraId="0D2E9B9D"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63,36</w:t>
            </w:r>
          </w:p>
        </w:tc>
      </w:tr>
      <w:tr w:rsidR="002449C2" w14:paraId="6C8639D6" w14:textId="77777777">
        <w:trPr>
          <w:trHeight w:val="126"/>
          <w:jc w:val="center"/>
        </w:trPr>
        <w:tc>
          <w:tcPr>
            <w:tcW w:w="5478" w:type="dxa"/>
            <w:tcBorders>
              <w:top w:val="single" w:sz="4" w:space="0" w:color="000000"/>
              <w:left w:val="single" w:sz="4" w:space="0" w:color="000000"/>
              <w:bottom w:val="single" w:sz="4" w:space="0" w:color="000000"/>
              <w:right w:val="single" w:sz="4" w:space="0" w:color="000000"/>
            </w:tcBorders>
            <w:vAlign w:val="bottom"/>
          </w:tcPr>
          <w:p w14:paraId="406A8710"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сверхлимитные объемы</w:t>
            </w:r>
          </w:p>
        </w:tc>
        <w:tc>
          <w:tcPr>
            <w:tcW w:w="831" w:type="dxa"/>
            <w:tcBorders>
              <w:top w:val="single" w:sz="4" w:space="0" w:color="000000"/>
              <w:left w:val="single" w:sz="4" w:space="0" w:color="000000"/>
              <w:bottom w:val="single" w:sz="4" w:space="0" w:color="000000"/>
              <w:right w:val="single" w:sz="4" w:space="0" w:color="000000"/>
            </w:tcBorders>
            <w:tcMar>
              <w:left w:w="5" w:type="dxa"/>
              <w:right w:w="5" w:type="dxa"/>
            </w:tcMar>
          </w:tcPr>
          <w:p w14:paraId="51CC3F30"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w:t>
            </w:r>
          </w:p>
        </w:tc>
        <w:tc>
          <w:tcPr>
            <w:tcW w:w="829" w:type="dxa"/>
            <w:tcBorders>
              <w:top w:val="single" w:sz="4" w:space="0" w:color="000000"/>
              <w:left w:val="single" w:sz="4" w:space="0" w:color="000000"/>
              <w:bottom w:val="single" w:sz="4" w:space="0" w:color="000000"/>
              <w:right w:val="single" w:sz="4" w:space="0" w:color="000000"/>
            </w:tcBorders>
            <w:tcMar>
              <w:left w:w="5" w:type="dxa"/>
              <w:right w:w="5" w:type="dxa"/>
            </w:tcMar>
          </w:tcPr>
          <w:p w14:paraId="23A0EE21"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c>
          <w:tcPr>
            <w:tcW w:w="814" w:type="dxa"/>
            <w:tcBorders>
              <w:top w:val="single" w:sz="4" w:space="0" w:color="000000"/>
              <w:left w:val="single" w:sz="4" w:space="0" w:color="000000"/>
              <w:bottom w:val="single" w:sz="4" w:space="0" w:color="000000"/>
              <w:right w:val="single" w:sz="4" w:space="0" w:color="000000"/>
            </w:tcBorders>
            <w:tcMar>
              <w:left w:w="5" w:type="dxa"/>
              <w:right w:w="5" w:type="dxa"/>
            </w:tcMar>
          </w:tcPr>
          <w:p w14:paraId="6FDC2BB9"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r>
    </w:tbl>
    <w:p w14:paraId="7465BAA7" w14:textId="77777777" w:rsidR="002449C2" w:rsidRDefault="002449C2">
      <w:pPr>
        <w:shd w:val="clear" w:color="auto" w:fill="FFFFFF"/>
        <w:tabs>
          <w:tab w:val="left" w:pos="709"/>
          <w:tab w:val="left" w:pos="1134"/>
          <w:tab w:val="left" w:pos="1320"/>
        </w:tabs>
        <w:spacing w:after="0" w:line="240" w:lineRule="auto"/>
        <w:ind w:firstLine="709"/>
        <w:jc w:val="both"/>
        <w:rPr>
          <w:rFonts w:ascii="Times New Roman" w:eastAsia="Times New Roman" w:hAnsi="Times New Roman"/>
          <w:sz w:val="24"/>
          <w:szCs w:val="24"/>
          <w:lang w:eastAsia="ru-RU"/>
        </w:rPr>
      </w:pPr>
    </w:p>
    <w:p w14:paraId="7DB698DE" w14:textId="77777777" w:rsidR="002449C2" w:rsidRDefault="00123961">
      <w:pPr>
        <w:shd w:val="clear" w:color="auto" w:fill="FFFFFF"/>
        <w:tabs>
          <w:tab w:val="left" w:pos="709"/>
          <w:tab w:val="left" w:pos="1134"/>
          <w:tab w:val="left" w:pos="1320"/>
        </w:tabs>
        <w:spacing w:after="0"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 xml:space="preserve">Штрафы и нефинансовые санкции, наложенные на Общество за несоблюдение требований </w:t>
      </w:r>
      <w:r>
        <w:rPr>
          <w:rFonts w:ascii="Times New Roman" w:hAnsi="Times New Roman"/>
          <w:sz w:val="24"/>
          <w:szCs w:val="24"/>
        </w:rPr>
        <w:t>экологического законодательства</w:t>
      </w:r>
    </w:p>
    <w:p w14:paraId="611374C2" w14:textId="77777777" w:rsidR="002449C2" w:rsidRDefault="00123961">
      <w:pPr>
        <w:shd w:val="clear" w:color="auto" w:fill="FFFFFF"/>
        <w:tabs>
          <w:tab w:val="left" w:pos="709"/>
          <w:tab w:val="left" w:pos="1134"/>
          <w:tab w:val="left" w:pos="1320"/>
        </w:tabs>
        <w:spacing w:after="0" w:line="240" w:lineRule="auto"/>
        <w:ind w:firstLine="709"/>
        <w:jc w:val="both"/>
        <w:rPr>
          <w:rFonts w:ascii="Times New Roman" w:hAnsi="Times New Roman"/>
          <w:sz w:val="24"/>
          <w:szCs w:val="24"/>
        </w:rPr>
      </w:pPr>
      <w:r>
        <w:rPr>
          <w:rFonts w:ascii="Times New Roman" w:hAnsi="Times New Roman"/>
          <w:sz w:val="24"/>
          <w:szCs w:val="24"/>
        </w:rPr>
        <w:t>Проверки деятельности Общества и его подразделений по соблюдению требований природоохранного и санитарно-эпидемиологического законодательства в 2024 году не проводились.</w:t>
      </w:r>
    </w:p>
    <w:p w14:paraId="427316E9" w14:textId="77777777" w:rsidR="002449C2" w:rsidRDefault="00123961">
      <w:pPr>
        <w:shd w:val="clear" w:color="auto" w:fill="FFFFFF"/>
        <w:tabs>
          <w:tab w:val="left" w:pos="993"/>
        </w:tabs>
        <w:spacing w:after="0" w:line="240" w:lineRule="auto"/>
        <w:ind w:right="-143"/>
        <w:jc w:val="center"/>
        <w:rPr>
          <w:rFonts w:ascii="Times New Roman" w:hAnsi="Times New Roman"/>
          <w:sz w:val="24"/>
          <w:szCs w:val="24"/>
        </w:rPr>
      </w:pPr>
      <w:r>
        <w:rPr>
          <w:rFonts w:ascii="Times New Roman" w:hAnsi="Times New Roman"/>
          <w:sz w:val="24"/>
          <w:szCs w:val="24"/>
        </w:rPr>
        <w:t>Энергопотребление и энергосбережение.</w:t>
      </w:r>
    </w:p>
    <w:p w14:paraId="5442B9B7" w14:textId="77777777" w:rsidR="002449C2" w:rsidRDefault="00123961">
      <w:pPr>
        <w:shd w:val="clear" w:color="auto" w:fill="FFFFFF"/>
        <w:tabs>
          <w:tab w:val="left" w:pos="993"/>
        </w:tabs>
        <w:spacing w:after="0" w:line="240" w:lineRule="auto"/>
        <w:ind w:right="-143"/>
        <w:jc w:val="center"/>
        <w:rPr>
          <w:rFonts w:ascii="Times New Roman" w:hAnsi="Times New Roman"/>
          <w:sz w:val="24"/>
          <w:szCs w:val="24"/>
        </w:rPr>
      </w:pPr>
      <w:r>
        <w:rPr>
          <w:rFonts w:ascii="Times New Roman" w:hAnsi="Times New Roman"/>
          <w:sz w:val="24"/>
          <w:szCs w:val="24"/>
        </w:rPr>
        <w:t>Объем массы выбросов парникового газа СО2, выделение которого свойственно производственным процессам ПАО "Россети Юг", за 2023-2024 годы</w:t>
      </w:r>
    </w:p>
    <w:tbl>
      <w:tblPr>
        <w:tblW w:w="9101" w:type="dxa"/>
        <w:jc w:val="center"/>
        <w:tblLayout w:type="fixed"/>
        <w:tblLook w:val="04A0" w:firstRow="1" w:lastRow="0" w:firstColumn="1" w:lastColumn="0" w:noHBand="0" w:noVBand="1"/>
      </w:tblPr>
      <w:tblGrid>
        <w:gridCol w:w="2218"/>
        <w:gridCol w:w="708"/>
        <w:gridCol w:w="1336"/>
        <w:gridCol w:w="1408"/>
        <w:gridCol w:w="1583"/>
        <w:gridCol w:w="1848"/>
      </w:tblGrid>
      <w:tr w:rsidR="002449C2" w14:paraId="29473D86" w14:textId="77777777">
        <w:trPr>
          <w:trHeight w:val="601"/>
          <w:jc w:val="center"/>
        </w:trPr>
        <w:tc>
          <w:tcPr>
            <w:tcW w:w="2217" w:type="dxa"/>
            <w:tcBorders>
              <w:top w:val="single" w:sz="4" w:space="0" w:color="000000"/>
              <w:left w:val="single" w:sz="4" w:space="0" w:color="000000"/>
              <w:bottom w:val="single" w:sz="4" w:space="0" w:color="000000"/>
              <w:right w:val="single" w:sz="4" w:space="0" w:color="000000"/>
            </w:tcBorders>
            <w:vAlign w:val="center"/>
          </w:tcPr>
          <w:p w14:paraId="1EDB8FDA" w14:textId="77777777" w:rsidR="002449C2" w:rsidRDefault="00123961">
            <w:pPr>
              <w:shd w:val="clear" w:color="auto" w:fill="FFFFFF"/>
              <w:spacing w:after="0" w:line="240" w:lineRule="auto"/>
              <w:jc w:val="center"/>
              <w:rPr>
                <w:rFonts w:ascii="Times New Roman" w:eastAsia="Times New Roman" w:hAnsi="Times New Roman"/>
                <w:iCs/>
                <w:color w:val="000000"/>
                <w:sz w:val="18"/>
                <w:szCs w:val="18"/>
                <w:lang w:eastAsia="ru-RU"/>
              </w:rPr>
            </w:pPr>
            <w:r>
              <w:rPr>
                <w:rFonts w:ascii="Times New Roman" w:eastAsia="Times New Roman" w:hAnsi="Times New Roman"/>
                <w:iCs/>
                <w:color w:val="000000"/>
                <w:sz w:val="18"/>
                <w:szCs w:val="18"/>
                <w:lang w:eastAsia="ru-RU"/>
              </w:rPr>
              <w:t>Производственный процесс (обеспечение)</w:t>
            </w:r>
          </w:p>
        </w:tc>
        <w:tc>
          <w:tcPr>
            <w:tcW w:w="708" w:type="dxa"/>
            <w:tcBorders>
              <w:top w:val="single" w:sz="4" w:space="0" w:color="000000"/>
              <w:left w:val="single" w:sz="4" w:space="0" w:color="000000"/>
              <w:bottom w:val="single" w:sz="4" w:space="0" w:color="000000"/>
              <w:right w:val="single" w:sz="4" w:space="0" w:color="000000"/>
            </w:tcBorders>
            <w:vAlign w:val="center"/>
          </w:tcPr>
          <w:p w14:paraId="682A6706" w14:textId="77777777" w:rsidR="002449C2" w:rsidRDefault="002449C2">
            <w:pPr>
              <w:shd w:val="clear" w:color="auto" w:fill="FFFFFF"/>
              <w:spacing w:after="0" w:line="240" w:lineRule="auto"/>
              <w:jc w:val="center"/>
              <w:rPr>
                <w:rFonts w:ascii="Times New Roman" w:eastAsia="Times New Roman" w:hAnsi="Times New Roman"/>
                <w:iCs/>
                <w:color w:val="000000"/>
                <w:sz w:val="18"/>
                <w:szCs w:val="18"/>
                <w:lang w:eastAsia="ru-RU"/>
              </w:rPr>
            </w:pPr>
          </w:p>
        </w:tc>
        <w:tc>
          <w:tcPr>
            <w:tcW w:w="1336" w:type="dxa"/>
            <w:tcBorders>
              <w:top w:val="single" w:sz="4" w:space="0" w:color="000000"/>
              <w:left w:val="single" w:sz="4" w:space="0" w:color="000000"/>
              <w:bottom w:val="single" w:sz="4" w:space="0" w:color="000000"/>
              <w:right w:val="single" w:sz="4" w:space="0" w:color="000000"/>
            </w:tcBorders>
            <w:vAlign w:val="center"/>
          </w:tcPr>
          <w:p w14:paraId="3DBF404C" w14:textId="77777777" w:rsidR="002449C2" w:rsidRDefault="00123961">
            <w:pPr>
              <w:shd w:val="clear" w:color="auto" w:fill="FFFFFF"/>
              <w:spacing w:after="0" w:line="240" w:lineRule="auto"/>
              <w:jc w:val="center"/>
              <w:rPr>
                <w:rFonts w:ascii="Times New Roman" w:eastAsia="Times New Roman" w:hAnsi="Times New Roman"/>
                <w:iCs/>
                <w:color w:val="000000"/>
                <w:sz w:val="18"/>
                <w:szCs w:val="18"/>
                <w:lang w:eastAsia="ru-RU"/>
              </w:rPr>
            </w:pPr>
            <w:r>
              <w:rPr>
                <w:rFonts w:ascii="Times New Roman" w:eastAsia="Times New Roman" w:hAnsi="Times New Roman"/>
                <w:iCs/>
                <w:color w:val="000000"/>
                <w:sz w:val="18"/>
                <w:szCs w:val="18"/>
                <w:lang w:eastAsia="ru-RU"/>
              </w:rPr>
              <w:t>Объем за 2023год</w:t>
            </w:r>
          </w:p>
        </w:tc>
        <w:tc>
          <w:tcPr>
            <w:tcW w:w="1408" w:type="dxa"/>
            <w:tcBorders>
              <w:top w:val="single" w:sz="4" w:space="0" w:color="000000"/>
              <w:left w:val="single" w:sz="4" w:space="0" w:color="000000"/>
              <w:bottom w:val="single" w:sz="4" w:space="0" w:color="000000"/>
              <w:right w:val="single" w:sz="4" w:space="0" w:color="000000"/>
            </w:tcBorders>
            <w:vAlign w:val="center"/>
          </w:tcPr>
          <w:p w14:paraId="6D128BC2" w14:textId="77777777" w:rsidR="002449C2" w:rsidRDefault="00123961">
            <w:pPr>
              <w:shd w:val="clear" w:color="auto" w:fill="FFFFFF"/>
              <w:spacing w:after="0" w:line="240" w:lineRule="auto"/>
              <w:jc w:val="center"/>
              <w:rPr>
                <w:rFonts w:ascii="Times New Roman" w:eastAsia="Times New Roman" w:hAnsi="Times New Roman"/>
                <w:iCs/>
                <w:color w:val="000000"/>
                <w:sz w:val="18"/>
                <w:szCs w:val="18"/>
                <w:lang w:eastAsia="ru-RU"/>
              </w:rPr>
            </w:pPr>
            <w:r>
              <w:rPr>
                <w:rFonts w:ascii="Times New Roman" w:eastAsia="Times New Roman" w:hAnsi="Times New Roman"/>
                <w:iCs/>
                <w:color w:val="000000"/>
                <w:sz w:val="18"/>
                <w:szCs w:val="18"/>
                <w:lang w:eastAsia="ru-RU"/>
              </w:rPr>
              <w:t>Объем за 2024 год</w:t>
            </w:r>
          </w:p>
        </w:tc>
        <w:tc>
          <w:tcPr>
            <w:tcW w:w="1583" w:type="dxa"/>
            <w:tcBorders>
              <w:top w:val="single" w:sz="4" w:space="0" w:color="000000"/>
              <w:left w:val="single" w:sz="4" w:space="0" w:color="000000"/>
              <w:bottom w:val="single" w:sz="4" w:space="0" w:color="000000"/>
              <w:right w:val="single" w:sz="4" w:space="0" w:color="000000"/>
            </w:tcBorders>
            <w:vAlign w:val="center"/>
          </w:tcPr>
          <w:p w14:paraId="7B887DBF" w14:textId="77777777" w:rsidR="002449C2" w:rsidRDefault="00123961">
            <w:pPr>
              <w:shd w:val="clear" w:color="auto" w:fill="FFFFFF"/>
              <w:spacing w:after="0" w:line="240" w:lineRule="auto"/>
              <w:jc w:val="center"/>
              <w:rPr>
                <w:rFonts w:ascii="Times New Roman" w:eastAsia="Times New Roman" w:hAnsi="Times New Roman"/>
                <w:iCs/>
                <w:color w:val="000000"/>
                <w:sz w:val="18"/>
                <w:szCs w:val="18"/>
                <w:lang w:eastAsia="ru-RU"/>
              </w:rPr>
            </w:pPr>
            <w:r>
              <w:rPr>
                <w:rFonts w:ascii="Times New Roman" w:eastAsia="Times New Roman" w:hAnsi="Times New Roman"/>
                <w:iCs/>
                <w:color w:val="000000"/>
                <w:sz w:val="18"/>
                <w:szCs w:val="18"/>
                <w:lang w:eastAsia="ru-RU"/>
              </w:rPr>
              <w:t>Масса выбросов 2023 (СО2), тыс.т</w:t>
            </w:r>
          </w:p>
        </w:tc>
        <w:tc>
          <w:tcPr>
            <w:tcW w:w="1848" w:type="dxa"/>
            <w:tcBorders>
              <w:top w:val="single" w:sz="4" w:space="0" w:color="000000"/>
              <w:left w:val="single" w:sz="4" w:space="0" w:color="000000"/>
              <w:bottom w:val="single" w:sz="4" w:space="0" w:color="000000"/>
              <w:right w:val="single" w:sz="4" w:space="0" w:color="000000"/>
            </w:tcBorders>
            <w:vAlign w:val="center"/>
          </w:tcPr>
          <w:p w14:paraId="3E4CF45C" w14:textId="77777777" w:rsidR="002449C2" w:rsidRDefault="00123961">
            <w:pPr>
              <w:shd w:val="clear" w:color="auto" w:fill="FFFFFF"/>
              <w:spacing w:after="0" w:line="240" w:lineRule="auto"/>
              <w:jc w:val="center"/>
              <w:rPr>
                <w:rFonts w:ascii="Times New Roman" w:eastAsia="Times New Roman" w:hAnsi="Times New Roman"/>
                <w:iCs/>
                <w:color w:val="000000"/>
                <w:sz w:val="18"/>
                <w:szCs w:val="18"/>
                <w:lang w:eastAsia="ru-RU"/>
              </w:rPr>
            </w:pPr>
            <w:r>
              <w:rPr>
                <w:rFonts w:ascii="Times New Roman" w:eastAsia="Times New Roman" w:hAnsi="Times New Roman"/>
                <w:iCs/>
                <w:color w:val="000000"/>
                <w:sz w:val="18"/>
                <w:szCs w:val="18"/>
                <w:lang w:eastAsia="ru-RU"/>
              </w:rPr>
              <w:t xml:space="preserve">Масса выбросов </w:t>
            </w:r>
            <w:r>
              <w:rPr>
                <w:rFonts w:ascii="Times New Roman" w:eastAsia="Times New Roman" w:hAnsi="Times New Roman"/>
                <w:iCs/>
                <w:color w:val="000000"/>
                <w:sz w:val="18"/>
                <w:szCs w:val="18"/>
                <w:lang w:eastAsia="ru-RU"/>
              </w:rPr>
              <w:br w:type="textWrapping" w:clear="all"/>
              <w:t>2024 (СО2), тыс.т</w:t>
            </w:r>
          </w:p>
        </w:tc>
      </w:tr>
      <w:tr w:rsidR="002449C2" w14:paraId="58A331B1" w14:textId="77777777">
        <w:trPr>
          <w:trHeight w:val="199"/>
          <w:jc w:val="center"/>
        </w:trPr>
        <w:tc>
          <w:tcPr>
            <w:tcW w:w="9100" w:type="dxa"/>
            <w:gridSpan w:val="6"/>
            <w:tcBorders>
              <w:top w:val="single" w:sz="4" w:space="0" w:color="000000"/>
              <w:left w:val="single" w:sz="4" w:space="0" w:color="000000"/>
              <w:bottom w:val="single" w:sz="4" w:space="0" w:color="000000"/>
              <w:right w:val="single" w:sz="4" w:space="0" w:color="000000"/>
            </w:tcBorders>
            <w:vAlign w:val="center"/>
          </w:tcPr>
          <w:p w14:paraId="2D0FF7D3" w14:textId="77777777" w:rsidR="002449C2" w:rsidRDefault="00123961">
            <w:pPr>
              <w:shd w:val="clear" w:color="auto" w:fill="FFFFFF"/>
              <w:spacing w:after="0" w:line="240" w:lineRule="auto"/>
              <w:rPr>
                <w:rFonts w:ascii="Times New Roman" w:eastAsia="Times New Roman" w:hAnsi="Times New Roman"/>
                <w:iCs/>
                <w:color w:val="000000"/>
                <w:sz w:val="18"/>
                <w:szCs w:val="18"/>
                <w:lang w:eastAsia="ru-RU"/>
              </w:rPr>
            </w:pPr>
            <w:r>
              <w:rPr>
                <w:rFonts w:ascii="Times New Roman" w:eastAsia="Times New Roman" w:hAnsi="Times New Roman"/>
                <w:iCs/>
                <w:color w:val="0D0D0D"/>
                <w:sz w:val="18"/>
                <w:szCs w:val="18"/>
                <w:lang w:eastAsia="ru-RU"/>
              </w:rPr>
              <w:t>автотранспорт</w:t>
            </w:r>
          </w:p>
        </w:tc>
      </w:tr>
      <w:tr w:rsidR="002449C2" w14:paraId="5FBF12A9" w14:textId="77777777">
        <w:trPr>
          <w:trHeight w:val="405"/>
          <w:jc w:val="center"/>
        </w:trPr>
        <w:tc>
          <w:tcPr>
            <w:tcW w:w="221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7B63D8E" w14:textId="77777777" w:rsidR="002449C2" w:rsidRDefault="00123961">
            <w:pPr>
              <w:shd w:val="clear" w:color="auto" w:fill="FFFFFF"/>
              <w:spacing w:after="0" w:line="240" w:lineRule="auto"/>
              <w:rPr>
                <w:rFonts w:ascii="Times New Roman" w:eastAsia="Times New Roman" w:hAnsi="Times New Roman"/>
                <w:iCs/>
                <w:color w:val="0D0D0D"/>
                <w:sz w:val="18"/>
                <w:szCs w:val="18"/>
                <w:lang w:eastAsia="ru-RU"/>
              </w:rPr>
            </w:pPr>
            <w:r>
              <w:rPr>
                <w:rFonts w:ascii="Times New Roman" w:eastAsia="Times New Roman" w:hAnsi="Times New Roman"/>
                <w:iCs/>
                <w:color w:val="0D0D0D"/>
                <w:sz w:val="18"/>
                <w:szCs w:val="18"/>
                <w:lang w:eastAsia="ru-RU"/>
              </w:rPr>
              <w:t>бензин АИ-92</w:t>
            </w:r>
          </w:p>
        </w:tc>
        <w:tc>
          <w:tcPr>
            <w:tcW w:w="708" w:type="dxa"/>
            <w:tcBorders>
              <w:top w:val="single" w:sz="4" w:space="0" w:color="000000"/>
              <w:left w:val="single" w:sz="4" w:space="0" w:color="000000"/>
              <w:bottom w:val="single" w:sz="4" w:space="0" w:color="000000"/>
              <w:right w:val="single" w:sz="4" w:space="0" w:color="000000"/>
            </w:tcBorders>
            <w:vAlign w:val="center"/>
          </w:tcPr>
          <w:p w14:paraId="7564136D" w14:textId="77777777" w:rsidR="002449C2" w:rsidRDefault="00123961">
            <w:pPr>
              <w:shd w:val="clear" w:color="auto" w:fill="FFFFFF"/>
              <w:spacing w:after="0" w:line="240" w:lineRule="auto"/>
              <w:jc w:val="center"/>
              <w:rPr>
                <w:rFonts w:ascii="Times New Roman" w:eastAsia="Times New Roman" w:hAnsi="Times New Roman"/>
                <w:iCs/>
                <w:color w:val="0D0D0D"/>
                <w:sz w:val="18"/>
                <w:szCs w:val="18"/>
                <w:lang w:eastAsia="ru-RU"/>
              </w:rPr>
            </w:pPr>
            <w:r>
              <w:rPr>
                <w:rFonts w:ascii="Times New Roman" w:eastAsia="Times New Roman" w:hAnsi="Times New Roman"/>
                <w:iCs/>
                <w:color w:val="0D0D0D"/>
                <w:sz w:val="18"/>
                <w:szCs w:val="18"/>
                <w:lang w:eastAsia="ru-RU"/>
              </w:rPr>
              <w:t>л</w:t>
            </w:r>
          </w:p>
        </w:tc>
        <w:tc>
          <w:tcPr>
            <w:tcW w:w="1336" w:type="dxa"/>
            <w:tcBorders>
              <w:top w:val="single" w:sz="4" w:space="0" w:color="000000"/>
              <w:left w:val="single" w:sz="4" w:space="0" w:color="000000"/>
              <w:bottom w:val="single" w:sz="4" w:space="0" w:color="000000"/>
              <w:right w:val="single" w:sz="4" w:space="0" w:color="000000"/>
            </w:tcBorders>
            <w:vAlign w:val="center"/>
          </w:tcPr>
          <w:p w14:paraId="1B4A2832" w14:textId="77777777" w:rsidR="002449C2" w:rsidRDefault="00123961">
            <w:pPr>
              <w:shd w:val="clear" w:color="auto" w:fill="FFFFFF"/>
              <w:spacing w:after="0" w:line="240" w:lineRule="auto"/>
              <w:jc w:val="center"/>
              <w:rPr>
                <w:rFonts w:ascii="Times New Roman" w:eastAsia="Times New Roman" w:hAnsi="Times New Roman"/>
                <w:iCs/>
                <w:color w:val="000000"/>
                <w:sz w:val="18"/>
                <w:szCs w:val="18"/>
                <w:lang w:eastAsia="ru-RU"/>
              </w:rPr>
            </w:pPr>
            <w:r>
              <w:rPr>
                <w:rFonts w:ascii="Times New Roman" w:eastAsia="Times New Roman" w:hAnsi="Times New Roman"/>
                <w:iCs/>
                <w:color w:val="000000"/>
                <w:sz w:val="18"/>
                <w:szCs w:val="18"/>
                <w:lang w:eastAsia="ru-RU"/>
              </w:rPr>
              <w:t>5 149 589,50</w:t>
            </w:r>
          </w:p>
        </w:tc>
        <w:tc>
          <w:tcPr>
            <w:tcW w:w="1408" w:type="dxa"/>
            <w:tcBorders>
              <w:top w:val="single" w:sz="4" w:space="0" w:color="000000"/>
              <w:left w:val="single" w:sz="4" w:space="0" w:color="000000"/>
              <w:bottom w:val="single" w:sz="4" w:space="0" w:color="000000"/>
              <w:right w:val="single" w:sz="4" w:space="0" w:color="000000"/>
            </w:tcBorders>
            <w:vAlign w:val="center"/>
          </w:tcPr>
          <w:p w14:paraId="06F4D9B7" w14:textId="77777777" w:rsidR="002449C2" w:rsidRDefault="00123961">
            <w:pPr>
              <w:shd w:val="clear" w:color="auto" w:fill="FFFFFF"/>
              <w:spacing w:after="0" w:line="240" w:lineRule="auto"/>
              <w:jc w:val="center"/>
              <w:rPr>
                <w:rFonts w:ascii="Times New Roman" w:eastAsia="Times New Roman" w:hAnsi="Times New Roman"/>
                <w:iCs/>
                <w:color w:val="000000"/>
                <w:sz w:val="18"/>
                <w:szCs w:val="18"/>
                <w:lang w:eastAsia="ru-RU"/>
              </w:rPr>
            </w:pPr>
            <w:r>
              <w:rPr>
                <w:rFonts w:ascii="Times New Roman" w:eastAsia="Times New Roman" w:hAnsi="Times New Roman"/>
                <w:iCs/>
                <w:color w:val="000000"/>
                <w:sz w:val="18"/>
                <w:szCs w:val="18"/>
                <w:lang w:eastAsia="ru-RU"/>
              </w:rPr>
              <w:t>5 592 590,00</w:t>
            </w:r>
          </w:p>
        </w:tc>
        <w:tc>
          <w:tcPr>
            <w:tcW w:w="1583" w:type="dxa"/>
            <w:tcBorders>
              <w:top w:val="single" w:sz="4" w:space="0" w:color="000000"/>
              <w:left w:val="single" w:sz="4" w:space="0" w:color="000000"/>
              <w:bottom w:val="single" w:sz="4" w:space="0" w:color="000000"/>
              <w:right w:val="single" w:sz="4" w:space="0" w:color="000000"/>
            </w:tcBorders>
            <w:vAlign w:val="center"/>
          </w:tcPr>
          <w:p w14:paraId="7A50E2E5" w14:textId="77777777" w:rsidR="002449C2" w:rsidRDefault="00123961">
            <w:pPr>
              <w:shd w:val="clear" w:color="auto" w:fill="FFFFFF"/>
              <w:spacing w:after="0" w:line="240" w:lineRule="auto"/>
              <w:jc w:val="center"/>
              <w:rPr>
                <w:rFonts w:ascii="Times New Roman" w:eastAsia="Times New Roman" w:hAnsi="Times New Roman"/>
                <w:iCs/>
                <w:color w:val="000000"/>
                <w:sz w:val="18"/>
                <w:szCs w:val="18"/>
                <w:lang w:eastAsia="ru-RU"/>
              </w:rPr>
            </w:pPr>
            <w:r>
              <w:rPr>
                <w:rFonts w:ascii="Times New Roman" w:eastAsia="Times New Roman" w:hAnsi="Times New Roman"/>
                <w:iCs/>
                <w:color w:val="000000"/>
                <w:sz w:val="18"/>
                <w:szCs w:val="18"/>
                <w:lang w:eastAsia="ru-RU"/>
              </w:rPr>
              <w:t>11,47</w:t>
            </w:r>
          </w:p>
        </w:tc>
        <w:tc>
          <w:tcPr>
            <w:tcW w:w="1848" w:type="dxa"/>
            <w:tcBorders>
              <w:top w:val="single" w:sz="4" w:space="0" w:color="000000"/>
              <w:left w:val="single" w:sz="4" w:space="0" w:color="000000"/>
              <w:bottom w:val="single" w:sz="4" w:space="0" w:color="000000"/>
              <w:right w:val="single" w:sz="4" w:space="0" w:color="000000"/>
            </w:tcBorders>
            <w:vAlign w:val="center"/>
          </w:tcPr>
          <w:p w14:paraId="0C1D6BD9" w14:textId="77777777" w:rsidR="002449C2" w:rsidRDefault="00123961">
            <w:pPr>
              <w:shd w:val="clear" w:color="auto" w:fill="FFFFFF"/>
              <w:spacing w:after="0" w:line="240" w:lineRule="auto"/>
              <w:jc w:val="center"/>
              <w:rPr>
                <w:rFonts w:ascii="Times New Roman" w:eastAsia="Times New Roman" w:hAnsi="Times New Roman"/>
                <w:iCs/>
                <w:color w:val="000000"/>
                <w:sz w:val="18"/>
                <w:szCs w:val="18"/>
                <w:lang w:eastAsia="ru-RU"/>
              </w:rPr>
            </w:pPr>
            <w:r>
              <w:rPr>
                <w:rFonts w:ascii="Times New Roman" w:eastAsia="Times New Roman" w:hAnsi="Times New Roman"/>
                <w:iCs/>
                <w:color w:val="000000"/>
                <w:sz w:val="18"/>
                <w:szCs w:val="18"/>
                <w:lang w:eastAsia="ru-RU"/>
              </w:rPr>
              <w:t>12,46</w:t>
            </w:r>
          </w:p>
        </w:tc>
      </w:tr>
      <w:tr w:rsidR="002449C2" w14:paraId="4D8296A7" w14:textId="77777777">
        <w:trPr>
          <w:trHeight w:val="525"/>
          <w:jc w:val="center"/>
        </w:trPr>
        <w:tc>
          <w:tcPr>
            <w:tcW w:w="221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03BCB64" w14:textId="77777777" w:rsidR="002449C2" w:rsidRDefault="00123961">
            <w:pPr>
              <w:shd w:val="clear" w:color="auto" w:fill="FFFFFF"/>
              <w:spacing w:after="0" w:line="240" w:lineRule="auto"/>
              <w:rPr>
                <w:rFonts w:ascii="Times New Roman" w:eastAsia="Times New Roman" w:hAnsi="Times New Roman"/>
                <w:iCs/>
                <w:color w:val="0D0D0D"/>
                <w:sz w:val="18"/>
                <w:szCs w:val="18"/>
                <w:lang w:eastAsia="ru-RU"/>
              </w:rPr>
            </w:pPr>
            <w:r>
              <w:rPr>
                <w:rFonts w:ascii="Times New Roman" w:eastAsia="Times New Roman" w:hAnsi="Times New Roman"/>
                <w:iCs/>
                <w:color w:val="0D0D0D"/>
                <w:sz w:val="18"/>
                <w:szCs w:val="18"/>
                <w:lang w:eastAsia="ru-RU"/>
              </w:rPr>
              <w:t>дизельное топливо</w:t>
            </w:r>
            <w:r>
              <w:rPr>
                <w:rFonts w:ascii="Times New Roman" w:eastAsia="Times New Roman" w:hAnsi="Times New Roman"/>
                <w:iCs/>
                <w:color w:val="0D0D0D"/>
                <w:sz w:val="18"/>
                <w:szCs w:val="18"/>
                <w:lang w:eastAsia="ru-RU"/>
              </w:rPr>
              <w:br w:type="textWrapping" w:clear="all"/>
              <w:t>(летнее время)</w:t>
            </w:r>
          </w:p>
        </w:tc>
        <w:tc>
          <w:tcPr>
            <w:tcW w:w="708" w:type="dxa"/>
            <w:tcBorders>
              <w:top w:val="single" w:sz="4" w:space="0" w:color="000000"/>
              <w:left w:val="single" w:sz="4" w:space="0" w:color="000000"/>
              <w:bottom w:val="single" w:sz="4" w:space="0" w:color="000000"/>
              <w:right w:val="single" w:sz="4" w:space="0" w:color="000000"/>
            </w:tcBorders>
            <w:vAlign w:val="center"/>
          </w:tcPr>
          <w:p w14:paraId="50F687AE" w14:textId="77777777" w:rsidR="002449C2" w:rsidRDefault="00123961">
            <w:pPr>
              <w:shd w:val="clear" w:color="auto" w:fill="FFFFFF"/>
              <w:spacing w:after="0" w:line="240" w:lineRule="auto"/>
              <w:jc w:val="center"/>
              <w:rPr>
                <w:rFonts w:ascii="Times New Roman" w:eastAsia="Times New Roman" w:hAnsi="Times New Roman"/>
                <w:iCs/>
                <w:color w:val="0D0D0D"/>
                <w:sz w:val="18"/>
                <w:szCs w:val="18"/>
                <w:lang w:eastAsia="ru-RU"/>
              </w:rPr>
            </w:pPr>
            <w:r>
              <w:rPr>
                <w:rFonts w:ascii="Times New Roman" w:eastAsia="Times New Roman" w:hAnsi="Times New Roman"/>
                <w:iCs/>
                <w:color w:val="0D0D0D"/>
                <w:sz w:val="18"/>
                <w:szCs w:val="18"/>
                <w:lang w:eastAsia="ru-RU"/>
              </w:rPr>
              <w:t>л</w:t>
            </w:r>
          </w:p>
        </w:tc>
        <w:tc>
          <w:tcPr>
            <w:tcW w:w="1336" w:type="dxa"/>
            <w:tcBorders>
              <w:top w:val="single" w:sz="4" w:space="0" w:color="000000"/>
              <w:left w:val="single" w:sz="4" w:space="0" w:color="000000"/>
              <w:bottom w:val="single" w:sz="4" w:space="0" w:color="000000"/>
              <w:right w:val="single" w:sz="4" w:space="0" w:color="000000"/>
            </w:tcBorders>
            <w:vAlign w:val="center"/>
          </w:tcPr>
          <w:p w14:paraId="1CBFFB93" w14:textId="77777777" w:rsidR="002449C2" w:rsidRDefault="00123961">
            <w:pPr>
              <w:shd w:val="clear" w:color="auto" w:fill="FFFFFF"/>
              <w:spacing w:after="0" w:line="240" w:lineRule="auto"/>
              <w:jc w:val="center"/>
              <w:rPr>
                <w:rFonts w:ascii="Times New Roman" w:eastAsia="Times New Roman" w:hAnsi="Times New Roman"/>
                <w:iCs/>
                <w:color w:val="000000"/>
                <w:sz w:val="18"/>
                <w:szCs w:val="18"/>
                <w:lang w:eastAsia="ru-RU"/>
              </w:rPr>
            </w:pPr>
            <w:r>
              <w:rPr>
                <w:rFonts w:ascii="Times New Roman" w:eastAsia="Times New Roman" w:hAnsi="Times New Roman"/>
                <w:iCs/>
                <w:color w:val="000000"/>
                <w:sz w:val="18"/>
                <w:szCs w:val="18"/>
                <w:lang w:eastAsia="ru-RU"/>
              </w:rPr>
              <w:t>2 608 961,55</w:t>
            </w:r>
          </w:p>
        </w:tc>
        <w:tc>
          <w:tcPr>
            <w:tcW w:w="1408" w:type="dxa"/>
            <w:tcBorders>
              <w:top w:val="single" w:sz="4" w:space="0" w:color="000000"/>
              <w:left w:val="single" w:sz="4" w:space="0" w:color="000000"/>
              <w:bottom w:val="single" w:sz="4" w:space="0" w:color="000000"/>
              <w:right w:val="single" w:sz="4" w:space="0" w:color="000000"/>
            </w:tcBorders>
            <w:vAlign w:val="center"/>
          </w:tcPr>
          <w:p w14:paraId="0C22F652" w14:textId="77777777" w:rsidR="002449C2" w:rsidRDefault="00123961">
            <w:pPr>
              <w:shd w:val="clear" w:color="auto" w:fill="FFFFFF"/>
              <w:spacing w:after="0" w:line="240" w:lineRule="auto"/>
              <w:jc w:val="center"/>
              <w:rPr>
                <w:rFonts w:ascii="Times New Roman" w:eastAsia="Times New Roman" w:hAnsi="Times New Roman"/>
                <w:iCs/>
                <w:color w:val="000000"/>
                <w:sz w:val="18"/>
                <w:szCs w:val="18"/>
                <w:lang w:eastAsia="ru-RU"/>
              </w:rPr>
            </w:pPr>
            <w:r>
              <w:rPr>
                <w:rFonts w:ascii="Times New Roman" w:eastAsia="Times New Roman" w:hAnsi="Times New Roman"/>
                <w:iCs/>
                <w:color w:val="000000"/>
                <w:sz w:val="18"/>
                <w:szCs w:val="18"/>
                <w:lang w:eastAsia="ru-RU"/>
              </w:rPr>
              <w:t>2 770 420,00</w:t>
            </w:r>
          </w:p>
        </w:tc>
        <w:tc>
          <w:tcPr>
            <w:tcW w:w="1583" w:type="dxa"/>
            <w:tcBorders>
              <w:top w:val="single" w:sz="4" w:space="0" w:color="000000"/>
              <w:left w:val="single" w:sz="4" w:space="0" w:color="000000"/>
              <w:bottom w:val="single" w:sz="4" w:space="0" w:color="000000"/>
              <w:right w:val="single" w:sz="4" w:space="0" w:color="000000"/>
            </w:tcBorders>
            <w:vAlign w:val="center"/>
          </w:tcPr>
          <w:p w14:paraId="345058F1" w14:textId="77777777" w:rsidR="002449C2" w:rsidRDefault="00123961">
            <w:pPr>
              <w:shd w:val="clear" w:color="auto" w:fill="FFFFFF"/>
              <w:spacing w:after="0" w:line="240" w:lineRule="auto"/>
              <w:jc w:val="center"/>
              <w:rPr>
                <w:rFonts w:ascii="Times New Roman" w:eastAsia="Times New Roman" w:hAnsi="Times New Roman"/>
                <w:iCs/>
                <w:color w:val="000000"/>
                <w:sz w:val="18"/>
                <w:szCs w:val="18"/>
                <w:lang w:eastAsia="ru-RU"/>
              </w:rPr>
            </w:pPr>
            <w:r>
              <w:rPr>
                <w:rFonts w:ascii="Times New Roman" w:eastAsia="Times New Roman" w:hAnsi="Times New Roman"/>
                <w:iCs/>
                <w:color w:val="000000"/>
                <w:sz w:val="18"/>
                <w:szCs w:val="18"/>
                <w:lang w:eastAsia="ru-RU"/>
              </w:rPr>
              <w:t>7,07</w:t>
            </w:r>
          </w:p>
        </w:tc>
        <w:tc>
          <w:tcPr>
            <w:tcW w:w="1848" w:type="dxa"/>
            <w:tcBorders>
              <w:top w:val="single" w:sz="4" w:space="0" w:color="000000"/>
              <w:left w:val="single" w:sz="4" w:space="0" w:color="000000"/>
              <w:bottom w:val="single" w:sz="4" w:space="0" w:color="000000"/>
              <w:right w:val="single" w:sz="4" w:space="0" w:color="000000"/>
            </w:tcBorders>
            <w:vAlign w:val="center"/>
          </w:tcPr>
          <w:p w14:paraId="0970F563" w14:textId="77777777" w:rsidR="002449C2" w:rsidRDefault="00123961">
            <w:pPr>
              <w:shd w:val="clear" w:color="auto" w:fill="FFFFFF"/>
              <w:spacing w:after="0" w:line="240" w:lineRule="auto"/>
              <w:jc w:val="center"/>
              <w:rPr>
                <w:rFonts w:ascii="Times New Roman" w:eastAsia="Times New Roman" w:hAnsi="Times New Roman"/>
                <w:iCs/>
                <w:color w:val="000000"/>
                <w:sz w:val="18"/>
                <w:szCs w:val="18"/>
                <w:lang w:eastAsia="ru-RU"/>
              </w:rPr>
            </w:pPr>
            <w:r>
              <w:rPr>
                <w:rFonts w:ascii="Times New Roman" w:eastAsia="Times New Roman" w:hAnsi="Times New Roman"/>
                <w:iCs/>
                <w:color w:val="000000"/>
                <w:sz w:val="18"/>
                <w:szCs w:val="18"/>
                <w:lang w:eastAsia="ru-RU"/>
              </w:rPr>
              <w:t>7,51</w:t>
            </w:r>
          </w:p>
        </w:tc>
      </w:tr>
      <w:tr w:rsidR="002449C2" w14:paraId="1AD98225" w14:textId="77777777">
        <w:trPr>
          <w:trHeight w:val="555"/>
          <w:jc w:val="center"/>
        </w:trPr>
        <w:tc>
          <w:tcPr>
            <w:tcW w:w="221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5DA6DA5" w14:textId="77777777" w:rsidR="002449C2" w:rsidRDefault="00123961">
            <w:pPr>
              <w:shd w:val="clear" w:color="auto" w:fill="FFFFFF"/>
              <w:spacing w:after="0" w:line="240" w:lineRule="auto"/>
              <w:rPr>
                <w:rFonts w:ascii="Times New Roman" w:eastAsia="Times New Roman" w:hAnsi="Times New Roman"/>
                <w:iCs/>
                <w:color w:val="0D0D0D"/>
                <w:sz w:val="18"/>
                <w:szCs w:val="18"/>
                <w:lang w:eastAsia="ru-RU"/>
              </w:rPr>
            </w:pPr>
            <w:r>
              <w:rPr>
                <w:rFonts w:ascii="Times New Roman" w:eastAsia="Times New Roman" w:hAnsi="Times New Roman"/>
                <w:iCs/>
                <w:color w:val="0D0D0D"/>
                <w:sz w:val="18"/>
                <w:szCs w:val="18"/>
                <w:lang w:eastAsia="ru-RU"/>
              </w:rPr>
              <w:t>газ природный</w:t>
            </w:r>
            <w:r>
              <w:rPr>
                <w:rFonts w:ascii="Times New Roman" w:eastAsia="Times New Roman" w:hAnsi="Times New Roman"/>
                <w:iCs/>
                <w:color w:val="0D0D0D"/>
                <w:sz w:val="18"/>
                <w:szCs w:val="18"/>
                <w:lang w:eastAsia="ru-RU"/>
              </w:rPr>
              <w:br w:type="textWrapping" w:clear="all"/>
              <w:t>(в т. ч. сжиженный)</w:t>
            </w:r>
          </w:p>
        </w:tc>
        <w:tc>
          <w:tcPr>
            <w:tcW w:w="708" w:type="dxa"/>
            <w:tcBorders>
              <w:top w:val="single" w:sz="4" w:space="0" w:color="000000"/>
              <w:left w:val="single" w:sz="4" w:space="0" w:color="000000"/>
              <w:bottom w:val="single" w:sz="4" w:space="0" w:color="000000"/>
              <w:right w:val="single" w:sz="4" w:space="0" w:color="000000"/>
            </w:tcBorders>
            <w:vAlign w:val="center"/>
          </w:tcPr>
          <w:p w14:paraId="47AD18C6" w14:textId="77777777" w:rsidR="002449C2" w:rsidRDefault="00123961">
            <w:pPr>
              <w:shd w:val="clear" w:color="auto" w:fill="FFFFFF"/>
              <w:spacing w:after="0" w:line="240" w:lineRule="auto"/>
              <w:jc w:val="center"/>
              <w:rPr>
                <w:rFonts w:ascii="Times New Roman" w:eastAsia="Times New Roman" w:hAnsi="Times New Roman"/>
                <w:iCs/>
                <w:color w:val="0D0D0D"/>
                <w:sz w:val="18"/>
                <w:szCs w:val="18"/>
                <w:lang w:eastAsia="ru-RU"/>
              </w:rPr>
            </w:pPr>
            <w:r>
              <w:rPr>
                <w:rFonts w:ascii="Times New Roman" w:eastAsia="Times New Roman" w:hAnsi="Times New Roman"/>
                <w:iCs/>
                <w:color w:val="0D0D0D"/>
                <w:sz w:val="18"/>
                <w:szCs w:val="18"/>
                <w:lang w:eastAsia="ru-RU"/>
              </w:rPr>
              <w:t xml:space="preserve"> л</w:t>
            </w:r>
          </w:p>
        </w:tc>
        <w:tc>
          <w:tcPr>
            <w:tcW w:w="1336" w:type="dxa"/>
            <w:tcBorders>
              <w:top w:val="single" w:sz="4" w:space="0" w:color="000000"/>
              <w:left w:val="single" w:sz="4" w:space="0" w:color="000000"/>
              <w:bottom w:val="single" w:sz="4" w:space="0" w:color="000000"/>
              <w:right w:val="single" w:sz="4" w:space="0" w:color="000000"/>
            </w:tcBorders>
            <w:vAlign w:val="center"/>
          </w:tcPr>
          <w:p w14:paraId="569C48DB" w14:textId="77777777" w:rsidR="002449C2" w:rsidRDefault="00123961">
            <w:pPr>
              <w:shd w:val="clear" w:color="auto" w:fill="FFFFFF"/>
              <w:spacing w:after="0" w:line="240" w:lineRule="auto"/>
              <w:jc w:val="center"/>
              <w:rPr>
                <w:rFonts w:ascii="Times New Roman" w:eastAsia="Times New Roman" w:hAnsi="Times New Roman"/>
                <w:iCs/>
                <w:color w:val="0D0D0D"/>
                <w:sz w:val="18"/>
                <w:szCs w:val="18"/>
                <w:lang w:eastAsia="ru-RU"/>
              </w:rPr>
            </w:pPr>
            <w:r>
              <w:rPr>
                <w:rFonts w:ascii="Times New Roman" w:eastAsia="Times New Roman" w:hAnsi="Times New Roman"/>
                <w:iCs/>
                <w:color w:val="0D0D0D"/>
                <w:sz w:val="18"/>
                <w:szCs w:val="18"/>
                <w:lang w:eastAsia="ru-RU"/>
              </w:rPr>
              <w:t>532 600,00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4A3ED19" w14:textId="77777777" w:rsidR="002449C2" w:rsidRDefault="00123961">
            <w:pPr>
              <w:shd w:val="clear" w:color="auto" w:fill="FFFFFF"/>
              <w:spacing w:after="0" w:line="240" w:lineRule="auto"/>
              <w:jc w:val="center"/>
              <w:rPr>
                <w:rFonts w:ascii="Times New Roman" w:eastAsia="Times New Roman" w:hAnsi="Times New Roman"/>
                <w:iCs/>
                <w:color w:val="0D0D0D"/>
                <w:sz w:val="18"/>
                <w:szCs w:val="18"/>
                <w:lang w:eastAsia="ru-RU"/>
              </w:rPr>
            </w:pPr>
            <w:r>
              <w:rPr>
                <w:rFonts w:ascii="Times New Roman" w:eastAsia="Times New Roman" w:hAnsi="Times New Roman"/>
                <w:iCs/>
                <w:color w:val="0D0D0D"/>
                <w:sz w:val="18"/>
                <w:szCs w:val="18"/>
                <w:lang w:eastAsia="ru-RU"/>
              </w:rPr>
              <w:t>476 800,00</w:t>
            </w:r>
          </w:p>
        </w:tc>
        <w:tc>
          <w:tcPr>
            <w:tcW w:w="1583" w:type="dxa"/>
            <w:tcBorders>
              <w:top w:val="single" w:sz="4" w:space="0" w:color="000000"/>
              <w:left w:val="single" w:sz="4" w:space="0" w:color="000000"/>
              <w:bottom w:val="single" w:sz="4" w:space="0" w:color="000000"/>
              <w:right w:val="single" w:sz="4" w:space="0" w:color="000000"/>
            </w:tcBorders>
            <w:vAlign w:val="center"/>
          </w:tcPr>
          <w:p w14:paraId="5FCBB55E" w14:textId="77777777" w:rsidR="002449C2" w:rsidRDefault="00123961">
            <w:pPr>
              <w:shd w:val="clear" w:color="auto" w:fill="FFFFFF"/>
              <w:spacing w:after="0" w:line="240" w:lineRule="auto"/>
              <w:jc w:val="center"/>
              <w:rPr>
                <w:rFonts w:ascii="Times New Roman" w:eastAsia="Times New Roman" w:hAnsi="Times New Roman"/>
                <w:iCs/>
                <w:color w:val="000000"/>
                <w:sz w:val="18"/>
                <w:szCs w:val="18"/>
                <w:lang w:eastAsia="ru-RU"/>
              </w:rPr>
            </w:pPr>
            <w:r>
              <w:rPr>
                <w:rFonts w:ascii="Times New Roman" w:eastAsia="Times New Roman" w:hAnsi="Times New Roman"/>
                <w:iCs/>
                <w:color w:val="000000"/>
                <w:sz w:val="18"/>
                <w:szCs w:val="18"/>
                <w:lang w:eastAsia="ru-RU"/>
              </w:rPr>
              <w:t>0,6556</w:t>
            </w:r>
          </w:p>
        </w:tc>
        <w:tc>
          <w:tcPr>
            <w:tcW w:w="1848" w:type="dxa"/>
            <w:tcBorders>
              <w:top w:val="single" w:sz="4" w:space="0" w:color="000000"/>
              <w:left w:val="single" w:sz="4" w:space="0" w:color="000000"/>
              <w:bottom w:val="single" w:sz="4" w:space="0" w:color="000000"/>
              <w:right w:val="single" w:sz="4" w:space="0" w:color="000000"/>
            </w:tcBorders>
            <w:vAlign w:val="center"/>
          </w:tcPr>
          <w:p w14:paraId="24F9B676" w14:textId="77777777" w:rsidR="002449C2" w:rsidRDefault="00123961">
            <w:pPr>
              <w:shd w:val="clear" w:color="auto" w:fill="FFFFFF"/>
              <w:spacing w:after="0" w:line="240" w:lineRule="auto"/>
              <w:jc w:val="center"/>
              <w:rPr>
                <w:rFonts w:ascii="Times New Roman" w:eastAsia="Times New Roman" w:hAnsi="Times New Roman"/>
                <w:iCs/>
                <w:color w:val="000000"/>
                <w:sz w:val="18"/>
                <w:szCs w:val="18"/>
                <w:lang w:eastAsia="ru-RU"/>
              </w:rPr>
            </w:pPr>
            <w:r>
              <w:rPr>
                <w:rFonts w:ascii="Times New Roman" w:eastAsia="Times New Roman" w:hAnsi="Times New Roman"/>
                <w:iCs/>
                <w:color w:val="000000"/>
                <w:sz w:val="18"/>
                <w:szCs w:val="18"/>
                <w:lang w:eastAsia="ru-RU"/>
              </w:rPr>
              <w:t>0,59</w:t>
            </w:r>
          </w:p>
        </w:tc>
      </w:tr>
      <w:tr w:rsidR="002449C2" w14:paraId="4E9D3758" w14:textId="77777777">
        <w:trPr>
          <w:trHeight w:val="267"/>
          <w:jc w:val="center"/>
        </w:trPr>
        <w:tc>
          <w:tcPr>
            <w:tcW w:w="9100" w:type="dxa"/>
            <w:gridSpan w:val="6"/>
            <w:tcBorders>
              <w:top w:val="single" w:sz="4" w:space="0" w:color="000000"/>
              <w:left w:val="single" w:sz="4" w:space="0" w:color="000000"/>
              <w:bottom w:val="single" w:sz="4" w:space="0" w:color="000000"/>
              <w:right w:val="single" w:sz="4" w:space="0" w:color="000000"/>
            </w:tcBorders>
            <w:shd w:val="clear" w:color="000000" w:fill="FFFFFF"/>
            <w:vAlign w:val="center"/>
          </w:tcPr>
          <w:p w14:paraId="25627E8A" w14:textId="77777777" w:rsidR="002449C2" w:rsidRDefault="00123961">
            <w:pPr>
              <w:shd w:val="clear" w:color="auto" w:fill="FFFFFF"/>
              <w:spacing w:after="0" w:line="240" w:lineRule="auto"/>
              <w:rPr>
                <w:rFonts w:ascii="Times New Roman" w:eastAsia="Times New Roman" w:hAnsi="Times New Roman"/>
                <w:iCs/>
                <w:color w:val="000000"/>
                <w:sz w:val="18"/>
                <w:szCs w:val="18"/>
                <w:lang w:eastAsia="ru-RU"/>
              </w:rPr>
            </w:pPr>
            <w:r>
              <w:rPr>
                <w:rFonts w:ascii="Times New Roman" w:eastAsia="Times New Roman" w:hAnsi="Times New Roman"/>
                <w:iCs/>
                <w:color w:val="0D0D0D"/>
                <w:sz w:val="18"/>
                <w:szCs w:val="18"/>
                <w:lang w:eastAsia="ru-RU"/>
              </w:rPr>
              <w:t>отопление</w:t>
            </w:r>
          </w:p>
        </w:tc>
      </w:tr>
      <w:tr w:rsidR="002449C2" w14:paraId="22259210" w14:textId="77777777">
        <w:trPr>
          <w:trHeight w:val="202"/>
          <w:jc w:val="center"/>
        </w:trPr>
        <w:tc>
          <w:tcPr>
            <w:tcW w:w="221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0610231" w14:textId="77777777" w:rsidR="002449C2" w:rsidRDefault="00123961">
            <w:pPr>
              <w:shd w:val="clear" w:color="auto" w:fill="FFFFFF"/>
              <w:spacing w:after="0" w:line="240" w:lineRule="auto"/>
              <w:rPr>
                <w:rFonts w:ascii="Times New Roman" w:eastAsia="Times New Roman" w:hAnsi="Times New Roman"/>
                <w:iCs/>
                <w:color w:val="0D0D0D"/>
                <w:sz w:val="18"/>
                <w:szCs w:val="18"/>
                <w:lang w:eastAsia="ru-RU"/>
              </w:rPr>
            </w:pPr>
            <w:r>
              <w:rPr>
                <w:rFonts w:ascii="Times New Roman" w:eastAsia="Times New Roman" w:hAnsi="Times New Roman"/>
                <w:iCs/>
                <w:color w:val="0D0D0D"/>
                <w:sz w:val="18"/>
                <w:szCs w:val="18"/>
                <w:lang w:eastAsia="ru-RU"/>
              </w:rPr>
              <w:t>газ природный</w:t>
            </w:r>
          </w:p>
        </w:tc>
        <w:tc>
          <w:tcPr>
            <w:tcW w:w="70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49DAF66" w14:textId="77777777" w:rsidR="002449C2" w:rsidRDefault="00123961">
            <w:pPr>
              <w:shd w:val="clear" w:color="auto" w:fill="FFFFFF"/>
              <w:spacing w:after="0" w:line="240" w:lineRule="auto"/>
              <w:jc w:val="center"/>
              <w:rPr>
                <w:rFonts w:ascii="Times New Roman" w:eastAsia="Times New Roman" w:hAnsi="Times New Roman"/>
                <w:iCs/>
                <w:color w:val="0D0D0D"/>
                <w:sz w:val="18"/>
                <w:szCs w:val="18"/>
                <w:lang w:eastAsia="ru-RU"/>
              </w:rPr>
            </w:pPr>
            <w:r>
              <w:rPr>
                <w:rFonts w:ascii="Times New Roman" w:eastAsia="Times New Roman" w:hAnsi="Times New Roman"/>
                <w:iCs/>
                <w:color w:val="0D0D0D"/>
                <w:sz w:val="18"/>
                <w:szCs w:val="18"/>
                <w:lang w:eastAsia="ru-RU"/>
              </w:rPr>
              <w:t>млн м3</w:t>
            </w:r>
          </w:p>
        </w:tc>
        <w:tc>
          <w:tcPr>
            <w:tcW w:w="133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05EAC3B" w14:textId="77777777" w:rsidR="002449C2" w:rsidRDefault="00123961">
            <w:pPr>
              <w:shd w:val="clear" w:color="auto" w:fill="FFFFFF"/>
              <w:spacing w:after="0" w:line="240" w:lineRule="auto"/>
              <w:jc w:val="center"/>
              <w:rPr>
                <w:rFonts w:ascii="Times New Roman" w:eastAsia="Times New Roman" w:hAnsi="Times New Roman"/>
                <w:iCs/>
                <w:color w:val="0D0D0D"/>
                <w:sz w:val="18"/>
                <w:szCs w:val="18"/>
                <w:lang w:eastAsia="ru-RU"/>
              </w:rPr>
            </w:pPr>
            <w:r>
              <w:rPr>
                <w:rFonts w:ascii="Times New Roman" w:eastAsia="Times New Roman" w:hAnsi="Times New Roman"/>
                <w:iCs/>
                <w:color w:val="0D0D0D"/>
                <w:sz w:val="18"/>
                <w:szCs w:val="18"/>
                <w:lang w:eastAsia="ru-RU"/>
              </w:rPr>
              <w:t>0,741</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B0222EE" w14:textId="77777777" w:rsidR="002449C2" w:rsidRDefault="00123961">
            <w:pPr>
              <w:shd w:val="clear" w:color="auto" w:fill="FFFFFF"/>
              <w:spacing w:after="0" w:line="240" w:lineRule="auto"/>
              <w:jc w:val="center"/>
              <w:rPr>
                <w:rFonts w:ascii="Times New Roman" w:eastAsia="Times New Roman" w:hAnsi="Times New Roman"/>
                <w:iCs/>
                <w:color w:val="0D0D0D"/>
                <w:sz w:val="18"/>
                <w:szCs w:val="18"/>
                <w:lang w:eastAsia="ru-RU"/>
              </w:rPr>
            </w:pPr>
            <w:r>
              <w:rPr>
                <w:rFonts w:ascii="Times New Roman" w:eastAsia="Times New Roman" w:hAnsi="Times New Roman"/>
                <w:iCs/>
                <w:color w:val="0D0D0D"/>
                <w:sz w:val="18"/>
                <w:szCs w:val="18"/>
                <w:lang w:eastAsia="ru-RU"/>
              </w:rPr>
              <w:t>0,607</w:t>
            </w:r>
          </w:p>
        </w:tc>
        <w:tc>
          <w:tcPr>
            <w:tcW w:w="1583" w:type="dxa"/>
            <w:tcBorders>
              <w:top w:val="single" w:sz="4" w:space="0" w:color="000000"/>
              <w:left w:val="single" w:sz="4" w:space="0" w:color="000000"/>
              <w:bottom w:val="single" w:sz="4" w:space="0" w:color="000000"/>
              <w:right w:val="single" w:sz="4" w:space="0" w:color="000000"/>
            </w:tcBorders>
            <w:vAlign w:val="center"/>
          </w:tcPr>
          <w:p w14:paraId="7C02F9F2" w14:textId="77777777" w:rsidR="002449C2" w:rsidRDefault="00123961">
            <w:pPr>
              <w:shd w:val="clear" w:color="auto" w:fill="FFFFFF"/>
              <w:spacing w:after="0" w:line="240" w:lineRule="auto"/>
              <w:jc w:val="center"/>
              <w:rPr>
                <w:rFonts w:ascii="Times New Roman" w:eastAsia="Times New Roman" w:hAnsi="Times New Roman"/>
                <w:iCs/>
                <w:color w:val="000000"/>
                <w:sz w:val="18"/>
                <w:szCs w:val="18"/>
                <w:lang w:eastAsia="ru-RU"/>
              </w:rPr>
            </w:pPr>
            <w:r>
              <w:rPr>
                <w:rFonts w:ascii="Times New Roman" w:eastAsia="Times New Roman" w:hAnsi="Times New Roman"/>
                <w:iCs/>
                <w:color w:val="000000"/>
                <w:sz w:val="18"/>
                <w:szCs w:val="18"/>
                <w:lang w:eastAsia="ru-RU"/>
              </w:rPr>
              <w:t>1,36</w:t>
            </w:r>
          </w:p>
        </w:tc>
        <w:tc>
          <w:tcPr>
            <w:tcW w:w="1848" w:type="dxa"/>
            <w:tcBorders>
              <w:top w:val="single" w:sz="4" w:space="0" w:color="000000"/>
              <w:left w:val="single" w:sz="4" w:space="0" w:color="000000"/>
              <w:bottom w:val="single" w:sz="4" w:space="0" w:color="000000"/>
              <w:right w:val="single" w:sz="4" w:space="0" w:color="000000"/>
            </w:tcBorders>
            <w:vAlign w:val="center"/>
          </w:tcPr>
          <w:p w14:paraId="193BB1ED" w14:textId="77777777" w:rsidR="002449C2" w:rsidRDefault="00123961">
            <w:pPr>
              <w:shd w:val="clear" w:color="auto" w:fill="FFFFFF"/>
              <w:spacing w:after="0" w:line="240" w:lineRule="auto"/>
              <w:jc w:val="center"/>
              <w:rPr>
                <w:rFonts w:ascii="Times New Roman" w:eastAsia="Times New Roman" w:hAnsi="Times New Roman"/>
                <w:iCs/>
                <w:color w:val="000000"/>
                <w:sz w:val="18"/>
                <w:szCs w:val="18"/>
                <w:lang w:eastAsia="ru-RU"/>
              </w:rPr>
            </w:pPr>
            <w:r>
              <w:rPr>
                <w:rFonts w:ascii="Times New Roman" w:eastAsia="Times New Roman" w:hAnsi="Times New Roman"/>
                <w:iCs/>
                <w:color w:val="000000"/>
                <w:sz w:val="18"/>
                <w:szCs w:val="18"/>
                <w:lang w:eastAsia="ru-RU"/>
              </w:rPr>
              <w:t>1,11</w:t>
            </w:r>
          </w:p>
        </w:tc>
      </w:tr>
      <w:tr w:rsidR="002449C2" w14:paraId="5673009F" w14:textId="77777777">
        <w:trPr>
          <w:trHeight w:val="352"/>
          <w:jc w:val="center"/>
        </w:trPr>
        <w:tc>
          <w:tcPr>
            <w:tcW w:w="221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66135CC" w14:textId="77777777" w:rsidR="002449C2" w:rsidRDefault="00123961">
            <w:pPr>
              <w:shd w:val="clear" w:color="auto" w:fill="FFFFFF"/>
              <w:spacing w:after="0" w:line="240" w:lineRule="auto"/>
              <w:rPr>
                <w:rFonts w:ascii="Times New Roman" w:eastAsia="Times New Roman" w:hAnsi="Times New Roman"/>
                <w:bCs/>
                <w:iCs/>
                <w:color w:val="0D0D0D"/>
                <w:sz w:val="18"/>
                <w:szCs w:val="18"/>
                <w:lang w:eastAsia="ru-RU"/>
              </w:rPr>
            </w:pPr>
            <w:r>
              <w:rPr>
                <w:rFonts w:ascii="Times New Roman" w:eastAsia="Times New Roman" w:hAnsi="Times New Roman"/>
                <w:bCs/>
                <w:iCs/>
                <w:color w:val="0D0D0D"/>
                <w:sz w:val="18"/>
                <w:szCs w:val="18"/>
                <w:lang w:eastAsia="ru-RU"/>
              </w:rPr>
              <w:t>Итого по ПАО «Россети Юг»</w:t>
            </w:r>
          </w:p>
        </w:tc>
        <w:tc>
          <w:tcPr>
            <w:tcW w:w="708" w:type="dxa"/>
            <w:tcBorders>
              <w:top w:val="single" w:sz="4" w:space="0" w:color="000000"/>
              <w:left w:val="single" w:sz="4" w:space="0" w:color="000000"/>
              <w:bottom w:val="single" w:sz="4" w:space="0" w:color="000000"/>
              <w:right w:val="single" w:sz="4" w:space="0" w:color="000000"/>
            </w:tcBorders>
            <w:vAlign w:val="center"/>
          </w:tcPr>
          <w:p w14:paraId="2A599F9D" w14:textId="77777777" w:rsidR="002449C2" w:rsidRDefault="002449C2">
            <w:pPr>
              <w:shd w:val="clear" w:color="auto" w:fill="FFFFFF"/>
              <w:spacing w:after="0" w:line="240" w:lineRule="auto"/>
              <w:jc w:val="center"/>
              <w:rPr>
                <w:rFonts w:ascii="Times New Roman" w:eastAsia="Times New Roman" w:hAnsi="Times New Roman"/>
                <w:bCs/>
                <w:color w:val="000000"/>
                <w:sz w:val="18"/>
                <w:szCs w:val="18"/>
                <w:lang w:eastAsia="ru-RU"/>
              </w:rPr>
            </w:pPr>
          </w:p>
        </w:tc>
        <w:tc>
          <w:tcPr>
            <w:tcW w:w="1336" w:type="dxa"/>
            <w:tcBorders>
              <w:top w:val="single" w:sz="4" w:space="0" w:color="000000"/>
              <w:left w:val="single" w:sz="4" w:space="0" w:color="000000"/>
              <w:bottom w:val="single" w:sz="4" w:space="0" w:color="000000"/>
              <w:right w:val="single" w:sz="4" w:space="0" w:color="000000"/>
            </w:tcBorders>
            <w:vAlign w:val="center"/>
          </w:tcPr>
          <w:p w14:paraId="4B4D0EF8" w14:textId="77777777" w:rsidR="002449C2" w:rsidRDefault="002449C2">
            <w:pPr>
              <w:shd w:val="clear" w:color="auto" w:fill="FFFFFF"/>
              <w:spacing w:after="0" w:line="240" w:lineRule="auto"/>
              <w:jc w:val="center"/>
              <w:rPr>
                <w:rFonts w:ascii="Times New Roman" w:eastAsia="Times New Roman" w:hAnsi="Times New Roman"/>
                <w:bCs/>
                <w:color w:val="000000"/>
                <w:sz w:val="18"/>
                <w:szCs w:val="18"/>
                <w:lang w:eastAsia="ru-RU"/>
              </w:rPr>
            </w:pPr>
          </w:p>
        </w:tc>
        <w:tc>
          <w:tcPr>
            <w:tcW w:w="1408" w:type="dxa"/>
            <w:tcBorders>
              <w:top w:val="single" w:sz="4" w:space="0" w:color="000000"/>
              <w:left w:val="single" w:sz="4" w:space="0" w:color="000000"/>
              <w:bottom w:val="single" w:sz="4" w:space="0" w:color="000000"/>
              <w:right w:val="single" w:sz="4" w:space="0" w:color="000000"/>
            </w:tcBorders>
            <w:vAlign w:val="center"/>
          </w:tcPr>
          <w:p w14:paraId="66441E20" w14:textId="77777777" w:rsidR="002449C2" w:rsidRDefault="002449C2">
            <w:pPr>
              <w:shd w:val="clear" w:color="auto" w:fill="FFFFFF"/>
              <w:spacing w:after="0" w:line="240" w:lineRule="auto"/>
              <w:jc w:val="center"/>
              <w:rPr>
                <w:rFonts w:ascii="Times New Roman" w:eastAsia="Times New Roman" w:hAnsi="Times New Roman"/>
                <w:bCs/>
                <w:color w:val="000000"/>
                <w:sz w:val="18"/>
                <w:szCs w:val="18"/>
                <w:lang w:eastAsia="ru-RU"/>
              </w:rPr>
            </w:pPr>
          </w:p>
        </w:tc>
        <w:tc>
          <w:tcPr>
            <w:tcW w:w="1583" w:type="dxa"/>
            <w:tcBorders>
              <w:top w:val="single" w:sz="4" w:space="0" w:color="000000"/>
              <w:left w:val="single" w:sz="4" w:space="0" w:color="000000"/>
              <w:bottom w:val="single" w:sz="4" w:space="0" w:color="000000"/>
              <w:right w:val="single" w:sz="4" w:space="0" w:color="000000"/>
            </w:tcBorders>
            <w:vAlign w:val="center"/>
          </w:tcPr>
          <w:p w14:paraId="5E44B041" w14:textId="77777777" w:rsidR="002449C2" w:rsidRDefault="00123961">
            <w:pPr>
              <w:shd w:val="clear" w:color="auto" w:fill="FFFFFF"/>
              <w:spacing w:after="0" w:line="240" w:lineRule="auto"/>
              <w:jc w:val="center"/>
              <w:rPr>
                <w:rFonts w:ascii="Times New Roman" w:eastAsia="Times New Roman" w:hAnsi="Times New Roman"/>
                <w:bCs/>
                <w:iCs/>
                <w:color w:val="000000"/>
                <w:sz w:val="18"/>
                <w:szCs w:val="18"/>
                <w:lang w:eastAsia="ru-RU"/>
              </w:rPr>
            </w:pPr>
            <w:r>
              <w:rPr>
                <w:rFonts w:ascii="Times New Roman" w:eastAsia="Times New Roman" w:hAnsi="Times New Roman"/>
                <w:bCs/>
                <w:iCs/>
                <w:color w:val="000000"/>
                <w:sz w:val="18"/>
                <w:szCs w:val="18"/>
                <w:lang w:eastAsia="ru-RU"/>
              </w:rPr>
              <w:t>20,55</w:t>
            </w:r>
          </w:p>
        </w:tc>
        <w:tc>
          <w:tcPr>
            <w:tcW w:w="1848" w:type="dxa"/>
            <w:tcBorders>
              <w:top w:val="single" w:sz="4" w:space="0" w:color="000000"/>
              <w:left w:val="single" w:sz="4" w:space="0" w:color="000000"/>
              <w:bottom w:val="single" w:sz="4" w:space="0" w:color="000000"/>
              <w:right w:val="single" w:sz="4" w:space="0" w:color="000000"/>
            </w:tcBorders>
            <w:vAlign w:val="center"/>
          </w:tcPr>
          <w:p w14:paraId="0C2A8668" w14:textId="77777777" w:rsidR="002449C2" w:rsidRDefault="00123961">
            <w:pPr>
              <w:shd w:val="clear" w:color="auto" w:fill="FFFFFF"/>
              <w:spacing w:after="0" w:line="240" w:lineRule="auto"/>
              <w:jc w:val="center"/>
              <w:rPr>
                <w:rFonts w:ascii="Times New Roman" w:eastAsia="Times New Roman" w:hAnsi="Times New Roman"/>
                <w:bCs/>
                <w:iCs/>
                <w:color w:val="000000"/>
                <w:sz w:val="18"/>
                <w:szCs w:val="18"/>
                <w:lang w:eastAsia="ru-RU"/>
              </w:rPr>
            </w:pPr>
            <w:r>
              <w:rPr>
                <w:rFonts w:ascii="Times New Roman" w:eastAsia="Times New Roman" w:hAnsi="Times New Roman"/>
                <w:bCs/>
                <w:iCs/>
                <w:color w:val="000000"/>
                <w:sz w:val="18"/>
                <w:szCs w:val="18"/>
                <w:lang w:eastAsia="ru-RU"/>
              </w:rPr>
              <w:t>21,66</w:t>
            </w:r>
          </w:p>
        </w:tc>
      </w:tr>
    </w:tbl>
    <w:p w14:paraId="14EBC07C" w14:textId="77777777" w:rsidR="002449C2" w:rsidRDefault="00123961">
      <w:pPr>
        <w:shd w:val="clear" w:color="auto" w:fill="FFFFFF"/>
        <w:spacing w:after="0" w:line="240" w:lineRule="auto"/>
        <w:ind w:right="-142" w:firstLine="709"/>
        <w:jc w:val="both"/>
        <w:rPr>
          <w:rFonts w:ascii="Times New Roman" w:eastAsia="Times New Roman" w:hAnsi="Times New Roman"/>
          <w:sz w:val="26"/>
          <w:szCs w:val="26"/>
        </w:rPr>
      </w:pPr>
      <w:r>
        <w:rPr>
          <w:rFonts w:ascii="Times New Roman" w:eastAsia="Times New Roman" w:hAnsi="Times New Roman"/>
          <w:sz w:val="26"/>
          <w:szCs w:val="26"/>
        </w:rPr>
        <w:t>Поступление в сети «Россети Юг» энергии из возобновляемых источников. В 2024 году (предварительно) объем поставок энергии ветряной генерацией составил более 2 млрд кВт*ч, гидрогенерацией – более 600 млн кВт*ч, солнечной генерацией – около 300 млн кВт*ч.</w:t>
      </w:r>
    </w:p>
    <w:p w14:paraId="33441E07" w14:textId="77777777" w:rsidR="002449C2" w:rsidRDefault="00123961">
      <w:pPr>
        <w:shd w:val="clear" w:color="auto" w:fill="FFFFFF"/>
        <w:spacing w:after="0" w:line="240" w:lineRule="auto"/>
        <w:ind w:right="-143" w:firstLine="709"/>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Взаимодействие </w:t>
      </w:r>
      <w:r>
        <w:rPr>
          <w:rFonts w:ascii="Times New Roman" w:hAnsi="Times New Roman"/>
          <w:sz w:val="26"/>
          <w:szCs w:val="26"/>
        </w:rPr>
        <w:t>заинтересованными стороны</w:t>
      </w:r>
    </w:p>
    <w:p w14:paraId="5740C93C" w14:textId="77777777" w:rsidR="002449C2" w:rsidRDefault="00123961">
      <w:pPr>
        <w:shd w:val="clear" w:color="auto" w:fill="FFFFFF"/>
        <w:spacing w:after="0" w:line="240" w:lineRule="auto"/>
        <w:ind w:right="-143"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2024 году сотрудники филиалов Общества принимали участие в осенне-весенних субботниках по уборке прилегающей территории от мусора и озеленению территорий, в преддверии Дня Победы в филиале «Волгоградэнерго» проведена акция по озеленению территории Мамаева кургана - памятника «Героям Сталинградской битвы», работники филиала «Ростовэнерго» приняли участие в экологической акции по высадке деревьев на территории городских парков, приуроченной к 275-летию города Ростова-на-Дону. </w:t>
      </w:r>
    </w:p>
    <w:p w14:paraId="6B74E2B4" w14:textId="77777777" w:rsidR="002449C2" w:rsidRDefault="00123961">
      <w:pPr>
        <w:shd w:val="clear" w:color="auto" w:fill="FFFFFF"/>
        <w:spacing w:after="0" w:line="240" w:lineRule="auto"/>
        <w:ind w:right="-143"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целях формирования экологической культуры и повышения уровня экологической грамотности в Обществе организовано участие персонала в «Экодиктанте» (всего приняли участи 31 человек).</w:t>
      </w:r>
    </w:p>
    <w:p w14:paraId="7E2A0068" w14:textId="77777777" w:rsidR="002449C2" w:rsidRDefault="00123961">
      <w:pPr>
        <w:shd w:val="clear" w:color="auto" w:fill="FFFFFF"/>
        <w:spacing w:after="0" w:line="240" w:lineRule="auto"/>
        <w:ind w:right="-142" w:firstLine="709"/>
        <w:jc w:val="both"/>
        <w:rPr>
          <w:rFonts w:ascii="Times New Roman" w:eastAsia="Times New Roman" w:hAnsi="Times New Roman"/>
          <w:sz w:val="26"/>
          <w:szCs w:val="26"/>
        </w:rPr>
      </w:pPr>
      <w:r>
        <w:rPr>
          <w:rFonts w:ascii="Times New Roman" w:eastAsia="Times New Roman" w:hAnsi="Times New Roman"/>
          <w:sz w:val="26"/>
          <w:szCs w:val="26"/>
        </w:rPr>
        <w:t>В 2024 году ПАО «Россети Юг» заключена сделка по купле-продаже «зеленых сертификатов» объемом 1,5 млн кВт*ч, выпущенных по национальной системе сертификации низкоуглеродной электроэнергии (выработаны солнечными электростанциями).</w:t>
      </w:r>
    </w:p>
    <w:p w14:paraId="2C5EA113" w14:textId="77777777" w:rsidR="002449C2" w:rsidRDefault="00123961">
      <w:pPr>
        <w:shd w:val="clear" w:color="auto" w:fill="FFFFFF"/>
        <w:tabs>
          <w:tab w:val="left" w:pos="1134"/>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Основные задачи Общества в области экологической безопасности на 2024 год:</w:t>
      </w:r>
    </w:p>
    <w:p w14:paraId="45562327" w14:textId="77777777" w:rsidR="002449C2" w:rsidRDefault="00123961">
      <w:pPr>
        <w:numPr>
          <w:ilvl w:val="0"/>
          <w:numId w:val="28"/>
        </w:numPr>
        <w:shd w:val="clear" w:color="auto" w:fill="FFFFFF"/>
        <w:tabs>
          <w:tab w:val="left" w:pos="1134"/>
        </w:tabs>
        <w:spacing w:after="0" w:line="240" w:lineRule="auto"/>
        <w:ind w:left="0"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обеспечение и контроль безопасного уровня выбросов загрязняющих веществ в атмосферный воздух от стационарных источников; проведению санитарно-гигиенического контроля на границах санитарно-защитных зон;</w:t>
      </w:r>
    </w:p>
    <w:p w14:paraId="148F736D" w14:textId="77777777" w:rsidR="002449C2" w:rsidRDefault="00123961">
      <w:pPr>
        <w:numPr>
          <w:ilvl w:val="0"/>
          <w:numId w:val="28"/>
        </w:numPr>
        <w:shd w:val="clear" w:color="auto" w:fill="FFFFFF"/>
        <w:tabs>
          <w:tab w:val="left" w:pos="1134"/>
        </w:tabs>
        <w:spacing w:after="0" w:line="240" w:lineRule="auto"/>
        <w:ind w:left="0"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повышение компетентности работников по экологической безопасности;</w:t>
      </w:r>
    </w:p>
    <w:p w14:paraId="5E4BD16C" w14:textId="77777777" w:rsidR="002449C2" w:rsidRDefault="00123961">
      <w:pPr>
        <w:numPr>
          <w:ilvl w:val="0"/>
          <w:numId w:val="28"/>
        </w:numPr>
        <w:shd w:val="clear" w:color="auto" w:fill="FFFFFF"/>
        <w:tabs>
          <w:tab w:val="left" w:pos="1134"/>
        </w:tabs>
        <w:spacing w:after="0" w:line="240" w:lineRule="auto"/>
        <w:ind w:left="0"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установление птицезащитных устройств на опорах в зонах обитания и миграции птиц;</w:t>
      </w:r>
    </w:p>
    <w:p w14:paraId="1DADF840" w14:textId="77777777" w:rsidR="002449C2" w:rsidRDefault="00123961">
      <w:pPr>
        <w:numPr>
          <w:ilvl w:val="0"/>
          <w:numId w:val="28"/>
        </w:numPr>
        <w:shd w:val="clear" w:color="auto" w:fill="FFFFFF"/>
        <w:tabs>
          <w:tab w:val="left" w:pos="1134"/>
        </w:tabs>
        <w:spacing w:after="0" w:line="240" w:lineRule="auto"/>
        <w:ind w:left="0"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исключение сроков накопления отходов на производственных площадках, своевременный вывоз с территории производственных площадок отходов, исполнение Графика вывода из эксплуатации ПХБ-содержащего оборудования и сдачи на уничтожение на 2023-2024 годы;</w:t>
      </w:r>
    </w:p>
    <w:p w14:paraId="361964D3" w14:textId="77777777" w:rsidR="002449C2" w:rsidRDefault="00123961">
      <w:pPr>
        <w:numPr>
          <w:ilvl w:val="0"/>
          <w:numId w:val="28"/>
        </w:numPr>
        <w:shd w:val="clear" w:color="auto" w:fill="FFFFFF"/>
        <w:tabs>
          <w:tab w:val="left" w:pos="1134"/>
        </w:tabs>
        <w:spacing w:after="0" w:line="240" w:lineRule="auto"/>
        <w:ind w:left="0"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соблюдение лицензионных соглашений на пользование недрами.</w:t>
      </w:r>
    </w:p>
    <w:p w14:paraId="2D743EE9" w14:textId="77777777" w:rsidR="002449C2" w:rsidRDefault="00123961">
      <w:pPr>
        <w:shd w:val="clear" w:color="auto" w:fill="FFFFFF"/>
        <w:spacing w:before="120" w:after="120" w:line="240" w:lineRule="auto"/>
        <w:ind w:firstLine="567"/>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Экологические показатели</w:t>
      </w:r>
    </w:p>
    <w:tbl>
      <w:tblPr>
        <w:tblW w:w="9109" w:type="dxa"/>
        <w:jc w:val="center"/>
        <w:tblLayout w:type="fixed"/>
        <w:tblLook w:val="04A0" w:firstRow="1" w:lastRow="0" w:firstColumn="1" w:lastColumn="0" w:noHBand="0" w:noVBand="1"/>
      </w:tblPr>
      <w:tblGrid>
        <w:gridCol w:w="3967"/>
        <w:gridCol w:w="992"/>
        <w:gridCol w:w="1006"/>
        <w:gridCol w:w="1049"/>
        <w:gridCol w:w="1047"/>
        <w:gridCol w:w="1048"/>
      </w:tblGrid>
      <w:tr w:rsidR="002449C2" w14:paraId="7C339682" w14:textId="77777777">
        <w:trPr>
          <w:cantSplit/>
          <w:trHeight w:val="80"/>
          <w:jc w:val="center"/>
        </w:trPr>
        <w:tc>
          <w:tcPr>
            <w:tcW w:w="3966" w:type="dxa"/>
            <w:vMerge w:val="restart"/>
            <w:tcBorders>
              <w:top w:val="single" w:sz="4" w:space="0" w:color="000000"/>
              <w:left w:val="single" w:sz="4" w:space="0" w:color="000000"/>
              <w:bottom w:val="single" w:sz="4" w:space="0" w:color="000000"/>
              <w:right w:val="single" w:sz="4" w:space="0" w:color="000000"/>
            </w:tcBorders>
            <w:vAlign w:val="center"/>
          </w:tcPr>
          <w:p w14:paraId="5F9E4CE1" w14:textId="77777777" w:rsidR="002449C2" w:rsidRDefault="00123961">
            <w:pPr>
              <w:widowControl w:val="0"/>
              <w:shd w:val="clear" w:color="auto" w:fill="FFFFFF"/>
              <w:spacing w:after="0" w:line="240" w:lineRule="auto"/>
              <w:jc w:val="center"/>
              <w:rPr>
                <w:rFonts w:ascii="Times New Roman" w:eastAsia="Times New Roman" w:hAnsi="Times New Roman"/>
                <w:sz w:val="18"/>
                <w:szCs w:val="18"/>
                <w:lang w:eastAsia="ru-RU"/>
              </w:rPr>
            </w:pPr>
            <w:r>
              <w:rPr>
                <w:rFonts w:ascii="Times New Roman" w:eastAsia="Times New Roman" w:hAnsi="Times New Roman"/>
                <w:bCs/>
                <w:sz w:val="18"/>
                <w:szCs w:val="18"/>
                <w:lang w:eastAsia="ru-RU"/>
              </w:rPr>
              <w:t>Показатели</w:t>
            </w:r>
          </w:p>
        </w:tc>
        <w:tc>
          <w:tcPr>
            <w:tcW w:w="992" w:type="dxa"/>
            <w:vMerge w:val="restart"/>
            <w:tcBorders>
              <w:top w:val="single" w:sz="4" w:space="0" w:color="000000"/>
              <w:left w:val="single" w:sz="4" w:space="0" w:color="000000"/>
              <w:bottom w:val="single" w:sz="4" w:space="0" w:color="000000"/>
              <w:right w:val="single" w:sz="4" w:space="0" w:color="000000"/>
            </w:tcBorders>
            <w:vAlign w:val="center"/>
          </w:tcPr>
          <w:p w14:paraId="56F84494" w14:textId="77777777" w:rsidR="002449C2" w:rsidRDefault="00123961">
            <w:pPr>
              <w:widowControl w:val="0"/>
              <w:shd w:val="clear" w:color="auto" w:fill="FFFFFF"/>
              <w:spacing w:after="0" w:line="240" w:lineRule="auto"/>
              <w:ind w:left="-107" w:right="-143" w:firstLine="107"/>
              <w:rPr>
                <w:rFonts w:ascii="Times New Roman" w:eastAsia="Times New Roman" w:hAnsi="Times New Roman"/>
                <w:sz w:val="18"/>
                <w:szCs w:val="18"/>
                <w:lang w:eastAsia="ru-RU"/>
              </w:rPr>
            </w:pPr>
            <w:r>
              <w:rPr>
                <w:rFonts w:ascii="Times New Roman" w:eastAsia="Times New Roman" w:hAnsi="Times New Roman"/>
                <w:sz w:val="18"/>
                <w:szCs w:val="18"/>
                <w:lang w:eastAsia="ru-RU"/>
              </w:rPr>
              <w:t>Един.изм</w:t>
            </w:r>
          </w:p>
        </w:tc>
        <w:tc>
          <w:tcPr>
            <w:tcW w:w="4150" w:type="dxa"/>
            <w:gridSpan w:val="4"/>
            <w:tcBorders>
              <w:top w:val="single" w:sz="4" w:space="0" w:color="000000"/>
              <w:left w:val="single" w:sz="4" w:space="0" w:color="000000"/>
              <w:bottom w:val="single" w:sz="4" w:space="0" w:color="000000"/>
              <w:right w:val="single" w:sz="4" w:space="0" w:color="000000"/>
            </w:tcBorders>
            <w:vAlign w:val="center"/>
          </w:tcPr>
          <w:p w14:paraId="0D6BD0BD" w14:textId="77777777" w:rsidR="002449C2" w:rsidRDefault="00123961">
            <w:pPr>
              <w:widowControl w:val="0"/>
              <w:shd w:val="clear" w:color="auto" w:fill="FFFFFF"/>
              <w:spacing w:after="0" w:line="240" w:lineRule="auto"/>
              <w:ind w:left="-107"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период</w:t>
            </w:r>
          </w:p>
        </w:tc>
      </w:tr>
      <w:tr w:rsidR="002449C2" w14:paraId="4B74BB05" w14:textId="77777777">
        <w:trPr>
          <w:cantSplit/>
          <w:trHeight w:val="80"/>
          <w:jc w:val="center"/>
        </w:trPr>
        <w:tc>
          <w:tcPr>
            <w:tcW w:w="3966" w:type="dxa"/>
            <w:vMerge/>
            <w:tcBorders>
              <w:top w:val="single" w:sz="4" w:space="0" w:color="000000"/>
              <w:left w:val="single" w:sz="4" w:space="0" w:color="000000"/>
              <w:bottom w:val="single" w:sz="4" w:space="0" w:color="000000"/>
              <w:right w:val="single" w:sz="4" w:space="0" w:color="000000"/>
            </w:tcBorders>
            <w:vAlign w:val="center"/>
          </w:tcPr>
          <w:p w14:paraId="6221EDBD" w14:textId="77777777" w:rsidR="002449C2" w:rsidRDefault="002449C2">
            <w:pPr>
              <w:widowControl w:val="0"/>
              <w:shd w:val="clear" w:color="auto" w:fill="FFFFFF"/>
              <w:spacing w:after="0" w:line="240" w:lineRule="auto"/>
              <w:jc w:val="both"/>
              <w:rPr>
                <w:rFonts w:ascii="Times New Roman" w:eastAsia="Times New Roman" w:hAnsi="Times New Roman"/>
                <w:sz w:val="18"/>
                <w:szCs w:val="18"/>
                <w:lang w:eastAsia="ru-RU"/>
              </w:rPr>
            </w:pPr>
          </w:p>
        </w:tc>
        <w:tc>
          <w:tcPr>
            <w:tcW w:w="992" w:type="dxa"/>
            <w:vMerge/>
            <w:tcBorders>
              <w:top w:val="single" w:sz="4" w:space="0" w:color="000000"/>
              <w:left w:val="single" w:sz="4" w:space="0" w:color="000000"/>
              <w:bottom w:val="single" w:sz="4" w:space="0" w:color="000000"/>
              <w:right w:val="single" w:sz="4" w:space="0" w:color="000000"/>
            </w:tcBorders>
            <w:vAlign w:val="center"/>
          </w:tcPr>
          <w:p w14:paraId="4AAA56E2" w14:textId="77777777" w:rsidR="002449C2" w:rsidRDefault="002449C2">
            <w:pPr>
              <w:widowControl w:val="0"/>
              <w:shd w:val="clear" w:color="auto" w:fill="FFFFFF"/>
              <w:spacing w:after="0" w:line="240" w:lineRule="auto"/>
              <w:ind w:left="-107" w:right="-143" w:firstLine="107"/>
              <w:rPr>
                <w:rFonts w:ascii="Times New Roman" w:eastAsia="Times New Roman" w:hAnsi="Times New Roman"/>
                <w:sz w:val="18"/>
                <w:szCs w:val="18"/>
                <w:lang w:eastAsia="ru-RU"/>
              </w:rPr>
            </w:pPr>
          </w:p>
        </w:tc>
        <w:tc>
          <w:tcPr>
            <w:tcW w:w="1006" w:type="dxa"/>
            <w:tcBorders>
              <w:top w:val="single" w:sz="4" w:space="0" w:color="000000"/>
              <w:left w:val="single" w:sz="4" w:space="0" w:color="000000"/>
              <w:bottom w:val="single" w:sz="4" w:space="0" w:color="000000"/>
              <w:right w:val="single" w:sz="4" w:space="0" w:color="000000"/>
            </w:tcBorders>
            <w:vAlign w:val="center"/>
          </w:tcPr>
          <w:p w14:paraId="03D3F32C" w14:textId="77777777" w:rsidR="002449C2" w:rsidRDefault="00123961">
            <w:pPr>
              <w:widowControl w:val="0"/>
              <w:shd w:val="clear" w:color="auto" w:fill="FFFFFF"/>
              <w:spacing w:after="0" w:line="240" w:lineRule="auto"/>
              <w:ind w:left="-100"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2022 год</w:t>
            </w:r>
          </w:p>
          <w:p w14:paraId="75249501" w14:textId="77777777" w:rsidR="002449C2" w:rsidRDefault="00123961">
            <w:pPr>
              <w:widowControl w:val="0"/>
              <w:shd w:val="clear" w:color="auto" w:fill="FFFFFF"/>
              <w:spacing w:after="0" w:line="240" w:lineRule="auto"/>
              <w:ind w:left="-100"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факт</w:t>
            </w:r>
          </w:p>
        </w:tc>
        <w:tc>
          <w:tcPr>
            <w:tcW w:w="1049" w:type="dxa"/>
            <w:tcBorders>
              <w:top w:val="single" w:sz="4" w:space="0" w:color="000000"/>
              <w:left w:val="single" w:sz="4" w:space="0" w:color="000000"/>
              <w:bottom w:val="single" w:sz="4" w:space="0" w:color="000000"/>
              <w:right w:val="single" w:sz="4" w:space="0" w:color="000000"/>
            </w:tcBorders>
            <w:vAlign w:val="center"/>
          </w:tcPr>
          <w:p w14:paraId="17754625" w14:textId="77777777" w:rsidR="002449C2" w:rsidRDefault="00123961">
            <w:pPr>
              <w:widowControl w:val="0"/>
              <w:shd w:val="clear" w:color="auto" w:fill="FFFFFF"/>
              <w:spacing w:after="0" w:line="240" w:lineRule="auto"/>
              <w:ind w:left="-100"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2023 год</w:t>
            </w:r>
          </w:p>
          <w:p w14:paraId="0910B9CF" w14:textId="77777777" w:rsidR="002449C2" w:rsidRDefault="00123961">
            <w:pPr>
              <w:widowControl w:val="0"/>
              <w:shd w:val="clear" w:color="auto" w:fill="FFFFFF"/>
              <w:spacing w:after="0" w:line="240" w:lineRule="auto"/>
              <w:ind w:left="-107"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факт</w:t>
            </w:r>
          </w:p>
        </w:tc>
        <w:tc>
          <w:tcPr>
            <w:tcW w:w="1047" w:type="dxa"/>
            <w:tcBorders>
              <w:top w:val="single" w:sz="4" w:space="0" w:color="000000"/>
              <w:left w:val="single" w:sz="4" w:space="0" w:color="000000"/>
              <w:bottom w:val="single" w:sz="4" w:space="0" w:color="000000"/>
              <w:right w:val="single" w:sz="4" w:space="0" w:color="000000"/>
            </w:tcBorders>
            <w:vAlign w:val="center"/>
          </w:tcPr>
          <w:p w14:paraId="61B4EECC" w14:textId="77777777" w:rsidR="002449C2" w:rsidRDefault="00123961">
            <w:pPr>
              <w:widowControl w:val="0"/>
              <w:shd w:val="clear" w:color="auto" w:fill="FFFFFF"/>
              <w:spacing w:after="0" w:line="240" w:lineRule="auto"/>
              <w:ind w:left="-107"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2024 год</w:t>
            </w:r>
          </w:p>
          <w:p w14:paraId="7539F594" w14:textId="77777777" w:rsidR="002449C2" w:rsidRDefault="00123961">
            <w:pPr>
              <w:widowControl w:val="0"/>
              <w:shd w:val="clear" w:color="auto" w:fill="FFFFFF"/>
              <w:spacing w:after="0" w:line="240" w:lineRule="auto"/>
              <w:ind w:left="-107"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факт</w:t>
            </w:r>
          </w:p>
        </w:tc>
        <w:tc>
          <w:tcPr>
            <w:tcW w:w="1048" w:type="dxa"/>
            <w:tcBorders>
              <w:top w:val="single" w:sz="4" w:space="0" w:color="000000"/>
              <w:left w:val="single" w:sz="4" w:space="0" w:color="000000"/>
              <w:bottom w:val="single" w:sz="4" w:space="0" w:color="000000"/>
              <w:right w:val="single" w:sz="4" w:space="0" w:color="000000"/>
            </w:tcBorders>
            <w:vAlign w:val="center"/>
          </w:tcPr>
          <w:p w14:paraId="4B8F1711" w14:textId="77777777" w:rsidR="002449C2" w:rsidRDefault="00123961" w:rsidP="00C232B9">
            <w:pPr>
              <w:widowControl w:val="0"/>
              <w:shd w:val="clear" w:color="auto" w:fill="FFFFFF"/>
              <w:spacing w:after="0" w:line="240" w:lineRule="auto"/>
              <w:ind w:left="-107"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изменение 2024/2023, %</w:t>
            </w:r>
          </w:p>
        </w:tc>
      </w:tr>
      <w:tr w:rsidR="002449C2" w14:paraId="432E34E3" w14:textId="77777777">
        <w:trPr>
          <w:cantSplit/>
          <w:trHeight w:val="80"/>
          <w:jc w:val="center"/>
        </w:trPr>
        <w:tc>
          <w:tcPr>
            <w:tcW w:w="3966" w:type="dxa"/>
            <w:tcBorders>
              <w:top w:val="single" w:sz="4" w:space="0" w:color="000000"/>
              <w:left w:val="single" w:sz="4" w:space="0" w:color="000000"/>
              <w:bottom w:val="single" w:sz="4" w:space="0" w:color="000000"/>
              <w:right w:val="single" w:sz="4" w:space="0" w:color="000000"/>
            </w:tcBorders>
            <w:vAlign w:val="center"/>
          </w:tcPr>
          <w:p w14:paraId="58379278" w14:textId="77777777" w:rsidR="002449C2" w:rsidRDefault="00123961">
            <w:pPr>
              <w:widowControl w:val="0"/>
              <w:shd w:val="clear" w:color="auto" w:fill="FFFFFF"/>
              <w:spacing w:after="0" w:line="240" w:lineRule="auto"/>
              <w:jc w:val="both"/>
              <w:rPr>
                <w:rFonts w:ascii="Times New Roman" w:eastAsia="Times New Roman" w:hAnsi="Times New Roman"/>
                <w:sz w:val="18"/>
                <w:szCs w:val="18"/>
                <w:lang w:eastAsia="ru-RU"/>
              </w:rPr>
            </w:pPr>
            <w:r>
              <w:rPr>
                <w:rFonts w:ascii="Times New Roman" w:eastAsia="Times New Roman" w:hAnsi="Times New Roman"/>
                <w:sz w:val="18"/>
                <w:szCs w:val="18"/>
                <w:lang w:eastAsia="ru-RU"/>
              </w:rPr>
              <w:t>Валовый выброс загрязняющих веществ в атмосферный воздух, всего</w:t>
            </w:r>
          </w:p>
        </w:tc>
        <w:tc>
          <w:tcPr>
            <w:tcW w:w="992" w:type="dxa"/>
            <w:tcBorders>
              <w:top w:val="single" w:sz="4" w:space="0" w:color="000000"/>
              <w:left w:val="single" w:sz="4" w:space="0" w:color="000000"/>
              <w:bottom w:val="single" w:sz="4" w:space="0" w:color="000000"/>
              <w:right w:val="single" w:sz="4" w:space="0" w:color="000000"/>
            </w:tcBorders>
            <w:vAlign w:val="center"/>
          </w:tcPr>
          <w:p w14:paraId="66FAF5C2" w14:textId="77777777" w:rsidR="002449C2" w:rsidRDefault="00123961">
            <w:pPr>
              <w:widowControl w:val="0"/>
              <w:shd w:val="clear" w:color="auto" w:fill="FFFFFF"/>
              <w:spacing w:after="0" w:line="240" w:lineRule="auto"/>
              <w:ind w:left="-107" w:right="-143" w:firstLine="107"/>
              <w:rPr>
                <w:rFonts w:ascii="Times New Roman" w:eastAsia="Times New Roman" w:hAnsi="Times New Roman"/>
                <w:sz w:val="18"/>
                <w:szCs w:val="18"/>
                <w:lang w:eastAsia="ru-RU"/>
              </w:rPr>
            </w:pPr>
            <w:r>
              <w:rPr>
                <w:rFonts w:ascii="Times New Roman" w:eastAsia="Times New Roman" w:hAnsi="Times New Roman"/>
                <w:sz w:val="18"/>
                <w:szCs w:val="18"/>
                <w:lang w:eastAsia="ru-RU"/>
              </w:rPr>
              <w:t>тонн</w:t>
            </w:r>
          </w:p>
        </w:tc>
        <w:tc>
          <w:tcPr>
            <w:tcW w:w="1006" w:type="dxa"/>
            <w:tcBorders>
              <w:top w:val="single" w:sz="4" w:space="0" w:color="000000"/>
              <w:left w:val="single" w:sz="4" w:space="0" w:color="000000"/>
              <w:bottom w:val="single" w:sz="4" w:space="0" w:color="000000"/>
              <w:right w:val="single" w:sz="4" w:space="0" w:color="000000"/>
            </w:tcBorders>
            <w:vAlign w:val="center"/>
          </w:tcPr>
          <w:p w14:paraId="44B31075" w14:textId="77777777" w:rsidR="002449C2" w:rsidRDefault="00123961">
            <w:pPr>
              <w:widowControl w:val="0"/>
              <w:shd w:val="clear" w:color="auto" w:fill="FFFFFF"/>
              <w:spacing w:after="0" w:line="240" w:lineRule="auto"/>
              <w:ind w:left="-100"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50,06</w:t>
            </w:r>
          </w:p>
        </w:tc>
        <w:tc>
          <w:tcPr>
            <w:tcW w:w="1049" w:type="dxa"/>
            <w:tcBorders>
              <w:top w:val="single" w:sz="4" w:space="0" w:color="000000"/>
              <w:left w:val="single" w:sz="4" w:space="0" w:color="000000"/>
              <w:bottom w:val="single" w:sz="4" w:space="0" w:color="000000"/>
              <w:right w:val="single" w:sz="4" w:space="0" w:color="000000"/>
            </w:tcBorders>
            <w:vAlign w:val="center"/>
          </w:tcPr>
          <w:p w14:paraId="248B3172" w14:textId="77777777" w:rsidR="002449C2" w:rsidRDefault="00123961">
            <w:pPr>
              <w:widowControl w:val="0"/>
              <w:shd w:val="clear" w:color="auto" w:fill="FFFFFF"/>
              <w:spacing w:after="0" w:line="240" w:lineRule="auto"/>
              <w:ind w:left="-107"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50,06</w:t>
            </w:r>
          </w:p>
        </w:tc>
        <w:tc>
          <w:tcPr>
            <w:tcW w:w="1047" w:type="dxa"/>
            <w:tcBorders>
              <w:top w:val="single" w:sz="4" w:space="0" w:color="000000"/>
              <w:left w:val="single" w:sz="4" w:space="0" w:color="000000"/>
              <w:bottom w:val="single" w:sz="4" w:space="0" w:color="000000"/>
              <w:right w:val="single" w:sz="4" w:space="0" w:color="000000"/>
            </w:tcBorders>
            <w:vAlign w:val="center"/>
          </w:tcPr>
          <w:p w14:paraId="0AF4AD32" w14:textId="77777777" w:rsidR="002449C2" w:rsidRDefault="00123961">
            <w:pPr>
              <w:widowControl w:val="0"/>
              <w:shd w:val="clear" w:color="auto" w:fill="FFFFFF"/>
              <w:spacing w:after="0" w:line="240" w:lineRule="auto"/>
              <w:ind w:left="-107"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50,56</w:t>
            </w:r>
          </w:p>
        </w:tc>
        <w:tc>
          <w:tcPr>
            <w:tcW w:w="1048" w:type="dxa"/>
            <w:tcBorders>
              <w:top w:val="single" w:sz="4" w:space="0" w:color="000000"/>
              <w:left w:val="single" w:sz="4" w:space="0" w:color="000000"/>
              <w:bottom w:val="single" w:sz="4" w:space="0" w:color="000000"/>
              <w:right w:val="single" w:sz="4" w:space="0" w:color="000000"/>
            </w:tcBorders>
            <w:vAlign w:val="center"/>
          </w:tcPr>
          <w:p w14:paraId="67A51547" w14:textId="77777777" w:rsidR="002449C2" w:rsidRDefault="00123961">
            <w:pPr>
              <w:widowControl w:val="0"/>
              <w:shd w:val="clear" w:color="auto" w:fill="FFFFFF"/>
              <w:spacing w:after="0" w:line="240" w:lineRule="auto"/>
              <w:ind w:left="-107"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0</w:t>
            </w:r>
          </w:p>
        </w:tc>
      </w:tr>
      <w:tr w:rsidR="002449C2" w14:paraId="705C4CDB" w14:textId="77777777">
        <w:trPr>
          <w:cantSplit/>
          <w:trHeight w:val="80"/>
          <w:jc w:val="center"/>
        </w:trPr>
        <w:tc>
          <w:tcPr>
            <w:tcW w:w="3966" w:type="dxa"/>
            <w:tcBorders>
              <w:top w:val="single" w:sz="4" w:space="0" w:color="000000"/>
              <w:left w:val="single" w:sz="4" w:space="0" w:color="000000"/>
              <w:bottom w:val="single" w:sz="4" w:space="0" w:color="000000"/>
              <w:right w:val="single" w:sz="4" w:space="0" w:color="000000"/>
            </w:tcBorders>
            <w:vAlign w:val="center"/>
          </w:tcPr>
          <w:p w14:paraId="5EAFB81D" w14:textId="77777777" w:rsidR="002449C2" w:rsidRDefault="00123961">
            <w:pPr>
              <w:widowControl w:val="0"/>
              <w:shd w:val="clear" w:color="auto" w:fill="FFFFFF"/>
              <w:spacing w:after="0" w:line="240" w:lineRule="auto"/>
              <w:jc w:val="both"/>
              <w:rPr>
                <w:rFonts w:ascii="Times New Roman" w:eastAsia="Times New Roman" w:hAnsi="Times New Roman"/>
                <w:sz w:val="18"/>
                <w:szCs w:val="18"/>
                <w:lang w:eastAsia="ru-RU"/>
              </w:rPr>
            </w:pPr>
            <w:r>
              <w:rPr>
                <w:rFonts w:ascii="Times New Roman" w:eastAsia="Times New Roman" w:hAnsi="Times New Roman"/>
                <w:sz w:val="18"/>
                <w:szCs w:val="18"/>
                <w:lang w:eastAsia="ru-RU"/>
              </w:rPr>
              <w:t>Объем потребления воды</w:t>
            </w:r>
          </w:p>
        </w:tc>
        <w:tc>
          <w:tcPr>
            <w:tcW w:w="992" w:type="dxa"/>
            <w:tcBorders>
              <w:top w:val="single" w:sz="4" w:space="0" w:color="000000"/>
              <w:left w:val="single" w:sz="4" w:space="0" w:color="000000"/>
              <w:bottom w:val="single" w:sz="4" w:space="0" w:color="000000"/>
              <w:right w:val="single" w:sz="4" w:space="0" w:color="000000"/>
            </w:tcBorders>
            <w:vAlign w:val="center"/>
          </w:tcPr>
          <w:p w14:paraId="16370D99" w14:textId="77777777" w:rsidR="002449C2" w:rsidRDefault="00123961">
            <w:pPr>
              <w:widowControl w:val="0"/>
              <w:shd w:val="clear" w:color="auto" w:fill="FFFFFF"/>
              <w:spacing w:after="0" w:line="240" w:lineRule="auto"/>
              <w:ind w:left="-107" w:right="-143" w:firstLine="107"/>
              <w:rPr>
                <w:rFonts w:ascii="Times New Roman" w:eastAsia="Times New Roman" w:hAnsi="Times New Roman"/>
                <w:sz w:val="18"/>
                <w:szCs w:val="18"/>
                <w:lang w:eastAsia="ru-RU"/>
              </w:rPr>
            </w:pPr>
            <w:r>
              <w:rPr>
                <w:rFonts w:ascii="Times New Roman" w:eastAsia="Times New Roman" w:hAnsi="Times New Roman"/>
                <w:sz w:val="18"/>
                <w:szCs w:val="18"/>
                <w:lang w:eastAsia="ru-RU"/>
              </w:rPr>
              <w:t>м</w:t>
            </w:r>
            <w:r>
              <w:rPr>
                <w:rFonts w:ascii="Times New Roman" w:eastAsia="Times New Roman" w:hAnsi="Times New Roman"/>
                <w:sz w:val="18"/>
                <w:szCs w:val="18"/>
                <w:vertAlign w:val="superscript"/>
                <w:lang w:eastAsia="ru-RU"/>
              </w:rPr>
              <w:t>3</w:t>
            </w:r>
          </w:p>
        </w:tc>
        <w:tc>
          <w:tcPr>
            <w:tcW w:w="1006" w:type="dxa"/>
            <w:tcBorders>
              <w:top w:val="single" w:sz="4" w:space="0" w:color="000000"/>
              <w:left w:val="single" w:sz="4" w:space="0" w:color="000000"/>
              <w:bottom w:val="single" w:sz="4" w:space="0" w:color="000000"/>
              <w:right w:val="single" w:sz="4" w:space="0" w:color="000000"/>
            </w:tcBorders>
            <w:vAlign w:val="center"/>
          </w:tcPr>
          <w:p w14:paraId="591170FC" w14:textId="77777777" w:rsidR="002449C2" w:rsidRDefault="00123961">
            <w:pPr>
              <w:widowControl w:val="0"/>
              <w:shd w:val="clear" w:color="auto" w:fill="FFFFFF"/>
              <w:spacing w:after="0" w:line="240" w:lineRule="auto"/>
              <w:ind w:left="-100"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222,60</w:t>
            </w:r>
          </w:p>
        </w:tc>
        <w:tc>
          <w:tcPr>
            <w:tcW w:w="1049" w:type="dxa"/>
            <w:tcBorders>
              <w:top w:val="single" w:sz="4" w:space="0" w:color="000000"/>
              <w:left w:val="single" w:sz="4" w:space="0" w:color="000000"/>
              <w:bottom w:val="single" w:sz="4" w:space="0" w:color="000000"/>
              <w:right w:val="single" w:sz="4" w:space="0" w:color="000000"/>
            </w:tcBorders>
            <w:vAlign w:val="center"/>
          </w:tcPr>
          <w:p w14:paraId="0D285B8D" w14:textId="77777777" w:rsidR="002449C2" w:rsidRDefault="00123961">
            <w:pPr>
              <w:widowControl w:val="0"/>
              <w:shd w:val="clear" w:color="auto" w:fill="FFFFFF"/>
              <w:spacing w:after="0" w:line="240" w:lineRule="auto"/>
              <w:ind w:left="-107" w:right="-143"/>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110,78</w:t>
            </w:r>
          </w:p>
        </w:tc>
        <w:tc>
          <w:tcPr>
            <w:tcW w:w="1047" w:type="dxa"/>
            <w:tcBorders>
              <w:top w:val="single" w:sz="4" w:space="0" w:color="000000"/>
              <w:left w:val="single" w:sz="4" w:space="0" w:color="000000"/>
              <w:bottom w:val="single" w:sz="4" w:space="0" w:color="000000"/>
              <w:right w:val="single" w:sz="4" w:space="0" w:color="000000"/>
            </w:tcBorders>
            <w:vAlign w:val="center"/>
          </w:tcPr>
          <w:p w14:paraId="604CE831" w14:textId="77777777" w:rsidR="002449C2" w:rsidRDefault="00123961">
            <w:pPr>
              <w:widowControl w:val="0"/>
              <w:shd w:val="clear" w:color="auto" w:fill="FFFFFF"/>
              <w:spacing w:after="0" w:line="240" w:lineRule="auto"/>
              <w:ind w:left="-107" w:right="-143"/>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118,47</w:t>
            </w:r>
          </w:p>
        </w:tc>
        <w:tc>
          <w:tcPr>
            <w:tcW w:w="1048" w:type="dxa"/>
            <w:tcBorders>
              <w:top w:val="single" w:sz="4" w:space="0" w:color="000000"/>
              <w:left w:val="single" w:sz="4" w:space="0" w:color="000000"/>
              <w:bottom w:val="single" w:sz="4" w:space="0" w:color="000000"/>
              <w:right w:val="single" w:sz="4" w:space="0" w:color="000000"/>
            </w:tcBorders>
            <w:vAlign w:val="center"/>
          </w:tcPr>
          <w:p w14:paraId="017493F2" w14:textId="77777777" w:rsidR="002449C2" w:rsidRDefault="00123961">
            <w:pPr>
              <w:widowControl w:val="0"/>
              <w:shd w:val="clear" w:color="auto" w:fill="FFFFFF"/>
              <w:spacing w:after="0" w:line="240" w:lineRule="auto"/>
              <w:ind w:left="-107" w:right="-143"/>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6,94</w:t>
            </w:r>
          </w:p>
        </w:tc>
      </w:tr>
      <w:tr w:rsidR="002449C2" w14:paraId="39D4F732" w14:textId="77777777">
        <w:trPr>
          <w:cantSplit/>
          <w:jc w:val="center"/>
        </w:trPr>
        <w:tc>
          <w:tcPr>
            <w:tcW w:w="3966" w:type="dxa"/>
            <w:tcBorders>
              <w:top w:val="single" w:sz="4" w:space="0" w:color="000000"/>
              <w:left w:val="single" w:sz="4" w:space="0" w:color="000000"/>
              <w:bottom w:val="single" w:sz="4" w:space="0" w:color="000000"/>
              <w:right w:val="single" w:sz="4" w:space="0" w:color="000000"/>
            </w:tcBorders>
            <w:vAlign w:val="center"/>
          </w:tcPr>
          <w:p w14:paraId="1FFD5244" w14:textId="77777777" w:rsidR="002449C2" w:rsidRDefault="00123961">
            <w:pPr>
              <w:widowControl w:val="0"/>
              <w:shd w:val="clear" w:color="auto" w:fill="FFFFFF"/>
              <w:spacing w:after="0" w:line="240" w:lineRule="auto"/>
              <w:jc w:val="both"/>
              <w:rPr>
                <w:rFonts w:ascii="Times New Roman" w:eastAsia="Times New Roman" w:hAnsi="Times New Roman"/>
                <w:sz w:val="18"/>
                <w:szCs w:val="18"/>
                <w:lang w:eastAsia="ru-RU"/>
              </w:rPr>
            </w:pPr>
            <w:r>
              <w:rPr>
                <w:rFonts w:ascii="Times New Roman" w:eastAsia="Times New Roman" w:hAnsi="Times New Roman"/>
                <w:sz w:val="18"/>
                <w:szCs w:val="18"/>
                <w:lang w:eastAsia="ru-RU"/>
              </w:rPr>
              <w:t>Объем образованных отходов</w:t>
            </w:r>
          </w:p>
        </w:tc>
        <w:tc>
          <w:tcPr>
            <w:tcW w:w="992" w:type="dxa"/>
            <w:tcBorders>
              <w:top w:val="single" w:sz="4" w:space="0" w:color="000000"/>
              <w:left w:val="single" w:sz="4" w:space="0" w:color="000000"/>
              <w:bottom w:val="single" w:sz="4" w:space="0" w:color="000000"/>
              <w:right w:val="single" w:sz="4" w:space="0" w:color="000000"/>
            </w:tcBorders>
            <w:vAlign w:val="center"/>
          </w:tcPr>
          <w:p w14:paraId="5449BE83" w14:textId="77777777" w:rsidR="002449C2" w:rsidRDefault="00123961">
            <w:pPr>
              <w:widowControl w:val="0"/>
              <w:shd w:val="clear" w:color="auto" w:fill="FFFFFF"/>
              <w:spacing w:after="0" w:line="240" w:lineRule="auto"/>
              <w:ind w:left="-107" w:right="-143" w:firstLine="107"/>
              <w:rPr>
                <w:rFonts w:ascii="Times New Roman" w:eastAsia="Times New Roman" w:hAnsi="Times New Roman"/>
                <w:sz w:val="18"/>
                <w:szCs w:val="18"/>
                <w:lang w:eastAsia="ru-RU"/>
              </w:rPr>
            </w:pPr>
            <w:r>
              <w:rPr>
                <w:rFonts w:ascii="Times New Roman" w:eastAsia="Times New Roman" w:hAnsi="Times New Roman"/>
                <w:sz w:val="18"/>
                <w:szCs w:val="18"/>
                <w:lang w:eastAsia="ru-RU"/>
              </w:rPr>
              <w:t>тонн</w:t>
            </w:r>
          </w:p>
        </w:tc>
        <w:tc>
          <w:tcPr>
            <w:tcW w:w="1006" w:type="dxa"/>
            <w:tcBorders>
              <w:top w:val="single" w:sz="4" w:space="0" w:color="000000"/>
              <w:left w:val="single" w:sz="4" w:space="0" w:color="000000"/>
              <w:bottom w:val="single" w:sz="4" w:space="0" w:color="000000"/>
              <w:right w:val="single" w:sz="4" w:space="0" w:color="000000"/>
            </w:tcBorders>
            <w:vAlign w:val="center"/>
          </w:tcPr>
          <w:p w14:paraId="2C1E9031" w14:textId="77777777" w:rsidR="002449C2" w:rsidRDefault="00123961">
            <w:pPr>
              <w:widowControl w:val="0"/>
              <w:shd w:val="clear" w:color="auto" w:fill="FFFFFF"/>
              <w:spacing w:after="0" w:line="240" w:lineRule="auto"/>
              <w:ind w:left="-100"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7 172,023</w:t>
            </w:r>
          </w:p>
        </w:tc>
        <w:tc>
          <w:tcPr>
            <w:tcW w:w="1049" w:type="dxa"/>
            <w:tcBorders>
              <w:top w:val="single" w:sz="4" w:space="0" w:color="000000"/>
              <w:left w:val="single" w:sz="4" w:space="0" w:color="000000"/>
              <w:bottom w:val="single" w:sz="4" w:space="0" w:color="000000"/>
              <w:right w:val="single" w:sz="4" w:space="0" w:color="000000"/>
            </w:tcBorders>
            <w:vAlign w:val="center"/>
          </w:tcPr>
          <w:p w14:paraId="2B8E7128" w14:textId="77777777" w:rsidR="002449C2" w:rsidRDefault="00123961">
            <w:pPr>
              <w:widowControl w:val="0"/>
              <w:shd w:val="clear" w:color="auto" w:fill="FFFFFF"/>
              <w:spacing w:after="0" w:line="240" w:lineRule="auto"/>
              <w:ind w:left="-107"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6 826,87</w:t>
            </w:r>
          </w:p>
        </w:tc>
        <w:tc>
          <w:tcPr>
            <w:tcW w:w="1047" w:type="dxa"/>
            <w:tcBorders>
              <w:top w:val="single" w:sz="4" w:space="0" w:color="000000"/>
              <w:left w:val="single" w:sz="4" w:space="0" w:color="000000"/>
              <w:bottom w:val="single" w:sz="4" w:space="0" w:color="000000"/>
              <w:right w:val="single" w:sz="4" w:space="0" w:color="000000"/>
            </w:tcBorders>
            <w:vAlign w:val="center"/>
          </w:tcPr>
          <w:p w14:paraId="1297DEB4" w14:textId="77777777" w:rsidR="002449C2" w:rsidRDefault="00123961">
            <w:pPr>
              <w:widowControl w:val="0"/>
              <w:shd w:val="clear" w:color="auto" w:fill="FFFFFF"/>
              <w:spacing w:after="0" w:line="240" w:lineRule="auto"/>
              <w:ind w:left="-107"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7 035,24</w:t>
            </w:r>
          </w:p>
        </w:tc>
        <w:tc>
          <w:tcPr>
            <w:tcW w:w="1048" w:type="dxa"/>
            <w:tcBorders>
              <w:top w:val="single" w:sz="4" w:space="0" w:color="000000"/>
              <w:left w:val="single" w:sz="4" w:space="0" w:color="000000"/>
              <w:bottom w:val="single" w:sz="4" w:space="0" w:color="000000"/>
              <w:right w:val="single" w:sz="4" w:space="0" w:color="000000"/>
            </w:tcBorders>
            <w:vAlign w:val="center"/>
          </w:tcPr>
          <w:p w14:paraId="67476AB1" w14:textId="77777777" w:rsidR="002449C2" w:rsidRDefault="00123961">
            <w:pPr>
              <w:widowControl w:val="0"/>
              <w:shd w:val="clear" w:color="auto" w:fill="FFFFFF"/>
              <w:spacing w:after="0" w:line="240" w:lineRule="auto"/>
              <w:ind w:left="-107"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3,05</w:t>
            </w:r>
          </w:p>
        </w:tc>
      </w:tr>
      <w:tr w:rsidR="002449C2" w14:paraId="046785A0" w14:textId="77777777">
        <w:trPr>
          <w:cantSplit/>
          <w:jc w:val="center"/>
        </w:trPr>
        <w:tc>
          <w:tcPr>
            <w:tcW w:w="3966" w:type="dxa"/>
            <w:tcBorders>
              <w:top w:val="single" w:sz="4" w:space="0" w:color="000000"/>
              <w:left w:val="single" w:sz="4" w:space="0" w:color="000000"/>
              <w:bottom w:val="single" w:sz="4" w:space="0" w:color="000000"/>
              <w:right w:val="single" w:sz="4" w:space="0" w:color="000000"/>
            </w:tcBorders>
            <w:vAlign w:val="center"/>
          </w:tcPr>
          <w:p w14:paraId="3A1C0C69" w14:textId="77777777" w:rsidR="002449C2" w:rsidRDefault="00123961">
            <w:pPr>
              <w:widowControl w:val="0"/>
              <w:shd w:val="clear" w:color="auto" w:fill="FFFFFF"/>
              <w:spacing w:after="0" w:line="240" w:lineRule="auto"/>
              <w:jc w:val="both"/>
              <w:rPr>
                <w:rFonts w:ascii="Times New Roman" w:eastAsia="Times New Roman" w:hAnsi="Times New Roman"/>
                <w:sz w:val="18"/>
                <w:szCs w:val="18"/>
                <w:lang w:eastAsia="ru-RU"/>
              </w:rPr>
            </w:pPr>
            <w:r>
              <w:rPr>
                <w:rFonts w:ascii="Times New Roman" w:eastAsia="Times New Roman" w:hAnsi="Times New Roman"/>
                <w:sz w:val="18"/>
                <w:szCs w:val="18"/>
                <w:lang w:eastAsia="ru-RU"/>
              </w:rPr>
              <w:t>Объем отходов, переданных на утилизацию и обезвреживание</w:t>
            </w:r>
          </w:p>
        </w:tc>
        <w:tc>
          <w:tcPr>
            <w:tcW w:w="992" w:type="dxa"/>
            <w:tcBorders>
              <w:top w:val="single" w:sz="4" w:space="0" w:color="000000"/>
              <w:left w:val="single" w:sz="4" w:space="0" w:color="000000"/>
              <w:bottom w:val="single" w:sz="4" w:space="0" w:color="000000"/>
              <w:right w:val="single" w:sz="4" w:space="0" w:color="000000"/>
            </w:tcBorders>
            <w:vAlign w:val="center"/>
          </w:tcPr>
          <w:p w14:paraId="6114EA6A" w14:textId="77777777" w:rsidR="002449C2" w:rsidRDefault="00123961">
            <w:pPr>
              <w:widowControl w:val="0"/>
              <w:shd w:val="clear" w:color="auto" w:fill="FFFFFF"/>
              <w:spacing w:after="0" w:line="240" w:lineRule="auto"/>
              <w:ind w:left="-107" w:right="-143" w:firstLine="107"/>
              <w:rPr>
                <w:rFonts w:ascii="Times New Roman" w:eastAsia="Times New Roman" w:hAnsi="Times New Roman"/>
                <w:sz w:val="18"/>
                <w:szCs w:val="18"/>
                <w:lang w:eastAsia="ru-RU"/>
              </w:rPr>
            </w:pPr>
            <w:r>
              <w:rPr>
                <w:rFonts w:ascii="Times New Roman" w:eastAsia="Times New Roman" w:hAnsi="Times New Roman"/>
                <w:sz w:val="18"/>
                <w:szCs w:val="18"/>
                <w:lang w:eastAsia="ru-RU"/>
              </w:rPr>
              <w:t>тонн</w:t>
            </w:r>
          </w:p>
        </w:tc>
        <w:tc>
          <w:tcPr>
            <w:tcW w:w="1006" w:type="dxa"/>
            <w:tcBorders>
              <w:top w:val="single" w:sz="4" w:space="0" w:color="000000"/>
              <w:left w:val="single" w:sz="4" w:space="0" w:color="000000"/>
              <w:bottom w:val="single" w:sz="4" w:space="0" w:color="000000"/>
              <w:right w:val="single" w:sz="4" w:space="0" w:color="000000"/>
            </w:tcBorders>
            <w:vAlign w:val="center"/>
          </w:tcPr>
          <w:p w14:paraId="7A71CF47" w14:textId="77777777" w:rsidR="002449C2" w:rsidRDefault="00123961">
            <w:pPr>
              <w:widowControl w:val="0"/>
              <w:shd w:val="clear" w:color="auto" w:fill="FFFFFF"/>
              <w:spacing w:after="0" w:line="240" w:lineRule="auto"/>
              <w:ind w:left="-100"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4 625,968</w:t>
            </w:r>
          </w:p>
        </w:tc>
        <w:tc>
          <w:tcPr>
            <w:tcW w:w="1049" w:type="dxa"/>
            <w:tcBorders>
              <w:top w:val="single" w:sz="4" w:space="0" w:color="000000"/>
              <w:left w:val="single" w:sz="4" w:space="0" w:color="000000"/>
              <w:bottom w:val="single" w:sz="4" w:space="0" w:color="000000"/>
              <w:right w:val="single" w:sz="4" w:space="0" w:color="000000"/>
            </w:tcBorders>
            <w:vAlign w:val="center"/>
          </w:tcPr>
          <w:p w14:paraId="7B29D0C6" w14:textId="77777777" w:rsidR="002449C2" w:rsidRDefault="00123961">
            <w:pPr>
              <w:widowControl w:val="0"/>
              <w:shd w:val="clear" w:color="auto" w:fill="FFFFFF"/>
              <w:spacing w:after="0" w:line="240" w:lineRule="auto"/>
              <w:ind w:left="-107"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4 625,97</w:t>
            </w:r>
          </w:p>
        </w:tc>
        <w:tc>
          <w:tcPr>
            <w:tcW w:w="1047" w:type="dxa"/>
            <w:tcBorders>
              <w:top w:val="single" w:sz="4" w:space="0" w:color="000000"/>
              <w:left w:val="single" w:sz="4" w:space="0" w:color="000000"/>
              <w:bottom w:val="single" w:sz="4" w:space="0" w:color="000000"/>
              <w:right w:val="single" w:sz="4" w:space="0" w:color="000000"/>
            </w:tcBorders>
            <w:vAlign w:val="center"/>
          </w:tcPr>
          <w:p w14:paraId="0E3B310C" w14:textId="77777777" w:rsidR="002449C2" w:rsidRDefault="00123961">
            <w:pPr>
              <w:widowControl w:val="0"/>
              <w:shd w:val="clear" w:color="auto" w:fill="FFFFFF"/>
              <w:spacing w:after="0" w:line="240" w:lineRule="auto"/>
              <w:ind w:left="-107"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3 085,82</w:t>
            </w:r>
          </w:p>
        </w:tc>
        <w:tc>
          <w:tcPr>
            <w:tcW w:w="1048" w:type="dxa"/>
            <w:tcBorders>
              <w:top w:val="single" w:sz="4" w:space="0" w:color="000000"/>
              <w:left w:val="single" w:sz="4" w:space="0" w:color="000000"/>
              <w:bottom w:val="single" w:sz="4" w:space="0" w:color="000000"/>
              <w:right w:val="single" w:sz="4" w:space="0" w:color="000000"/>
            </w:tcBorders>
            <w:vAlign w:val="center"/>
          </w:tcPr>
          <w:p w14:paraId="0FD5493E" w14:textId="77777777" w:rsidR="002449C2" w:rsidRDefault="00123961">
            <w:pPr>
              <w:widowControl w:val="0"/>
              <w:shd w:val="clear" w:color="auto" w:fill="FFFFFF"/>
              <w:spacing w:after="0" w:line="240" w:lineRule="auto"/>
              <w:ind w:left="-107"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-33,29</w:t>
            </w:r>
          </w:p>
        </w:tc>
      </w:tr>
      <w:tr w:rsidR="002449C2" w14:paraId="6AFF90B6" w14:textId="77777777">
        <w:trPr>
          <w:cantSplit/>
          <w:jc w:val="center"/>
        </w:trPr>
        <w:tc>
          <w:tcPr>
            <w:tcW w:w="3966" w:type="dxa"/>
            <w:tcBorders>
              <w:top w:val="single" w:sz="4" w:space="0" w:color="000000"/>
              <w:left w:val="single" w:sz="4" w:space="0" w:color="000000"/>
              <w:bottom w:val="single" w:sz="4" w:space="0" w:color="000000"/>
              <w:right w:val="single" w:sz="4" w:space="0" w:color="000000"/>
            </w:tcBorders>
            <w:vAlign w:val="center"/>
          </w:tcPr>
          <w:p w14:paraId="127E0426" w14:textId="77777777" w:rsidR="002449C2" w:rsidRDefault="00123961">
            <w:pPr>
              <w:widowControl w:val="0"/>
              <w:shd w:val="clear" w:color="auto" w:fill="FFFFFF"/>
              <w:spacing w:after="0" w:line="240" w:lineRule="auto"/>
              <w:jc w:val="both"/>
              <w:rPr>
                <w:rFonts w:ascii="Times New Roman" w:eastAsia="Times New Roman" w:hAnsi="Times New Roman"/>
                <w:sz w:val="18"/>
                <w:szCs w:val="18"/>
                <w:lang w:eastAsia="ru-RU"/>
              </w:rPr>
            </w:pPr>
            <w:r>
              <w:rPr>
                <w:rFonts w:ascii="Times New Roman" w:eastAsia="Times New Roman" w:hAnsi="Times New Roman"/>
                <w:sz w:val="18"/>
                <w:szCs w:val="18"/>
                <w:lang w:eastAsia="ru-RU"/>
              </w:rPr>
              <w:t>Оснащение электросетевых объектов птицезащитными устройствами</w:t>
            </w:r>
          </w:p>
        </w:tc>
        <w:tc>
          <w:tcPr>
            <w:tcW w:w="992" w:type="dxa"/>
            <w:tcBorders>
              <w:top w:val="single" w:sz="4" w:space="0" w:color="000000"/>
              <w:left w:val="single" w:sz="4" w:space="0" w:color="000000"/>
              <w:bottom w:val="single" w:sz="4" w:space="0" w:color="000000"/>
              <w:right w:val="single" w:sz="4" w:space="0" w:color="000000"/>
            </w:tcBorders>
            <w:vAlign w:val="center"/>
          </w:tcPr>
          <w:p w14:paraId="0771E20D" w14:textId="77777777" w:rsidR="002449C2" w:rsidRDefault="00123961">
            <w:pPr>
              <w:widowControl w:val="0"/>
              <w:shd w:val="clear" w:color="auto" w:fill="FFFFFF"/>
              <w:spacing w:after="0" w:line="240" w:lineRule="auto"/>
              <w:ind w:left="-107" w:right="-143" w:firstLine="107"/>
              <w:rPr>
                <w:rFonts w:ascii="Times New Roman" w:eastAsia="Times New Roman" w:hAnsi="Times New Roman"/>
                <w:sz w:val="18"/>
                <w:szCs w:val="18"/>
                <w:lang w:eastAsia="ru-RU"/>
              </w:rPr>
            </w:pPr>
            <w:r>
              <w:rPr>
                <w:rFonts w:ascii="Times New Roman" w:eastAsia="Times New Roman" w:hAnsi="Times New Roman"/>
                <w:sz w:val="18"/>
                <w:szCs w:val="18"/>
                <w:lang w:eastAsia="ru-RU"/>
              </w:rPr>
              <w:t>шт.</w:t>
            </w:r>
          </w:p>
        </w:tc>
        <w:tc>
          <w:tcPr>
            <w:tcW w:w="1006" w:type="dxa"/>
            <w:tcBorders>
              <w:top w:val="single" w:sz="4" w:space="0" w:color="000000"/>
              <w:left w:val="single" w:sz="4" w:space="0" w:color="000000"/>
              <w:bottom w:val="single" w:sz="4" w:space="0" w:color="000000"/>
              <w:right w:val="single" w:sz="4" w:space="0" w:color="000000"/>
            </w:tcBorders>
            <w:vAlign w:val="center"/>
          </w:tcPr>
          <w:p w14:paraId="36F9C1B3" w14:textId="77777777" w:rsidR="002449C2" w:rsidRDefault="00123961">
            <w:pPr>
              <w:widowControl w:val="0"/>
              <w:shd w:val="clear" w:color="auto" w:fill="FFFFFF"/>
              <w:spacing w:after="0" w:line="240" w:lineRule="auto"/>
              <w:ind w:left="-100"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5 704</w:t>
            </w:r>
          </w:p>
        </w:tc>
        <w:tc>
          <w:tcPr>
            <w:tcW w:w="1049" w:type="dxa"/>
            <w:tcBorders>
              <w:top w:val="single" w:sz="4" w:space="0" w:color="000000"/>
              <w:left w:val="single" w:sz="4" w:space="0" w:color="000000"/>
              <w:bottom w:val="single" w:sz="4" w:space="0" w:color="000000"/>
              <w:right w:val="single" w:sz="4" w:space="0" w:color="000000"/>
            </w:tcBorders>
            <w:vAlign w:val="center"/>
          </w:tcPr>
          <w:p w14:paraId="2688B39D" w14:textId="77777777" w:rsidR="002449C2" w:rsidRDefault="00123961">
            <w:pPr>
              <w:widowControl w:val="0"/>
              <w:shd w:val="clear" w:color="auto" w:fill="FFFFFF"/>
              <w:spacing w:after="0" w:line="240" w:lineRule="auto"/>
              <w:ind w:left="-100"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5 527</w:t>
            </w:r>
          </w:p>
        </w:tc>
        <w:tc>
          <w:tcPr>
            <w:tcW w:w="1047" w:type="dxa"/>
            <w:tcBorders>
              <w:top w:val="single" w:sz="4" w:space="0" w:color="000000"/>
              <w:left w:val="single" w:sz="4" w:space="0" w:color="000000"/>
              <w:bottom w:val="single" w:sz="4" w:space="0" w:color="000000"/>
              <w:right w:val="single" w:sz="4" w:space="0" w:color="000000"/>
            </w:tcBorders>
            <w:vAlign w:val="center"/>
          </w:tcPr>
          <w:p w14:paraId="655F61BA" w14:textId="77777777" w:rsidR="002449C2" w:rsidRDefault="00123961">
            <w:pPr>
              <w:widowControl w:val="0"/>
              <w:shd w:val="clear" w:color="auto" w:fill="FFFFFF"/>
              <w:spacing w:after="0" w:line="240" w:lineRule="auto"/>
              <w:ind w:left="-100"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6690</w:t>
            </w:r>
          </w:p>
        </w:tc>
        <w:tc>
          <w:tcPr>
            <w:tcW w:w="1048" w:type="dxa"/>
            <w:tcBorders>
              <w:top w:val="single" w:sz="4" w:space="0" w:color="000000"/>
              <w:left w:val="single" w:sz="4" w:space="0" w:color="000000"/>
              <w:bottom w:val="single" w:sz="4" w:space="0" w:color="000000"/>
              <w:right w:val="single" w:sz="4" w:space="0" w:color="000000"/>
            </w:tcBorders>
            <w:vAlign w:val="center"/>
          </w:tcPr>
          <w:p w14:paraId="173518A8" w14:textId="77777777" w:rsidR="002449C2" w:rsidRDefault="00123961">
            <w:pPr>
              <w:widowControl w:val="0"/>
              <w:shd w:val="clear" w:color="auto" w:fill="FFFFFF"/>
              <w:spacing w:after="0" w:line="240" w:lineRule="auto"/>
              <w:ind w:left="-100"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21,04</w:t>
            </w:r>
          </w:p>
        </w:tc>
      </w:tr>
      <w:tr w:rsidR="002449C2" w14:paraId="266613E2" w14:textId="77777777">
        <w:trPr>
          <w:cantSplit/>
          <w:jc w:val="center"/>
        </w:trPr>
        <w:tc>
          <w:tcPr>
            <w:tcW w:w="3966" w:type="dxa"/>
            <w:tcBorders>
              <w:top w:val="single" w:sz="4" w:space="0" w:color="000000"/>
              <w:left w:val="single" w:sz="4" w:space="0" w:color="000000"/>
              <w:bottom w:val="single" w:sz="4" w:space="0" w:color="000000"/>
              <w:right w:val="single" w:sz="4" w:space="0" w:color="000000"/>
            </w:tcBorders>
            <w:vAlign w:val="center"/>
          </w:tcPr>
          <w:p w14:paraId="695F9259" w14:textId="77777777" w:rsidR="002449C2" w:rsidRDefault="00123961">
            <w:pPr>
              <w:widowControl w:val="0"/>
              <w:shd w:val="clear" w:color="auto" w:fill="FFFFFF"/>
              <w:spacing w:after="0" w:line="240" w:lineRule="auto"/>
              <w:jc w:val="both"/>
              <w:rPr>
                <w:rFonts w:ascii="Times New Roman" w:eastAsia="Times New Roman" w:hAnsi="Times New Roman"/>
                <w:sz w:val="18"/>
                <w:szCs w:val="18"/>
                <w:lang w:eastAsia="ru-RU"/>
              </w:rPr>
            </w:pPr>
            <w:r>
              <w:rPr>
                <w:rFonts w:ascii="Times New Roman" w:hAnsi="Times New Roman"/>
                <w:sz w:val="18"/>
                <w:szCs w:val="18"/>
              </w:rPr>
              <w:t>Выбросы парниковых газов</w:t>
            </w:r>
            <w:r>
              <w:rPr>
                <w:rFonts w:ascii="Times New Roman" w:hAnsi="Times New Roman"/>
                <w:sz w:val="18"/>
                <w:szCs w:val="18"/>
                <w:lang w:eastAsia="ru-RU"/>
              </w:rPr>
              <w:t xml:space="preserve"> (количество выбросов эквивалента CO2)</w:t>
            </w:r>
          </w:p>
        </w:tc>
        <w:tc>
          <w:tcPr>
            <w:tcW w:w="992" w:type="dxa"/>
            <w:tcBorders>
              <w:top w:val="single" w:sz="4" w:space="0" w:color="000000"/>
              <w:left w:val="single" w:sz="4" w:space="0" w:color="000000"/>
              <w:bottom w:val="single" w:sz="4" w:space="0" w:color="000000"/>
              <w:right w:val="single" w:sz="4" w:space="0" w:color="000000"/>
            </w:tcBorders>
            <w:vAlign w:val="center"/>
          </w:tcPr>
          <w:p w14:paraId="127E4078" w14:textId="77777777" w:rsidR="002449C2" w:rsidRDefault="00123961">
            <w:pPr>
              <w:widowControl w:val="0"/>
              <w:shd w:val="clear" w:color="auto" w:fill="FFFFFF"/>
              <w:spacing w:after="0" w:line="240" w:lineRule="auto"/>
              <w:ind w:left="-107" w:right="-143" w:firstLine="107"/>
              <w:rPr>
                <w:rFonts w:ascii="Times New Roman" w:eastAsia="Times New Roman" w:hAnsi="Times New Roman"/>
                <w:sz w:val="18"/>
                <w:szCs w:val="18"/>
                <w:lang w:eastAsia="ru-RU"/>
              </w:rPr>
            </w:pPr>
            <w:r>
              <w:rPr>
                <w:rFonts w:ascii="Times New Roman" w:eastAsia="Times New Roman" w:hAnsi="Times New Roman"/>
                <w:sz w:val="18"/>
                <w:szCs w:val="18"/>
                <w:lang w:eastAsia="ru-RU"/>
              </w:rPr>
              <w:t>тыс.тонн</w:t>
            </w:r>
          </w:p>
        </w:tc>
        <w:tc>
          <w:tcPr>
            <w:tcW w:w="1006" w:type="dxa"/>
            <w:tcBorders>
              <w:top w:val="single" w:sz="4" w:space="0" w:color="000000"/>
              <w:left w:val="single" w:sz="4" w:space="0" w:color="000000"/>
              <w:bottom w:val="single" w:sz="4" w:space="0" w:color="000000"/>
              <w:right w:val="single" w:sz="4" w:space="0" w:color="000000"/>
            </w:tcBorders>
            <w:vAlign w:val="center"/>
          </w:tcPr>
          <w:p w14:paraId="107BF0CC" w14:textId="77777777" w:rsidR="002449C2" w:rsidRDefault="00123961">
            <w:pPr>
              <w:widowControl w:val="0"/>
              <w:shd w:val="clear" w:color="auto" w:fill="FFFFFF"/>
              <w:spacing w:after="0" w:line="240" w:lineRule="auto"/>
              <w:ind w:left="-100"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21,3</w:t>
            </w:r>
          </w:p>
        </w:tc>
        <w:tc>
          <w:tcPr>
            <w:tcW w:w="1049" w:type="dxa"/>
            <w:tcBorders>
              <w:top w:val="single" w:sz="4" w:space="0" w:color="000000"/>
              <w:left w:val="single" w:sz="4" w:space="0" w:color="000000"/>
              <w:bottom w:val="single" w:sz="4" w:space="0" w:color="000000"/>
              <w:right w:val="single" w:sz="4" w:space="0" w:color="000000"/>
            </w:tcBorders>
            <w:vAlign w:val="center"/>
          </w:tcPr>
          <w:p w14:paraId="7DD1743C" w14:textId="77777777" w:rsidR="002449C2" w:rsidRDefault="00123961">
            <w:pPr>
              <w:widowControl w:val="0"/>
              <w:shd w:val="clear" w:color="auto" w:fill="FFFFFF"/>
              <w:spacing w:after="0" w:line="240" w:lineRule="auto"/>
              <w:ind w:left="-100"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20,55</w:t>
            </w:r>
          </w:p>
        </w:tc>
        <w:tc>
          <w:tcPr>
            <w:tcW w:w="1047" w:type="dxa"/>
            <w:tcBorders>
              <w:top w:val="single" w:sz="4" w:space="0" w:color="000000"/>
              <w:left w:val="single" w:sz="4" w:space="0" w:color="000000"/>
              <w:bottom w:val="single" w:sz="4" w:space="0" w:color="000000"/>
              <w:right w:val="single" w:sz="4" w:space="0" w:color="000000"/>
            </w:tcBorders>
            <w:vAlign w:val="center"/>
          </w:tcPr>
          <w:p w14:paraId="67650F7D" w14:textId="77777777" w:rsidR="002449C2" w:rsidRDefault="00123961">
            <w:pPr>
              <w:widowControl w:val="0"/>
              <w:shd w:val="clear" w:color="auto" w:fill="FFFFFF"/>
              <w:spacing w:after="0" w:line="240" w:lineRule="auto"/>
              <w:ind w:left="-100" w:right="-143"/>
              <w:jc w:val="center"/>
              <w:rPr>
                <w:rFonts w:ascii="Times New Roman" w:eastAsia="Times New Roman" w:hAnsi="Times New Roman"/>
                <w:bCs/>
                <w:sz w:val="18"/>
                <w:szCs w:val="18"/>
                <w:lang w:eastAsia="ru-RU"/>
              </w:rPr>
            </w:pPr>
            <w:r>
              <w:rPr>
                <w:rFonts w:ascii="Times New Roman" w:eastAsia="Times New Roman" w:hAnsi="Times New Roman"/>
                <w:bCs/>
                <w:iCs/>
                <w:sz w:val="18"/>
                <w:szCs w:val="18"/>
                <w:lang w:eastAsia="ru-RU"/>
              </w:rPr>
              <w:t>21,66</w:t>
            </w:r>
          </w:p>
        </w:tc>
        <w:tc>
          <w:tcPr>
            <w:tcW w:w="1048" w:type="dxa"/>
            <w:tcBorders>
              <w:top w:val="single" w:sz="4" w:space="0" w:color="000000"/>
              <w:left w:val="single" w:sz="4" w:space="0" w:color="000000"/>
              <w:bottom w:val="single" w:sz="4" w:space="0" w:color="000000"/>
              <w:right w:val="single" w:sz="4" w:space="0" w:color="000000"/>
            </w:tcBorders>
            <w:vAlign w:val="center"/>
          </w:tcPr>
          <w:p w14:paraId="2B102B9E" w14:textId="77777777" w:rsidR="002449C2" w:rsidRDefault="00123961">
            <w:pPr>
              <w:widowControl w:val="0"/>
              <w:shd w:val="clear" w:color="auto" w:fill="FFFFFF"/>
              <w:spacing w:after="0" w:line="240" w:lineRule="auto"/>
              <w:ind w:left="-100" w:right="-143"/>
              <w:jc w:val="center"/>
              <w:rPr>
                <w:rFonts w:ascii="Times New Roman" w:eastAsia="Times New Roman" w:hAnsi="Times New Roman"/>
                <w:bCs/>
                <w:sz w:val="18"/>
                <w:szCs w:val="18"/>
                <w:lang w:eastAsia="ru-RU"/>
              </w:rPr>
            </w:pPr>
            <w:r>
              <w:rPr>
                <w:rFonts w:ascii="Times New Roman" w:eastAsia="Times New Roman" w:hAnsi="Times New Roman"/>
                <w:bCs/>
                <w:sz w:val="18"/>
                <w:szCs w:val="18"/>
                <w:lang w:eastAsia="ru-RU"/>
              </w:rPr>
              <w:t>5,4</w:t>
            </w:r>
          </w:p>
        </w:tc>
      </w:tr>
    </w:tbl>
    <w:p w14:paraId="35158385" w14:textId="77777777" w:rsidR="002449C2" w:rsidRDefault="002449C2">
      <w:pPr>
        <w:shd w:val="clear" w:color="auto" w:fill="FFFFFF"/>
        <w:spacing w:after="0" w:line="240" w:lineRule="auto"/>
        <w:ind w:firstLine="567"/>
        <w:jc w:val="both"/>
        <w:rPr>
          <w:rFonts w:ascii="Times New Roman" w:eastAsia="Times New Roman" w:hAnsi="Times New Roman"/>
          <w:b/>
          <w:sz w:val="26"/>
          <w:szCs w:val="26"/>
          <w:lang w:eastAsia="ru-RU"/>
        </w:rPr>
      </w:pPr>
    </w:p>
    <w:p w14:paraId="1563448F" w14:textId="77777777" w:rsidR="002449C2" w:rsidRDefault="00123961">
      <w:pPr>
        <w:shd w:val="clear" w:color="auto" w:fill="FFFFFF"/>
        <w:spacing w:after="0" w:line="240" w:lineRule="auto"/>
        <w:ind w:firstLine="567"/>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Штрафы и нефинансовые санкции, наложенные на Общество за несоблюдение требований экологического законодательства</w:t>
      </w:r>
    </w:p>
    <w:p w14:paraId="1C49E11E" w14:textId="77777777" w:rsidR="002449C2" w:rsidRDefault="00123961">
      <w:pPr>
        <w:shd w:val="clear" w:color="auto" w:fill="FFFFFF"/>
        <w:tabs>
          <w:tab w:val="left" w:pos="709"/>
          <w:tab w:val="left" w:pos="1134"/>
          <w:tab w:val="left" w:pos="1320"/>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Проверки деятельности Общества и его подразделений по соблюдению требований природоохранного и санитарно-эпидемиологического законодательства в 2023 году не проводились.</w:t>
      </w:r>
    </w:p>
    <w:p w14:paraId="594DF418" w14:textId="77777777" w:rsidR="002449C2" w:rsidRDefault="00123961">
      <w:pPr>
        <w:shd w:val="clear" w:color="auto" w:fill="FFFFFF"/>
        <w:spacing w:before="120" w:after="120" w:line="240" w:lineRule="auto"/>
        <w:ind w:firstLine="567"/>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Динамика платежей за негативное воздействие на окружающую среду, тыс. руб.</w:t>
      </w:r>
    </w:p>
    <w:tbl>
      <w:tblPr>
        <w:tblW w:w="8223" w:type="dxa"/>
        <w:tblInd w:w="562" w:type="dxa"/>
        <w:tblLayout w:type="fixed"/>
        <w:tblLook w:val="04A0" w:firstRow="1" w:lastRow="0" w:firstColumn="1" w:lastColumn="0" w:noHBand="0" w:noVBand="1"/>
      </w:tblPr>
      <w:tblGrid>
        <w:gridCol w:w="5670"/>
        <w:gridCol w:w="851"/>
        <w:gridCol w:w="851"/>
        <w:gridCol w:w="851"/>
      </w:tblGrid>
      <w:tr w:rsidR="002449C2" w14:paraId="2AB787FD" w14:textId="77777777">
        <w:trPr>
          <w:trHeight w:val="20"/>
          <w:tblHeader/>
        </w:trPr>
        <w:tc>
          <w:tcPr>
            <w:tcW w:w="5669" w:type="dxa"/>
            <w:tcBorders>
              <w:top w:val="single" w:sz="4" w:space="0" w:color="000000"/>
              <w:left w:val="single" w:sz="4" w:space="0" w:color="000000"/>
              <w:bottom w:val="single" w:sz="4" w:space="0" w:color="000000"/>
              <w:right w:val="single" w:sz="4" w:space="0" w:color="000000"/>
            </w:tcBorders>
            <w:vAlign w:val="center"/>
          </w:tcPr>
          <w:p w14:paraId="1E9A1F67" w14:textId="77777777" w:rsidR="002449C2" w:rsidRDefault="002449C2">
            <w:pPr>
              <w:shd w:val="clear" w:color="auto" w:fill="FFFFFF"/>
              <w:spacing w:after="0" w:line="240" w:lineRule="auto"/>
              <w:ind w:left="316" w:hanging="316"/>
              <w:jc w:val="both"/>
              <w:rPr>
                <w:rFonts w:ascii="Times New Roman" w:eastAsia="Times New Roman" w:hAnsi="Times New Roman"/>
                <w:sz w:val="18"/>
                <w:szCs w:val="18"/>
                <w:lang w:eastAsia="ar-SA"/>
              </w:rPr>
            </w:pP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19B36E5D"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2021</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139DA541"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2022</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21D95C52"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2023</w:t>
            </w:r>
          </w:p>
        </w:tc>
      </w:tr>
      <w:tr w:rsidR="002449C2" w14:paraId="5E758099" w14:textId="77777777">
        <w:trPr>
          <w:trHeight w:val="20"/>
        </w:trPr>
        <w:tc>
          <w:tcPr>
            <w:tcW w:w="5669" w:type="dxa"/>
            <w:tcBorders>
              <w:top w:val="single" w:sz="4" w:space="0" w:color="000000"/>
              <w:left w:val="single" w:sz="4" w:space="0" w:color="000000"/>
              <w:bottom w:val="single" w:sz="4" w:space="0" w:color="000000"/>
              <w:right w:val="single" w:sz="4" w:space="0" w:color="000000"/>
            </w:tcBorders>
            <w:vAlign w:val="bottom"/>
          </w:tcPr>
          <w:p w14:paraId="5DE8B25A"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Всего, в т. ч.</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430EFE70"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59,08</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3143DD10"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46,96</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13848881"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28,23</w:t>
            </w:r>
          </w:p>
        </w:tc>
      </w:tr>
      <w:tr w:rsidR="002449C2" w14:paraId="5F65903E" w14:textId="77777777">
        <w:trPr>
          <w:trHeight w:val="20"/>
        </w:trPr>
        <w:tc>
          <w:tcPr>
            <w:tcW w:w="5669" w:type="dxa"/>
            <w:tcBorders>
              <w:top w:val="single" w:sz="4" w:space="0" w:color="000000"/>
              <w:left w:val="single" w:sz="4" w:space="0" w:color="000000"/>
              <w:bottom w:val="single" w:sz="4" w:space="0" w:color="000000"/>
              <w:right w:val="single" w:sz="4" w:space="0" w:color="000000"/>
            </w:tcBorders>
            <w:vAlign w:val="bottom"/>
          </w:tcPr>
          <w:p w14:paraId="5CD34F36"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допустимые объемы</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3192BE75"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59,08</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65A1614C"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46,96</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7B1E95CB"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28,23</w:t>
            </w:r>
          </w:p>
        </w:tc>
      </w:tr>
      <w:tr w:rsidR="002449C2" w14:paraId="3A403D39" w14:textId="77777777">
        <w:trPr>
          <w:trHeight w:val="20"/>
        </w:trPr>
        <w:tc>
          <w:tcPr>
            <w:tcW w:w="5669" w:type="dxa"/>
            <w:tcBorders>
              <w:top w:val="single" w:sz="4" w:space="0" w:color="000000"/>
              <w:left w:val="single" w:sz="4" w:space="0" w:color="000000"/>
              <w:bottom w:val="single" w:sz="4" w:space="0" w:color="000000"/>
              <w:right w:val="single" w:sz="4" w:space="0" w:color="000000"/>
            </w:tcBorders>
            <w:vAlign w:val="bottom"/>
          </w:tcPr>
          <w:p w14:paraId="565B9255"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сверхлимитные объемы</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1209B1BB"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18F40729"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64C37A85"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r>
      <w:tr w:rsidR="002449C2" w14:paraId="280BDC40" w14:textId="77777777">
        <w:trPr>
          <w:trHeight w:val="20"/>
        </w:trPr>
        <w:tc>
          <w:tcPr>
            <w:tcW w:w="5669" w:type="dxa"/>
            <w:tcBorders>
              <w:top w:val="single" w:sz="4" w:space="0" w:color="000000"/>
              <w:left w:val="single" w:sz="4" w:space="0" w:color="000000"/>
              <w:bottom w:val="single" w:sz="4" w:space="0" w:color="000000"/>
              <w:right w:val="single" w:sz="4" w:space="0" w:color="000000"/>
            </w:tcBorders>
            <w:vAlign w:val="bottom"/>
          </w:tcPr>
          <w:p w14:paraId="4D7985AE"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Сбросы в водные объекты, в том числе</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4A0A331C"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04579D48"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30397A0C"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r>
      <w:tr w:rsidR="002449C2" w14:paraId="6360B41E" w14:textId="77777777">
        <w:trPr>
          <w:trHeight w:val="20"/>
        </w:trPr>
        <w:tc>
          <w:tcPr>
            <w:tcW w:w="5669" w:type="dxa"/>
            <w:tcBorders>
              <w:top w:val="single" w:sz="4" w:space="0" w:color="000000"/>
              <w:left w:val="single" w:sz="4" w:space="0" w:color="000000"/>
              <w:bottom w:val="single" w:sz="4" w:space="0" w:color="000000"/>
              <w:right w:val="single" w:sz="4" w:space="0" w:color="000000"/>
            </w:tcBorders>
            <w:vAlign w:val="bottom"/>
          </w:tcPr>
          <w:p w14:paraId="6A0D5E6F"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допустимые объемы</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1DECCAB4"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202910F7"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627CA8B3"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r>
      <w:tr w:rsidR="002449C2" w14:paraId="5B9BD176" w14:textId="77777777">
        <w:trPr>
          <w:trHeight w:val="20"/>
        </w:trPr>
        <w:tc>
          <w:tcPr>
            <w:tcW w:w="5669" w:type="dxa"/>
            <w:tcBorders>
              <w:top w:val="single" w:sz="4" w:space="0" w:color="000000"/>
              <w:left w:val="single" w:sz="4" w:space="0" w:color="000000"/>
              <w:bottom w:val="single" w:sz="4" w:space="0" w:color="000000"/>
              <w:right w:val="single" w:sz="4" w:space="0" w:color="000000"/>
            </w:tcBorders>
            <w:vAlign w:val="bottom"/>
          </w:tcPr>
          <w:p w14:paraId="0FEABB9E"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сверхлимитные объемы</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3B2C5246"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2E5D11E9"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4384E040"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r>
      <w:tr w:rsidR="002449C2" w14:paraId="78CAB9D4" w14:textId="77777777">
        <w:trPr>
          <w:trHeight w:val="20"/>
        </w:trPr>
        <w:tc>
          <w:tcPr>
            <w:tcW w:w="5669" w:type="dxa"/>
            <w:tcBorders>
              <w:top w:val="single" w:sz="4" w:space="0" w:color="000000"/>
              <w:left w:val="single" w:sz="4" w:space="0" w:color="000000"/>
              <w:bottom w:val="single" w:sz="4" w:space="0" w:color="000000"/>
              <w:right w:val="single" w:sz="4" w:space="0" w:color="000000"/>
            </w:tcBorders>
            <w:vAlign w:val="bottom"/>
          </w:tcPr>
          <w:p w14:paraId="03BF9062"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Выбросы в атмосферу, в том числе</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6712C462"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5604DA10"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132E7853"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r>
      <w:tr w:rsidR="002449C2" w14:paraId="38463FC8" w14:textId="77777777">
        <w:trPr>
          <w:trHeight w:val="20"/>
        </w:trPr>
        <w:tc>
          <w:tcPr>
            <w:tcW w:w="5669" w:type="dxa"/>
            <w:tcBorders>
              <w:top w:val="single" w:sz="4" w:space="0" w:color="000000"/>
              <w:left w:val="single" w:sz="4" w:space="0" w:color="000000"/>
              <w:bottom w:val="single" w:sz="4" w:space="0" w:color="000000"/>
              <w:right w:val="single" w:sz="4" w:space="0" w:color="000000"/>
            </w:tcBorders>
            <w:vAlign w:val="bottom"/>
          </w:tcPr>
          <w:p w14:paraId="1447E444"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допустимые объемы</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250CCE0F"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4,48</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7749E89E"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2,55</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696DE710"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4,36</w:t>
            </w:r>
          </w:p>
        </w:tc>
      </w:tr>
      <w:tr w:rsidR="002449C2" w14:paraId="1112331F" w14:textId="77777777">
        <w:trPr>
          <w:trHeight w:val="20"/>
        </w:trPr>
        <w:tc>
          <w:tcPr>
            <w:tcW w:w="5669" w:type="dxa"/>
            <w:tcBorders>
              <w:top w:val="single" w:sz="4" w:space="0" w:color="000000"/>
              <w:left w:val="single" w:sz="4" w:space="0" w:color="000000"/>
              <w:bottom w:val="single" w:sz="4" w:space="0" w:color="000000"/>
              <w:right w:val="single" w:sz="4" w:space="0" w:color="000000"/>
            </w:tcBorders>
            <w:vAlign w:val="bottom"/>
          </w:tcPr>
          <w:p w14:paraId="7A09B5DE"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сверхлимитные объемы</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6192FA29"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5E93E21E"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6A566FF6"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r>
      <w:tr w:rsidR="002449C2" w14:paraId="3D217F49" w14:textId="77777777">
        <w:trPr>
          <w:trHeight w:val="20"/>
        </w:trPr>
        <w:tc>
          <w:tcPr>
            <w:tcW w:w="5669" w:type="dxa"/>
            <w:tcBorders>
              <w:top w:val="single" w:sz="4" w:space="0" w:color="000000"/>
              <w:left w:val="single" w:sz="4" w:space="0" w:color="000000"/>
              <w:bottom w:val="single" w:sz="4" w:space="0" w:color="000000"/>
              <w:right w:val="single" w:sz="4" w:space="0" w:color="000000"/>
            </w:tcBorders>
            <w:vAlign w:val="bottom"/>
          </w:tcPr>
          <w:p w14:paraId="023FDE51"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Размещение отходов, в том числе</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674089CA"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31F2E559"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4E556571"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r>
      <w:tr w:rsidR="002449C2" w14:paraId="24980E59" w14:textId="77777777">
        <w:trPr>
          <w:trHeight w:val="20"/>
        </w:trPr>
        <w:tc>
          <w:tcPr>
            <w:tcW w:w="5669" w:type="dxa"/>
            <w:tcBorders>
              <w:top w:val="single" w:sz="4" w:space="0" w:color="000000"/>
              <w:left w:val="single" w:sz="4" w:space="0" w:color="000000"/>
              <w:bottom w:val="single" w:sz="4" w:space="0" w:color="000000"/>
              <w:right w:val="single" w:sz="4" w:space="0" w:color="000000"/>
            </w:tcBorders>
            <w:vAlign w:val="bottom"/>
          </w:tcPr>
          <w:p w14:paraId="491CE830"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допустимые объемы</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75045D04"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54,6</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43714BA7"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44,41</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6C702067"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23,87</w:t>
            </w:r>
          </w:p>
        </w:tc>
      </w:tr>
      <w:tr w:rsidR="002449C2" w14:paraId="01B14051" w14:textId="77777777">
        <w:trPr>
          <w:trHeight w:val="126"/>
        </w:trPr>
        <w:tc>
          <w:tcPr>
            <w:tcW w:w="5669" w:type="dxa"/>
            <w:tcBorders>
              <w:top w:val="single" w:sz="4" w:space="0" w:color="000000"/>
              <w:left w:val="single" w:sz="4" w:space="0" w:color="000000"/>
              <w:bottom w:val="single" w:sz="4" w:space="0" w:color="000000"/>
              <w:right w:val="single" w:sz="4" w:space="0" w:color="000000"/>
            </w:tcBorders>
            <w:vAlign w:val="bottom"/>
          </w:tcPr>
          <w:p w14:paraId="786B3AC7" w14:textId="77777777" w:rsidR="002449C2" w:rsidRDefault="00123961">
            <w:pPr>
              <w:shd w:val="clear" w:color="auto" w:fill="FFFFFF"/>
              <w:spacing w:after="0" w:line="240" w:lineRule="auto"/>
              <w:jc w:val="both"/>
              <w:rPr>
                <w:rFonts w:ascii="Times New Roman" w:eastAsia="Times New Roman" w:hAnsi="Times New Roman"/>
                <w:sz w:val="18"/>
                <w:szCs w:val="18"/>
                <w:lang w:eastAsia="ar-SA"/>
              </w:rPr>
            </w:pPr>
            <w:r>
              <w:rPr>
                <w:rFonts w:ascii="Times New Roman" w:eastAsia="Times New Roman" w:hAnsi="Times New Roman"/>
                <w:sz w:val="18"/>
                <w:szCs w:val="18"/>
                <w:lang w:eastAsia="ar-SA"/>
              </w:rPr>
              <w:t>сверхлимитные объемы</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44BAEB50"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51E24230" w14:textId="77777777" w:rsidR="002449C2" w:rsidRDefault="00123961">
            <w:pPr>
              <w:shd w:val="clear" w:color="auto" w:fill="FFFFFF"/>
              <w:spacing w:after="0" w:line="240" w:lineRule="auto"/>
              <w:jc w:val="center"/>
              <w:rPr>
                <w:rFonts w:ascii="Times New Roman" w:eastAsia="Times New Roman" w:hAnsi="Times New Roman"/>
                <w:sz w:val="18"/>
                <w:szCs w:val="18"/>
                <w:lang w:eastAsia="ar-SA"/>
              </w:rPr>
            </w:pPr>
            <w:r>
              <w:rPr>
                <w:rFonts w:ascii="Times New Roman" w:eastAsia="Times New Roman" w:hAnsi="Times New Roman"/>
                <w:sz w:val="18"/>
                <w:szCs w:val="18"/>
                <w:lang w:eastAsia="ar-SA"/>
              </w:rPr>
              <w:t>-</w:t>
            </w:r>
          </w:p>
        </w:tc>
        <w:tc>
          <w:tcPr>
            <w:tcW w:w="851" w:type="dxa"/>
            <w:tcBorders>
              <w:top w:val="single" w:sz="4" w:space="0" w:color="000000"/>
              <w:left w:val="single" w:sz="4" w:space="0" w:color="000000"/>
              <w:bottom w:val="single" w:sz="4" w:space="0" w:color="000000"/>
              <w:right w:val="single" w:sz="4" w:space="0" w:color="000000"/>
            </w:tcBorders>
            <w:tcMar>
              <w:left w:w="5" w:type="dxa"/>
              <w:right w:w="5" w:type="dxa"/>
            </w:tcMar>
          </w:tcPr>
          <w:p w14:paraId="70121B61" w14:textId="77777777" w:rsidR="002449C2" w:rsidRDefault="002449C2">
            <w:pPr>
              <w:shd w:val="clear" w:color="auto" w:fill="FFFFFF"/>
              <w:spacing w:after="0" w:line="240" w:lineRule="auto"/>
              <w:jc w:val="center"/>
              <w:rPr>
                <w:rFonts w:ascii="Times New Roman" w:eastAsia="Times New Roman" w:hAnsi="Times New Roman"/>
                <w:sz w:val="18"/>
                <w:szCs w:val="18"/>
                <w:lang w:eastAsia="ar-SA"/>
              </w:rPr>
            </w:pPr>
          </w:p>
        </w:tc>
      </w:tr>
    </w:tbl>
    <w:p w14:paraId="07FD2272" w14:textId="77777777" w:rsidR="002449C2" w:rsidRDefault="002449C2">
      <w:pPr>
        <w:shd w:val="clear" w:color="auto" w:fill="FFFFFF"/>
        <w:spacing w:after="0" w:line="240" w:lineRule="auto"/>
        <w:ind w:right="-2" w:firstLine="709"/>
        <w:jc w:val="both"/>
        <w:rPr>
          <w:sz w:val="20"/>
          <w:szCs w:val="20"/>
        </w:rPr>
      </w:pPr>
    </w:p>
    <w:p w14:paraId="151F19AE" w14:textId="77777777" w:rsidR="002449C2" w:rsidRDefault="00123961">
      <w:pPr>
        <w:keepNext/>
        <w:keepLines/>
        <w:shd w:val="clear" w:color="auto" w:fill="FFFFFF"/>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118" w:name="_Toc195174949"/>
      <w:bookmarkStart w:id="119" w:name="_Toc196143042"/>
      <w:r>
        <w:rPr>
          <w:rFonts w:ascii="Times New Roman" w:eastAsia="Times New Roman" w:hAnsi="Times New Roman"/>
          <w:color w:val="385623"/>
          <w:sz w:val="28"/>
          <w:szCs w:val="28"/>
          <w:lang w:eastAsia="en-US" w:bidi="en-US"/>
        </w:rPr>
        <w:t>Практики Компании в области охраны атмосферного воздуха, водных ресурсов, почв и земель</w:t>
      </w:r>
      <w:bookmarkEnd w:id="118"/>
      <w:bookmarkEnd w:id="119"/>
    </w:p>
    <w:p w14:paraId="6528DD66" w14:textId="77777777" w:rsidR="002449C2" w:rsidRDefault="002449C2">
      <w:pPr>
        <w:shd w:val="clear" w:color="auto" w:fill="FFFFFF"/>
        <w:spacing w:after="0" w:line="240" w:lineRule="auto"/>
        <w:ind w:firstLine="709"/>
        <w:jc w:val="center"/>
        <w:rPr>
          <w:rFonts w:ascii="Times New Roman" w:eastAsia="Times New Roman" w:hAnsi="Times New Roman"/>
          <w:sz w:val="24"/>
          <w:szCs w:val="24"/>
          <w:lang w:eastAsia="ru-RU"/>
        </w:rPr>
      </w:pPr>
    </w:p>
    <w:p w14:paraId="6BC281A8" w14:textId="77777777" w:rsidR="002449C2" w:rsidRDefault="00123961">
      <w:pPr>
        <w:keepNext/>
        <w:keepLines/>
        <w:shd w:val="clear" w:color="auto" w:fill="FFFFFF"/>
        <w:spacing w:after="0" w:line="240" w:lineRule="auto"/>
        <w:jc w:val="center"/>
        <w:outlineLvl w:val="2"/>
        <w:rPr>
          <w:rFonts w:ascii="Times New Roman" w:eastAsia="Times New Roman" w:hAnsi="Times New Roman"/>
          <w:sz w:val="26"/>
          <w:szCs w:val="26"/>
          <w:lang w:eastAsia="ru-RU"/>
        </w:rPr>
      </w:pPr>
      <w:bookmarkStart w:id="120" w:name="_Toc195174950"/>
      <w:bookmarkStart w:id="121" w:name="_Toc196143043"/>
      <w:r>
        <w:rPr>
          <w:rFonts w:ascii="Times New Roman" w:eastAsia="Times New Roman" w:hAnsi="Times New Roman"/>
          <w:bCs/>
          <w:sz w:val="26"/>
          <w:szCs w:val="26"/>
          <w:lang w:eastAsia="ru-RU"/>
        </w:rPr>
        <w:t>Охрана атмосферного воздуха, почв и земель, с</w:t>
      </w:r>
      <w:r>
        <w:rPr>
          <w:rFonts w:ascii="Times New Roman" w:eastAsia="Times New Roman" w:hAnsi="Times New Roman"/>
          <w:sz w:val="26"/>
          <w:szCs w:val="26"/>
          <w:lang w:eastAsia="ru-RU"/>
        </w:rPr>
        <w:t>охранение экосистем и биоразнообразия</w:t>
      </w:r>
      <w:bookmarkEnd w:id="120"/>
      <w:bookmarkEnd w:id="121"/>
    </w:p>
    <w:p w14:paraId="1FF50C42" w14:textId="77777777" w:rsidR="002449C2" w:rsidRDefault="00123961">
      <w:pPr>
        <w:shd w:val="clear" w:color="auto" w:fill="FFFFFF"/>
        <w:tabs>
          <w:tab w:val="left" w:pos="709"/>
          <w:tab w:val="left" w:pos="1134"/>
          <w:tab w:val="left" w:pos="1320"/>
        </w:tabs>
        <w:spacing w:after="0" w:line="240" w:lineRule="auto"/>
        <w:ind w:firstLine="709"/>
        <w:jc w:val="both"/>
        <w:rPr>
          <w:rFonts w:ascii="Times New Roman" w:hAnsi="Times New Roman"/>
          <w:sz w:val="26"/>
          <w:szCs w:val="26"/>
        </w:rPr>
      </w:pPr>
      <w:r>
        <w:rPr>
          <w:rFonts w:ascii="Times New Roman" w:hAnsi="Times New Roman"/>
          <w:sz w:val="26"/>
          <w:szCs w:val="26"/>
        </w:rPr>
        <w:t xml:space="preserve">В рамках реализации программы экологической политики в 2024 году были проведены следующие мероприятия </w:t>
      </w:r>
    </w:p>
    <w:p w14:paraId="16E40E21" w14:textId="77777777" w:rsidR="002449C2" w:rsidRDefault="00123961">
      <w:pPr>
        <w:shd w:val="clear" w:color="auto" w:fill="FFFFFF"/>
        <w:tabs>
          <w:tab w:val="left" w:pos="709"/>
          <w:tab w:val="left" w:pos="1134"/>
          <w:tab w:val="left" w:pos="1320"/>
        </w:tabs>
        <w:spacing w:after="0" w:line="240" w:lineRule="auto"/>
        <w:ind w:firstLine="709"/>
        <w:jc w:val="both"/>
        <w:rPr>
          <w:rFonts w:ascii="Times New Roman" w:hAnsi="Times New Roman"/>
          <w:sz w:val="26"/>
          <w:szCs w:val="26"/>
          <w:u w:val="single"/>
        </w:rPr>
      </w:pPr>
      <w:r>
        <w:rPr>
          <w:rFonts w:ascii="Times New Roman" w:hAnsi="Times New Roman"/>
          <w:sz w:val="26"/>
          <w:szCs w:val="26"/>
          <w:u w:val="single"/>
        </w:rPr>
        <w:t>в области охраны атмосферного воздуха:</w:t>
      </w:r>
    </w:p>
    <w:p w14:paraId="45FECCC6" w14:textId="77777777" w:rsidR="002449C2" w:rsidRDefault="00123961">
      <w:pPr>
        <w:shd w:val="clear" w:color="auto" w:fill="FFFFFF"/>
        <w:tabs>
          <w:tab w:val="left" w:pos="709"/>
          <w:tab w:val="left" w:pos="1134"/>
          <w:tab w:val="left" w:pos="1320"/>
        </w:tabs>
        <w:spacing w:after="0" w:line="240" w:lineRule="auto"/>
        <w:ind w:firstLine="709"/>
        <w:jc w:val="both"/>
        <w:rPr>
          <w:rFonts w:ascii="Times New Roman" w:hAnsi="Times New Roman"/>
          <w:sz w:val="26"/>
          <w:szCs w:val="26"/>
        </w:rPr>
      </w:pPr>
      <w:r>
        <w:rPr>
          <w:rFonts w:ascii="Times New Roman" w:hAnsi="Times New Roman"/>
          <w:sz w:val="26"/>
          <w:szCs w:val="26"/>
        </w:rPr>
        <w:t>лабораторно-инструментальный контроль выбросов загрязняющих веществ в атмосферу на источниках в рамках договоров с аккредитованными лабораториями. Превышений нормативных показателей не выявлено;</w:t>
      </w:r>
    </w:p>
    <w:p w14:paraId="5B029807" w14:textId="77777777" w:rsidR="002449C2" w:rsidRDefault="00123961">
      <w:pPr>
        <w:shd w:val="clear" w:color="auto" w:fill="FFFFFF"/>
        <w:tabs>
          <w:tab w:val="left" w:pos="709"/>
          <w:tab w:val="left" w:pos="1134"/>
          <w:tab w:val="left" w:pos="1320"/>
        </w:tabs>
        <w:spacing w:after="0" w:line="240" w:lineRule="auto"/>
        <w:ind w:firstLine="709"/>
        <w:jc w:val="both"/>
        <w:rPr>
          <w:rFonts w:ascii="Times New Roman" w:hAnsi="Times New Roman"/>
          <w:sz w:val="26"/>
          <w:szCs w:val="26"/>
        </w:rPr>
      </w:pPr>
      <w:r>
        <w:rPr>
          <w:rFonts w:ascii="Times New Roman" w:hAnsi="Times New Roman"/>
          <w:sz w:val="26"/>
          <w:szCs w:val="26"/>
        </w:rPr>
        <w:t>разработка программ производственного экологического контроля;</w:t>
      </w:r>
    </w:p>
    <w:p w14:paraId="0D8F250E" w14:textId="77777777" w:rsidR="002449C2" w:rsidRDefault="00123961">
      <w:pPr>
        <w:shd w:val="clear" w:color="auto" w:fill="FFFFFF"/>
        <w:tabs>
          <w:tab w:val="left" w:pos="709"/>
          <w:tab w:val="left" w:pos="1134"/>
          <w:tab w:val="left" w:pos="1320"/>
        </w:tabs>
        <w:spacing w:after="0" w:line="240" w:lineRule="auto"/>
        <w:ind w:firstLine="709"/>
        <w:jc w:val="both"/>
        <w:rPr>
          <w:rFonts w:ascii="Times New Roman" w:hAnsi="Times New Roman"/>
          <w:sz w:val="26"/>
          <w:szCs w:val="26"/>
        </w:rPr>
      </w:pPr>
      <w:r>
        <w:rPr>
          <w:rFonts w:ascii="Times New Roman" w:hAnsi="Times New Roman"/>
          <w:sz w:val="26"/>
          <w:szCs w:val="26"/>
        </w:rPr>
        <w:t>разработка мероприятий по уменьшению выбросов вредных (загрязняющих) веществ в атмосферный воздух в периоды неблагоприятных метеорологических условий;</w:t>
      </w:r>
    </w:p>
    <w:p w14:paraId="478D3BC3" w14:textId="77777777" w:rsidR="002449C2" w:rsidRDefault="00123961">
      <w:pPr>
        <w:shd w:val="clear" w:color="auto" w:fill="FFFFFF"/>
        <w:tabs>
          <w:tab w:val="left" w:pos="709"/>
          <w:tab w:val="left" w:pos="1134"/>
          <w:tab w:val="left" w:pos="1320"/>
        </w:tabs>
        <w:spacing w:after="0" w:line="240" w:lineRule="auto"/>
        <w:ind w:firstLine="709"/>
        <w:jc w:val="both"/>
        <w:rPr>
          <w:rFonts w:ascii="Times New Roman" w:hAnsi="Times New Roman"/>
          <w:sz w:val="26"/>
          <w:szCs w:val="26"/>
        </w:rPr>
      </w:pPr>
      <w:r>
        <w:rPr>
          <w:rFonts w:ascii="Times New Roman" w:hAnsi="Times New Roman"/>
          <w:sz w:val="26"/>
          <w:szCs w:val="26"/>
        </w:rPr>
        <w:t>разработка проектов санитарно-защитных зон для производственных площадок, мероприятия по программе наблюдений на границах СЗЗ;</w:t>
      </w:r>
    </w:p>
    <w:p w14:paraId="103A9217" w14:textId="77777777" w:rsidR="002449C2" w:rsidRDefault="00123961">
      <w:pPr>
        <w:shd w:val="clear" w:color="auto" w:fill="FFFFFF"/>
        <w:tabs>
          <w:tab w:val="left" w:pos="709"/>
          <w:tab w:val="left" w:pos="1134"/>
          <w:tab w:val="left" w:pos="1320"/>
        </w:tabs>
        <w:spacing w:after="0" w:line="240" w:lineRule="auto"/>
        <w:ind w:firstLine="709"/>
        <w:jc w:val="both"/>
        <w:rPr>
          <w:rFonts w:ascii="Times New Roman" w:hAnsi="Times New Roman"/>
          <w:sz w:val="26"/>
          <w:szCs w:val="26"/>
        </w:rPr>
      </w:pPr>
      <w:r>
        <w:rPr>
          <w:rFonts w:ascii="Times New Roman" w:hAnsi="Times New Roman"/>
          <w:sz w:val="26"/>
          <w:szCs w:val="26"/>
        </w:rPr>
        <w:t>ведения контроля содержания окиси углерода в выхлопных газах автотранспорта и проведение своевременного ремонта автотранспорта;</w:t>
      </w:r>
    </w:p>
    <w:p w14:paraId="32034590" w14:textId="77777777" w:rsidR="002449C2" w:rsidRDefault="00123961">
      <w:pPr>
        <w:shd w:val="clear" w:color="auto" w:fill="FFFFFF"/>
        <w:tabs>
          <w:tab w:val="left" w:pos="709"/>
          <w:tab w:val="left" w:pos="1134"/>
          <w:tab w:val="left" w:pos="1320"/>
        </w:tabs>
        <w:spacing w:after="0" w:line="240" w:lineRule="auto"/>
        <w:ind w:firstLine="709"/>
        <w:jc w:val="both"/>
        <w:rPr>
          <w:rFonts w:ascii="Times New Roman" w:hAnsi="Times New Roman"/>
          <w:sz w:val="26"/>
          <w:szCs w:val="26"/>
        </w:rPr>
      </w:pPr>
      <w:r>
        <w:rPr>
          <w:rFonts w:ascii="Times New Roman" w:hAnsi="Times New Roman"/>
          <w:sz w:val="26"/>
          <w:szCs w:val="26"/>
        </w:rPr>
        <w:t>совершенствования эксплуатационной деятельности и технологии ремонтного производства (силами предприятия);</w:t>
      </w:r>
    </w:p>
    <w:p w14:paraId="42906A8C" w14:textId="77777777" w:rsidR="002449C2" w:rsidRDefault="00123961">
      <w:pPr>
        <w:shd w:val="clear" w:color="auto" w:fill="FFFFFF"/>
        <w:tabs>
          <w:tab w:val="left" w:pos="709"/>
          <w:tab w:val="left" w:pos="1134"/>
          <w:tab w:val="left" w:pos="1320"/>
        </w:tabs>
        <w:spacing w:after="0" w:line="240" w:lineRule="auto"/>
        <w:ind w:firstLine="709"/>
        <w:jc w:val="both"/>
        <w:rPr>
          <w:rFonts w:ascii="Times New Roman" w:hAnsi="Times New Roman"/>
          <w:sz w:val="26"/>
          <w:szCs w:val="26"/>
        </w:rPr>
      </w:pPr>
      <w:r>
        <w:rPr>
          <w:rFonts w:ascii="Times New Roman" w:hAnsi="Times New Roman"/>
          <w:sz w:val="26"/>
          <w:szCs w:val="26"/>
        </w:rPr>
        <w:t>использования сертифицированного топлива;</w:t>
      </w:r>
    </w:p>
    <w:p w14:paraId="39545068" w14:textId="77777777" w:rsidR="002449C2" w:rsidRDefault="00123961">
      <w:pPr>
        <w:shd w:val="clear" w:color="auto" w:fill="FFFFFF"/>
        <w:tabs>
          <w:tab w:val="left" w:pos="709"/>
          <w:tab w:val="left" w:pos="1134"/>
          <w:tab w:val="left" w:pos="1320"/>
        </w:tabs>
        <w:spacing w:after="0" w:line="240" w:lineRule="auto"/>
        <w:ind w:firstLine="709"/>
        <w:jc w:val="both"/>
        <w:rPr>
          <w:rFonts w:ascii="Times New Roman" w:hAnsi="Times New Roman"/>
          <w:sz w:val="26"/>
          <w:szCs w:val="26"/>
        </w:rPr>
      </w:pPr>
      <w:r>
        <w:rPr>
          <w:rFonts w:ascii="Times New Roman" w:hAnsi="Times New Roman"/>
          <w:sz w:val="26"/>
          <w:szCs w:val="26"/>
        </w:rPr>
        <w:t>формирование сведений статистического наблюдения об охране атмосферного воздуха, отчетов по программам производственного экологического контроля на территории производственных площадок филиалов.</w:t>
      </w:r>
    </w:p>
    <w:p w14:paraId="729D6D8F" w14:textId="77777777" w:rsidR="002449C2" w:rsidRDefault="00123961">
      <w:pPr>
        <w:shd w:val="clear" w:color="auto" w:fill="FFFFFF"/>
        <w:tabs>
          <w:tab w:val="left" w:pos="709"/>
          <w:tab w:val="left" w:pos="1134"/>
          <w:tab w:val="left" w:pos="1320"/>
        </w:tabs>
        <w:spacing w:after="0" w:line="240" w:lineRule="auto"/>
        <w:ind w:firstLine="709"/>
        <w:jc w:val="both"/>
        <w:rPr>
          <w:rFonts w:ascii="Times New Roman" w:hAnsi="Times New Roman"/>
          <w:sz w:val="26"/>
          <w:szCs w:val="26"/>
        </w:rPr>
      </w:pPr>
      <w:r>
        <w:rPr>
          <w:rFonts w:ascii="Times New Roman" w:hAnsi="Times New Roman"/>
          <w:sz w:val="26"/>
          <w:szCs w:val="26"/>
        </w:rPr>
        <w:t xml:space="preserve">По итогам 2024 года объем валовых выбросов загрязняющих веществ в атмосферный воздух остался на уровне показателей 2023 года в связи с проведенной инвентаризацией источников выбросов загрязняющих веществ в атмосферу с установлением нормативов предельно-допустимых выбросов загрязняющих веществ в атмосферу. </w:t>
      </w:r>
    </w:p>
    <w:p w14:paraId="1C81079B" w14:textId="77777777" w:rsidR="002449C2" w:rsidRDefault="00123961">
      <w:pPr>
        <w:shd w:val="clear" w:color="auto" w:fill="FFFFFF"/>
        <w:tabs>
          <w:tab w:val="left" w:pos="1080"/>
          <w:tab w:val="left" w:pos="1134"/>
          <w:tab w:val="left" w:pos="1320"/>
        </w:tabs>
        <w:spacing w:after="0" w:line="240" w:lineRule="auto"/>
        <w:ind w:firstLine="709"/>
        <w:jc w:val="both"/>
        <w:rPr>
          <w:rFonts w:ascii="Times New Roman" w:hAnsi="Times New Roman"/>
          <w:sz w:val="26"/>
          <w:szCs w:val="26"/>
          <w:u w:val="single"/>
        </w:rPr>
      </w:pPr>
      <w:r>
        <w:rPr>
          <w:rFonts w:ascii="Times New Roman" w:hAnsi="Times New Roman"/>
          <w:sz w:val="26"/>
          <w:szCs w:val="26"/>
          <w:u w:val="single"/>
        </w:rPr>
        <w:t>в области охраны и рационального использования водных ресурсов:</w:t>
      </w:r>
    </w:p>
    <w:p w14:paraId="1D0D7424" w14:textId="77777777" w:rsidR="002449C2" w:rsidRDefault="00123961">
      <w:pPr>
        <w:shd w:val="clear" w:color="auto" w:fill="FFFFFF"/>
        <w:tabs>
          <w:tab w:val="left" w:pos="709"/>
          <w:tab w:val="left" w:pos="1134"/>
          <w:tab w:val="left" w:pos="1320"/>
        </w:tabs>
        <w:spacing w:after="0" w:line="240" w:lineRule="auto"/>
        <w:ind w:firstLine="709"/>
        <w:jc w:val="both"/>
        <w:rPr>
          <w:rFonts w:ascii="Times New Roman" w:hAnsi="Times New Roman"/>
          <w:sz w:val="26"/>
          <w:szCs w:val="26"/>
        </w:rPr>
      </w:pPr>
      <w:r>
        <w:rPr>
          <w:rFonts w:ascii="Times New Roman" w:hAnsi="Times New Roman"/>
          <w:sz w:val="26"/>
          <w:szCs w:val="26"/>
        </w:rPr>
        <w:t xml:space="preserve">ведение мониторинга подземных вод согласно разработанным и зарегистрированным у Распорядителя недр программам по филиалам «Волгоградэнерго» и «Ростовэнерго»; </w:t>
      </w:r>
    </w:p>
    <w:p w14:paraId="282D50B6" w14:textId="77777777" w:rsidR="002449C2" w:rsidRDefault="00123961">
      <w:pPr>
        <w:shd w:val="clear" w:color="auto" w:fill="FFFFFF"/>
        <w:tabs>
          <w:tab w:val="left" w:pos="709"/>
          <w:tab w:val="left" w:pos="1134"/>
          <w:tab w:val="left" w:pos="1320"/>
        </w:tabs>
        <w:spacing w:after="0" w:line="240" w:lineRule="auto"/>
        <w:ind w:firstLine="709"/>
        <w:jc w:val="both"/>
        <w:rPr>
          <w:rFonts w:ascii="Times New Roman" w:hAnsi="Times New Roman"/>
          <w:sz w:val="26"/>
          <w:szCs w:val="26"/>
        </w:rPr>
      </w:pPr>
      <w:r>
        <w:rPr>
          <w:rFonts w:ascii="Times New Roman" w:hAnsi="Times New Roman"/>
          <w:sz w:val="26"/>
          <w:szCs w:val="26"/>
        </w:rPr>
        <w:t xml:space="preserve">ликвидация скважины и оформление новой лицензии в Ростовской области; </w:t>
      </w:r>
    </w:p>
    <w:p w14:paraId="6D7E2277" w14:textId="77777777" w:rsidR="002449C2" w:rsidRDefault="00123961">
      <w:pPr>
        <w:shd w:val="clear" w:color="auto" w:fill="FFFFFF"/>
        <w:tabs>
          <w:tab w:val="left" w:pos="851"/>
          <w:tab w:val="left" w:pos="1080"/>
          <w:tab w:val="left" w:pos="1134"/>
          <w:tab w:val="left" w:pos="1320"/>
        </w:tabs>
        <w:spacing w:after="0" w:line="240" w:lineRule="auto"/>
        <w:ind w:firstLine="709"/>
        <w:jc w:val="both"/>
        <w:rPr>
          <w:rFonts w:ascii="Times New Roman" w:hAnsi="Times New Roman"/>
          <w:sz w:val="26"/>
          <w:szCs w:val="26"/>
          <w:u w:val="single"/>
        </w:rPr>
      </w:pPr>
      <w:r>
        <w:rPr>
          <w:rFonts w:ascii="Times New Roman" w:hAnsi="Times New Roman"/>
          <w:sz w:val="26"/>
          <w:szCs w:val="26"/>
          <w:u w:val="single"/>
        </w:rPr>
        <w:t>в области обращения с отходами:</w:t>
      </w:r>
    </w:p>
    <w:p w14:paraId="1AFD32F5" w14:textId="77777777" w:rsidR="002449C2" w:rsidRDefault="00123961">
      <w:pPr>
        <w:shd w:val="clear" w:color="auto" w:fill="FFFFFF"/>
        <w:tabs>
          <w:tab w:val="left" w:pos="709"/>
          <w:tab w:val="left" w:pos="1134"/>
          <w:tab w:val="left" w:pos="1320"/>
        </w:tabs>
        <w:spacing w:after="0" w:line="240" w:lineRule="auto"/>
        <w:ind w:firstLine="709"/>
        <w:jc w:val="both"/>
        <w:rPr>
          <w:rFonts w:ascii="Times New Roman" w:hAnsi="Times New Roman"/>
          <w:sz w:val="26"/>
          <w:szCs w:val="26"/>
        </w:rPr>
      </w:pPr>
      <w:r>
        <w:rPr>
          <w:rFonts w:ascii="Times New Roman" w:hAnsi="Times New Roman"/>
          <w:sz w:val="26"/>
          <w:szCs w:val="26"/>
        </w:rPr>
        <w:t>на всех производственных площадках осуществляется деятельность по накоплению отходов в местах, обустроенных в соответствии с требованиями законодательства в области охраны окружающей среды и законодательства в области обеспечения санитарно-эпидемиологического благополучия населения, в целях их дальнейшей передачи специализированным организациям.</w:t>
      </w:r>
    </w:p>
    <w:p w14:paraId="7E98A110" w14:textId="77777777" w:rsidR="002449C2" w:rsidRDefault="00123961">
      <w:pPr>
        <w:shd w:val="clear" w:color="auto" w:fill="FFFFFF"/>
        <w:tabs>
          <w:tab w:val="left" w:pos="709"/>
          <w:tab w:val="left" w:pos="1134"/>
          <w:tab w:val="left" w:pos="1320"/>
        </w:tabs>
        <w:spacing w:after="0" w:line="240" w:lineRule="auto"/>
        <w:ind w:firstLine="709"/>
        <w:jc w:val="both"/>
        <w:rPr>
          <w:rFonts w:ascii="Times New Roman" w:hAnsi="Times New Roman"/>
          <w:sz w:val="26"/>
          <w:szCs w:val="26"/>
        </w:rPr>
      </w:pPr>
      <w:r>
        <w:rPr>
          <w:rFonts w:ascii="Times New Roman" w:hAnsi="Times New Roman"/>
          <w:sz w:val="26"/>
          <w:szCs w:val="26"/>
        </w:rPr>
        <w:t>В рамках достижения целей Экологической политики в области обращения с отходами в 2024 году были реализованы следующие мероприятия:</w:t>
      </w:r>
    </w:p>
    <w:p w14:paraId="4067EEA1" w14:textId="77777777" w:rsidR="002449C2" w:rsidRDefault="00123961">
      <w:pPr>
        <w:shd w:val="clear" w:color="auto" w:fill="FFFFFF"/>
        <w:tabs>
          <w:tab w:val="left" w:pos="709"/>
          <w:tab w:val="left" w:pos="1134"/>
          <w:tab w:val="left" w:pos="1320"/>
        </w:tabs>
        <w:spacing w:after="0" w:line="240" w:lineRule="auto"/>
        <w:ind w:firstLine="709"/>
        <w:jc w:val="both"/>
        <w:rPr>
          <w:rFonts w:ascii="Times New Roman" w:hAnsi="Times New Roman"/>
          <w:sz w:val="26"/>
          <w:szCs w:val="26"/>
        </w:rPr>
      </w:pPr>
      <w:r>
        <w:rPr>
          <w:rFonts w:ascii="Times New Roman" w:hAnsi="Times New Roman"/>
          <w:sz w:val="26"/>
          <w:szCs w:val="26"/>
        </w:rPr>
        <w:t>своевременный вывоз специализированными организациями производственных отходов, твердых коммунальных отходов;</w:t>
      </w:r>
    </w:p>
    <w:p w14:paraId="6E3A6E3A" w14:textId="77777777" w:rsidR="002449C2" w:rsidRDefault="00123961">
      <w:pPr>
        <w:shd w:val="clear" w:color="auto" w:fill="FFFFFF"/>
        <w:tabs>
          <w:tab w:val="left" w:pos="709"/>
          <w:tab w:val="left" w:pos="1134"/>
          <w:tab w:val="left" w:pos="1320"/>
        </w:tabs>
        <w:spacing w:after="0" w:line="240" w:lineRule="auto"/>
        <w:ind w:firstLine="709"/>
        <w:jc w:val="both"/>
        <w:rPr>
          <w:rFonts w:ascii="Times New Roman" w:hAnsi="Times New Roman"/>
          <w:sz w:val="26"/>
          <w:szCs w:val="26"/>
        </w:rPr>
      </w:pPr>
      <w:r>
        <w:rPr>
          <w:rFonts w:ascii="Times New Roman" w:hAnsi="Times New Roman"/>
          <w:sz w:val="26"/>
          <w:szCs w:val="26"/>
        </w:rPr>
        <w:t>формирование сведений статистического наблюдения об образовании, использовании, обезвреживании, транспортировании и размещении отходов производства и потребления;</w:t>
      </w:r>
    </w:p>
    <w:p w14:paraId="52A39BCF" w14:textId="77777777" w:rsidR="002449C2" w:rsidRDefault="00123961">
      <w:pPr>
        <w:shd w:val="clear" w:color="auto" w:fill="FFFFFF"/>
        <w:tabs>
          <w:tab w:val="left" w:pos="709"/>
          <w:tab w:val="left" w:pos="1134"/>
          <w:tab w:val="left" w:pos="1320"/>
        </w:tabs>
        <w:spacing w:after="0" w:line="240" w:lineRule="auto"/>
        <w:ind w:firstLine="709"/>
        <w:jc w:val="both"/>
        <w:rPr>
          <w:rFonts w:ascii="Times New Roman" w:hAnsi="Times New Roman"/>
          <w:sz w:val="26"/>
          <w:szCs w:val="26"/>
        </w:rPr>
      </w:pPr>
      <w:r>
        <w:rPr>
          <w:rFonts w:ascii="Times New Roman" w:hAnsi="Times New Roman"/>
          <w:sz w:val="26"/>
          <w:szCs w:val="26"/>
        </w:rPr>
        <w:t>ведение учета образования и движения отходов;</w:t>
      </w:r>
    </w:p>
    <w:p w14:paraId="699D2E09" w14:textId="77777777" w:rsidR="002449C2" w:rsidRDefault="00123961">
      <w:pPr>
        <w:shd w:val="clear" w:color="auto" w:fill="FFFFFF"/>
        <w:tabs>
          <w:tab w:val="left" w:pos="709"/>
          <w:tab w:val="left" w:pos="1134"/>
          <w:tab w:val="left" w:pos="1320"/>
        </w:tabs>
        <w:spacing w:after="0" w:line="240" w:lineRule="auto"/>
        <w:ind w:firstLine="709"/>
        <w:jc w:val="both"/>
        <w:rPr>
          <w:rFonts w:ascii="Times New Roman" w:hAnsi="Times New Roman"/>
          <w:sz w:val="26"/>
          <w:szCs w:val="26"/>
        </w:rPr>
      </w:pPr>
      <w:r>
        <w:rPr>
          <w:rFonts w:ascii="Times New Roman" w:hAnsi="Times New Roman"/>
          <w:sz w:val="26"/>
          <w:szCs w:val="26"/>
        </w:rPr>
        <w:t xml:space="preserve">контроль за раздельным накоплением производственных отходов по видам отходов и твердых коммунальных отходов в местах, специально предназначенных и оборудованных для накопления отходов определенного вида. </w:t>
      </w:r>
    </w:p>
    <w:p w14:paraId="4DFC074E" w14:textId="77777777" w:rsidR="002449C2" w:rsidRDefault="00123961">
      <w:pPr>
        <w:shd w:val="clear" w:color="auto" w:fill="FFFFFF"/>
        <w:tabs>
          <w:tab w:val="left" w:pos="1080"/>
        </w:tabs>
        <w:spacing w:after="0" w:line="240" w:lineRule="auto"/>
        <w:ind w:left="709"/>
        <w:jc w:val="both"/>
        <w:rPr>
          <w:rFonts w:ascii="Times New Roman" w:eastAsia="Times New Roman" w:hAnsi="Times New Roman"/>
          <w:sz w:val="26"/>
          <w:szCs w:val="26"/>
          <w:u w:val="single"/>
          <w:lang w:eastAsia="ru-RU"/>
        </w:rPr>
      </w:pPr>
      <w:r>
        <w:rPr>
          <w:rFonts w:ascii="Times New Roman" w:eastAsia="Times New Roman" w:hAnsi="Times New Roman"/>
          <w:bCs/>
          <w:sz w:val="26"/>
          <w:szCs w:val="26"/>
          <w:u w:val="single"/>
          <w:lang w:eastAsia="ru-RU"/>
        </w:rPr>
        <w:t>в области с</w:t>
      </w:r>
      <w:r>
        <w:rPr>
          <w:rFonts w:ascii="Times New Roman" w:eastAsia="Times New Roman" w:hAnsi="Times New Roman"/>
          <w:sz w:val="26"/>
          <w:szCs w:val="26"/>
          <w:u w:val="single"/>
          <w:lang w:eastAsia="ru-RU"/>
        </w:rPr>
        <w:t>охранения экосистем и биоразнообразия:</w:t>
      </w:r>
    </w:p>
    <w:p w14:paraId="58B114B9" w14:textId="77777777" w:rsidR="002449C2" w:rsidRDefault="00123961">
      <w:pPr>
        <w:shd w:val="clear" w:color="auto" w:fill="FFFFFF"/>
        <w:tabs>
          <w:tab w:val="left" w:pos="1134"/>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обеспечение необходимого уровня орнитологической безопасности на электросетевых объектах, а соответственно и требуемого уровня надежности электроснабжения, достигается применением различных типов птицезащитных устройств. </w:t>
      </w:r>
    </w:p>
    <w:p w14:paraId="1C74F1CC" w14:textId="77777777" w:rsidR="002449C2" w:rsidRDefault="00123961">
      <w:pPr>
        <w:shd w:val="clear" w:color="auto" w:fill="FFFFFF"/>
        <w:spacing w:after="0" w:line="240" w:lineRule="auto"/>
        <w:ind w:firstLine="425"/>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Всего филиалами ПАО «Россети Юг» в 2024 году на ВЛ-10 кВ установлены птицезащитные устройства в количестве 6 690 шт., в т.ч. по филиалам: «Астраханьэнерго»: 85 шт.; «Волгоградэнерго»: 1379 шт.; «Калмэнерго»: 4 959 шт.; «Ростовэнерго»: 267 шт.</w:t>
      </w:r>
    </w:p>
    <w:p w14:paraId="4D6CEADD" w14:textId="77777777" w:rsidR="002449C2" w:rsidRDefault="00123961">
      <w:pPr>
        <w:shd w:val="clear" w:color="auto" w:fill="FFFFFF"/>
        <w:spacing w:after="0" w:line="240" w:lineRule="auto"/>
        <w:ind w:firstLine="709"/>
        <w:jc w:val="both"/>
        <w:rPr>
          <w:rFonts w:ascii="Times New Roman" w:hAnsi="Times New Roman"/>
          <w:b/>
          <w:color w:val="0070C0"/>
          <w:sz w:val="26"/>
          <w:szCs w:val="26"/>
        </w:rPr>
      </w:pPr>
      <w:r>
        <w:rPr>
          <w:rFonts w:ascii="Times New Roman" w:hAnsi="Times New Roman"/>
          <w:b/>
          <w:color w:val="0070C0"/>
          <w:sz w:val="26"/>
          <w:szCs w:val="26"/>
        </w:rPr>
        <w:t>Основные задачи Общества в области экологической безопасности на 2025 год:</w:t>
      </w:r>
    </w:p>
    <w:p w14:paraId="667AEC43" w14:textId="77777777" w:rsidR="002449C2" w:rsidRDefault="00123961">
      <w:pPr>
        <w:numPr>
          <w:ilvl w:val="0"/>
          <w:numId w:val="28"/>
        </w:numPr>
        <w:tabs>
          <w:tab w:val="left" w:pos="1134"/>
        </w:tabs>
        <w:spacing w:after="0" w:line="240" w:lineRule="auto"/>
        <w:ind w:left="0"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обеспечение и контроль безопасного уровня выбросов загрязняющих веществ в атмосферный воздух от стационарных источников; проведению санитарно-гигиенического контроля на границах санитарно-защитных зон;</w:t>
      </w:r>
    </w:p>
    <w:p w14:paraId="14C6A73A" w14:textId="77777777" w:rsidR="002449C2" w:rsidRDefault="00123961">
      <w:pPr>
        <w:numPr>
          <w:ilvl w:val="0"/>
          <w:numId w:val="28"/>
        </w:numPr>
        <w:tabs>
          <w:tab w:val="left" w:pos="1134"/>
        </w:tabs>
        <w:spacing w:after="0" w:line="240" w:lineRule="auto"/>
        <w:ind w:left="0"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повышение компетентности работников по экологической безопасности;</w:t>
      </w:r>
    </w:p>
    <w:p w14:paraId="240A0A3A" w14:textId="77777777" w:rsidR="002449C2" w:rsidRDefault="00123961">
      <w:pPr>
        <w:numPr>
          <w:ilvl w:val="0"/>
          <w:numId w:val="28"/>
        </w:numPr>
        <w:tabs>
          <w:tab w:val="left" w:pos="1134"/>
        </w:tabs>
        <w:spacing w:after="0" w:line="240" w:lineRule="auto"/>
        <w:ind w:left="0"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установление птицезащитных устройств на опорах в зонах обитания и миграции птиц;</w:t>
      </w:r>
    </w:p>
    <w:p w14:paraId="303728B7" w14:textId="77777777" w:rsidR="002449C2" w:rsidRDefault="00123961">
      <w:pPr>
        <w:numPr>
          <w:ilvl w:val="0"/>
          <w:numId w:val="28"/>
        </w:numPr>
        <w:tabs>
          <w:tab w:val="left" w:pos="1134"/>
        </w:tabs>
        <w:spacing w:after="0" w:line="240" w:lineRule="auto"/>
        <w:ind w:left="0"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исключение сроков накопления отходов на производственных площадках, своевременный вывоз с территории производственных площадок отходов, исполнение Графика вывода из эксплуатации ПХБ-содержащего оборудования и сдачи на уничтожение на 2023-2024 годы;</w:t>
      </w:r>
    </w:p>
    <w:p w14:paraId="4F21BF8F" w14:textId="77777777" w:rsidR="002449C2" w:rsidRDefault="00123961">
      <w:pPr>
        <w:numPr>
          <w:ilvl w:val="0"/>
          <w:numId w:val="28"/>
        </w:numPr>
        <w:tabs>
          <w:tab w:val="left" w:pos="1134"/>
        </w:tabs>
        <w:spacing w:after="0" w:line="240" w:lineRule="auto"/>
        <w:ind w:left="0"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соблюдение лицензионных соглашений на пользование недрами.</w:t>
      </w:r>
    </w:p>
    <w:p w14:paraId="5CBEAAF0" w14:textId="77777777" w:rsidR="002449C2" w:rsidRDefault="002449C2">
      <w:pPr>
        <w:tabs>
          <w:tab w:val="left" w:pos="1134"/>
        </w:tabs>
        <w:spacing w:after="0" w:line="240" w:lineRule="auto"/>
        <w:ind w:left="709"/>
        <w:jc w:val="both"/>
        <w:rPr>
          <w:rFonts w:ascii="Times New Roman" w:eastAsia="Times New Roman" w:hAnsi="Times New Roman"/>
          <w:sz w:val="26"/>
          <w:szCs w:val="26"/>
          <w:lang w:eastAsia="ru-RU"/>
        </w:rPr>
      </w:pPr>
    </w:p>
    <w:p w14:paraId="19B098CC" w14:textId="77777777" w:rsidR="002449C2" w:rsidRDefault="00123961">
      <w:pPr>
        <w:keepNext/>
        <w:pBdr>
          <w:bottom w:val="single" w:sz="4" w:space="1" w:color="622423"/>
        </w:pBdr>
        <w:shd w:val="clear" w:color="auto" w:fill="FFFFFF"/>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122" w:name="_Toc195174951"/>
      <w:bookmarkStart w:id="123" w:name="_Toc536544537"/>
      <w:bookmarkStart w:id="124" w:name="_Toc196143044"/>
      <w:r>
        <w:rPr>
          <w:rFonts w:ascii="Times New Roman" w:eastAsia="Times New Roman" w:hAnsi="Times New Roman"/>
          <w:caps/>
          <w:color w:val="632423"/>
          <w:spacing w:val="15"/>
          <w:sz w:val="24"/>
          <w:szCs w:val="24"/>
          <w:lang w:eastAsia="en-US" w:bidi="en-US"/>
        </w:rPr>
        <w:t>Энергопотребление и энергосбережение</w:t>
      </w:r>
      <w:bookmarkEnd w:id="122"/>
      <w:bookmarkEnd w:id="123"/>
      <w:bookmarkEnd w:id="124"/>
    </w:p>
    <w:p w14:paraId="26E29B42"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Организация работы по энергосбережению и повышению энергетической эффективности ПАО «Россети Юг» в 2024 году выполнялась в соответствии с Федеральн</w:t>
      </w:r>
      <w:r w:rsidR="00EC7CB2">
        <w:rPr>
          <w:rFonts w:ascii="Times New Roman" w:eastAsia="Times New Roman" w:hAnsi="Times New Roman"/>
          <w:sz w:val="26"/>
          <w:szCs w:val="26"/>
          <w:lang w:eastAsia="ru-RU"/>
        </w:rPr>
        <w:t>ым законом от</w:t>
      </w:r>
      <w:r>
        <w:rPr>
          <w:rFonts w:ascii="Times New Roman" w:eastAsia="Times New Roman" w:hAnsi="Times New Roman"/>
          <w:sz w:val="26"/>
          <w:szCs w:val="26"/>
          <w:lang w:eastAsia="ru-RU"/>
        </w:rPr>
        <w:t xml:space="preserve"> </w:t>
      </w:r>
      <w:r w:rsidR="00EC7CB2">
        <w:rPr>
          <w:rFonts w:ascii="Times New Roman" w:eastAsia="Times New Roman" w:hAnsi="Times New Roman"/>
          <w:sz w:val="26"/>
          <w:szCs w:val="26"/>
          <w:lang w:eastAsia="ru-RU"/>
        </w:rPr>
        <w:t xml:space="preserve">23.11.2009 </w:t>
      </w:r>
      <w:r>
        <w:rPr>
          <w:rFonts w:ascii="Times New Roman" w:eastAsia="Times New Roman" w:hAnsi="Times New Roman"/>
          <w:sz w:val="26"/>
          <w:szCs w:val="26"/>
          <w:lang w:eastAsia="ru-RU"/>
        </w:rPr>
        <w:t>№261-ФЗ «Об энергосбережении и о повышении энергетической эффективности…», приказами Минэнерго России, постановлениями органов исполнительной власти субъектов Российской Федерации в области государственного регулирования тарифов в отношении организаций, осуществляющих деятельность по передаче электрической энергии, а также в соответствии с актуализированной Программой энергосбережения и повышения энергетической эффективности ПАО «Россети Юг» на период 2022 – 2026 гг., утвержденной решением Совета директоров ПАО «Россети Юг» 05.03.2022 (протокол № 429/2022).</w:t>
      </w:r>
    </w:p>
    <w:p w14:paraId="5E6B01F3"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Целевыми показателями в соответствии с Программой приняты:  </w:t>
      </w:r>
    </w:p>
    <w:p w14:paraId="4A36B259"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потери электрической энергии при передаче и распределении по электрическим сетям;</w:t>
      </w:r>
    </w:p>
    <w:p w14:paraId="2F64EFD4"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потребление энергетических ресурсов на хозяйственные нужды.</w:t>
      </w:r>
    </w:p>
    <w:p w14:paraId="4E515648"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количество осветительных устройств с использованием светодиодов.</w:t>
      </w:r>
    </w:p>
    <w:p w14:paraId="2167DFD3" w14:textId="77777777" w:rsidR="002449C2" w:rsidRDefault="002449C2">
      <w:pPr>
        <w:shd w:val="clear" w:color="auto" w:fill="FFFFFF"/>
        <w:spacing w:after="0" w:line="240" w:lineRule="auto"/>
        <w:ind w:firstLine="567"/>
        <w:jc w:val="both"/>
        <w:rPr>
          <w:rFonts w:ascii="Times New Roman" w:eastAsia="Times New Roman" w:hAnsi="Times New Roman"/>
          <w:sz w:val="26"/>
          <w:szCs w:val="26"/>
          <w:lang w:eastAsia="ru-RU"/>
        </w:rPr>
      </w:pPr>
    </w:p>
    <w:p w14:paraId="29026910" w14:textId="77777777" w:rsidR="002449C2" w:rsidRDefault="00123961">
      <w:pPr>
        <w:shd w:val="clear" w:color="auto" w:fill="FFFFFF"/>
        <w:spacing w:after="0" w:line="240" w:lineRule="auto"/>
        <w:ind w:firstLine="567"/>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Плановые и фактические значения целевых показателей</w:t>
      </w:r>
    </w:p>
    <w:p w14:paraId="5C854242" w14:textId="77777777" w:rsidR="002449C2" w:rsidRDefault="002449C2">
      <w:pPr>
        <w:shd w:val="clear" w:color="auto" w:fill="FFFFFF"/>
        <w:spacing w:after="0" w:line="240" w:lineRule="auto"/>
        <w:ind w:firstLine="567"/>
        <w:jc w:val="both"/>
        <w:rPr>
          <w:rFonts w:ascii="Times New Roman" w:eastAsia="Times New Roman" w:hAnsi="Times New Roman"/>
          <w:sz w:val="26"/>
          <w:szCs w:val="26"/>
          <w:lang w:eastAsia="ru-RU"/>
        </w:rPr>
      </w:pPr>
    </w:p>
    <w:tbl>
      <w:tblPr>
        <w:tblW w:w="5000" w:type="pct"/>
        <w:tblLayout w:type="fixed"/>
        <w:tblLook w:val="04A0" w:firstRow="1" w:lastRow="0" w:firstColumn="1" w:lastColumn="0" w:noHBand="0" w:noVBand="1"/>
      </w:tblPr>
      <w:tblGrid>
        <w:gridCol w:w="816"/>
        <w:gridCol w:w="3814"/>
        <w:gridCol w:w="2423"/>
        <w:gridCol w:w="1386"/>
        <w:gridCol w:w="1049"/>
      </w:tblGrid>
      <w:tr w:rsidR="002449C2" w14:paraId="5879A555" w14:textId="77777777">
        <w:trPr>
          <w:trHeight w:val="255"/>
        </w:trPr>
        <w:tc>
          <w:tcPr>
            <w:tcW w:w="817" w:type="dxa"/>
            <w:vMerge w:val="restart"/>
            <w:tcBorders>
              <w:top w:val="single" w:sz="4" w:space="0" w:color="000000"/>
              <w:left w:val="single" w:sz="4" w:space="0" w:color="000000"/>
              <w:bottom w:val="single" w:sz="4" w:space="0" w:color="000000"/>
              <w:right w:val="single" w:sz="4" w:space="0" w:color="000000"/>
            </w:tcBorders>
            <w:vAlign w:val="center"/>
          </w:tcPr>
          <w:p w14:paraId="7F4BC7B2" w14:textId="77777777" w:rsidR="002449C2" w:rsidRDefault="00123961">
            <w:pPr>
              <w:shd w:val="clear" w:color="auto" w:fill="FFFFFF"/>
              <w:tabs>
                <w:tab w:val="left" w:pos="9356"/>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п.п</w:t>
            </w:r>
          </w:p>
        </w:tc>
        <w:tc>
          <w:tcPr>
            <w:tcW w:w="3818" w:type="dxa"/>
            <w:vMerge w:val="restart"/>
            <w:tcBorders>
              <w:top w:val="single" w:sz="4" w:space="0" w:color="000000"/>
              <w:left w:val="single" w:sz="4" w:space="0" w:color="000000"/>
              <w:bottom w:val="single" w:sz="4" w:space="0" w:color="000000"/>
              <w:right w:val="single" w:sz="4" w:space="0" w:color="000000"/>
            </w:tcBorders>
            <w:vAlign w:val="center"/>
          </w:tcPr>
          <w:p w14:paraId="1939032F" w14:textId="77777777" w:rsidR="002449C2" w:rsidRDefault="00123961">
            <w:pPr>
              <w:shd w:val="clear" w:color="auto" w:fill="FFFFFF"/>
              <w:tabs>
                <w:tab w:val="left" w:pos="935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Наименование показателя</w:t>
            </w:r>
          </w:p>
        </w:tc>
        <w:tc>
          <w:tcPr>
            <w:tcW w:w="2426" w:type="dxa"/>
            <w:vMerge w:val="restart"/>
            <w:tcBorders>
              <w:top w:val="single" w:sz="4" w:space="0" w:color="000000"/>
              <w:left w:val="single" w:sz="4" w:space="0" w:color="000000"/>
              <w:bottom w:val="single" w:sz="4" w:space="0" w:color="000000"/>
              <w:right w:val="single" w:sz="4" w:space="0" w:color="000000"/>
            </w:tcBorders>
            <w:vAlign w:val="center"/>
          </w:tcPr>
          <w:p w14:paraId="3B3BDDF1" w14:textId="77777777" w:rsidR="002449C2" w:rsidRDefault="00123961">
            <w:pPr>
              <w:shd w:val="clear" w:color="auto" w:fill="FFFFFF"/>
              <w:tabs>
                <w:tab w:val="left" w:pos="935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Единицы измерения</w:t>
            </w:r>
          </w:p>
        </w:tc>
        <w:tc>
          <w:tcPr>
            <w:tcW w:w="2437" w:type="dxa"/>
            <w:gridSpan w:val="2"/>
            <w:tcBorders>
              <w:top w:val="single" w:sz="4" w:space="0" w:color="000000"/>
              <w:left w:val="single" w:sz="4" w:space="0" w:color="000000"/>
              <w:bottom w:val="single" w:sz="4" w:space="0" w:color="000000"/>
              <w:right w:val="single" w:sz="4" w:space="0" w:color="000000"/>
            </w:tcBorders>
            <w:vAlign w:val="center"/>
          </w:tcPr>
          <w:p w14:paraId="02BE456A" w14:textId="77777777" w:rsidR="002449C2" w:rsidRDefault="00123961">
            <w:pPr>
              <w:shd w:val="clear" w:color="auto" w:fill="FFFFFF"/>
              <w:tabs>
                <w:tab w:val="left" w:pos="9356"/>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2024</w:t>
            </w:r>
          </w:p>
        </w:tc>
      </w:tr>
      <w:tr w:rsidR="002449C2" w14:paraId="1766D9D1" w14:textId="77777777">
        <w:trPr>
          <w:trHeight w:val="269"/>
        </w:trPr>
        <w:tc>
          <w:tcPr>
            <w:tcW w:w="817" w:type="dxa"/>
            <w:vMerge/>
            <w:tcBorders>
              <w:top w:val="single" w:sz="4" w:space="0" w:color="000000"/>
              <w:left w:val="single" w:sz="4" w:space="0" w:color="000000"/>
              <w:bottom w:val="single" w:sz="4" w:space="0" w:color="000000"/>
              <w:right w:val="single" w:sz="4" w:space="0" w:color="000000"/>
            </w:tcBorders>
            <w:vAlign w:val="center"/>
          </w:tcPr>
          <w:p w14:paraId="4DC8A611" w14:textId="77777777" w:rsidR="002449C2" w:rsidRDefault="002449C2">
            <w:pPr>
              <w:shd w:val="clear" w:color="auto" w:fill="FFFFFF"/>
              <w:tabs>
                <w:tab w:val="left" w:pos="9356"/>
              </w:tabs>
              <w:spacing w:after="0" w:line="240" w:lineRule="auto"/>
              <w:jc w:val="center"/>
              <w:rPr>
                <w:rFonts w:ascii="Times New Roman" w:eastAsia="Times New Roman" w:hAnsi="Times New Roman"/>
                <w:sz w:val="24"/>
                <w:szCs w:val="24"/>
                <w:lang w:eastAsia="ru-RU"/>
              </w:rPr>
            </w:pPr>
          </w:p>
        </w:tc>
        <w:tc>
          <w:tcPr>
            <w:tcW w:w="3818" w:type="dxa"/>
            <w:vMerge/>
            <w:tcBorders>
              <w:top w:val="single" w:sz="4" w:space="0" w:color="000000"/>
              <w:left w:val="single" w:sz="4" w:space="0" w:color="000000"/>
              <w:bottom w:val="single" w:sz="4" w:space="0" w:color="000000"/>
              <w:right w:val="single" w:sz="4" w:space="0" w:color="000000"/>
            </w:tcBorders>
            <w:vAlign w:val="center"/>
          </w:tcPr>
          <w:p w14:paraId="2597B225" w14:textId="77777777" w:rsidR="002449C2" w:rsidRDefault="002449C2">
            <w:pPr>
              <w:shd w:val="clear" w:color="auto" w:fill="FFFFFF"/>
              <w:tabs>
                <w:tab w:val="left" w:pos="9356"/>
              </w:tabs>
              <w:spacing w:after="0" w:line="240" w:lineRule="auto"/>
              <w:rPr>
                <w:rFonts w:ascii="Times New Roman" w:eastAsia="Times New Roman" w:hAnsi="Times New Roman"/>
                <w:sz w:val="24"/>
                <w:szCs w:val="24"/>
                <w:lang w:eastAsia="ru-RU"/>
              </w:rPr>
            </w:pPr>
          </w:p>
        </w:tc>
        <w:tc>
          <w:tcPr>
            <w:tcW w:w="2426" w:type="dxa"/>
            <w:vMerge/>
            <w:tcBorders>
              <w:top w:val="single" w:sz="4" w:space="0" w:color="000000"/>
              <w:left w:val="single" w:sz="4" w:space="0" w:color="000000"/>
              <w:bottom w:val="single" w:sz="4" w:space="0" w:color="000000"/>
              <w:right w:val="single" w:sz="4" w:space="0" w:color="000000"/>
            </w:tcBorders>
            <w:vAlign w:val="center"/>
          </w:tcPr>
          <w:p w14:paraId="4799F25C" w14:textId="77777777" w:rsidR="002449C2" w:rsidRDefault="002449C2">
            <w:pPr>
              <w:shd w:val="clear" w:color="auto" w:fill="FFFFFF"/>
              <w:tabs>
                <w:tab w:val="left" w:pos="9356"/>
              </w:tabs>
              <w:spacing w:after="0" w:line="240" w:lineRule="auto"/>
              <w:rPr>
                <w:rFonts w:ascii="Times New Roman" w:eastAsia="Times New Roman" w:hAnsi="Times New Roman"/>
                <w:sz w:val="24"/>
                <w:szCs w:val="24"/>
                <w:lang w:eastAsia="ru-RU"/>
              </w:rPr>
            </w:pPr>
          </w:p>
        </w:tc>
        <w:tc>
          <w:tcPr>
            <w:tcW w:w="1387" w:type="dxa"/>
            <w:tcBorders>
              <w:top w:val="single" w:sz="4" w:space="0" w:color="000000"/>
              <w:left w:val="single" w:sz="4" w:space="0" w:color="000000"/>
              <w:bottom w:val="single" w:sz="4" w:space="0" w:color="000000"/>
              <w:right w:val="single" w:sz="4" w:space="0" w:color="000000"/>
            </w:tcBorders>
            <w:vAlign w:val="center"/>
          </w:tcPr>
          <w:p w14:paraId="77F380BF" w14:textId="77777777" w:rsidR="002449C2" w:rsidRDefault="00123961">
            <w:pPr>
              <w:shd w:val="clear" w:color="auto" w:fill="FFFFFF"/>
              <w:tabs>
                <w:tab w:val="left" w:pos="9356"/>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План</w:t>
            </w:r>
          </w:p>
        </w:tc>
        <w:tc>
          <w:tcPr>
            <w:tcW w:w="1050" w:type="dxa"/>
            <w:tcBorders>
              <w:top w:val="single" w:sz="4" w:space="0" w:color="000000"/>
              <w:left w:val="single" w:sz="4" w:space="0" w:color="000000"/>
              <w:bottom w:val="single" w:sz="4" w:space="0" w:color="000000"/>
              <w:right w:val="single" w:sz="4" w:space="0" w:color="000000"/>
            </w:tcBorders>
            <w:vAlign w:val="center"/>
          </w:tcPr>
          <w:p w14:paraId="539F0A9C" w14:textId="77777777" w:rsidR="002449C2" w:rsidRDefault="00123961">
            <w:pPr>
              <w:shd w:val="clear" w:color="auto" w:fill="FFFFFF"/>
              <w:tabs>
                <w:tab w:val="left" w:pos="9356"/>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Факт</w:t>
            </w:r>
          </w:p>
        </w:tc>
      </w:tr>
      <w:tr w:rsidR="002449C2" w14:paraId="2D2CFB7B" w14:textId="77777777">
        <w:trPr>
          <w:trHeight w:val="269"/>
        </w:trPr>
        <w:tc>
          <w:tcPr>
            <w:tcW w:w="817" w:type="dxa"/>
            <w:vMerge w:val="restart"/>
            <w:tcBorders>
              <w:top w:val="single" w:sz="4" w:space="0" w:color="000000"/>
              <w:left w:val="single" w:sz="4" w:space="0" w:color="000000"/>
              <w:bottom w:val="single" w:sz="4" w:space="0" w:color="000000"/>
              <w:right w:val="single" w:sz="4" w:space="0" w:color="000000"/>
            </w:tcBorders>
            <w:vAlign w:val="center"/>
          </w:tcPr>
          <w:p w14:paraId="5FBEE3EA" w14:textId="77777777" w:rsidR="002449C2" w:rsidRDefault="00123961">
            <w:pPr>
              <w:shd w:val="clear" w:color="auto" w:fill="FFFFFF"/>
              <w:tabs>
                <w:tab w:val="left" w:pos="9356"/>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3818" w:type="dxa"/>
            <w:vMerge w:val="restart"/>
            <w:tcBorders>
              <w:top w:val="single" w:sz="4" w:space="0" w:color="000000"/>
              <w:left w:val="single" w:sz="4" w:space="0" w:color="000000"/>
              <w:bottom w:val="single" w:sz="4" w:space="0" w:color="000000"/>
              <w:right w:val="single" w:sz="4" w:space="0" w:color="000000"/>
            </w:tcBorders>
            <w:vAlign w:val="center"/>
          </w:tcPr>
          <w:p w14:paraId="393A82AB" w14:textId="77777777" w:rsidR="002449C2" w:rsidRDefault="00123961">
            <w:pPr>
              <w:shd w:val="clear" w:color="auto" w:fill="FFFFFF"/>
              <w:tabs>
                <w:tab w:val="left" w:pos="935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Потери электрической энергии</w:t>
            </w:r>
          </w:p>
        </w:tc>
        <w:tc>
          <w:tcPr>
            <w:tcW w:w="2426" w:type="dxa"/>
            <w:tcBorders>
              <w:top w:val="single" w:sz="4" w:space="0" w:color="000000"/>
              <w:left w:val="single" w:sz="4" w:space="0" w:color="000000"/>
              <w:bottom w:val="single" w:sz="4" w:space="0" w:color="000000"/>
              <w:right w:val="single" w:sz="4" w:space="0" w:color="000000"/>
            </w:tcBorders>
            <w:vAlign w:val="center"/>
          </w:tcPr>
          <w:p w14:paraId="14B39ADD" w14:textId="77777777" w:rsidR="002449C2" w:rsidRDefault="00123961">
            <w:pPr>
              <w:shd w:val="clear" w:color="auto" w:fill="FFFFFF"/>
              <w:tabs>
                <w:tab w:val="left" w:pos="935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млн кВт.ч</w:t>
            </w:r>
          </w:p>
        </w:tc>
        <w:tc>
          <w:tcPr>
            <w:tcW w:w="1387" w:type="dxa"/>
            <w:tcBorders>
              <w:top w:val="single" w:sz="4" w:space="0" w:color="000000"/>
              <w:left w:val="single" w:sz="4" w:space="0" w:color="000000"/>
              <w:bottom w:val="single" w:sz="4" w:space="0" w:color="000000"/>
              <w:right w:val="single" w:sz="4" w:space="0" w:color="000000"/>
            </w:tcBorders>
            <w:vAlign w:val="center"/>
          </w:tcPr>
          <w:p w14:paraId="4948C15D" w14:textId="77777777" w:rsidR="002449C2" w:rsidRDefault="00123961">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2531,85</w:t>
            </w:r>
          </w:p>
        </w:tc>
        <w:tc>
          <w:tcPr>
            <w:tcW w:w="1050" w:type="dxa"/>
            <w:tcBorders>
              <w:top w:val="single" w:sz="4" w:space="0" w:color="000000"/>
              <w:left w:val="single" w:sz="4" w:space="0" w:color="000000"/>
              <w:bottom w:val="single" w:sz="4" w:space="0" w:color="000000"/>
              <w:right w:val="single" w:sz="4" w:space="0" w:color="000000"/>
            </w:tcBorders>
            <w:vAlign w:val="center"/>
          </w:tcPr>
          <w:p w14:paraId="072EE5A7" w14:textId="77777777" w:rsidR="002449C2" w:rsidRDefault="00123961">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2504,85</w:t>
            </w:r>
          </w:p>
        </w:tc>
      </w:tr>
      <w:tr w:rsidR="002449C2" w14:paraId="0A28B089" w14:textId="77777777">
        <w:trPr>
          <w:trHeight w:val="269"/>
        </w:trPr>
        <w:tc>
          <w:tcPr>
            <w:tcW w:w="817" w:type="dxa"/>
            <w:vMerge/>
            <w:tcBorders>
              <w:top w:val="single" w:sz="4" w:space="0" w:color="000000"/>
              <w:left w:val="single" w:sz="4" w:space="0" w:color="000000"/>
              <w:bottom w:val="single" w:sz="4" w:space="0" w:color="000000"/>
              <w:right w:val="single" w:sz="4" w:space="0" w:color="000000"/>
            </w:tcBorders>
            <w:vAlign w:val="center"/>
          </w:tcPr>
          <w:p w14:paraId="31B85FEC" w14:textId="77777777" w:rsidR="002449C2" w:rsidRDefault="002449C2">
            <w:pPr>
              <w:shd w:val="clear" w:color="auto" w:fill="FFFFFF"/>
              <w:tabs>
                <w:tab w:val="left" w:pos="9356"/>
              </w:tabs>
              <w:spacing w:after="0" w:line="240" w:lineRule="auto"/>
              <w:jc w:val="center"/>
              <w:rPr>
                <w:rFonts w:ascii="Times New Roman" w:eastAsia="Times New Roman" w:hAnsi="Times New Roman"/>
                <w:sz w:val="24"/>
                <w:szCs w:val="24"/>
                <w:lang w:eastAsia="ru-RU"/>
              </w:rPr>
            </w:pPr>
          </w:p>
        </w:tc>
        <w:tc>
          <w:tcPr>
            <w:tcW w:w="3818" w:type="dxa"/>
            <w:vMerge/>
            <w:tcBorders>
              <w:top w:val="single" w:sz="4" w:space="0" w:color="000000"/>
              <w:left w:val="single" w:sz="4" w:space="0" w:color="000000"/>
              <w:bottom w:val="single" w:sz="4" w:space="0" w:color="000000"/>
              <w:right w:val="single" w:sz="4" w:space="0" w:color="000000"/>
            </w:tcBorders>
            <w:vAlign w:val="center"/>
          </w:tcPr>
          <w:p w14:paraId="0944AA18" w14:textId="77777777" w:rsidR="002449C2" w:rsidRDefault="002449C2">
            <w:pPr>
              <w:shd w:val="clear" w:color="auto" w:fill="FFFFFF"/>
              <w:tabs>
                <w:tab w:val="left" w:pos="9356"/>
              </w:tabs>
              <w:spacing w:after="0" w:line="240" w:lineRule="auto"/>
              <w:rPr>
                <w:rFonts w:ascii="Times New Roman" w:eastAsia="Times New Roman" w:hAnsi="Times New Roman"/>
                <w:sz w:val="24"/>
                <w:szCs w:val="24"/>
                <w:lang w:eastAsia="ru-RU"/>
              </w:rPr>
            </w:pPr>
          </w:p>
        </w:tc>
        <w:tc>
          <w:tcPr>
            <w:tcW w:w="2426" w:type="dxa"/>
            <w:tcBorders>
              <w:top w:val="single" w:sz="4" w:space="0" w:color="000000"/>
              <w:left w:val="single" w:sz="4" w:space="0" w:color="000000"/>
              <w:bottom w:val="single" w:sz="4" w:space="0" w:color="000000"/>
              <w:right w:val="single" w:sz="4" w:space="0" w:color="000000"/>
            </w:tcBorders>
            <w:vAlign w:val="bottom"/>
          </w:tcPr>
          <w:p w14:paraId="2A3E0787" w14:textId="77777777" w:rsidR="002449C2" w:rsidRDefault="00123961">
            <w:pPr>
              <w:shd w:val="clear" w:color="auto" w:fill="FFFFFF"/>
              <w:tabs>
                <w:tab w:val="left" w:pos="935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от отпуска в сеть</w:t>
            </w:r>
          </w:p>
        </w:tc>
        <w:tc>
          <w:tcPr>
            <w:tcW w:w="1387" w:type="dxa"/>
            <w:tcBorders>
              <w:top w:val="single" w:sz="4" w:space="0" w:color="000000"/>
              <w:left w:val="single" w:sz="4" w:space="0" w:color="000000"/>
              <w:bottom w:val="single" w:sz="4" w:space="0" w:color="000000"/>
              <w:right w:val="single" w:sz="4" w:space="0" w:color="000000"/>
            </w:tcBorders>
            <w:vAlign w:val="center"/>
          </w:tcPr>
          <w:p w14:paraId="28B39159" w14:textId="77777777" w:rsidR="002449C2" w:rsidRDefault="00123961">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9,28</w:t>
            </w:r>
          </w:p>
        </w:tc>
        <w:tc>
          <w:tcPr>
            <w:tcW w:w="1050" w:type="dxa"/>
            <w:tcBorders>
              <w:top w:val="single" w:sz="4" w:space="0" w:color="000000"/>
              <w:left w:val="single" w:sz="4" w:space="0" w:color="000000"/>
              <w:bottom w:val="single" w:sz="4" w:space="0" w:color="000000"/>
              <w:right w:val="single" w:sz="4" w:space="0" w:color="000000"/>
            </w:tcBorders>
            <w:vAlign w:val="center"/>
          </w:tcPr>
          <w:p w14:paraId="0BDBCBDE" w14:textId="77777777" w:rsidR="002449C2" w:rsidRDefault="00123961">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8,46</w:t>
            </w:r>
          </w:p>
        </w:tc>
      </w:tr>
      <w:tr w:rsidR="002449C2" w14:paraId="1314DCEE" w14:textId="77777777">
        <w:trPr>
          <w:trHeight w:val="339"/>
        </w:trPr>
        <w:tc>
          <w:tcPr>
            <w:tcW w:w="817" w:type="dxa"/>
            <w:vMerge w:val="restart"/>
            <w:tcBorders>
              <w:top w:val="single" w:sz="4" w:space="0" w:color="000000"/>
              <w:left w:val="single" w:sz="4" w:space="0" w:color="000000"/>
              <w:bottom w:val="single" w:sz="4" w:space="0" w:color="000000"/>
              <w:right w:val="single" w:sz="4" w:space="0" w:color="000000"/>
            </w:tcBorders>
            <w:vAlign w:val="center"/>
          </w:tcPr>
          <w:p w14:paraId="560923AD" w14:textId="77777777" w:rsidR="002449C2" w:rsidRDefault="00123961">
            <w:pPr>
              <w:shd w:val="clear" w:color="auto" w:fill="FFFFFF"/>
              <w:tabs>
                <w:tab w:val="left" w:pos="9356"/>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3818" w:type="dxa"/>
            <w:vMerge w:val="restart"/>
            <w:tcBorders>
              <w:top w:val="single" w:sz="4" w:space="0" w:color="000000"/>
              <w:left w:val="single" w:sz="4" w:space="0" w:color="000000"/>
              <w:bottom w:val="single" w:sz="4" w:space="0" w:color="000000"/>
              <w:right w:val="single" w:sz="4" w:space="0" w:color="000000"/>
            </w:tcBorders>
          </w:tcPr>
          <w:p w14:paraId="37AA8E9F" w14:textId="77777777" w:rsidR="002449C2" w:rsidRDefault="00123961">
            <w:pPr>
              <w:shd w:val="clear" w:color="auto" w:fill="FFFFFF"/>
              <w:tabs>
                <w:tab w:val="left" w:pos="935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Расход на собственные нужды подстанций</w:t>
            </w:r>
          </w:p>
        </w:tc>
        <w:tc>
          <w:tcPr>
            <w:tcW w:w="2426" w:type="dxa"/>
            <w:tcBorders>
              <w:top w:val="single" w:sz="4" w:space="0" w:color="000000"/>
              <w:left w:val="single" w:sz="4" w:space="0" w:color="000000"/>
              <w:bottom w:val="single" w:sz="4" w:space="0" w:color="000000"/>
              <w:right w:val="single" w:sz="4" w:space="0" w:color="000000"/>
            </w:tcBorders>
            <w:vAlign w:val="center"/>
          </w:tcPr>
          <w:p w14:paraId="252E3D62" w14:textId="77777777" w:rsidR="002449C2" w:rsidRDefault="00123961">
            <w:pPr>
              <w:shd w:val="clear" w:color="auto" w:fill="FFFFFF"/>
              <w:tabs>
                <w:tab w:val="left" w:pos="935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млн кВт.ч</w:t>
            </w:r>
          </w:p>
        </w:tc>
        <w:tc>
          <w:tcPr>
            <w:tcW w:w="1387" w:type="dxa"/>
            <w:tcBorders>
              <w:top w:val="single" w:sz="4" w:space="0" w:color="000000"/>
              <w:left w:val="single" w:sz="4" w:space="0" w:color="000000"/>
              <w:bottom w:val="single" w:sz="4" w:space="0" w:color="000000"/>
              <w:right w:val="single" w:sz="4" w:space="0" w:color="000000"/>
            </w:tcBorders>
            <w:vAlign w:val="center"/>
          </w:tcPr>
          <w:p w14:paraId="79F5A759" w14:textId="77777777" w:rsidR="002449C2" w:rsidRDefault="00123961">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40.52</w:t>
            </w:r>
          </w:p>
        </w:tc>
        <w:tc>
          <w:tcPr>
            <w:tcW w:w="1050" w:type="dxa"/>
            <w:tcBorders>
              <w:top w:val="single" w:sz="4" w:space="0" w:color="000000"/>
              <w:left w:val="single" w:sz="4" w:space="0" w:color="000000"/>
              <w:bottom w:val="single" w:sz="4" w:space="0" w:color="000000"/>
              <w:right w:val="single" w:sz="4" w:space="0" w:color="000000"/>
            </w:tcBorders>
            <w:vAlign w:val="center"/>
          </w:tcPr>
          <w:p w14:paraId="6021FDDC" w14:textId="77777777" w:rsidR="002449C2" w:rsidRDefault="00123961">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33.94</w:t>
            </w:r>
          </w:p>
        </w:tc>
      </w:tr>
      <w:tr w:rsidR="002449C2" w14:paraId="20B1B157" w14:textId="77777777">
        <w:trPr>
          <w:trHeight w:val="495"/>
        </w:trPr>
        <w:tc>
          <w:tcPr>
            <w:tcW w:w="817" w:type="dxa"/>
            <w:vMerge/>
            <w:tcBorders>
              <w:top w:val="single" w:sz="4" w:space="0" w:color="000000"/>
              <w:left w:val="single" w:sz="4" w:space="0" w:color="000000"/>
              <w:bottom w:val="single" w:sz="4" w:space="0" w:color="000000"/>
              <w:right w:val="single" w:sz="4" w:space="0" w:color="000000"/>
            </w:tcBorders>
            <w:vAlign w:val="center"/>
          </w:tcPr>
          <w:p w14:paraId="226C618B" w14:textId="77777777" w:rsidR="002449C2" w:rsidRDefault="002449C2">
            <w:pPr>
              <w:shd w:val="clear" w:color="auto" w:fill="FFFFFF"/>
              <w:tabs>
                <w:tab w:val="left" w:pos="9356"/>
              </w:tabs>
              <w:spacing w:after="0" w:line="240" w:lineRule="auto"/>
              <w:jc w:val="right"/>
              <w:rPr>
                <w:rFonts w:ascii="Times New Roman" w:eastAsia="Times New Roman" w:hAnsi="Times New Roman"/>
                <w:sz w:val="24"/>
                <w:szCs w:val="24"/>
                <w:lang w:eastAsia="ru-RU"/>
              </w:rPr>
            </w:pPr>
          </w:p>
        </w:tc>
        <w:tc>
          <w:tcPr>
            <w:tcW w:w="3818" w:type="dxa"/>
            <w:vMerge/>
            <w:tcBorders>
              <w:top w:val="single" w:sz="4" w:space="0" w:color="000000"/>
              <w:left w:val="single" w:sz="4" w:space="0" w:color="000000"/>
              <w:bottom w:val="single" w:sz="4" w:space="0" w:color="000000"/>
              <w:right w:val="single" w:sz="4" w:space="0" w:color="000000"/>
            </w:tcBorders>
          </w:tcPr>
          <w:p w14:paraId="32E6C51F" w14:textId="77777777" w:rsidR="002449C2" w:rsidRDefault="002449C2">
            <w:pPr>
              <w:shd w:val="clear" w:color="auto" w:fill="FFFFFF"/>
              <w:tabs>
                <w:tab w:val="left" w:pos="9356"/>
              </w:tabs>
              <w:spacing w:after="0" w:line="240" w:lineRule="auto"/>
              <w:rPr>
                <w:rFonts w:ascii="Times New Roman" w:eastAsia="Times New Roman" w:hAnsi="Times New Roman"/>
                <w:sz w:val="24"/>
                <w:szCs w:val="24"/>
                <w:lang w:eastAsia="ru-RU"/>
              </w:rPr>
            </w:pPr>
          </w:p>
        </w:tc>
        <w:tc>
          <w:tcPr>
            <w:tcW w:w="2426" w:type="dxa"/>
            <w:tcBorders>
              <w:top w:val="single" w:sz="4" w:space="0" w:color="000000"/>
              <w:left w:val="single" w:sz="4" w:space="0" w:color="000000"/>
              <w:bottom w:val="single" w:sz="4" w:space="0" w:color="000000"/>
              <w:right w:val="single" w:sz="4" w:space="0" w:color="000000"/>
            </w:tcBorders>
            <w:vAlign w:val="center"/>
          </w:tcPr>
          <w:p w14:paraId="5A2515DE" w14:textId="77777777" w:rsidR="002449C2" w:rsidRDefault="00123961">
            <w:pPr>
              <w:shd w:val="clear" w:color="auto" w:fill="FFFFFF"/>
              <w:tabs>
                <w:tab w:val="left" w:pos="935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от потерь</w:t>
            </w:r>
          </w:p>
          <w:p w14:paraId="5BC4DD28" w14:textId="77777777" w:rsidR="002449C2" w:rsidRDefault="00123961">
            <w:pPr>
              <w:shd w:val="clear" w:color="auto" w:fill="FFFFFF"/>
              <w:tabs>
                <w:tab w:val="left" w:pos="935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электроэнергии</w:t>
            </w:r>
          </w:p>
        </w:tc>
        <w:tc>
          <w:tcPr>
            <w:tcW w:w="1387" w:type="dxa"/>
            <w:tcBorders>
              <w:top w:val="single" w:sz="4" w:space="0" w:color="000000"/>
              <w:left w:val="single" w:sz="4" w:space="0" w:color="000000"/>
              <w:bottom w:val="single" w:sz="4" w:space="0" w:color="000000"/>
              <w:right w:val="single" w:sz="4" w:space="0" w:color="000000"/>
            </w:tcBorders>
            <w:vAlign w:val="center"/>
          </w:tcPr>
          <w:p w14:paraId="2A653CDF" w14:textId="77777777" w:rsidR="002449C2" w:rsidRDefault="00123961">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w:t>
            </w:r>
          </w:p>
        </w:tc>
        <w:tc>
          <w:tcPr>
            <w:tcW w:w="1050" w:type="dxa"/>
            <w:tcBorders>
              <w:top w:val="single" w:sz="4" w:space="0" w:color="000000"/>
              <w:left w:val="single" w:sz="4" w:space="0" w:color="000000"/>
              <w:bottom w:val="single" w:sz="4" w:space="0" w:color="000000"/>
              <w:right w:val="single" w:sz="4" w:space="0" w:color="000000"/>
            </w:tcBorders>
            <w:vAlign w:val="center"/>
          </w:tcPr>
          <w:p w14:paraId="08DCFBBA" w14:textId="77777777" w:rsidR="002449C2" w:rsidRDefault="00123961">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1,66</w:t>
            </w:r>
          </w:p>
        </w:tc>
      </w:tr>
      <w:tr w:rsidR="002449C2" w14:paraId="7401590C" w14:textId="77777777">
        <w:trPr>
          <w:trHeight w:val="540"/>
        </w:trPr>
        <w:tc>
          <w:tcPr>
            <w:tcW w:w="817"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14:paraId="5BED14DF" w14:textId="77777777" w:rsidR="002449C2" w:rsidRDefault="00123961">
            <w:pPr>
              <w:shd w:val="clear" w:color="auto" w:fill="FFFFFF"/>
              <w:tabs>
                <w:tab w:val="left" w:pos="9356"/>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3818" w:type="dxa"/>
            <w:vMerge w:val="restart"/>
            <w:tcBorders>
              <w:top w:val="single" w:sz="4" w:space="0" w:color="000000"/>
              <w:left w:val="single" w:sz="4" w:space="0" w:color="000000"/>
              <w:bottom w:val="single" w:sz="4" w:space="0" w:color="000000"/>
              <w:right w:val="single" w:sz="4" w:space="0" w:color="000000"/>
            </w:tcBorders>
            <w:shd w:val="clear" w:color="000000" w:fill="FFFFFF"/>
          </w:tcPr>
          <w:p w14:paraId="314686AE" w14:textId="77777777" w:rsidR="002449C2" w:rsidRDefault="00123961">
            <w:pPr>
              <w:shd w:val="clear" w:color="auto" w:fill="FFFFFF"/>
              <w:tabs>
                <w:tab w:val="left" w:pos="935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Расход энергетических ресурсов на хозяйственные нужды зданий административно-производственного назначения</w:t>
            </w:r>
          </w:p>
        </w:tc>
        <w:tc>
          <w:tcPr>
            <w:tcW w:w="2426" w:type="dxa"/>
            <w:tcBorders>
              <w:top w:val="single" w:sz="4" w:space="0" w:color="000000"/>
              <w:left w:val="single" w:sz="4" w:space="0" w:color="000000"/>
              <w:bottom w:val="single" w:sz="4" w:space="0" w:color="000000"/>
              <w:right w:val="single" w:sz="4" w:space="0" w:color="000000"/>
            </w:tcBorders>
            <w:vAlign w:val="center"/>
          </w:tcPr>
          <w:p w14:paraId="79A9889D" w14:textId="77777777" w:rsidR="002449C2" w:rsidRDefault="00123961">
            <w:pPr>
              <w:shd w:val="clear" w:color="auto" w:fill="FFFFFF"/>
              <w:tabs>
                <w:tab w:val="left" w:pos="935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млн руб. без НДС</w:t>
            </w:r>
          </w:p>
        </w:tc>
        <w:tc>
          <w:tcPr>
            <w:tcW w:w="1387" w:type="dxa"/>
            <w:tcBorders>
              <w:top w:val="single" w:sz="4" w:space="0" w:color="000000"/>
              <w:left w:val="single" w:sz="4" w:space="0" w:color="000000"/>
              <w:bottom w:val="single" w:sz="4" w:space="0" w:color="000000"/>
              <w:right w:val="single" w:sz="4" w:space="0" w:color="000000"/>
            </w:tcBorders>
            <w:vAlign w:val="center"/>
          </w:tcPr>
          <w:p w14:paraId="77EAF335" w14:textId="77777777" w:rsidR="002449C2" w:rsidRDefault="00123961">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340,44</w:t>
            </w:r>
          </w:p>
        </w:tc>
        <w:tc>
          <w:tcPr>
            <w:tcW w:w="1050" w:type="dxa"/>
            <w:tcBorders>
              <w:top w:val="single" w:sz="4" w:space="0" w:color="000000"/>
              <w:left w:val="single" w:sz="4" w:space="0" w:color="000000"/>
              <w:bottom w:val="single" w:sz="4" w:space="0" w:color="000000"/>
              <w:right w:val="single" w:sz="4" w:space="0" w:color="000000"/>
            </w:tcBorders>
            <w:vAlign w:val="center"/>
          </w:tcPr>
          <w:p w14:paraId="0B8121FB" w14:textId="77777777" w:rsidR="002449C2" w:rsidRDefault="00123961">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320,69</w:t>
            </w:r>
          </w:p>
        </w:tc>
      </w:tr>
      <w:tr w:rsidR="002449C2" w14:paraId="38BA1B29" w14:textId="77777777">
        <w:trPr>
          <w:trHeight w:val="406"/>
        </w:trPr>
        <w:tc>
          <w:tcPr>
            <w:tcW w:w="817" w:type="dxa"/>
            <w:vMerge/>
            <w:tcBorders>
              <w:top w:val="single" w:sz="4" w:space="0" w:color="000000"/>
              <w:left w:val="single" w:sz="4" w:space="0" w:color="000000"/>
              <w:bottom w:val="single" w:sz="4" w:space="0" w:color="000000"/>
              <w:right w:val="single" w:sz="4" w:space="0" w:color="000000"/>
            </w:tcBorders>
            <w:vAlign w:val="center"/>
          </w:tcPr>
          <w:p w14:paraId="72C20A68" w14:textId="77777777" w:rsidR="002449C2" w:rsidRDefault="002449C2">
            <w:pPr>
              <w:shd w:val="clear" w:color="auto" w:fill="FFFFFF"/>
              <w:tabs>
                <w:tab w:val="left" w:pos="9356"/>
              </w:tabs>
              <w:spacing w:after="0" w:line="240" w:lineRule="auto"/>
              <w:rPr>
                <w:rFonts w:ascii="Times New Roman" w:eastAsia="Times New Roman" w:hAnsi="Times New Roman"/>
                <w:sz w:val="24"/>
                <w:szCs w:val="24"/>
                <w:lang w:eastAsia="ru-RU"/>
              </w:rPr>
            </w:pPr>
          </w:p>
        </w:tc>
        <w:tc>
          <w:tcPr>
            <w:tcW w:w="3818" w:type="dxa"/>
            <w:vMerge/>
            <w:tcBorders>
              <w:top w:val="single" w:sz="4" w:space="0" w:color="000000"/>
              <w:left w:val="single" w:sz="4" w:space="0" w:color="000000"/>
              <w:bottom w:val="single" w:sz="4" w:space="0" w:color="000000"/>
              <w:right w:val="single" w:sz="4" w:space="0" w:color="000000"/>
            </w:tcBorders>
            <w:vAlign w:val="center"/>
          </w:tcPr>
          <w:p w14:paraId="19162B19" w14:textId="77777777" w:rsidR="002449C2" w:rsidRDefault="002449C2">
            <w:pPr>
              <w:shd w:val="clear" w:color="auto" w:fill="FFFFFF"/>
              <w:tabs>
                <w:tab w:val="left" w:pos="9356"/>
              </w:tabs>
              <w:spacing w:after="0" w:line="240" w:lineRule="auto"/>
              <w:rPr>
                <w:rFonts w:ascii="Times New Roman" w:eastAsia="Times New Roman" w:hAnsi="Times New Roman"/>
                <w:sz w:val="24"/>
                <w:szCs w:val="24"/>
                <w:lang w:eastAsia="ru-RU"/>
              </w:rPr>
            </w:pPr>
          </w:p>
        </w:tc>
        <w:tc>
          <w:tcPr>
            <w:tcW w:w="2426" w:type="dxa"/>
            <w:tcBorders>
              <w:top w:val="single" w:sz="4" w:space="0" w:color="000000"/>
              <w:left w:val="single" w:sz="4" w:space="0" w:color="000000"/>
              <w:bottom w:val="single" w:sz="4" w:space="0" w:color="000000"/>
              <w:right w:val="single" w:sz="4" w:space="0" w:color="000000"/>
            </w:tcBorders>
            <w:vAlign w:val="center"/>
          </w:tcPr>
          <w:p w14:paraId="0280268B" w14:textId="77777777" w:rsidR="002449C2" w:rsidRDefault="00123961">
            <w:pPr>
              <w:shd w:val="clear" w:color="auto" w:fill="FFFFFF"/>
              <w:tabs>
                <w:tab w:val="left" w:pos="935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тыс. т у.т.</w:t>
            </w:r>
          </w:p>
        </w:tc>
        <w:tc>
          <w:tcPr>
            <w:tcW w:w="1387" w:type="dxa"/>
            <w:tcBorders>
              <w:top w:val="single" w:sz="4" w:space="0" w:color="000000"/>
              <w:left w:val="single" w:sz="4" w:space="0" w:color="000000"/>
              <w:bottom w:val="single" w:sz="4" w:space="0" w:color="000000"/>
              <w:right w:val="single" w:sz="4" w:space="0" w:color="000000"/>
            </w:tcBorders>
            <w:vAlign w:val="center"/>
          </w:tcPr>
          <w:p w14:paraId="0953486A" w14:textId="77777777" w:rsidR="002449C2" w:rsidRDefault="00123961">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8,67</w:t>
            </w:r>
          </w:p>
        </w:tc>
        <w:tc>
          <w:tcPr>
            <w:tcW w:w="1050" w:type="dxa"/>
            <w:tcBorders>
              <w:top w:val="single" w:sz="4" w:space="0" w:color="000000"/>
              <w:left w:val="single" w:sz="4" w:space="0" w:color="000000"/>
              <w:bottom w:val="single" w:sz="4" w:space="0" w:color="000000"/>
              <w:right w:val="single" w:sz="4" w:space="0" w:color="000000"/>
            </w:tcBorders>
            <w:vAlign w:val="center"/>
          </w:tcPr>
          <w:p w14:paraId="5B0DBA8A" w14:textId="77777777" w:rsidR="002449C2" w:rsidRDefault="00123961">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7,99</w:t>
            </w:r>
          </w:p>
        </w:tc>
      </w:tr>
      <w:tr w:rsidR="002449C2" w14:paraId="3C39F313" w14:textId="77777777">
        <w:trPr>
          <w:trHeight w:val="639"/>
        </w:trPr>
        <w:tc>
          <w:tcPr>
            <w:tcW w:w="817"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14:paraId="56B0D90C" w14:textId="77777777" w:rsidR="002449C2" w:rsidRDefault="00123961">
            <w:pPr>
              <w:shd w:val="clear" w:color="auto" w:fill="FFFFFF"/>
              <w:tabs>
                <w:tab w:val="left" w:pos="9356"/>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3818" w:type="dxa"/>
            <w:vMerge w:val="restart"/>
            <w:tcBorders>
              <w:top w:val="single" w:sz="4" w:space="0" w:color="000000"/>
              <w:left w:val="single" w:sz="4" w:space="0" w:color="000000"/>
              <w:bottom w:val="single" w:sz="4" w:space="0" w:color="000000"/>
              <w:right w:val="single" w:sz="4" w:space="0" w:color="000000"/>
            </w:tcBorders>
            <w:shd w:val="clear" w:color="000000" w:fill="FFFFFF"/>
          </w:tcPr>
          <w:p w14:paraId="59838370" w14:textId="77777777" w:rsidR="002449C2" w:rsidRDefault="00123961">
            <w:pPr>
              <w:shd w:val="clear" w:color="auto" w:fill="FFFFFF"/>
              <w:tabs>
                <w:tab w:val="left" w:pos="935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Расход природных ресурсов на хозяйственные нужды зданий административно-производственного назначения (водоснабжение)</w:t>
            </w:r>
          </w:p>
        </w:tc>
        <w:tc>
          <w:tcPr>
            <w:tcW w:w="2426" w:type="dxa"/>
            <w:tcBorders>
              <w:top w:val="single" w:sz="4" w:space="0" w:color="000000"/>
              <w:left w:val="single" w:sz="4" w:space="0" w:color="000000"/>
              <w:bottom w:val="single" w:sz="4" w:space="0" w:color="000000"/>
              <w:right w:val="single" w:sz="4" w:space="0" w:color="000000"/>
            </w:tcBorders>
            <w:vAlign w:val="center"/>
          </w:tcPr>
          <w:p w14:paraId="255656FA" w14:textId="77777777" w:rsidR="002449C2" w:rsidRDefault="00123961">
            <w:pPr>
              <w:shd w:val="clear" w:color="auto" w:fill="FFFFFF"/>
              <w:tabs>
                <w:tab w:val="left" w:pos="935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млн руб. без НДС</w:t>
            </w:r>
          </w:p>
        </w:tc>
        <w:tc>
          <w:tcPr>
            <w:tcW w:w="1387" w:type="dxa"/>
            <w:tcBorders>
              <w:top w:val="single" w:sz="4" w:space="0" w:color="000000"/>
              <w:left w:val="single" w:sz="4" w:space="0" w:color="000000"/>
              <w:bottom w:val="single" w:sz="4" w:space="0" w:color="000000"/>
              <w:right w:val="single" w:sz="4" w:space="0" w:color="000000"/>
            </w:tcBorders>
            <w:vAlign w:val="center"/>
          </w:tcPr>
          <w:p w14:paraId="7C536EE3" w14:textId="77777777" w:rsidR="002449C2" w:rsidRDefault="00123961">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12,15</w:t>
            </w:r>
          </w:p>
        </w:tc>
        <w:tc>
          <w:tcPr>
            <w:tcW w:w="1050" w:type="dxa"/>
            <w:tcBorders>
              <w:top w:val="single" w:sz="4" w:space="0" w:color="000000"/>
              <w:left w:val="single" w:sz="4" w:space="0" w:color="000000"/>
              <w:bottom w:val="single" w:sz="4" w:space="0" w:color="000000"/>
              <w:right w:val="single" w:sz="4" w:space="0" w:color="000000"/>
            </w:tcBorders>
            <w:vAlign w:val="center"/>
          </w:tcPr>
          <w:p w14:paraId="27D1F1E7" w14:textId="77777777" w:rsidR="002449C2" w:rsidRDefault="00123961">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3,42</w:t>
            </w:r>
          </w:p>
        </w:tc>
      </w:tr>
      <w:tr w:rsidR="002449C2" w14:paraId="4B03FABD" w14:textId="77777777">
        <w:trPr>
          <w:trHeight w:val="345"/>
        </w:trPr>
        <w:tc>
          <w:tcPr>
            <w:tcW w:w="817" w:type="dxa"/>
            <w:vMerge/>
            <w:tcBorders>
              <w:top w:val="single" w:sz="4" w:space="0" w:color="000000"/>
              <w:left w:val="single" w:sz="4" w:space="0" w:color="000000"/>
              <w:bottom w:val="single" w:sz="4" w:space="0" w:color="000000"/>
              <w:right w:val="single" w:sz="4" w:space="0" w:color="000000"/>
            </w:tcBorders>
            <w:vAlign w:val="center"/>
          </w:tcPr>
          <w:p w14:paraId="162EF6AC" w14:textId="77777777" w:rsidR="002449C2" w:rsidRDefault="002449C2">
            <w:pPr>
              <w:shd w:val="clear" w:color="auto" w:fill="FFFFFF"/>
              <w:tabs>
                <w:tab w:val="left" w:pos="9356"/>
              </w:tabs>
              <w:spacing w:after="0" w:line="240" w:lineRule="auto"/>
              <w:rPr>
                <w:rFonts w:ascii="Times New Roman" w:eastAsia="Times New Roman" w:hAnsi="Times New Roman"/>
                <w:sz w:val="24"/>
                <w:szCs w:val="24"/>
                <w:lang w:eastAsia="ru-RU"/>
              </w:rPr>
            </w:pPr>
          </w:p>
        </w:tc>
        <w:tc>
          <w:tcPr>
            <w:tcW w:w="3818" w:type="dxa"/>
            <w:vMerge/>
            <w:tcBorders>
              <w:top w:val="single" w:sz="4" w:space="0" w:color="000000"/>
              <w:left w:val="single" w:sz="4" w:space="0" w:color="000000"/>
              <w:bottom w:val="single" w:sz="4" w:space="0" w:color="000000"/>
              <w:right w:val="single" w:sz="4" w:space="0" w:color="000000"/>
            </w:tcBorders>
            <w:vAlign w:val="center"/>
          </w:tcPr>
          <w:p w14:paraId="22B9E500" w14:textId="77777777" w:rsidR="002449C2" w:rsidRDefault="002449C2">
            <w:pPr>
              <w:shd w:val="clear" w:color="auto" w:fill="FFFFFF"/>
              <w:tabs>
                <w:tab w:val="left" w:pos="9356"/>
              </w:tabs>
              <w:spacing w:after="0" w:line="240" w:lineRule="auto"/>
              <w:rPr>
                <w:rFonts w:ascii="Times New Roman" w:eastAsia="Times New Roman" w:hAnsi="Times New Roman"/>
                <w:sz w:val="24"/>
                <w:szCs w:val="24"/>
                <w:lang w:eastAsia="ru-RU"/>
              </w:rPr>
            </w:pPr>
          </w:p>
        </w:tc>
        <w:tc>
          <w:tcPr>
            <w:tcW w:w="2426" w:type="dxa"/>
            <w:tcBorders>
              <w:top w:val="single" w:sz="4" w:space="0" w:color="000000"/>
              <w:left w:val="single" w:sz="4" w:space="0" w:color="000000"/>
              <w:bottom w:val="single" w:sz="4" w:space="0" w:color="000000"/>
              <w:right w:val="single" w:sz="4" w:space="0" w:color="000000"/>
            </w:tcBorders>
            <w:vAlign w:val="center"/>
          </w:tcPr>
          <w:p w14:paraId="5092F389" w14:textId="77777777" w:rsidR="002449C2" w:rsidRDefault="00123961">
            <w:pPr>
              <w:shd w:val="clear" w:color="auto" w:fill="FFFFFF"/>
              <w:tabs>
                <w:tab w:val="left" w:pos="935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тыс. м3</w:t>
            </w:r>
          </w:p>
        </w:tc>
        <w:tc>
          <w:tcPr>
            <w:tcW w:w="1387" w:type="dxa"/>
            <w:tcBorders>
              <w:top w:val="single" w:sz="4" w:space="0" w:color="000000"/>
              <w:left w:val="single" w:sz="4" w:space="0" w:color="000000"/>
              <w:bottom w:val="single" w:sz="4" w:space="0" w:color="000000"/>
              <w:right w:val="single" w:sz="4" w:space="0" w:color="000000"/>
            </w:tcBorders>
            <w:vAlign w:val="center"/>
          </w:tcPr>
          <w:p w14:paraId="3095B400" w14:textId="77777777" w:rsidR="002449C2" w:rsidRDefault="00123961">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153,69</w:t>
            </w:r>
          </w:p>
        </w:tc>
        <w:tc>
          <w:tcPr>
            <w:tcW w:w="1050" w:type="dxa"/>
            <w:tcBorders>
              <w:top w:val="single" w:sz="4" w:space="0" w:color="000000"/>
              <w:left w:val="single" w:sz="4" w:space="0" w:color="000000"/>
              <w:bottom w:val="single" w:sz="4" w:space="0" w:color="000000"/>
              <w:right w:val="single" w:sz="4" w:space="0" w:color="000000"/>
            </w:tcBorders>
            <w:vAlign w:val="center"/>
          </w:tcPr>
          <w:p w14:paraId="7A2726AF" w14:textId="77777777" w:rsidR="002449C2" w:rsidRDefault="00123961">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142,58</w:t>
            </w:r>
          </w:p>
        </w:tc>
      </w:tr>
      <w:tr w:rsidR="002449C2" w14:paraId="727E8C99" w14:textId="77777777">
        <w:trPr>
          <w:trHeight w:val="300"/>
        </w:trPr>
        <w:tc>
          <w:tcPr>
            <w:tcW w:w="817"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14:paraId="72B7058A" w14:textId="77777777" w:rsidR="002449C2" w:rsidRDefault="00123961">
            <w:pPr>
              <w:shd w:val="clear" w:color="auto" w:fill="FFFFFF"/>
              <w:tabs>
                <w:tab w:val="left" w:pos="9356"/>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3818" w:type="dxa"/>
            <w:vMerge w:val="restart"/>
            <w:tcBorders>
              <w:top w:val="single" w:sz="4" w:space="0" w:color="000000"/>
              <w:left w:val="single" w:sz="4" w:space="0" w:color="000000"/>
              <w:bottom w:val="single" w:sz="4" w:space="0" w:color="000000"/>
              <w:right w:val="single" w:sz="4" w:space="0" w:color="000000"/>
            </w:tcBorders>
            <w:shd w:val="clear" w:color="000000" w:fill="FFFFFF"/>
          </w:tcPr>
          <w:p w14:paraId="725C7A03" w14:textId="77777777" w:rsidR="002449C2" w:rsidRDefault="00123961">
            <w:pPr>
              <w:shd w:val="clear" w:color="auto" w:fill="FFFFFF"/>
              <w:tabs>
                <w:tab w:val="left" w:pos="935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Расход моторного топлива автотранспортом и спецтехникой</w:t>
            </w:r>
          </w:p>
        </w:tc>
        <w:tc>
          <w:tcPr>
            <w:tcW w:w="2426" w:type="dxa"/>
            <w:tcBorders>
              <w:top w:val="single" w:sz="4" w:space="0" w:color="000000"/>
              <w:left w:val="single" w:sz="4" w:space="0" w:color="000000"/>
              <w:bottom w:val="single" w:sz="4" w:space="0" w:color="000000"/>
              <w:right w:val="single" w:sz="4" w:space="0" w:color="000000"/>
            </w:tcBorders>
          </w:tcPr>
          <w:p w14:paraId="60C1C118" w14:textId="77777777" w:rsidR="002449C2" w:rsidRDefault="00123961">
            <w:pPr>
              <w:shd w:val="clear" w:color="auto" w:fill="FFFFFF"/>
              <w:tabs>
                <w:tab w:val="left" w:pos="935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тыс.л.</w:t>
            </w:r>
          </w:p>
        </w:tc>
        <w:tc>
          <w:tcPr>
            <w:tcW w:w="1387" w:type="dxa"/>
            <w:tcBorders>
              <w:top w:val="single" w:sz="4" w:space="0" w:color="000000"/>
              <w:left w:val="single" w:sz="4" w:space="0" w:color="000000"/>
              <w:bottom w:val="single" w:sz="4" w:space="0" w:color="000000"/>
              <w:right w:val="single" w:sz="4" w:space="0" w:color="000000"/>
            </w:tcBorders>
            <w:vAlign w:val="center"/>
          </w:tcPr>
          <w:p w14:paraId="0419A73D" w14:textId="77777777" w:rsidR="002449C2" w:rsidRDefault="00123961">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7861,49</w:t>
            </w:r>
          </w:p>
        </w:tc>
        <w:tc>
          <w:tcPr>
            <w:tcW w:w="1050" w:type="dxa"/>
            <w:tcBorders>
              <w:top w:val="single" w:sz="4" w:space="0" w:color="000000"/>
              <w:left w:val="single" w:sz="4" w:space="0" w:color="000000"/>
              <w:bottom w:val="single" w:sz="4" w:space="0" w:color="000000"/>
              <w:right w:val="single" w:sz="4" w:space="0" w:color="000000"/>
            </w:tcBorders>
            <w:vAlign w:val="center"/>
          </w:tcPr>
          <w:p w14:paraId="673189C1" w14:textId="77777777" w:rsidR="002449C2" w:rsidRDefault="00123961">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8363,09</w:t>
            </w:r>
          </w:p>
        </w:tc>
      </w:tr>
      <w:tr w:rsidR="002449C2" w14:paraId="62EDADAC" w14:textId="77777777">
        <w:trPr>
          <w:trHeight w:val="300"/>
        </w:trPr>
        <w:tc>
          <w:tcPr>
            <w:tcW w:w="817" w:type="dxa"/>
            <w:vMerge/>
            <w:tcBorders>
              <w:top w:val="single" w:sz="4" w:space="0" w:color="000000"/>
              <w:left w:val="single" w:sz="4" w:space="0" w:color="000000"/>
              <w:bottom w:val="single" w:sz="4" w:space="0" w:color="000000"/>
              <w:right w:val="single" w:sz="4" w:space="0" w:color="000000"/>
            </w:tcBorders>
            <w:vAlign w:val="center"/>
          </w:tcPr>
          <w:p w14:paraId="7BE4C177" w14:textId="77777777" w:rsidR="002449C2" w:rsidRDefault="002449C2">
            <w:pPr>
              <w:shd w:val="clear" w:color="auto" w:fill="FFFFFF"/>
              <w:tabs>
                <w:tab w:val="left" w:pos="9356"/>
              </w:tabs>
              <w:spacing w:after="0" w:line="240" w:lineRule="auto"/>
              <w:rPr>
                <w:rFonts w:ascii="Times New Roman" w:eastAsia="Times New Roman" w:hAnsi="Times New Roman"/>
                <w:sz w:val="24"/>
                <w:szCs w:val="24"/>
                <w:lang w:eastAsia="ru-RU"/>
              </w:rPr>
            </w:pPr>
          </w:p>
        </w:tc>
        <w:tc>
          <w:tcPr>
            <w:tcW w:w="3818" w:type="dxa"/>
            <w:vMerge/>
            <w:tcBorders>
              <w:top w:val="single" w:sz="4" w:space="0" w:color="000000"/>
              <w:left w:val="single" w:sz="4" w:space="0" w:color="000000"/>
              <w:bottom w:val="single" w:sz="4" w:space="0" w:color="000000"/>
              <w:right w:val="single" w:sz="4" w:space="0" w:color="000000"/>
            </w:tcBorders>
            <w:vAlign w:val="center"/>
          </w:tcPr>
          <w:p w14:paraId="11DEE40D" w14:textId="77777777" w:rsidR="002449C2" w:rsidRDefault="002449C2">
            <w:pPr>
              <w:shd w:val="clear" w:color="auto" w:fill="FFFFFF"/>
              <w:tabs>
                <w:tab w:val="left" w:pos="9356"/>
              </w:tabs>
              <w:spacing w:after="0" w:line="240" w:lineRule="auto"/>
              <w:rPr>
                <w:rFonts w:ascii="Times New Roman" w:eastAsia="Times New Roman" w:hAnsi="Times New Roman"/>
                <w:sz w:val="24"/>
                <w:szCs w:val="24"/>
                <w:lang w:eastAsia="ru-RU"/>
              </w:rPr>
            </w:pPr>
          </w:p>
        </w:tc>
        <w:tc>
          <w:tcPr>
            <w:tcW w:w="2426" w:type="dxa"/>
            <w:tcBorders>
              <w:top w:val="single" w:sz="4" w:space="0" w:color="000000"/>
              <w:left w:val="single" w:sz="4" w:space="0" w:color="000000"/>
              <w:bottom w:val="single" w:sz="4" w:space="0" w:color="000000"/>
              <w:right w:val="single" w:sz="4" w:space="0" w:color="000000"/>
            </w:tcBorders>
          </w:tcPr>
          <w:p w14:paraId="2EDF76E7" w14:textId="77777777" w:rsidR="002449C2" w:rsidRDefault="00123961">
            <w:pPr>
              <w:shd w:val="clear" w:color="auto" w:fill="FFFFFF"/>
              <w:tabs>
                <w:tab w:val="left" w:pos="935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тыс. т у.т.</w:t>
            </w:r>
          </w:p>
        </w:tc>
        <w:tc>
          <w:tcPr>
            <w:tcW w:w="1387" w:type="dxa"/>
            <w:tcBorders>
              <w:top w:val="single" w:sz="4" w:space="0" w:color="000000"/>
              <w:left w:val="single" w:sz="4" w:space="0" w:color="000000"/>
              <w:bottom w:val="single" w:sz="4" w:space="0" w:color="000000"/>
              <w:right w:val="single" w:sz="4" w:space="0" w:color="000000"/>
            </w:tcBorders>
            <w:vAlign w:val="center"/>
          </w:tcPr>
          <w:p w14:paraId="4DE14DE4" w14:textId="77777777" w:rsidR="002449C2" w:rsidRDefault="00123961">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9,74</w:t>
            </w:r>
          </w:p>
        </w:tc>
        <w:tc>
          <w:tcPr>
            <w:tcW w:w="1050" w:type="dxa"/>
            <w:tcBorders>
              <w:top w:val="single" w:sz="4" w:space="0" w:color="000000"/>
              <w:left w:val="single" w:sz="4" w:space="0" w:color="000000"/>
              <w:bottom w:val="single" w:sz="4" w:space="0" w:color="000000"/>
              <w:right w:val="single" w:sz="4" w:space="0" w:color="000000"/>
            </w:tcBorders>
            <w:vAlign w:val="center"/>
          </w:tcPr>
          <w:p w14:paraId="5775F2BA" w14:textId="77777777" w:rsidR="002449C2" w:rsidRDefault="00123961">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w:t>
            </w:r>
          </w:p>
        </w:tc>
      </w:tr>
      <w:tr w:rsidR="002449C2" w14:paraId="47BB8C8D" w14:textId="77777777">
        <w:trPr>
          <w:trHeight w:val="279"/>
        </w:trPr>
        <w:tc>
          <w:tcPr>
            <w:tcW w:w="817" w:type="dxa"/>
            <w:vMerge/>
            <w:tcBorders>
              <w:top w:val="single" w:sz="4" w:space="0" w:color="000000"/>
              <w:left w:val="single" w:sz="4" w:space="0" w:color="000000"/>
              <w:bottom w:val="single" w:sz="4" w:space="0" w:color="000000"/>
              <w:right w:val="single" w:sz="4" w:space="0" w:color="000000"/>
            </w:tcBorders>
            <w:vAlign w:val="center"/>
          </w:tcPr>
          <w:p w14:paraId="532C9319" w14:textId="77777777" w:rsidR="002449C2" w:rsidRDefault="002449C2">
            <w:pPr>
              <w:shd w:val="clear" w:color="auto" w:fill="FFFFFF"/>
              <w:tabs>
                <w:tab w:val="left" w:pos="9356"/>
              </w:tabs>
              <w:spacing w:after="0" w:line="240" w:lineRule="auto"/>
              <w:rPr>
                <w:rFonts w:ascii="Times New Roman" w:eastAsia="Times New Roman" w:hAnsi="Times New Roman"/>
                <w:sz w:val="24"/>
                <w:szCs w:val="24"/>
                <w:lang w:eastAsia="ru-RU"/>
              </w:rPr>
            </w:pPr>
          </w:p>
        </w:tc>
        <w:tc>
          <w:tcPr>
            <w:tcW w:w="3818" w:type="dxa"/>
            <w:vMerge/>
            <w:tcBorders>
              <w:top w:val="single" w:sz="4" w:space="0" w:color="000000"/>
              <w:left w:val="single" w:sz="4" w:space="0" w:color="000000"/>
              <w:bottom w:val="single" w:sz="4" w:space="0" w:color="000000"/>
              <w:right w:val="single" w:sz="4" w:space="0" w:color="000000"/>
            </w:tcBorders>
            <w:vAlign w:val="center"/>
          </w:tcPr>
          <w:p w14:paraId="70140A55" w14:textId="77777777" w:rsidR="002449C2" w:rsidRDefault="002449C2">
            <w:pPr>
              <w:shd w:val="clear" w:color="auto" w:fill="FFFFFF"/>
              <w:tabs>
                <w:tab w:val="left" w:pos="9356"/>
              </w:tabs>
              <w:spacing w:after="0" w:line="240" w:lineRule="auto"/>
              <w:rPr>
                <w:rFonts w:ascii="Times New Roman" w:eastAsia="Times New Roman" w:hAnsi="Times New Roman"/>
                <w:sz w:val="24"/>
                <w:szCs w:val="24"/>
                <w:lang w:eastAsia="ru-RU"/>
              </w:rPr>
            </w:pPr>
          </w:p>
        </w:tc>
        <w:tc>
          <w:tcPr>
            <w:tcW w:w="2426" w:type="dxa"/>
            <w:tcBorders>
              <w:top w:val="single" w:sz="4" w:space="0" w:color="000000"/>
              <w:left w:val="single" w:sz="4" w:space="0" w:color="000000"/>
              <w:bottom w:val="single" w:sz="4" w:space="0" w:color="000000"/>
              <w:right w:val="single" w:sz="4" w:space="0" w:color="000000"/>
            </w:tcBorders>
          </w:tcPr>
          <w:p w14:paraId="4BDD606E" w14:textId="77777777" w:rsidR="002449C2" w:rsidRDefault="00123961">
            <w:pPr>
              <w:shd w:val="clear" w:color="auto" w:fill="FFFFFF"/>
              <w:tabs>
                <w:tab w:val="left" w:pos="935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млн руб. без НДС</w:t>
            </w:r>
          </w:p>
        </w:tc>
        <w:tc>
          <w:tcPr>
            <w:tcW w:w="1387" w:type="dxa"/>
            <w:tcBorders>
              <w:top w:val="single" w:sz="4" w:space="0" w:color="000000"/>
              <w:left w:val="single" w:sz="4" w:space="0" w:color="000000"/>
              <w:bottom w:val="single" w:sz="4" w:space="0" w:color="000000"/>
              <w:right w:val="single" w:sz="4" w:space="0" w:color="000000"/>
            </w:tcBorders>
            <w:vAlign w:val="center"/>
          </w:tcPr>
          <w:p w14:paraId="06C9380D" w14:textId="77777777" w:rsidR="002449C2" w:rsidRDefault="00123961">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315,15</w:t>
            </w:r>
          </w:p>
        </w:tc>
        <w:tc>
          <w:tcPr>
            <w:tcW w:w="1050" w:type="dxa"/>
            <w:tcBorders>
              <w:top w:val="single" w:sz="4" w:space="0" w:color="000000"/>
              <w:left w:val="single" w:sz="4" w:space="0" w:color="000000"/>
              <w:bottom w:val="single" w:sz="4" w:space="0" w:color="000000"/>
              <w:right w:val="single" w:sz="4" w:space="0" w:color="000000"/>
            </w:tcBorders>
            <w:vAlign w:val="center"/>
          </w:tcPr>
          <w:p w14:paraId="70780743" w14:textId="77777777" w:rsidR="002449C2" w:rsidRDefault="00123961">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371,00</w:t>
            </w:r>
          </w:p>
        </w:tc>
      </w:tr>
      <w:tr w:rsidR="002449C2" w14:paraId="0AA0EC56" w14:textId="77777777">
        <w:trPr>
          <w:trHeight w:val="300"/>
        </w:trPr>
        <w:tc>
          <w:tcPr>
            <w:tcW w:w="817" w:type="dxa"/>
            <w:tcBorders>
              <w:top w:val="single" w:sz="4" w:space="0" w:color="000000"/>
              <w:left w:val="single" w:sz="4" w:space="0" w:color="000000"/>
              <w:bottom w:val="single" w:sz="4" w:space="0" w:color="000000"/>
              <w:right w:val="single" w:sz="4" w:space="0" w:color="000000"/>
            </w:tcBorders>
            <w:vAlign w:val="center"/>
          </w:tcPr>
          <w:p w14:paraId="010BD6C4" w14:textId="77777777" w:rsidR="002449C2" w:rsidRDefault="00123961">
            <w:pPr>
              <w:shd w:val="clear" w:color="auto" w:fill="FFFFFF"/>
              <w:tabs>
                <w:tab w:val="left" w:pos="935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6.</w:t>
            </w:r>
          </w:p>
        </w:tc>
        <w:tc>
          <w:tcPr>
            <w:tcW w:w="3818" w:type="dxa"/>
            <w:tcBorders>
              <w:top w:val="single" w:sz="4" w:space="0" w:color="000000"/>
              <w:left w:val="single" w:sz="4" w:space="0" w:color="000000"/>
              <w:bottom w:val="single" w:sz="4" w:space="0" w:color="000000"/>
              <w:right w:val="single" w:sz="4" w:space="0" w:color="000000"/>
            </w:tcBorders>
            <w:vAlign w:val="center"/>
          </w:tcPr>
          <w:p w14:paraId="3E3AD301" w14:textId="77777777" w:rsidR="002449C2" w:rsidRDefault="00123961">
            <w:pPr>
              <w:shd w:val="clear" w:color="auto" w:fill="FFFFFF"/>
              <w:tabs>
                <w:tab w:val="left" w:pos="935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Оснащенность осветительными устройствами с использованием светодиодов</w:t>
            </w:r>
          </w:p>
        </w:tc>
        <w:tc>
          <w:tcPr>
            <w:tcW w:w="2426" w:type="dxa"/>
            <w:tcBorders>
              <w:top w:val="single" w:sz="4" w:space="0" w:color="000000"/>
              <w:left w:val="single" w:sz="4" w:space="0" w:color="000000"/>
              <w:bottom w:val="single" w:sz="4" w:space="0" w:color="000000"/>
              <w:right w:val="single" w:sz="4" w:space="0" w:color="000000"/>
            </w:tcBorders>
            <w:vAlign w:val="center"/>
          </w:tcPr>
          <w:p w14:paraId="71BD90DF" w14:textId="77777777" w:rsidR="002449C2" w:rsidRDefault="00123961">
            <w:pPr>
              <w:shd w:val="clear" w:color="auto" w:fill="FFFFFF"/>
              <w:tabs>
                <w:tab w:val="left" w:pos="935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387" w:type="dxa"/>
            <w:tcBorders>
              <w:top w:val="single" w:sz="4" w:space="0" w:color="000000"/>
              <w:left w:val="single" w:sz="4" w:space="0" w:color="000000"/>
              <w:bottom w:val="single" w:sz="4" w:space="0" w:color="000000"/>
              <w:right w:val="single" w:sz="4" w:space="0" w:color="000000"/>
            </w:tcBorders>
            <w:vAlign w:val="center"/>
          </w:tcPr>
          <w:p w14:paraId="106BB992" w14:textId="77777777" w:rsidR="002449C2" w:rsidRDefault="00123961">
            <w:pPr>
              <w:tabs>
                <w:tab w:val="center" w:pos="956"/>
                <w:tab w:val="right" w:pos="1912"/>
              </w:tabs>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93,4775</w:t>
            </w:r>
          </w:p>
        </w:tc>
        <w:tc>
          <w:tcPr>
            <w:tcW w:w="1050" w:type="dxa"/>
            <w:tcBorders>
              <w:top w:val="single" w:sz="4" w:space="0" w:color="000000"/>
              <w:left w:val="single" w:sz="4" w:space="0" w:color="000000"/>
              <w:bottom w:val="single" w:sz="4" w:space="0" w:color="000000"/>
              <w:right w:val="single" w:sz="4" w:space="0" w:color="000000"/>
            </w:tcBorders>
            <w:vAlign w:val="center"/>
          </w:tcPr>
          <w:p w14:paraId="0FBAC193" w14:textId="77777777" w:rsidR="002449C2" w:rsidRDefault="00123961">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94,12</w:t>
            </w:r>
          </w:p>
        </w:tc>
      </w:tr>
    </w:tbl>
    <w:p w14:paraId="5A97611A" w14:textId="77777777" w:rsidR="002449C2" w:rsidRDefault="002449C2">
      <w:pPr>
        <w:shd w:val="clear" w:color="auto" w:fill="FFFFFF"/>
        <w:spacing w:after="0" w:line="240" w:lineRule="auto"/>
        <w:jc w:val="both"/>
        <w:rPr>
          <w:rFonts w:ascii="Times New Roman" w:eastAsia="Times New Roman" w:hAnsi="Times New Roman"/>
          <w:sz w:val="26"/>
          <w:szCs w:val="26"/>
          <w:lang w:eastAsia="ru-RU"/>
        </w:rPr>
      </w:pPr>
    </w:p>
    <w:p w14:paraId="7C7515AF"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Программа состоит из разделов, целевых подпрограмм (мероприятий) и сопутствующих мероприятий, делящихся, в свою очередь, на мероприятия по снижению потерь электроэнергии при передаче и распределении по электрическим сетям и на мероприятия по снижению расхода энергетических ресурсов на объектах производственных и хозяйственных нужд и подразделяющихся на организационные и технические мероприятия. </w:t>
      </w:r>
    </w:p>
    <w:p w14:paraId="32CDC25A"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 целевым относятся мероприятия, реализация которых обеспечивает сокращение потребления энергетических ресурсов (в том числе электрической энергии) и (или) воды не менее чем на 15 процентов от годового потребления соответствующего ресурса, с окупаемостью 80 процентов вложенных средств за 5 лет для потребления энергетических ресурсов и (или) воды на производственные и хозяйственные нужды и окупаемостью не более 10 лет для мероприятий, обеспечивающих снижение потерь при передаче и распределении электрической энергии.</w:t>
      </w:r>
    </w:p>
    <w:p w14:paraId="1AA5C034"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 сопутствующим мероприятиям по оптимизации расхода на производственные и хозяйственные нужды и мероприятиям по снижению потерь электрической энергии отнесены мероприятия, имеющие положительную энергетическую эффективность и не соответствующие критериям отнесения к целевым.</w:t>
      </w:r>
    </w:p>
    <w:p w14:paraId="63CB45A2"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При этом мероприятия «отключение трансформаторов на подстанциях с сезонной нагрузкой», «выравнивание нагрузок фаз в распределительных сетях 0,38 кВ», «составлено актов бездоговорного потребления» выполняются ежегодно, относятся к «поддерживающим» имеющийся уровень потерь электроэнергии, и не влияют на показатели баланса электроэнергии компании.</w:t>
      </w:r>
    </w:p>
    <w:p w14:paraId="083B4148" w14:textId="77777777" w:rsidR="002449C2" w:rsidRDefault="002449C2">
      <w:pPr>
        <w:shd w:val="clear" w:color="auto" w:fill="FFFFFF"/>
        <w:tabs>
          <w:tab w:val="left" w:pos="1080"/>
          <w:tab w:val="left" w:pos="1320"/>
        </w:tabs>
        <w:ind w:firstLine="567"/>
        <w:jc w:val="both"/>
        <w:rPr>
          <w:rFonts w:ascii="Times New Roman" w:eastAsia="Arial" w:hAnsi="Times New Roman"/>
          <w:b/>
          <w:bCs/>
          <w:sz w:val="26"/>
          <w:szCs w:val="26"/>
          <w:highlight w:val="white"/>
          <w:lang w:eastAsia="en-US"/>
        </w:rPr>
      </w:pPr>
    </w:p>
    <w:p w14:paraId="64440A12" w14:textId="77777777" w:rsidR="002449C2" w:rsidRDefault="00123961">
      <w:pPr>
        <w:shd w:val="clear" w:color="auto" w:fill="FFFFFF"/>
        <w:tabs>
          <w:tab w:val="left" w:pos="1080"/>
          <w:tab w:val="left" w:pos="1320"/>
        </w:tabs>
        <w:spacing w:after="120" w:line="240" w:lineRule="auto"/>
        <w:ind w:firstLine="567"/>
        <w:jc w:val="both"/>
        <w:rPr>
          <w:rFonts w:ascii="Times New Roman" w:eastAsia="Arial" w:hAnsi="Times New Roman"/>
          <w:sz w:val="26"/>
          <w:szCs w:val="26"/>
          <w:highlight w:val="white"/>
          <w:lang w:eastAsia="en-US"/>
        </w:rPr>
      </w:pPr>
      <w:r>
        <w:rPr>
          <w:rFonts w:ascii="Times New Roman" w:eastAsia="Arial" w:hAnsi="Times New Roman"/>
          <w:b/>
          <w:bCs/>
          <w:sz w:val="26"/>
          <w:szCs w:val="26"/>
          <w:highlight w:val="white"/>
          <w:lang w:eastAsia="en-US"/>
        </w:rPr>
        <w:t>На 2024 год планировался эффект в целом</w:t>
      </w:r>
      <w:r>
        <w:rPr>
          <w:rFonts w:ascii="Times New Roman" w:eastAsia="Arial" w:hAnsi="Times New Roman"/>
          <w:sz w:val="26"/>
          <w:szCs w:val="26"/>
          <w:highlight w:val="white"/>
          <w:lang w:eastAsia="en-US"/>
        </w:rPr>
        <w:t xml:space="preserve"> 1195,879 т.у.т. или 42,375 млн ру</w:t>
      </w:r>
      <w:r>
        <w:rPr>
          <w:rFonts w:ascii="Times New Roman" w:eastAsia="Arial" w:hAnsi="Times New Roman"/>
          <w:sz w:val="26"/>
          <w:szCs w:val="26"/>
          <w:lang w:eastAsia="en-US"/>
        </w:rPr>
        <w:t>б. (мероприятия с «прямыми» эффектами) и по подпрограммам:</w:t>
      </w:r>
    </w:p>
    <w:p w14:paraId="2143471B" w14:textId="77777777" w:rsidR="002449C2" w:rsidRDefault="00123961">
      <w:pPr>
        <w:numPr>
          <w:ilvl w:val="0"/>
          <w:numId w:val="49"/>
        </w:numPr>
        <w:shd w:val="clear" w:color="auto" w:fill="FFFFFF"/>
        <w:tabs>
          <w:tab w:val="left" w:pos="851"/>
        </w:tabs>
        <w:spacing w:after="120" w:line="240" w:lineRule="auto"/>
        <w:ind w:left="0" w:firstLine="567"/>
        <w:contextualSpacing/>
        <w:jc w:val="both"/>
        <w:rPr>
          <w:rFonts w:ascii="Times New Roman" w:eastAsia="Arial" w:hAnsi="Times New Roman"/>
          <w:sz w:val="26"/>
          <w:szCs w:val="26"/>
          <w:lang w:eastAsia="en-US"/>
        </w:rPr>
      </w:pPr>
      <w:r>
        <w:rPr>
          <w:rFonts w:ascii="Times New Roman" w:eastAsia="Arial" w:hAnsi="Times New Roman"/>
          <w:sz w:val="26"/>
          <w:szCs w:val="26"/>
          <w:lang w:eastAsia="en-US"/>
        </w:rPr>
        <w:t>целевые организационные мероприятия по снижению потерь электрической энергии 7,445 млн кВт·ч. (893,445 т.у.т.) или 33,04 млн руб.;</w:t>
      </w:r>
    </w:p>
    <w:p w14:paraId="2D0BA63C" w14:textId="77777777" w:rsidR="002449C2" w:rsidRDefault="00123961">
      <w:pPr>
        <w:numPr>
          <w:ilvl w:val="0"/>
          <w:numId w:val="49"/>
        </w:numPr>
        <w:shd w:val="clear" w:color="auto" w:fill="FFFFFF"/>
        <w:tabs>
          <w:tab w:val="left" w:pos="851"/>
        </w:tabs>
        <w:spacing w:after="120" w:line="240" w:lineRule="auto"/>
        <w:ind w:left="0" w:firstLine="567"/>
        <w:contextualSpacing/>
        <w:jc w:val="both"/>
        <w:rPr>
          <w:rFonts w:ascii="Times New Roman" w:eastAsia="Arial" w:hAnsi="Times New Roman"/>
          <w:sz w:val="26"/>
          <w:szCs w:val="26"/>
          <w:lang w:eastAsia="en-US"/>
        </w:rPr>
      </w:pPr>
      <w:r>
        <w:rPr>
          <w:rFonts w:ascii="Times New Roman" w:eastAsia="Arial" w:hAnsi="Times New Roman"/>
          <w:sz w:val="26"/>
          <w:szCs w:val="26"/>
          <w:lang w:eastAsia="en-US"/>
        </w:rPr>
        <w:t>целевые технические мероприятия по снижению потерь электрической энергии 2,556 млн кВт·ч (307,638 т.у.т.) или 9,953 млн руб.;</w:t>
      </w:r>
    </w:p>
    <w:p w14:paraId="32F513F4" w14:textId="77777777" w:rsidR="002449C2" w:rsidRDefault="00123961">
      <w:pPr>
        <w:numPr>
          <w:ilvl w:val="0"/>
          <w:numId w:val="49"/>
        </w:numPr>
        <w:shd w:val="clear" w:color="auto" w:fill="FFFFFF"/>
        <w:tabs>
          <w:tab w:val="left" w:pos="851"/>
        </w:tabs>
        <w:spacing w:after="120" w:line="240" w:lineRule="auto"/>
        <w:ind w:left="0" w:firstLine="567"/>
        <w:contextualSpacing/>
        <w:jc w:val="both"/>
        <w:rPr>
          <w:rFonts w:ascii="Times New Roman" w:eastAsia="Arial" w:hAnsi="Times New Roman"/>
          <w:sz w:val="26"/>
          <w:szCs w:val="26"/>
          <w:lang w:eastAsia="en-US"/>
        </w:rPr>
      </w:pPr>
      <w:r>
        <w:rPr>
          <w:rFonts w:ascii="Times New Roman" w:eastAsia="Arial" w:hAnsi="Times New Roman"/>
          <w:sz w:val="26"/>
          <w:szCs w:val="26"/>
          <w:lang w:eastAsia="en-US"/>
        </w:rPr>
        <w:t>мероприятия, направленные на снижение расхода электроэнергии на собственные нужды подстанций 0,288 млн кВт·ч (38,478 т.у.т.)  или 1,506 млн руб.;</w:t>
      </w:r>
    </w:p>
    <w:p w14:paraId="7F0B4E67" w14:textId="77777777" w:rsidR="002449C2" w:rsidRDefault="00123961">
      <w:pPr>
        <w:numPr>
          <w:ilvl w:val="0"/>
          <w:numId w:val="49"/>
        </w:numPr>
        <w:shd w:val="clear" w:color="auto" w:fill="FFFFFF"/>
        <w:tabs>
          <w:tab w:val="left" w:pos="851"/>
        </w:tabs>
        <w:spacing w:after="120" w:line="240" w:lineRule="auto"/>
        <w:ind w:left="0" w:firstLine="567"/>
        <w:contextualSpacing/>
        <w:jc w:val="both"/>
        <w:rPr>
          <w:rFonts w:ascii="Times New Roman" w:eastAsia="Arial" w:hAnsi="Times New Roman"/>
          <w:sz w:val="26"/>
          <w:szCs w:val="26"/>
          <w:lang w:eastAsia="en-US"/>
        </w:rPr>
      </w:pPr>
      <w:r>
        <w:rPr>
          <w:rFonts w:ascii="Times New Roman" w:eastAsia="Arial" w:hAnsi="Times New Roman"/>
          <w:sz w:val="26"/>
          <w:szCs w:val="26"/>
          <w:lang w:eastAsia="en-US"/>
        </w:rPr>
        <w:t>мероприятия, направленные на снижение расхода энергетических ресурсов и воды на хозяйственные нужды зданий административно-производственного назначения 59,093 т.у.т. или 1,723 млн руб.;</w:t>
      </w:r>
    </w:p>
    <w:p w14:paraId="6FCBD2A8" w14:textId="77777777" w:rsidR="002449C2" w:rsidRDefault="00123961">
      <w:pPr>
        <w:numPr>
          <w:ilvl w:val="0"/>
          <w:numId w:val="49"/>
        </w:numPr>
        <w:shd w:val="clear" w:color="auto" w:fill="FFFFFF"/>
        <w:tabs>
          <w:tab w:val="left" w:pos="851"/>
        </w:tabs>
        <w:spacing w:after="120" w:line="240" w:lineRule="auto"/>
        <w:ind w:left="0" w:firstLine="567"/>
        <w:contextualSpacing/>
        <w:jc w:val="both"/>
        <w:rPr>
          <w:rFonts w:ascii="Times New Roman" w:eastAsia="Arial" w:hAnsi="Times New Roman"/>
          <w:sz w:val="26"/>
          <w:szCs w:val="26"/>
          <w:lang w:eastAsia="en-US"/>
        </w:rPr>
      </w:pPr>
      <w:r>
        <w:rPr>
          <w:rFonts w:ascii="Times New Roman" w:eastAsia="Arial" w:hAnsi="Times New Roman"/>
          <w:sz w:val="26"/>
          <w:szCs w:val="26"/>
          <w:lang w:eastAsia="en-US"/>
        </w:rPr>
        <w:t>мероприятия, направленные на снижение расхода моторного топлива автотранспортом и спецтранспортом 84,615 т.у.т. или 2,683 млн руб.</w:t>
      </w:r>
    </w:p>
    <w:p w14:paraId="795D6001" w14:textId="77777777" w:rsidR="002449C2" w:rsidRDefault="00123961">
      <w:pPr>
        <w:shd w:val="clear" w:color="auto" w:fill="FFFFFF"/>
        <w:tabs>
          <w:tab w:val="left" w:pos="851"/>
        </w:tabs>
        <w:spacing w:after="0" w:line="240" w:lineRule="auto"/>
        <w:ind w:firstLine="567"/>
        <w:contextualSpacing/>
        <w:jc w:val="both"/>
        <w:rPr>
          <w:rFonts w:ascii="Times New Roman" w:eastAsia="Arial" w:hAnsi="Times New Roman"/>
          <w:sz w:val="26"/>
          <w:szCs w:val="26"/>
          <w:lang w:eastAsia="en-US"/>
        </w:rPr>
      </w:pPr>
      <w:r>
        <w:rPr>
          <w:rFonts w:ascii="Times New Roman" w:eastAsia="Arial" w:hAnsi="Times New Roman"/>
          <w:b/>
          <w:bCs/>
          <w:sz w:val="26"/>
          <w:szCs w:val="26"/>
          <w:lang w:eastAsia="en-US"/>
        </w:rPr>
        <w:t>По мероприятиям с «сопутствующим» эффектом планировался эффект</w:t>
      </w:r>
      <w:r>
        <w:rPr>
          <w:rFonts w:ascii="Times New Roman" w:eastAsia="Arial" w:hAnsi="Times New Roman"/>
          <w:sz w:val="26"/>
          <w:szCs w:val="26"/>
          <w:lang w:eastAsia="en-US"/>
        </w:rPr>
        <w:t xml:space="preserve"> 5,14 млн кВт·ч (617,35 т.у.т) или 24,82 млн руб. </w:t>
      </w:r>
    </w:p>
    <w:p w14:paraId="0E38F2A3" w14:textId="77777777" w:rsidR="002449C2" w:rsidRDefault="00123961">
      <w:pPr>
        <w:shd w:val="clear" w:color="auto" w:fill="FFFFFF"/>
        <w:tabs>
          <w:tab w:val="left" w:pos="1080"/>
          <w:tab w:val="left" w:pos="1320"/>
        </w:tabs>
        <w:spacing w:after="0" w:line="240" w:lineRule="auto"/>
        <w:ind w:firstLine="567"/>
        <w:jc w:val="both"/>
        <w:rPr>
          <w:rFonts w:ascii="Times New Roman" w:eastAsia="Arial" w:hAnsi="Times New Roman"/>
          <w:color w:val="000000"/>
          <w:sz w:val="26"/>
          <w:szCs w:val="26"/>
          <w:highlight w:val="white"/>
          <w:lang w:eastAsia="en-US"/>
        </w:rPr>
      </w:pPr>
      <w:r>
        <w:rPr>
          <w:rFonts w:ascii="Times New Roman" w:eastAsia="Arial" w:hAnsi="Times New Roman"/>
          <w:color w:val="000000"/>
          <w:sz w:val="26"/>
          <w:szCs w:val="26"/>
          <w:highlight w:val="white"/>
          <w:lang w:eastAsia="en-US"/>
        </w:rPr>
        <w:t xml:space="preserve">По итогам 2024 года эффект составил в целом 1433,6 т.у.т., или 42,97 млн руб. (мероприятия с «прямыми» эффектами) и по подпрограммам: </w:t>
      </w:r>
    </w:p>
    <w:p w14:paraId="39C11CD3" w14:textId="77777777" w:rsidR="002449C2" w:rsidRDefault="00123961">
      <w:pPr>
        <w:numPr>
          <w:ilvl w:val="0"/>
          <w:numId w:val="50"/>
        </w:numPr>
        <w:shd w:val="clear" w:color="auto" w:fill="FFFFFF"/>
        <w:tabs>
          <w:tab w:val="left" w:pos="851"/>
          <w:tab w:val="left" w:pos="1320"/>
        </w:tabs>
        <w:spacing w:after="0" w:line="240" w:lineRule="auto"/>
        <w:ind w:left="0" w:firstLine="709"/>
        <w:contextualSpacing/>
        <w:jc w:val="both"/>
        <w:rPr>
          <w:rFonts w:ascii="Times New Roman" w:eastAsia="Arial" w:hAnsi="Times New Roman"/>
          <w:sz w:val="26"/>
          <w:szCs w:val="26"/>
          <w:lang w:eastAsia="en-US"/>
        </w:rPr>
      </w:pPr>
      <w:r>
        <w:rPr>
          <w:rFonts w:ascii="Times New Roman" w:eastAsia="Arial" w:hAnsi="Times New Roman"/>
          <w:sz w:val="26"/>
          <w:szCs w:val="26"/>
          <w:lang w:eastAsia="en-US"/>
        </w:rPr>
        <w:t>целевые организационные мероприятия по снижению потерь электрической энергии 3,632 млн кВт·ч. (435,863 т.у.т.) или 16,893 млн руб.;</w:t>
      </w:r>
    </w:p>
    <w:p w14:paraId="407B9AAD" w14:textId="77777777" w:rsidR="002449C2" w:rsidRDefault="00123961">
      <w:pPr>
        <w:numPr>
          <w:ilvl w:val="0"/>
          <w:numId w:val="50"/>
        </w:numPr>
        <w:shd w:val="clear" w:color="auto" w:fill="FFFFFF"/>
        <w:tabs>
          <w:tab w:val="left" w:pos="851"/>
          <w:tab w:val="left" w:pos="1320"/>
        </w:tabs>
        <w:spacing w:after="0" w:line="240" w:lineRule="auto"/>
        <w:ind w:left="0" w:firstLine="709"/>
        <w:contextualSpacing/>
        <w:jc w:val="both"/>
        <w:rPr>
          <w:rFonts w:ascii="Times New Roman" w:eastAsia="Arial" w:hAnsi="Times New Roman"/>
          <w:sz w:val="26"/>
          <w:szCs w:val="26"/>
          <w:lang w:eastAsia="en-US"/>
        </w:rPr>
      </w:pPr>
      <w:r>
        <w:rPr>
          <w:rFonts w:ascii="Times New Roman" w:eastAsia="Arial" w:hAnsi="Times New Roman"/>
          <w:sz w:val="26"/>
          <w:szCs w:val="26"/>
          <w:lang w:eastAsia="en-US"/>
        </w:rPr>
        <w:t>целевые технические мероприятия по снижению потерь электрической энергии 1,358 млн кВт·ч (163,008 т.у.т) или 6,534 млн руб.;</w:t>
      </w:r>
    </w:p>
    <w:p w14:paraId="60E9B863" w14:textId="77777777" w:rsidR="002449C2" w:rsidRDefault="00123961">
      <w:pPr>
        <w:numPr>
          <w:ilvl w:val="0"/>
          <w:numId w:val="50"/>
        </w:numPr>
        <w:shd w:val="clear" w:color="auto" w:fill="FFFFFF"/>
        <w:tabs>
          <w:tab w:val="left" w:pos="851"/>
          <w:tab w:val="left" w:pos="1320"/>
        </w:tabs>
        <w:spacing w:after="0" w:line="240" w:lineRule="auto"/>
        <w:ind w:left="0" w:firstLine="709"/>
        <w:contextualSpacing/>
        <w:jc w:val="both"/>
        <w:rPr>
          <w:rFonts w:ascii="Times New Roman" w:eastAsia="Arial" w:hAnsi="Times New Roman"/>
          <w:sz w:val="26"/>
          <w:szCs w:val="26"/>
          <w:lang w:eastAsia="en-US"/>
        </w:rPr>
      </w:pPr>
      <w:r>
        <w:rPr>
          <w:rFonts w:ascii="Times New Roman" w:eastAsia="Arial" w:hAnsi="Times New Roman"/>
          <w:sz w:val="26"/>
          <w:szCs w:val="26"/>
          <w:lang w:eastAsia="en-US"/>
        </w:rPr>
        <w:t xml:space="preserve">мероприятия, направленные на снижение расхода электроэнергии на собственные нужды подстанций 1,063 млн кВт·ч (31,066 т.у.т.); </w:t>
      </w:r>
    </w:p>
    <w:p w14:paraId="01538A21" w14:textId="77777777" w:rsidR="002449C2" w:rsidRDefault="00123961">
      <w:pPr>
        <w:numPr>
          <w:ilvl w:val="0"/>
          <w:numId w:val="50"/>
        </w:numPr>
        <w:shd w:val="clear" w:color="auto" w:fill="FFFFFF"/>
        <w:tabs>
          <w:tab w:val="left" w:pos="851"/>
          <w:tab w:val="left" w:pos="1320"/>
        </w:tabs>
        <w:spacing w:after="0" w:line="240" w:lineRule="auto"/>
        <w:ind w:left="0" w:firstLine="709"/>
        <w:contextualSpacing/>
        <w:jc w:val="both"/>
        <w:rPr>
          <w:rFonts w:ascii="Times New Roman" w:eastAsia="Arial" w:hAnsi="Times New Roman"/>
          <w:sz w:val="26"/>
          <w:szCs w:val="26"/>
          <w:lang w:eastAsia="en-US"/>
        </w:rPr>
      </w:pPr>
      <w:r>
        <w:rPr>
          <w:rFonts w:ascii="Times New Roman" w:eastAsia="Arial" w:hAnsi="Times New Roman"/>
          <w:sz w:val="26"/>
          <w:szCs w:val="26"/>
          <w:lang w:eastAsia="en-US"/>
        </w:rPr>
        <w:t>мероприятия, направленные на снижение расхода энергетических ресурсов и воды на хозяйственные нужды зданий административно-производственного назначения 59,959 т.у.т. или 1,948 млн руб.</w:t>
      </w:r>
    </w:p>
    <w:p w14:paraId="7CE6D77F" w14:textId="77777777" w:rsidR="002449C2" w:rsidRDefault="00123961">
      <w:pPr>
        <w:numPr>
          <w:ilvl w:val="0"/>
          <w:numId w:val="50"/>
        </w:numPr>
        <w:shd w:val="clear" w:color="auto" w:fill="FFFFFF"/>
        <w:tabs>
          <w:tab w:val="left" w:pos="851"/>
          <w:tab w:val="left" w:pos="1320"/>
        </w:tabs>
        <w:spacing w:after="0" w:line="240" w:lineRule="auto"/>
        <w:ind w:left="0" w:firstLine="709"/>
        <w:contextualSpacing/>
        <w:jc w:val="both"/>
        <w:rPr>
          <w:rFonts w:ascii="Times New Roman" w:eastAsia="Arial" w:hAnsi="Times New Roman"/>
          <w:sz w:val="26"/>
          <w:szCs w:val="26"/>
          <w:lang w:eastAsia="en-US"/>
        </w:rPr>
      </w:pPr>
      <w:r>
        <w:rPr>
          <w:rFonts w:ascii="Times New Roman" w:eastAsia="Arial" w:hAnsi="Times New Roman"/>
          <w:sz w:val="26"/>
          <w:szCs w:val="26"/>
          <w:lang w:eastAsia="en-US"/>
        </w:rPr>
        <w:t>мероприятия, направленные на снижение расхода моторного топлива автотранспортом и спецтранспортом 84,28 т.у.т. или 2,702 млн руб.</w:t>
      </w:r>
    </w:p>
    <w:p w14:paraId="3EE6163A" w14:textId="77777777" w:rsidR="002449C2" w:rsidRDefault="00123961">
      <w:pPr>
        <w:shd w:val="clear" w:color="auto" w:fill="FFFFFF"/>
        <w:tabs>
          <w:tab w:val="left" w:pos="851"/>
          <w:tab w:val="left" w:pos="1320"/>
        </w:tabs>
        <w:spacing w:after="0" w:line="240" w:lineRule="auto"/>
        <w:ind w:firstLine="567"/>
        <w:jc w:val="both"/>
        <w:rPr>
          <w:rFonts w:ascii="Times New Roman" w:eastAsia="Arial" w:hAnsi="Times New Roman"/>
          <w:sz w:val="26"/>
          <w:szCs w:val="26"/>
          <w:lang w:eastAsia="en-US"/>
        </w:rPr>
      </w:pPr>
      <w:r>
        <w:rPr>
          <w:rFonts w:ascii="Times New Roman" w:eastAsia="Arial" w:hAnsi="Times New Roman"/>
          <w:sz w:val="26"/>
          <w:szCs w:val="26"/>
          <w:lang w:eastAsia="en-US"/>
        </w:rPr>
        <w:t xml:space="preserve">По мероприятиям с «сопутствующим» эффектом 12,42 млн кВт·ч (1490,77 т.у.т.) или 50,2 млн руб. </w:t>
      </w:r>
    </w:p>
    <w:p w14:paraId="1BEF9473" w14:textId="77777777" w:rsidR="002449C2" w:rsidRDefault="002449C2">
      <w:pPr>
        <w:shd w:val="clear" w:color="auto" w:fill="FFFFFF"/>
        <w:tabs>
          <w:tab w:val="left" w:pos="1080"/>
          <w:tab w:val="left" w:pos="1320"/>
        </w:tabs>
        <w:ind w:firstLine="567"/>
        <w:jc w:val="both"/>
        <w:rPr>
          <w:rFonts w:ascii="Arial" w:hAnsi="Arial" w:cs="Arial"/>
          <w:color w:val="313131"/>
          <w:sz w:val="29"/>
          <w:szCs w:val="29"/>
        </w:rPr>
      </w:pPr>
    </w:p>
    <w:p w14:paraId="511ED066" w14:textId="77777777" w:rsidR="002449C2" w:rsidRDefault="00123961">
      <w:pPr>
        <w:shd w:val="clear" w:color="auto" w:fill="FFFFFF"/>
        <w:tabs>
          <w:tab w:val="left" w:pos="1080"/>
          <w:tab w:val="left" w:pos="1320"/>
        </w:tabs>
        <w:spacing w:after="120" w:line="240" w:lineRule="auto"/>
        <w:ind w:firstLine="567"/>
        <w:jc w:val="both"/>
        <w:rPr>
          <w:rFonts w:ascii="Times New Roman" w:eastAsia="Arial" w:hAnsi="Times New Roman"/>
          <w:sz w:val="26"/>
          <w:szCs w:val="26"/>
          <w:lang w:eastAsia="en-US"/>
        </w:rPr>
      </w:pPr>
      <w:r>
        <w:rPr>
          <w:rFonts w:ascii="Times New Roman" w:eastAsia="Arial" w:hAnsi="Times New Roman"/>
          <w:sz w:val="26"/>
          <w:szCs w:val="26"/>
          <w:lang w:eastAsia="en-US"/>
        </w:rPr>
        <w:t>Затраты на реализацию мероприятий в 2024 году составили 30,35 млн руб. Источниками финансирования целевых мероприятий программы энергосбережения являлась ремонтная программа в объёме 25,75 млн руб, энергосервисный договор по замене освещения 4,63 млн руб. Затраты по мероприятиям с «сопутствующим эффектом» в программе не учтены.</w:t>
      </w:r>
    </w:p>
    <w:p w14:paraId="262DC3FB" w14:textId="77777777" w:rsidR="002449C2" w:rsidRDefault="00123961">
      <w:pPr>
        <w:shd w:val="clear" w:color="auto" w:fill="FFFFFF"/>
        <w:tabs>
          <w:tab w:val="left" w:pos="1080"/>
          <w:tab w:val="left" w:pos="1320"/>
        </w:tabs>
        <w:ind w:firstLine="567"/>
        <w:jc w:val="both"/>
        <w:rPr>
          <w:rFonts w:ascii="Times New Roman" w:eastAsia="Arial" w:hAnsi="Times New Roman"/>
          <w:spacing w:val="20"/>
          <w:sz w:val="26"/>
          <w:szCs w:val="26"/>
          <w:lang w:eastAsia="en-US"/>
        </w:rPr>
      </w:pPr>
      <w:r>
        <w:rPr>
          <w:rFonts w:ascii="Times New Roman" w:eastAsia="Arial" w:hAnsi="Times New Roman"/>
          <w:sz w:val="26"/>
          <w:szCs w:val="26"/>
          <w:lang w:eastAsia="en-US"/>
        </w:rPr>
        <w:t>Компания «Россети Юг» в 2024 году направила на ремонт и техническое обслуживание энергообъектов в регионах присутствия почти 3 млрд рублей, что на 16 % превысило аналогичный показатель 2023 года</w:t>
      </w:r>
      <w:r>
        <w:rPr>
          <w:rFonts w:ascii="Times New Roman" w:hAnsi="Times New Roman"/>
          <w:color w:val="313131"/>
          <w:spacing w:val="20"/>
          <w:sz w:val="26"/>
          <w:szCs w:val="26"/>
        </w:rPr>
        <w:t>.</w:t>
      </w:r>
    </w:p>
    <w:p w14:paraId="44C42F61" w14:textId="77777777" w:rsidR="002449C2" w:rsidRDefault="00123961">
      <w:pPr>
        <w:shd w:val="clear" w:color="auto" w:fill="FFFFFF"/>
        <w:tabs>
          <w:tab w:val="left" w:pos="1080"/>
          <w:tab w:val="left" w:pos="1320"/>
        </w:tabs>
        <w:spacing w:after="120" w:line="240" w:lineRule="auto"/>
        <w:ind w:firstLine="567"/>
        <w:jc w:val="both"/>
        <w:rPr>
          <w:rFonts w:ascii="Times New Roman" w:eastAsia="Arial" w:hAnsi="Times New Roman"/>
          <w:b/>
          <w:sz w:val="26"/>
          <w:szCs w:val="26"/>
          <w:lang w:eastAsia="en-US"/>
        </w:rPr>
      </w:pPr>
      <w:r>
        <w:rPr>
          <w:rFonts w:ascii="Times New Roman" w:eastAsia="Arial" w:hAnsi="Times New Roman"/>
          <w:b/>
          <w:sz w:val="26"/>
          <w:szCs w:val="26"/>
          <w:lang w:eastAsia="en-US"/>
        </w:rPr>
        <w:t>Мероприятия в области энергосбережения и повышения энергетической эффективности.</w:t>
      </w:r>
    </w:p>
    <w:p w14:paraId="355A62BF" w14:textId="77777777" w:rsidR="002449C2" w:rsidRDefault="00123961">
      <w:pPr>
        <w:shd w:val="clear" w:color="auto" w:fill="FFFFFF"/>
        <w:tabs>
          <w:tab w:val="left" w:pos="1080"/>
          <w:tab w:val="left" w:pos="1320"/>
        </w:tabs>
        <w:spacing w:after="120" w:line="240" w:lineRule="auto"/>
        <w:ind w:firstLine="567"/>
        <w:jc w:val="both"/>
        <w:rPr>
          <w:rFonts w:ascii="Times New Roman" w:eastAsia="Arial" w:hAnsi="Times New Roman"/>
          <w:sz w:val="26"/>
          <w:szCs w:val="26"/>
          <w:lang w:eastAsia="en-US"/>
        </w:rPr>
      </w:pPr>
      <w:r>
        <w:rPr>
          <w:rFonts w:ascii="Times New Roman" w:eastAsia="Arial" w:hAnsi="Times New Roman"/>
          <w:sz w:val="26"/>
          <w:szCs w:val="26"/>
          <w:lang w:eastAsia="en-US"/>
        </w:rPr>
        <w:t>По результатам 2024 года технологический эффект от реализации мероприятий с «прямыми» эффектами по снижению потерь электроэнергии составил 16,875 млн кВт·ч., экономический эффект – 63,128 млн руб.</w:t>
      </w:r>
    </w:p>
    <w:tbl>
      <w:tblPr>
        <w:tblW w:w="9488" w:type="dxa"/>
        <w:tblLayout w:type="fixed"/>
        <w:tblLook w:val="04A0" w:firstRow="1" w:lastRow="0" w:firstColumn="1" w:lastColumn="0" w:noHBand="0" w:noVBand="1"/>
      </w:tblPr>
      <w:tblGrid>
        <w:gridCol w:w="5653"/>
        <w:gridCol w:w="1386"/>
        <w:gridCol w:w="1224"/>
        <w:gridCol w:w="1225"/>
      </w:tblGrid>
      <w:tr w:rsidR="002449C2" w14:paraId="1317B3D4" w14:textId="77777777">
        <w:trPr>
          <w:tblHeader/>
        </w:trPr>
        <w:tc>
          <w:tcPr>
            <w:tcW w:w="5652" w:type="dxa"/>
            <w:vMerge w:val="restart"/>
            <w:tcBorders>
              <w:top w:val="single" w:sz="4" w:space="0" w:color="000000"/>
              <w:left w:val="single" w:sz="4" w:space="0" w:color="000000"/>
              <w:bottom w:val="single" w:sz="4" w:space="0" w:color="000000"/>
              <w:right w:val="single" w:sz="4" w:space="0" w:color="000000"/>
            </w:tcBorders>
            <w:vAlign w:val="center"/>
          </w:tcPr>
          <w:p w14:paraId="678B104D"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Мероприятие</w:t>
            </w:r>
          </w:p>
        </w:tc>
        <w:tc>
          <w:tcPr>
            <w:tcW w:w="2610" w:type="dxa"/>
            <w:gridSpan w:val="2"/>
            <w:tcBorders>
              <w:top w:val="single" w:sz="4" w:space="0" w:color="000000"/>
              <w:left w:val="single" w:sz="4" w:space="0" w:color="000000"/>
              <w:bottom w:val="single" w:sz="4" w:space="0" w:color="000000"/>
              <w:right w:val="single" w:sz="4" w:space="0" w:color="000000"/>
            </w:tcBorders>
            <w:vAlign w:val="center"/>
          </w:tcPr>
          <w:p w14:paraId="5CFD4EC9"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Эффект</w:t>
            </w:r>
          </w:p>
        </w:tc>
        <w:tc>
          <w:tcPr>
            <w:tcW w:w="1225" w:type="dxa"/>
            <w:tcBorders>
              <w:top w:val="single" w:sz="4" w:space="0" w:color="000000"/>
              <w:left w:val="single" w:sz="4" w:space="0" w:color="000000"/>
              <w:bottom w:val="single" w:sz="4" w:space="0" w:color="000000"/>
              <w:right w:val="single" w:sz="4" w:space="0" w:color="000000"/>
            </w:tcBorders>
            <w:vAlign w:val="center"/>
          </w:tcPr>
          <w:p w14:paraId="7CC455AC"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Затраты</w:t>
            </w:r>
          </w:p>
        </w:tc>
      </w:tr>
      <w:tr w:rsidR="002449C2" w14:paraId="6A5EA127" w14:textId="77777777">
        <w:trPr>
          <w:tblHeader/>
        </w:trPr>
        <w:tc>
          <w:tcPr>
            <w:tcW w:w="5652" w:type="dxa"/>
            <w:vMerge/>
            <w:tcBorders>
              <w:top w:val="single" w:sz="4" w:space="0" w:color="000000"/>
              <w:left w:val="single" w:sz="4" w:space="0" w:color="000000"/>
              <w:bottom w:val="single" w:sz="4" w:space="0" w:color="000000"/>
              <w:right w:val="single" w:sz="4" w:space="0" w:color="000000"/>
            </w:tcBorders>
            <w:vAlign w:val="center"/>
          </w:tcPr>
          <w:p w14:paraId="0F5A87BD" w14:textId="77777777" w:rsidR="002449C2" w:rsidRDefault="002449C2">
            <w:pPr>
              <w:shd w:val="clear" w:color="auto" w:fill="FFFFFF"/>
              <w:tabs>
                <w:tab w:val="left" w:pos="1080"/>
                <w:tab w:val="left" w:pos="1320"/>
              </w:tabs>
              <w:spacing w:after="0" w:line="240" w:lineRule="auto"/>
              <w:jc w:val="right"/>
              <w:rPr>
                <w:rFonts w:ascii="Times New Roman" w:eastAsia="Arial" w:hAnsi="Times New Roman"/>
                <w:b/>
                <w:lang w:eastAsia="en-US"/>
              </w:rPr>
            </w:pPr>
          </w:p>
        </w:tc>
        <w:tc>
          <w:tcPr>
            <w:tcW w:w="1386" w:type="dxa"/>
            <w:tcBorders>
              <w:top w:val="single" w:sz="4" w:space="0" w:color="000000"/>
              <w:left w:val="single" w:sz="4" w:space="0" w:color="000000"/>
              <w:bottom w:val="single" w:sz="4" w:space="0" w:color="000000"/>
              <w:right w:val="single" w:sz="4" w:space="0" w:color="000000"/>
            </w:tcBorders>
            <w:vAlign w:val="center"/>
          </w:tcPr>
          <w:p w14:paraId="1F160839"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указанная размерность</w:t>
            </w:r>
          </w:p>
        </w:tc>
        <w:tc>
          <w:tcPr>
            <w:tcW w:w="1224" w:type="dxa"/>
            <w:tcBorders>
              <w:top w:val="single" w:sz="4" w:space="0" w:color="000000"/>
              <w:left w:val="single" w:sz="4" w:space="0" w:color="000000"/>
              <w:bottom w:val="single" w:sz="4" w:space="0" w:color="000000"/>
              <w:right w:val="single" w:sz="4" w:space="0" w:color="000000"/>
            </w:tcBorders>
            <w:vAlign w:val="center"/>
          </w:tcPr>
          <w:p w14:paraId="2B462CC7"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млн руб.</w:t>
            </w:r>
          </w:p>
        </w:tc>
        <w:tc>
          <w:tcPr>
            <w:tcW w:w="1225" w:type="dxa"/>
            <w:tcBorders>
              <w:top w:val="single" w:sz="4" w:space="0" w:color="000000"/>
              <w:left w:val="single" w:sz="4" w:space="0" w:color="000000"/>
              <w:bottom w:val="single" w:sz="4" w:space="0" w:color="000000"/>
              <w:right w:val="single" w:sz="4" w:space="0" w:color="000000"/>
            </w:tcBorders>
            <w:vAlign w:val="center"/>
          </w:tcPr>
          <w:p w14:paraId="3E309F5E"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млн руб.</w:t>
            </w:r>
          </w:p>
        </w:tc>
      </w:tr>
      <w:tr w:rsidR="002449C2" w14:paraId="785D417E" w14:textId="77777777">
        <w:tc>
          <w:tcPr>
            <w:tcW w:w="5652" w:type="dxa"/>
            <w:tcBorders>
              <w:top w:val="single" w:sz="4" w:space="0" w:color="000000"/>
              <w:left w:val="single" w:sz="4" w:space="0" w:color="000000"/>
              <w:bottom w:val="single" w:sz="4" w:space="0" w:color="000000"/>
              <w:right w:val="single" w:sz="4" w:space="0" w:color="000000"/>
            </w:tcBorders>
            <w:vAlign w:val="center"/>
          </w:tcPr>
          <w:p w14:paraId="4B59445C" w14:textId="77777777" w:rsidR="002449C2" w:rsidRDefault="00123961">
            <w:pPr>
              <w:shd w:val="clear" w:color="auto" w:fill="FFFFFF"/>
              <w:tabs>
                <w:tab w:val="left" w:pos="1080"/>
                <w:tab w:val="left" w:pos="1320"/>
              </w:tabs>
              <w:spacing w:after="0" w:line="240" w:lineRule="auto"/>
              <w:rPr>
                <w:rFonts w:ascii="Times New Roman" w:eastAsia="Arial" w:hAnsi="Times New Roman"/>
                <w:b/>
                <w:lang w:eastAsia="en-US"/>
              </w:rPr>
            </w:pPr>
            <w:r>
              <w:rPr>
                <w:rFonts w:ascii="Times New Roman" w:eastAsia="Arial" w:hAnsi="Times New Roman"/>
                <w:b/>
                <w:lang w:eastAsia="en-US"/>
              </w:rPr>
              <w:t>- целевые организационные мероприятия по снижению потерь электрической энергии, млн кВт·ч</w:t>
            </w:r>
          </w:p>
        </w:tc>
        <w:tc>
          <w:tcPr>
            <w:tcW w:w="1386" w:type="dxa"/>
            <w:tcBorders>
              <w:top w:val="single" w:sz="4" w:space="0" w:color="000000"/>
              <w:left w:val="single" w:sz="4" w:space="0" w:color="000000"/>
              <w:bottom w:val="single" w:sz="4" w:space="0" w:color="000000"/>
              <w:right w:val="single" w:sz="4" w:space="0" w:color="000000"/>
            </w:tcBorders>
            <w:vAlign w:val="center"/>
          </w:tcPr>
          <w:p w14:paraId="3AA06C8B"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c>
          <w:tcPr>
            <w:tcW w:w="1224" w:type="dxa"/>
            <w:tcBorders>
              <w:top w:val="single" w:sz="4" w:space="0" w:color="000000"/>
              <w:left w:val="single" w:sz="4" w:space="0" w:color="000000"/>
              <w:bottom w:val="single" w:sz="4" w:space="0" w:color="000000"/>
              <w:right w:val="single" w:sz="4" w:space="0" w:color="000000"/>
            </w:tcBorders>
            <w:vAlign w:val="center"/>
          </w:tcPr>
          <w:p w14:paraId="3770D249"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c>
          <w:tcPr>
            <w:tcW w:w="1225" w:type="dxa"/>
            <w:tcBorders>
              <w:top w:val="single" w:sz="4" w:space="0" w:color="000000"/>
              <w:left w:val="single" w:sz="4" w:space="0" w:color="000000"/>
              <w:bottom w:val="single" w:sz="4" w:space="0" w:color="000000"/>
              <w:right w:val="single" w:sz="4" w:space="0" w:color="000000"/>
            </w:tcBorders>
            <w:vAlign w:val="center"/>
          </w:tcPr>
          <w:p w14:paraId="7E40006D"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r>
      <w:tr w:rsidR="002449C2" w14:paraId="14286C6D" w14:textId="77777777">
        <w:tc>
          <w:tcPr>
            <w:tcW w:w="5652" w:type="dxa"/>
            <w:tcBorders>
              <w:top w:val="single" w:sz="4" w:space="0" w:color="000000"/>
              <w:left w:val="single" w:sz="4" w:space="0" w:color="000000"/>
              <w:bottom w:val="single" w:sz="4" w:space="0" w:color="000000"/>
              <w:right w:val="single" w:sz="4" w:space="0" w:color="000000"/>
            </w:tcBorders>
            <w:vAlign w:val="center"/>
          </w:tcPr>
          <w:p w14:paraId="2CA66E31"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lang w:eastAsia="en-US"/>
              </w:rPr>
            </w:pPr>
            <w:r>
              <w:rPr>
                <w:rFonts w:ascii="Times New Roman" w:eastAsia="Arial" w:hAnsi="Times New Roman"/>
                <w:lang w:eastAsia="en-US"/>
              </w:rPr>
              <w:t>Отключение трансформаторов на подстанциях с сезонной нагрузкой</w:t>
            </w:r>
          </w:p>
        </w:tc>
        <w:tc>
          <w:tcPr>
            <w:tcW w:w="1386" w:type="dxa"/>
            <w:tcBorders>
              <w:top w:val="single" w:sz="4" w:space="0" w:color="000000"/>
              <w:left w:val="single" w:sz="4" w:space="0" w:color="000000"/>
              <w:bottom w:val="single" w:sz="4" w:space="0" w:color="000000"/>
              <w:right w:val="single" w:sz="4" w:space="0" w:color="000000"/>
            </w:tcBorders>
            <w:vAlign w:val="center"/>
          </w:tcPr>
          <w:p w14:paraId="07DE2B8A"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1,21</w:t>
            </w:r>
          </w:p>
        </w:tc>
        <w:tc>
          <w:tcPr>
            <w:tcW w:w="1224" w:type="dxa"/>
            <w:tcBorders>
              <w:top w:val="single" w:sz="4" w:space="0" w:color="000000"/>
              <w:left w:val="single" w:sz="4" w:space="0" w:color="000000"/>
              <w:bottom w:val="single" w:sz="4" w:space="0" w:color="000000"/>
              <w:right w:val="single" w:sz="4" w:space="0" w:color="000000"/>
            </w:tcBorders>
            <w:vAlign w:val="center"/>
          </w:tcPr>
          <w:p w14:paraId="71390986"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4,82</w:t>
            </w:r>
          </w:p>
        </w:tc>
        <w:tc>
          <w:tcPr>
            <w:tcW w:w="1225" w:type="dxa"/>
            <w:tcBorders>
              <w:top w:val="single" w:sz="4" w:space="0" w:color="000000"/>
              <w:left w:val="single" w:sz="4" w:space="0" w:color="000000"/>
              <w:bottom w:val="single" w:sz="4" w:space="0" w:color="000000"/>
              <w:right w:val="single" w:sz="4" w:space="0" w:color="000000"/>
            </w:tcBorders>
            <w:vAlign w:val="center"/>
          </w:tcPr>
          <w:p w14:paraId="342F42F4"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w:t>
            </w:r>
          </w:p>
        </w:tc>
      </w:tr>
      <w:tr w:rsidR="002449C2" w14:paraId="1FC36CDA" w14:textId="77777777">
        <w:trPr>
          <w:trHeight w:val="281"/>
        </w:trPr>
        <w:tc>
          <w:tcPr>
            <w:tcW w:w="5652" w:type="dxa"/>
            <w:tcBorders>
              <w:top w:val="single" w:sz="4" w:space="0" w:color="000000"/>
              <w:left w:val="single" w:sz="4" w:space="0" w:color="000000"/>
              <w:bottom w:val="single" w:sz="4" w:space="0" w:color="000000"/>
              <w:right w:val="single" w:sz="4" w:space="0" w:color="000000"/>
            </w:tcBorders>
            <w:vAlign w:val="center"/>
          </w:tcPr>
          <w:p w14:paraId="6DD446A5"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lang w:eastAsia="en-US"/>
              </w:rPr>
            </w:pPr>
            <w:r>
              <w:rPr>
                <w:rFonts w:ascii="Times New Roman" w:eastAsia="Arial" w:hAnsi="Times New Roman"/>
                <w:lang w:eastAsia="en-US"/>
              </w:rPr>
              <w:t>Отключение трансформаторов в режимах малых нагрузок</w:t>
            </w:r>
          </w:p>
        </w:tc>
        <w:tc>
          <w:tcPr>
            <w:tcW w:w="1386" w:type="dxa"/>
            <w:tcBorders>
              <w:top w:val="single" w:sz="4" w:space="0" w:color="000000"/>
              <w:left w:val="single" w:sz="4" w:space="0" w:color="000000"/>
              <w:bottom w:val="single" w:sz="4" w:space="0" w:color="000000"/>
              <w:right w:val="single" w:sz="4" w:space="0" w:color="000000"/>
            </w:tcBorders>
            <w:vAlign w:val="center"/>
          </w:tcPr>
          <w:p w14:paraId="03A718DD"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1,66</w:t>
            </w:r>
          </w:p>
        </w:tc>
        <w:tc>
          <w:tcPr>
            <w:tcW w:w="1224" w:type="dxa"/>
            <w:tcBorders>
              <w:top w:val="single" w:sz="4" w:space="0" w:color="000000"/>
              <w:left w:val="single" w:sz="4" w:space="0" w:color="000000"/>
              <w:bottom w:val="single" w:sz="4" w:space="0" w:color="000000"/>
              <w:right w:val="single" w:sz="4" w:space="0" w:color="000000"/>
            </w:tcBorders>
            <w:vAlign w:val="center"/>
          </w:tcPr>
          <w:p w14:paraId="3C717F92"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7,44</w:t>
            </w:r>
          </w:p>
        </w:tc>
        <w:tc>
          <w:tcPr>
            <w:tcW w:w="1225" w:type="dxa"/>
            <w:tcBorders>
              <w:top w:val="single" w:sz="4" w:space="0" w:color="000000"/>
              <w:left w:val="single" w:sz="4" w:space="0" w:color="000000"/>
              <w:bottom w:val="single" w:sz="4" w:space="0" w:color="000000"/>
              <w:right w:val="single" w:sz="4" w:space="0" w:color="000000"/>
            </w:tcBorders>
            <w:vAlign w:val="center"/>
          </w:tcPr>
          <w:p w14:paraId="6937E119"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w:t>
            </w:r>
          </w:p>
        </w:tc>
      </w:tr>
      <w:tr w:rsidR="002449C2" w14:paraId="14EFC9DD" w14:textId="77777777">
        <w:tc>
          <w:tcPr>
            <w:tcW w:w="5652" w:type="dxa"/>
            <w:tcBorders>
              <w:top w:val="single" w:sz="4" w:space="0" w:color="000000"/>
              <w:left w:val="single" w:sz="4" w:space="0" w:color="000000"/>
              <w:bottom w:val="single" w:sz="4" w:space="0" w:color="000000"/>
              <w:right w:val="single" w:sz="4" w:space="0" w:color="000000"/>
            </w:tcBorders>
            <w:vAlign w:val="center"/>
          </w:tcPr>
          <w:p w14:paraId="2733A8D6"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lang w:eastAsia="en-US"/>
              </w:rPr>
            </w:pPr>
            <w:r>
              <w:rPr>
                <w:rFonts w:ascii="Times New Roman" w:eastAsia="Arial" w:hAnsi="Times New Roman"/>
                <w:lang w:eastAsia="en-US"/>
              </w:rPr>
              <w:t>Выравнивание нагрузок фаз в распределительных сетях 0,4 кВ</w:t>
            </w:r>
          </w:p>
        </w:tc>
        <w:tc>
          <w:tcPr>
            <w:tcW w:w="1386" w:type="dxa"/>
            <w:tcBorders>
              <w:top w:val="single" w:sz="4" w:space="0" w:color="000000"/>
              <w:left w:val="single" w:sz="4" w:space="0" w:color="000000"/>
              <w:bottom w:val="single" w:sz="4" w:space="0" w:color="000000"/>
              <w:right w:val="single" w:sz="4" w:space="0" w:color="000000"/>
            </w:tcBorders>
            <w:vAlign w:val="center"/>
          </w:tcPr>
          <w:p w14:paraId="03E0D1B8"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0,71</w:t>
            </w:r>
          </w:p>
        </w:tc>
        <w:tc>
          <w:tcPr>
            <w:tcW w:w="1224" w:type="dxa"/>
            <w:tcBorders>
              <w:top w:val="single" w:sz="4" w:space="0" w:color="000000"/>
              <w:left w:val="single" w:sz="4" w:space="0" w:color="000000"/>
              <w:bottom w:val="single" w:sz="4" w:space="0" w:color="000000"/>
              <w:right w:val="single" w:sz="4" w:space="0" w:color="000000"/>
            </w:tcBorders>
            <w:vAlign w:val="center"/>
          </w:tcPr>
          <w:p w14:paraId="62DA2741"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2,958</w:t>
            </w:r>
          </w:p>
        </w:tc>
        <w:tc>
          <w:tcPr>
            <w:tcW w:w="1225" w:type="dxa"/>
            <w:tcBorders>
              <w:top w:val="single" w:sz="4" w:space="0" w:color="000000"/>
              <w:left w:val="single" w:sz="4" w:space="0" w:color="000000"/>
              <w:bottom w:val="single" w:sz="4" w:space="0" w:color="000000"/>
              <w:right w:val="single" w:sz="4" w:space="0" w:color="000000"/>
            </w:tcBorders>
            <w:vAlign w:val="center"/>
          </w:tcPr>
          <w:p w14:paraId="6620D748"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w:t>
            </w:r>
          </w:p>
        </w:tc>
      </w:tr>
      <w:tr w:rsidR="002449C2" w14:paraId="61D0F083" w14:textId="77777777">
        <w:tc>
          <w:tcPr>
            <w:tcW w:w="5652" w:type="dxa"/>
            <w:tcBorders>
              <w:top w:val="single" w:sz="4" w:space="0" w:color="000000"/>
              <w:left w:val="single" w:sz="4" w:space="0" w:color="000000"/>
              <w:bottom w:val="single" w:sz="4" w:space="0" w:color="000000"/>
              <w:right w:val="single" w:sz="4" w:space="0" w:color="000000"/>
            </w:tcBorders>
            <w:vAlign w:val="center"/>
          </w:tcPr>
          <w:p w14:paraId="4E1FDB8E"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b/>
                <w:lang w:eastAsia="en-US"/>
              </w:rPr>
            </w:pPr>
            <w:r>
              <w:rPr>
                <w:rFonts w:ascii="Times New Roman" w:eastAsia="Arial" w:hAnsi="Times New Roman"/>
                <w:b/>
                <w:lang w:eastAsia="en-US"/>
              </w:rPr>
              <w:t>- целевые технические мероприятия по снижению потерь электрической энергии, млн кВт·ч</w:t>
            </w:r>
          </w:p>
        </w:tc>
        <w:tc>
          <w:tcPr>
            <w:tcW w:w="1386" w:type="dxa"/>
            <w:tcBorders>
              <w:top w:val="single" w:sz="4" w:space="0" w:color="000000"/>
              <w:left w:val="single" w:sz="4" w:space="0" w:color="000000"/>
              <w:bottom w:val="single" w:sz="4" w:space="0" w:color="000000"/>
              <w:right w:val="single" w:sz="4" w:space="0" w:color="000000"/>
            </w:tcBorders>
            <w:vAlign w:val="center"/>
          </w:tcPr>
          <w:p w14:paraId="3736C03C"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c>
          <w:tcPr>
            <w:tcW w:w="1224" w:type="dxa"/>
            <w:tcBorders>
              <w:top w:val="single" w:sz="4" w:space="0" w:color="000000"/>
              <w:left w:val="single" w:sz="4" w:space="0" w:color="000000"/>
              <w:bottom w:val="single" w:sz="4" w:space="0" w:color="000000"/>
              <w:right w:val="single" w:sz="4" w:space="0" w:color="000000"/>
            </w:tcBorders>
            <w:vAlign w:val="center"/>
          </w:tcPr>
          <w:p w14:paraId="4A799BFB"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c>
          <w:tcPr>
            <w:tcW w:w="1225" w:type="dxa"/>
            <w:tcBorders>
              <w:top w:val="single" w:sz="4" w:space="0" w:color="000000"/>
              <w:left w:val="single" w:sz="4" w:space="0" w:color="000000"/>
              <w:bottom w:val="single" w:sz="4" w:space="0" w:color="000000"/>
              <w:right w:val="single" w:sz="4" w:space="0" w:color="000000"/>
            </w:tcBorders>
            <w:vAlign w:val="center"/>
          </w:tcPr>
          <w:p w14:paraId="3661D263"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r>
      <w:tr w:rsidR="002449C2" w14:paraId="69C21864" w14:textId="77777777">
        <w:tc>
          <w:tcPr>
            <w:tcW w:w="5652" w:type="dxa"/>
            <w:tcBorders>
              <w:top w:val="single" w:sz="4" w:space="0" w:color="000000"/>
              <w:left w:val="single" w:sz="4" w:space="0" w:color="000000"/>
              <w:bottom w:val="single" w:sz="4" w:space="0" w:color="000000"/>
              <w:right w:val="single" w:sz="4" w:space="0" w:color="000000"/>
            </w:tcBorders>
            <w:vAlign w:val="center"/>
          </w:tcPr>
          <w:p w14:paraId="27A7B58C"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lang w:eastAsia="en-US"/>
              </w:rPr>
            </w:pPr>
            <w:r>
              <w:rPr>
                <w:rFonts w:ascii="Times New Roman" w:eastAsia="Arial" w:hAnsi="Times New Roman"/>
                <w:lang w:eastAsia="en-US"/>
              </w:rPr>
              <w:t>Замена ответвлений в жилые дома на СИП</w:t>
            </w:r>
          </w:p>
        </w:tc>
        <w:tc>
          <w:tcPr>
            <w:tcW w:w="1386" w:type="dxa"/>
            <w:tcBorders>
              <w:top w:val="single" w:sz="4" w:space="0" w:color="000000"/>
              <w:left w:val="single" w:sz="4" w:space="0" w:color="000000"/>
              <w:bottom w:val="single" w:sz="4" w:space="0" w:color="000000"/>
              <w:right w:val="single" w:sz="4" w:space="0" w:color="000000"/>
            </w:tcBorders>
            <w:vAlign w:val="center"/>
          </w:tcPr>
          <w:p w14:paraId="67EC7B2C"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0,01</w:t>
            </w:r>
          </w:p>
        </w:tc>
        <w:tc>
          <w:tcPr>
            <w:tcW w:w="1224" w:type="dxa"/>
            <w:tcBorders>
              <w:top w:val="single" w:sz="4" w:space="0" w:color="000000"/>
              <w:left w:val="single" w:sz="4" w:space="0" w:color="000000"/>
              <w:bottom w:val="single" w:sz="4" w:space="0" w:color="000000"/>
              <w:right w:val="single" w:sz="4" w:space="0" w:color="000000"/>
            </w:tcBorders>
            <w:vAlign w:val="center"/>
          </w:tcPr>
          <w:p w14:paraId="763E337A"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0,03</w:t>
            </w:r>
          </w:p>
        </w:tc>
        <w:tc>
          <w:tcPr>
            <w:tcW w:w="1225" w:type="dxa"/>
            <w:tcBorders>
              <w:top w:val="single" w:sz="4" w:space="0" w:color="000000"/>
              <w:left w:val="single" w:sz="4" w:space="0" w:color="000000"/>
              <w:bottom w:val="single" w:sz="4" w:space="0" w:color="000000"/>
              <w:right w:val="single" w:sz="4" w:space="0" w:color="000000"/>
            </w:tcBorders>
          </w:tcPr>
          <w:p w14:paraId="4B49D01F"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w:t>
            </w:r>
          </w:p>
        </w:tc>
      </w:tr>
      <w:tr w:rsidR="002449C2" w14:paraId="384F7079" w14:textId="77777777">
        <w:trPr>
          <w:trHeight w:val="98"/>
        </w:trPr>
        <w:tc>
          <w:tcPr>
            <w:tcW w:w="5652" w:type="dxa"/>
            <w:tcBorders>
              <w:top w:val="single" w:sz="4" w:space="0" w:color="000000"/>
              <w:left w:val="single" w:sz="4" w:space="0" w:color="000000"/>
              <w:bottom w:val="single" w:sz="4" w:space="0" w:color="000000"/>
              <w:right w:val="single" w:sz="4" w:space="0" w:color="000000"/>
            </w:tcBorders>
            <w:vAlign w:val="center"/>
          </w:tcPr>
          <w:p w14:paraId="562E9A14"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lang w:eastAsia="en-US"/>
              </w:rPr>
            </w:pPr>
            <w:r>
              <w:rPr>
                <w:rFonts w:ascii="Times New Roman" w:eastAsia="Arial" w:hAnsi="Times New Roman"/>
                <w:lang w:eastAsia="en-US"/>
              </w:rPr>
              <w:t>Замена изоляторов поврежденных ВЛ 110 кВ и выше</w:t>
            </w:r>
          </w:p>
        </w:tc>
        <w:tc>
          <w:tcPr>
            <w:tcW w:w="1386" w:type="dxa"/>
            <w:tcBorders>
              <w:top w:val="single" w:sz="4" w:space="0" w:color="000000"/>
              <w:left w:val="single" w:sz="4" w:space="0" w:color="000000"/>
              <w:bottom w:val="single" w:sz="4" w:space="0" w:color="000000"/>
              <w:right w:val="single" w:sz="4" w:space="0" w:color="000000"/>
            </w:tcBorders>
            <w:vAlign w:val="center"/>
          </w:tcPr>
          <w:p w14:paraId="54D9E4BB"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0,25</w:t>
            </w:r>
          </w:p>
        </w:tc>
        <w:tc>
          <w:tcPr>
            <w:tcW w:w="1224" w:type="dxa"/>
            <w:tcBorders>
              <w:top w:val="single" w:sz="4" w:space="0" w:color="000000"/>
              <w:left w:val="single" w:sz="4" w:space="0" w:color="000000"/>
              <w:bottom w:val="single" w:sz="4" w:space="0" w:color="000000"/>
              <w:right w:val="single" w:sz="4" w:space="0" w:color="000000"/>
            </w:tcBorders>
            <w:vAlign w:val="center"/>
          </w:tcPr>
          <w:p w14:paraId="4628B040"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0,85</w:t>
            </w:r>
          </w:p>
        </w:tc>
        <w:tc>
          <w:tcPr>
            <w:tcW w:w="1225" w:type="dxa"/>
            <w:tcBorders>
              <w:top w:val="single" w:sz="4" w:space="0" w:color="000000"/>
              <w:left w:val="single" w:sz="4" w:space="0" w:color="000000"/>
              <w:bottom w:val="single" w:sz="4" w:space="0" w:color="000000"/>
              <w:right w:val="single" w:sz="4" w:space="0" w:color="000000"/>
            </w:tcBorders>
          </w:tcPr>
          <w:p w14:paraId="21FE6AAF"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15,63</w:t>
            </w:r>
          </w:p>
        </w:tc>
      </w:tr>
      <w:tr w:rsidR="002449C2" w14:paraId="7BE32721" w14:textId="77777777">
        <w:trPr>
          <w:trHeight w:val="98"/>
        </w:trPr>
        <w:tc>
          <w:tcPr>
            <w:tcW w:w="5652" w:type="dxa"/>
            <w:tcBorders>
              <w:top w:val="single" w:sz="4" w:space="0" w:color="000000"/>
              <w:left w:val="single" w:sz="4" w:space="0" w:color="000000"/>
              <w:bottom w:val="single" w:sz="4" w:space="0" w:color="000000"/>
              <w:right w:val="single" w:sz="4" w:space="0" w:color="000000"/>
            </w:tcBorders>
            <w:vAlign w:val="center"/>
          </w:tcPr>
          <w:p w14:paraId="5A9AB4F0"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lang w:eastAsia="en-US"/>
              </w:rPr>
            </w:pPr>
            <w:r>
              <w:rPr>
                <w:rFonts w:ascii="Times New Roman" w:eastAsia="Arial" w:hAnsi="Times New Roman"/>
                <w:lang w:eastAsia="en-US"/>
              </w:rPr>
              <w:t>Ревизия магнитопровода силовых трансформаторов 35-110 кВ</w:t>
            </w:r>
          </w:p>
        </w:tc>
        <w:tc>
          <w:tcPr>
            <w:tcW w:w="1386" w:type="dxa"/>
            <w:tcBorders>
              <w:top w:val="single" w:sz="4" w:space="0" w:color="000000"/>
              <w:left w:val="single" w:sz="4" w:space="0" w:color="000000"/>
              <w:bottom w:val="single" w:sz="4" w:space="0" w:color="000000"/>
              <w:right w:val="single" w:sz="4" w:space="0" w:color="000000"/>
            </w:tcBorders>
            <w:vAlign w:val="center"/>
          </w:tcPr>
          <w:p w14:paraId="7C1C3300"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0,30</w:t>
            </w:r>
          </w:p>
        </w:tc>
        <w:tc>
          <w:tcPr>
            <w:tcW w:w="1224" w:type="dxa"/>
            <w:tcBorders>
              <w:top w:val="single" w:sz="4" w:space="0" w:color="000000"/>
              <w:left w:val="single" w:sz="4" w:space="0" w:color="000000"/>
              <w:bottom w:val="single" w:sz="4" w:space="0" w:color="000000"/>
              <w:right w:val="single" w:sz="4" w:space="0" w:color="000000"/>
            </w:tcBorders>
            <w:vAlign w:val="center"/>
          </w:tcPr>
          <w:p w14:paraId="60DD82B4"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0,88</w:t>
            </w:r>
          </w:p>
        </w:tc>
        <w:tc>
          <w:tcPr>
            <w:tcW w:w="1225" w:type="dxa"/>
            <w:tcBorders>
              <w:top w:val="single" w:sz="4" w:space="0" w:color="000000"/>
              <w:left w:val="single" w:sz="4" w:space="0" w:color="000000"/>
              <w:bottom w:val="single" w:sz="4" w:space="0" w:color="000000"/>
              <w:right w:val="single" w:sz="4" w:space="0" w:color="000000"/>
            </w:tcBorders>
          </w:tcPr>
          <w:p w14:paraId="2CEC2F66"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w:t>
            </w:r>
          </w:p>
        </w:tc>
      </w:tr>
      <w:tr w:rsidR="002449C2" w14:paraId="7D89D9A4" w14:textId="77777777">
        <w:tc>
          <w:tcPr>
            <w:tcW w:w="5652" w:type="dxa"/>
            <w:tcBorders>
              <w:top w:val="single" w:sz="4" w:space="0" w:color="000000"/>
              <w:left w:val="single" w:sz="4" w:space="0" w:color="000000"/>
              <w:bottom w:val="single" w:sz="4" w:space="0" w:color="000000"/>
              <w:right w:val="single" w:sz="4" w:space="0" w:color="000000"/>
            </w:tcBorders>
            <w:vAlign w:val="center"/>
          </w:tcPr>
          <w:p w14:paraId="54611D57"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b/>
                <w:lang w:eastAsia="en-US"/>
              </w:rPr>
            </w:pPr>
            <w:r>
              <w:rPr>
                <w:rFonts w:ascii="Times New Roman" w:eastAsia="Arial" w:hAnsi="Times New Roman"/>
                <w:b/>
                <w:lang w:eastAsia="en-US"/>
              </w:rPr>
              <w:t>- мероприятия, направленные на снижение расхода электроэнергии на собственные нужды подстанций, млн кВт·ч</w:t>
            </w:r>
          </w:p>
        </w:tc>
        <w:tc>
          <w:tcPr>
            <w:tcW w:w="1386" w:type="dxa"/>
            <w:tcBorders>
              <w:top w:val="single" w:sz="4" w:space="0" w:color="000000"/>
              <w:left w:val="single" w:sz="4" w:space="0" w:color="000000"/>
              <w:bottom w:val="single" w:sz="4" w:space="0" w:color="000000"/>
              <w:right w:val="single" w:sz="4" w:space="0" w:color="000000"/>
            </w:tcBorders>
            <w:vAlign w:val="center"/>
          </w:tcPr>
          <w:p w14:paraId="2CAF724A"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c>
          <w:tcPr>
            <w:tcW w:w="1224" w:type="dxa"/>
            <w:tcBorders>
              <w:top w:val="single" w:sz="4" w:space="0" w:color="000000"/>
              <w:left w:val="single" w:sz="4" w:space="0" w:color="000000"/>
              <w:bottom w:val="single" w:sz="4" w:space="0" w:color="000000"/>
              <w:right w:val="single" w:sz="4" w:space="0" w:color="000000"/>
            </w:tcBorders>
            <w:vAlign w:val="center"/>
          </w:tcPr>
          <w:p w14:paraId="61C058FF"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c>
          <w:tcPr>
            <w:tcW w:w="1225" w:type="dxa"/>
            <w:tcBorders>
              <w:top w:val="single" w:sz="4" w:space="0" w:color="000000"/>
              <w:left w:val="single" w:sz="4" w:space="0" w:color="000000"/>
              <w:bottom w:val="single" w:sz="4" w:space="0" w:color="000000"/>
              <w:right w:val="single" w:sz="4" w:space="0" w:color="000000"/>
            </w:tcBorders>
            <w:vAlign w:val="center"/>
          </w:tcPr>
          <w:p w14:paraId="2B231FDB"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r>
      <w:tr w:rsidR="002449C2" w14:paraId="7D1A7C8D" w14:textId="77777777">
        <w:trPr>
          <w:trHeight w:val="196"/>
        </w:trPr>
        <w:tc>
          <w:tcPr>
            <w:tcW w:w="5652" w:type="dxa"/>
            <w:tcBorders>
              <w:top w:val="single" w:sz="4" w:space="0" w:color="000000"/>
              <w:left w:val="single" w:sz="4" w:space="0" w:color="000000"/>
              <w:bottom w:val="single" w:sz="4" w:space="0" w:color="000000"/>
              <w:right w:val="single" w:sz="4" w:space="0" w:color="000000"/>
            </w:tcBorders>
            <w:vAlign w:val="center"/>
          </w:tcPr>
          <w:p w14:paraId="2C6F548D"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lang w:eastAsia="en-US"/>
              </w:rPr>
            </w:pPr>
            <w:r>
              <w:rPr>
                <w:rFonts w:ascii="Times New Roman" w:eastAsia="Arial" w:hAnsi="Times New Roman"/>
                <w:lang w:eastAsia="en-US"/>
              </w:rPr>
              <w:t>Оптимизация режимов работы средств отопления, кондиционирования, вентиляции и устройств освещения ПС</w:t>
            </w:r>
          </w:p>
        </w:tc>
        <w:tc>
          <w:tcPr>
            <w:tcW w:w="1386" w:type="dxa"/>
            <w:tcBorders>
              <w:top w:val="single" w:sz="4" w:space="0" w:color="000000"/>
              <w:left w:val="single" w:sz="4" w:space="0" w:color="000000"/>
              <w:bottom w:val="single" w:sz="4" w:space="0" w:color="000000"/>
              <w:right w:val="single" w:sz="4" w:space="0" w:color="000000"/>
            </w:tcBorders>
            <w:vAlign w:val="center"/>
          </w:tcPr>
          <w:p w14:paraId="460B7552"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1,358</w:t>
            </w:r>
          </w:p>
        </w:tc>
        <w:tc>
          <w:tcPr>
            <w:tcW w:w="1224" w:type="dxa"/>
            <w:tcBorders>
              <w:top w:val="single" w:sz="4" w:space="0" w:color="000000"/>
              <w:left w:val="single" w:sz="4" w:space="0" w:color="000000"/>
              <w:bottom w:val="single" w:sz="4" w:space="0" w:color="000000"/>
              <w:right w:val="single" w:sz="4" w:space="0" w:color="000000"/>
            </w:tcBorders>
            <w:vAlign w:val="center"/>
          </w:tcPr>
          <w:p w14:paraId="40A0AB4C"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6,534</w:t>
            </w:r>
          </w:p>
        </w:tc>
        <w:tc>
          <w:tcPr>
            <w:tcW w:w="1225" w:type="dxa"/>
            <w:tcBorders>
              <w:top w:val="single" w:sz="4" w:space="0" w:color="000000"/>
              <w:left w:val="single" w:sz="4" w:space="0" w:color="000000"/>
              <w:bottom w:val="single" w:sz="4" w:space="0" w:color="000000"/>
              <w:right w:val="single" w:sz="4" w:space="0" w:color="000000"/>
            </w:tcBorders>
            <w:vAlign w:val="center"/>
          </w:tcPr>
          <w:p w14:paraId="6ED85AA6"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w:t>
            </w:r>
          </w:p>
        </w:tc>
      </w:tr>
      <w:tr w:rsidR="002449C2" w14:paraId="6AB2E4C0" w14:textId="77777777">
        <w:trPr>
          <w:trHeight w:val="196"/>
        </w:trPr>
        <w:tc>
          <w:tcPr>
            <w:tcW w:w="5652" w:type="dxa"/>
            <w:tcBorders>
              <w:top w:val="single" w:sz="4" w:space="0" w:color="000000"/>
              <w:left w:val="single" w:sz="4" w:space="0" w:color="000000"/>
              <w:bottom w:val="single" w:sz="4" w:space="0" w:color="000000"/>
              <w:right w:val="single" w:sz="4" w:space="0" w:color="000000"/>
            </w:tcBorders>
            <w:vAlign w:val="center"/>
          </w:tcPr>
          <w:p w14:paraId="7C291CF0"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lang w:eastAsia="en-US"/>
              </w:rPr>
            </w:pPr>
            <w:r>
              <w:rPr>
                <w:rFonts w:ascii="Times New Roman" w:eastAsia="Arial" w:hAnsi="Times New Roman"/>
                <w:lang w:eastAsia="en-US"/>
              </w:rPr>
              <w:t>Уплотнение дверных проемов и оконных рам производственных помещений подстанций, шкафов оборудования</w:t>
            </w:r>
          </w:p>
        </w:tc>
        <w:tc>
          <w:tcPr>
            <w:tcW w:w="1386" w:type="dxa"/>
            <w:tcBorders>
              <w:top w:val="single" w:sz="4" w:space="0" w:color="000000"/>
              <w:left w:val="single" w:sz="4" w:space="0" w:color="000000"/>
              <w:bottom w:val="single" w:sz="4" w:space="0" w:color="000000"/>
              <w:right w:val="single" w:sz="4" w:space="0" w:color="000000"/>
            </w:tcBorders>
            <w:vAlign w:val="center"/>
          </w:tcPr>
          <w:p w14:paraId="50481CCC"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0,181</w:t>
            </w:r>
          </w:p>
        </w:tc>
        <w:tc>
          <w:tcPr>
            <w:tcW w:w="1224" w:type="dxa"/>
            <w:tcBorders>
              <w:top w:val="single" w:sz="4" w:space="0" w:color="000000"/>
              <w:left w:val="single" w:sz="4" w:space="0" w:color="000000"/>
              <w:bottom w:val="single" w:sz="4" w:space="0" w:color="000000"/>
              <w:right w:val="single" w:sz="4" w:space="0" w:color="000000"/>
            </w:tcBorders>
            <w:vAlign w:val="center"/>
          </w:tcPr>
          <w:p w14:paraId="79859074"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0,667</w:t>
            </w:r>
          </w:p>
        </w:tc>
        <w:tc>
          <w:tcPr>
            <w:tcW w:w="1225" w:type="dxa"/>
            <w:tcBorders>
              <w:top w:val="single" w:sz="4" w:space="0" w:color="000000"/>
              <w:left w:val="single" w:sz="4" w:space="0" w:color="000000"/>
              <w:bottom w:val="single" w:sz="4" w:space="0" w:color="000000"/>
              <w:right w:val="single" w:sz="4" w:space="0" w:color="000000"/>
            </w:tcBorders>
            <w:vAlign w:val="center"/>
          </w:tcPr>
          <w:p w14:paraId="1403A3E3"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w:t>
            </w:r>
          </w:p>
        </w:tc>
      </w:tr>
      <w:tr w:rsidR="002449C2" w14:paraId="1D3D04BC" w14:textId="77777777">
        <w:tc>
          <w:tcPr>
            <w:tcW w:w="5652" w:type="dxa"/>
            <w:tcBorders>
              <w:top w:val="single" w:sz="4" w:space="0" w:color="000000"/>
              <w:left w:val="single" w:sz="4" w:space="0" w:color="000000"/>
              <w:bottom w:val="single" w:sz="4" w:space="0" w:color="000000"/>
              <w:right w:val="single" w:sz="4" w:space="0" w:color="000000"/>
            </w:tcBorders>
            <w:vAlign w:val="center"/>
          </w:tcPr>
          <w:p w14:paraId="6BFE76CF"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lang w:eastAsia="en-US"/>
              </w:rPr>
            </w:pPr>
            <w:r>
              <w:rPr>
                <w:rFonts w:ascii="Times New Roman" w:eastAsia="Arial" w:hAnsi="Times New Roman"/>
                <w:b/>
                <w:lang w:eastAsia="en-US"/>
              </w:rPr>
              <w:t>- мероприятия с «сопутствующим» эффектом, млн кВт·ч</w:t>
            </w:r>
          </w:p>
        </w:tc>
        <w:tc>
          <w:tcPr>
            <w:tcW w:w="1386" w:type="dxa"/>
            <w:tcBorders>
              <w:top w:val="single" w:sz="4" w:space="0" w:color="000000"/>
              <w:left w:val="single" w:sz="4" w:space="0" w:color="000000"/>
              <w:bottom w:val="single" w:sz="4" w:space="0" w:color="000000"/>
              <w:right w:val="single" w:sz="4" w:space="0" w:color="000000"/>
            </w:tcBorders>
            <w:vAlign w:val="center"/>
          </w:tcPr>
          <w:p w14:paraId="1C20D3F8"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c>
          <w:tcPr>
            <w:tcW w:w="1224" w:type="dxa"/>
            <w:tcBorders>
              <w:top w:val="single" w:sz="4" w:space="0" w:color="000000"/>
              <w:left w:val="single" w:sz="4" w:space="0" w:color="000000"/>
              <w:bottom w:val="single" w:sz="4" w:space="0" w:color="000000"/>
              <w:right w:val="single" w:sz="4" w:space="0" w:color="000000"/>
            </w:tcBorders>
            <w:vAlign w:val="center"/>
          </w:tcPr>
          <w:p w14:paraId="327092CF"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c>
          <w:tcPr>
            <w:tcW w:w="1225" w:type="dxa"/>
            <w:tcBorders>
              <w:top w:val="single" w:sz="4" w:space="0" w:color="000000"/>
              <w:left w:val="single" w:sz="4" w:space="0" w:color="000000"/>
              <w:bottom w:val="single" w:sz="4" w:space="0" w:color="000000"/>
              <w:right w:val="single" w:sz="4" w:space="0" w:color="000000"/>
            </w:tcBorders>
            <w:vAlign w:val="center"/>
          </w:tcPr>
          <w:p w14:paraId="23BCCE24"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r>
      <w:tr w:rsidR="002449C2" w14:paraId="16B672C6" w14:textId="77777777">
        <w:tc>
          <w:tcPr>
            <w:tcW w:w="5652" w:type="dxa"/>
            <w:tcBorders>
              <w:top w:val="single" w:sz="4" w:space="0" w:color="000000"/>
              <w:left w:val="single" w:sz="4" w:space="0" w:color="000000"/>
              <w:bottom w:val="single" w:sz="4" w:space="0" w:color="000000"/>
              <w:right w:val="single" w:sz="4" w:space="0" w:color="000000"/>
            </w:tcBorders>
            <w:vAlign w:val="center"/>
          </w:tcPr>
          <w:p w14:paraId="48EB68FA"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lang w:eastAsia="en-US"/>
              </w:rPr>
            </w:pPr>
            <w:r>
              <w:rPr>
                <w:rFonts w:ascii="Times New Roman" w:eastAsia="Arial" w:hAnsi="Times New Roman"/>
                <w:lang w:eastAsia="en-US"/>
              </w:rPr>
              <w:t>Программа развития средств учета и контроля электроэнергии</w:t>
            </w:r>
          </w:p>
        </w:tc>
        <w:tc>
          <w:tcPr>
            <w:tcW w:w="1386" w:type="dxa"/>
            <w:tcBorders>
              <w:top w:val="single" w:sz="4" w:space="0" w:color="000000"/>
              <w:left w:val="single" w:sz="4" w:space="0" w:color="000000"/>
              <w:bottom w:val="single" w:sz="4" w:space="0" w:color="000000"/>
              <w:right w:val="single" w:sz="4" w:space="0" w:color="000000"/>
            </w:tcBorders>
            <w:vAlign w:val="center"/>
          </w:tcPr>
          <w:p w14:paraId="0A272002"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21,72</w:t>
            </w:r>
          </w:p>
        </w:tc>
        <w:tc>
          <w:tcPr>
            <w:tcW w:w="1224" w:type="dxa"/>
            <w:tcBorders>
              <w:top w:val="single" w:sz="4" w:space="0" w:color="000000"/>
              <w:left w:val="single" w:sz="4" w:space="0" w:color="000000"/>
              <w:bottom w:val="single" w:sz="4" w:space="0" w:color="000000"/>
              <w:right w:val="single" w:sz="4" w:space="0" w:color="000000"/>
            </w:tcBorders>
            <w:vAlign w:val="center"/>
          </w:tcPr>
          <w:p w14:paraId="1A039065"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87,03</w:t>
            </w:r>
          </w:p>
        </w:tc>
        <w:tc>
          <w:tcPr>
            <w:tcW w:w="1225" w:type="dxa"/>
            <w:tcBorders>
              <w:top w:val="single" w:sz="4" w:space="0" w:color="000000"/>
              <w:left w:val="single" w:sz="4" w:space="0" w:color="000000"/>
              <w:bottom w:val="single" w:sz="4" w:space="0" w:color="000000"/>
              <w:right w:val="single" w:sz="4" w:space="0" w:color="000000"/>
            </w:tcBorders>
            <w:vAlign w:val="center"/>
          </w:tcPr>
          <w:p w14:paraId="15C737DA"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77,33</w:t>
            </w:r>
          </w:p>
        </w:tc>
      </w:tr>
      <w:tr w:rsidR="002449C2" w14:paraId="2AC0D6E6" w14:textId="77777777">
        <w:trPr>
          <w:trHeight w:val="196"/>
        </w:trPr>
        <w:tc>
          <w:tcPr>
            <w:tcW w:w="5652" w:type="dxa"/>
            <w:tcBorders>
              <w:top w:val="single" w:sz="4" w:space="0" w:color="000000"/>
              <w:left w:val="single" w:sz="4" w:space="0" w:color="000000"/>
              <w:bottom w:val="single" w:sz="4" w:space="0" w:color="000000"/>
              <w:right w:val="single" w:sz="4" w:space="0" w:color="000000"/>
            </w:tcBorders>
            <w:vAlign w:val="center"/>
          </w:tcPr>
          <w:p w14:paraId="705DE1D4"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lang w:eastAsia="en-US"/>
              </w:rPr>
            </w:pPr>
            <w:r>
              <w:rPr>
                <w:rFonts w:ascii="Times New Roman" w:eastAsia="Arial" w:hAnsi="Times New Roman"/>
                <w:lang w:eastAsia="en-US"/>
              </w:rPr>
              <w:t>Техническое перевооружение и реконструкция и новое строительство</w:t>
            </w:r>
          </w:p>
        </w:tc>
        <w:tc>
          <w:tcPr>
            <w:tcW w:w="1386" w:type="dxa"/>
            <w:tcBorders>
              <w:top w:val="single" w:sz="4" w:space="0" w:color="000000"/>
              <w:left w:val="single" w:sz="4" w:space="0" w:color="000000"/>
              <w:bottom w:val="single" w:sz="4" w:space="0" w:color="000000"/>
              <w:right w:val="single" w:sz="4" w:space="0" w:color="000000"/>
            </w:tcBorders>
            <w:vAlign w:val="center"/>
          </w:tcPr>
          <w:p w14:paraId="5CAD824B"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w:t>
            </w:r>
          </w:p>
        </w:tc>
        <w:tc>
          <w:tcPr>
            <w:tcW w:w="1224" w:type="dxa"/>
            <w:tcBorders>
              <w:top w:val="single" w:sz="4" w:space="0" w:color="000000"/>
              <w:left w:val="single" w:sz="4" w:space="0" w:color="000000"/>
              <w:bottom w:val="single" w:sz="4" w:space="0" w:color="000000"/>
              <w:right w:val="single" w:sz="4" w:space="0" w:color="000000"/>
            </w:tcBorders>
            <w:vAlign w:val="center"/>
          </w:tcPr>
          <w:p w14:paraId="076C4FE4"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w:t>
            </w:r>
          </w:p>
        </w:tc>
        <w:tc>
          <w:tcPr>
            <w:tcW w:w="1225" w:type="dxa"/>
            <w:tcBorders>
              <w:top w:val="single" w:sz="4" w:space="0" w:color="000000"/>
              <w:left w:val="single" w:sz="4" w:space="0" w:color="000000"/>
              <w:bottom w:val="single" w:sz="4" w:space="0" w:color="000000"/>
              <w:right w:val="single" w:sz="4" w:space="0" w:color="000000"/>
            </w:tcBorders>
            <w:vAlign w:val="center"/>
          </w:tcPr>
          <w:p w14:paraId="61418CBB"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w:t>
            </w:r>
          </w:p>
        </w:tc>
      </w:tr>
    </w:tbl>
    <w:p w14:paraId="4300FDC9" w14:textId="77777777" w:rsidR="002449C2" w:rsidRDefault="002449C2">
      <w:pPr>
        <w:shd w:val="clear" w:color="auto" w:fill="FFFFFF"/>
        <w:spacing w:after="0" w:line="240" w:lineRule="auto"/>
        <w:ind w:firstLine="567"/>
        <w:jc w:val="both"/>
        <w:rPr>
          <w:rFonts w:ascii="Times New Roman" w:eastAsia="Arial" w:hAnsi="Times New Roman"/>
          <w:sz w:val="26"/>
          <w:szCs w:val="26"/>
          <w:lang w:eastAsia="en-US"/>
        </w:rPr>
      </w:pPr>
    </w:p>
    <w:p w14:paraId="1814E5C2" w14:textId="77777777" w:rsidR="002449C2" w:rsidRDefault="00123961">
      <w:pPr>
        <w:shd w:val="clear" w:color="auto" w:fill="FFFFFF"/>
        <w:spacing w:after="0" w:line="240" w:lineRule="auto"/>
        <w:jc w:val="both"/>
        <w:rPr>
          <w:rFonts w:ascii="Times New Roman" w:eastAsia="Arial" w:hAnsi="Times New Roman"/>
          <w:sz w:val="26"/>
          <w:szCs w:val="26"/>
          <w:lang w:eastAsia="en-US"/>
        </w:rPr>
      </w:pPr>
      <w:r>
        <w:rPr>
          <w:rFonts w:ascii="Times New Roman" w:eastAsia="Arial" w:hAnsi="Times New Roman"/>
          <w:sz w:val="26"/>
          <w:szCs w:val="26"/>
          <w:lang w:eastAsia="en-US"/>
        </w:rPr>
        <w:t>Основными целевыми мероприятиями, обеспечивающими снижение потребления ресурсов на хозяйственные нужды, являются:</w:t>
      </w:r>
    </w:p>
    <w:tbl>
      <w:tblPr>
        <w:tblW w:w="9421" w:type="dxa"/>
        <w:tblLayout w:type="fixed"/>
        <w:tblLook w:val="04A0" w:firstRow="1" w:lastRow="0" w:firstColumn="1" w:lastColumn="0" w:noHBand="0" w:noVBand="1"/>
      </w:tblPr>
      <w:tblGrid>
        <w:gridCol w:w="5611"/>
        <w:gridCol w:w="1375"/>
        <w:gridCol w:w="1215"/>
        <w:gridCol w:w="1220"/>
      </w:tblGrid>
      <w:tr w:rsidR="002449C2" w14:paraId="526ED65D" w14:textId="77777777">
        <w:trPr>
          <w:tblHeader/>
        </w:trPr>
        <w:tc>
          <w:tcPr>
            <w:tcW w:w="5610" w:type="dxa"/>
            <w:vMerge w:val="restart"/>
            <w:tcBorders>
              <w:top w:val="single" w:sz="4" w:space="0" w:color="000000"/>
              <w:left w:val="single" w:sz="4" w:space="0" w:color="000000"/>
              <w:bottom w:val="single" w:sz="4" w:space="0" w:color="000000"/>
              <w:right w:val="single" w:sz="4" w:space="0" w:color="000000"/>
            </w:tcBorders>
            <w:vAlign w:val="center"/>
          </w:tcPr>
          <w:p w14:paraId="74BEFFDE"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Мероприятие</w:t>
            </w:r>
          </w:p>
        </w:tc>
        <w:tc>
          <w:tcPr>
            <w:tcW w:w="2590" w:type="dxa"/>
            <w:gridSpan w:val="2"/>
            <w:tcBorders>
              <w:top w:val="single" w:sz="4" w:space="0" w:color="000000"/>
              <w:left w:val="single" w:sz="4" w:space="0" w:color="000000"/>
              <w:bottom w:val="single" w:sz="4" w:space="0" w:color="000000"/>
              <w:right w:val="single" w:sz="4" w:space="0" w:color="000000"/>
            </w:tcBorders>
            <w:vAlign w:val="center"/>
          </w:tcPr>
          <w:p w14:paraId="5E6AD0EC"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Эффект</w:t>
            </w:r>
          </w:p>
        </w:tc>
        <w:tc>
          <w:tcPr>
            <w:tcW w:w="1220" w:type="dxa"/>
            <w:tcBorders>
              <w:top w:val="single" w:sz="4" w:space="0" w:color="000000"/>
              <w:left w:val="single" w:sz="4" w:space="0" w:color="000000"/>
              <w:bottom w:val="single" w:sz="4" w:space="0" w:color="000000"/>
              <w:right w:val="single" w:sz="4" w:space="0" w:color="000000"/>
            </w:tcBorders>
            <w:vAlign w:val="center"/>
          </w:tcPr>
          <w:p w14:paraId="42DDCF84"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Затраты</w:t>
            </w:r>
          </w:p>
        </w:tc>
      </w:tr>
      <w:tr w:rsidR="002449C2" w14:paraId="3152C220" w14:textId="77777777">
        <w:trPr>
          <w:tblHeader/>
        </w:trPr>
        <w:tc>
          <w:tcPr>
            <w:tcW w:w="5610" w:type="dxa"/>
            <w:vMerge/>
            <w:tcBorders>
              <w:top w:val="single" w:sz="4" w:space="0" w:color="000000"/>
              <w:left w:val="single" w:sz="4" w:space="0" w:color="000000"/>
              <w:bottom w:val="single" w:sz="4" w:space="0" w:color="000000"/>
              <w:right w:val="single" w:sz="4" w:space="0" w:color="000000"/>
            </w:tcBorders>
            <w:vAlign w:val="center"/>
          </w:tcPr>
          <w:p w14:paraId="01229EB5" w14:textId="77777777" w:rsidR="002449C2" w:rsidRDefault="002449C2">
            <w:pPr>
              <w:shd w:val="clear" w:color="auto" w:fill="FFFFFF"/>
              <w:tabs>
                <w:tab w:val="left" w:pos="1080"/>
                <w:tab w:val="left" w:pos="1320"/>
              </w:tabs>
              <w:spacing w:after="0" w:line="240" w:lineRule="auto"/>
              <w:jc w:val="right"/>
              <w:rPr>
                <w:rFonts w:ascii="Times New Roman" w:eastAsia="Arial" w:hAnsi="Times New Roman"/>
                <w:b/>
                <w:lang w:eastAsia="en-US"/>
              </w:rPr>
            </w:pPr>
          </w:p>
        </w:tc>
        <w:tc>
          <w:tcPr>
            <w:tcW w:w="1375" w:type="dxa"/>
            <w:tcBorders>
              <w:top w:val="single" w:sz="4" w:space="0" w:color="000000"/>
              <w:left w:val="single" w:sz="4" w:space="0" w:color="000000"/>
              <w:bottom w:val="single" w:sz="4" w:space="0" w:color="000000"/>
              <w:right w:val="single" w:sz="4" w:space="0" w:color="000000"/>
            </w:tcBorders>
            <w:vAlign w:val="center"/>
          </w:tcPr>
          <w:p w14:paraId="282F2EF7"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указанная размерность</w:t>
            </w:r>
          </w:p>
        </w:tc>
        <w:tc>
          <w:tcPr>
            <w:tcW w:w="1215" w:type="dxa"/>
            <w:tcBorders>
              <w:top w:val="single" w:sz="4" w:space="0" w:color="000000"/>
              <w:left w:val="single" w:sz="4" w:space="0" w:color="000000"/>
              <w:bottom w:val="single" w:sz="4" w:space="0" w:color="000000"/>
              <w:right w:val="single" w:sz="4" w:space="0" w:color="000000"/>
            </w:tcBorders>
            <w:vAlign w:val="center"/>
          </w:tcPr>
          <w:p w14:paraId="35298FD3"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млн руб.</w:t>
            </w:r>
          </w:p>
        </w:tc>
        <w:tc>
          <w:tcPr>
            <w:tcW w:w="1220" w:type="dxa"/>
            <w:tcBorders>
              <w:top w:val="single" w:sz="4" w:space="0" w:color="000000"/>
              <w:left w:val="single" w:sz="4" w:space="0" w:color="000000"/>
              <w:bottom w:val="single" w:sz="4" w:space="0" w:color="000000"/>
              <w:right w:val="single" w:sz="4" w:space="0" w:color="000000"/>
            </w:tcBorders>
            <w:vAlign w:val="center"/>
          </w:tcPr>
          <w:p w14:paraId="167F6BAE"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млн руб.</w:t>
            </w:r>
          </w:p>
        </w:tc>
      </w:tr>
      <w:tr w:rsidR="002449C2" w14:paraId="10E7FCE3" w14:textId="77777777">
        <w:tc>
          <w:tcPr>
            <w:tcW w:w="5610" w:type="dxa"/>
            <w:tcBorders>
              <w:top w:val="single" w:sz="4" w:space="0" w:color="000000"/>
              <w:left w:val="single" w:sz="4" w:space="0" w:color="000000"/>
              <w:bottom w:val="single" w:sz="4" w:space="0" w:color="000000"/>
              <w:right w:val="single" w:sz="4" w:space="0" w:color="000000"/>
            </w:tcBorders>
            <w:vAlign w:val="center"/>
          </w:tcPr>
          <w:p w14:paraId="4EEE0188" w14:textId="77777777" w:rsidR="002449C2" w:rsidRDefault="00123961">
            <w:pPr>
              <w:shd w:val="clear" w:color="auto" w:fill="FFFFFF"/>
              <w:tabs>
                <w:tab w:val="left" w:pos="1080"/>
                <w:tab w:val="left" w:pos="1320"/>
              </w:tabs>
              <w:spacing w:after="0" w:line="240" w:lineRule="auto"/>
              <w:rPr>
                <w:rFonts w:ascii="Times New Roman" w:eastAsia="Arial" w:hAnsi="Times New Roman"/>
                <w:b/>
                <w:lang w:eastAsia="en-US"/>
              </w:rPr>
            </w:pPr>
            <w:r>
              <w:rPr>
                <w:rFonts w:ascii="Times New Roman" w:eastAsia="Arial" w:hAnsi="Times New Roman"/>
                <w:b/>
                <w:lang w:eastAsia="en-US"/>
              </w:rPr>
              <w:t>- Электрическая энергия, млн кВт·ч</w:t>
            </w:r>
          </w:p>
        </w:tc>
        <w:tc>
          <w:tcPr>
            <w:tcW w:w="1375" w:type="dxa"/>
            <w:tcBorders>
              <w:top w:val="single" w:sz="4" w:space="0" w:color="000000"/>
              <w:left w:val="single" w:sz="4" w:space="0" w:color="000000"/>
              <w:bottom w:val="single" w:sz="4" w:space="0" w:color="000000"/>
              <w:right w:val="single" w:sz="4" w:space="0" w:color="000000"/>
            </w:tcBorders>
            <w:vAlign w:val="center"/>
          </w:tcPr>
          <w:p w14:paraId="1BBD8D92"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c>
          <w:tcPr>
            <w:tcW w:w="1215" w:type="dxa"/>
            <w:tcBorders>
              <w:top w:val="single" w:sz="4" w:space="0" w:color="000000"/>
              <w:left w:val="single" w:sz="4" w:space="0" w:color="000000"/>
              <w:bottom w:val="single" w:sz="4" w:space="0" w:color="000000"/>
              <w:right w:val="single" w:sz="4" w:space="0" w:color="000000"/>
            </w:tcBorders>
            <w:vAlign w:val="center"/>
          </w:tcPr>
          <w:p w14:paraId="51ECDD06"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c>
          <w:tcPr>
            <w:tcW w:w="1220" w:type="dxa"/>
            <w:tcBorders>
              <w:top w:val="single" w:sz="4" w:space="0" w:color="000000"/>
              <w:left w:val="single" w:sz="4" w:space="0" w:color="000000"/>
              <w:bottom w:val="single" w:sz="4" w:space="0" w:color="000000"/>
              <w:right w:val="single" w:sz="4" w:space="0" w:color="000000"/>
            </w:tcBorders>
            <w:vAlign w:val="center"/>
          </w:tcPr>
          <w:p w14:paraId="06E817DC"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r>
      <w:tr w:rsidR="002449C2" w14:paraId="3D787830" w14:textId="77777777">
        <w:tc>
          <w:tcPr>
            <w:tcW w:w="5610" w:type="dxa"/>
            <w:tcBorders>
              <w:top w:val="single" w:sz="4" w:space="0" w:color="000000"/>
              <w:left w:val="single" w:sz="4" w:space="0" w:color="000000"/>
              <w:bottom w:val="single" w:sz="4" w:space="0" w:color="000000"/>
              <w:right w:val="single" w:sz="4" w:space="0" w:color="000000"/>
            </w:tcBorders>
            <w:vAlign w:val="center"/>
          </w:tcPr>
          <w:p w14:paraId="2EDD3927"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lang w:eastAsia="en-US"/>
              </w:rPr>
            </w:pPr>
            <w:r>
              <w:rPr>
                <w:rFonts w:ascii="Times New Roman" w:eastAsia="Arial" w:hAnsi="Times New Roman"/>
                <w:lang w:eastAsia="en-US"/>
              </w:rPr>
              <w:t>Установка осветительных устройств с использованием светодиодов (энергосервисный контракт)</w:t>
            </w:r>
          </w:p>
        </w:tc>
        <w:tc>
          <w:tcPr>
            <w:tcW w:w="1375" w:type="dxa"/>
            <w:tcBorders>
              <w:top w:val="single" w:sz="4" w:space="0" w:color="000000"/>
              <w:left w:val="single" w:sz="4" w:space="0" w:color="000000"/>
              <w:bottom w:val="single" w:sz="4" w:space="0" w:color="000000"/>
              <w:right w:val="single" w:sz="4" w:space="0" w:color="000000"/>
            </w:tcBorders>
            <w:vAlign w:val="center"/>
          </w:tcPr>
          <w:p w14:paraId="77E658D8"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0,19</w:t>
            </w:r>
          </w:p>
        </w:tc>
        <w:tc>
          <w:tcPr>
            <w:tcW w:w="1215" w:type="dxa"/>
            <w:tcBorders>
              <w:top w:val="single" w:sz="4" w:space="0" w:color="000000"/>
              <w:left w:val="single" w:sz="4" w:space="0" w:color="000000"/>
              <w:bottom w:val="single" w:sz="4" w:space="0" w:color="000000"/>
              <w:right w:val="single" w:sz="4" w:space="0" w:color="000000"/>
            </w:tcBorders>
            <w:vAlign w:val="center"/>
          </w:tcPr>
          <w:p w14:paraId="5AEB41D7"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0,70</w:t>
            </w:r>
          </w:p>
        </w:tc>
        <w:tc>
          <w:tcPr>
            <w:tcW w:w="1220" w:type="dxa"/>
            <w:tcBorders>
              <w:top w:val="single" w:sz="4" w:space="0" w:color="000000"/>
              <w:left w:val="single" w:sz="4" w:space="0" w:color="000000"/>
              <w:bottom w:val="single" w:sz="4" w:space="0" w:color="000000"/>
              <w:right w:val="single" w:sz="4" w:space="0" w:color="000000"/>
            </w:tcBorders>
            <w:vAlign w:val="center"/>
          </w:tcPr>
          <w:p w14:paraId="0E49BA30"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1,20</w:t>
            </w:r>
          </w:p>
        </w:tc>
      </w:tr>
      <w:tr w:rsidR="002449C2" w14:paraId="490C550C" w14:textId="77777777">
        <w:tc>
          <w:tcPr>
            <w:tcW w:w="5610" w:type="dxa"/>
            <w:tcBorders>
              <w:top w:val="single" w:sz="4" w:space="0" w:color="000000"/>
              <w:left w:val="single" w:sz="4" w:space="0" w:color="000000"/>
              <w:bottom w:val="single" w:sz="4" w:space="0" w:color="000000"/>
              <w:right w:val="single" w:sz="4" w:space="0" w:color="000000"/>
            </w:tcBorders>
            <w:vAlign w:val="center"/>
          </w:tcPr>
          <w:p w14:paraId="51A79E7B"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lang w:eastAsia="en-US"/>
              </w:rPr>
            </w:pPr>
            <w:r>
              <w:rPr>
                <w:rFonts w:ascii="Times New Roman" w:eastAsia="Arial" w:hAnsi="Times New Roman"/>
                <w:lang w:eastAsia="en-US"/>
              </w:rPr>
              <w:t>Установка осветительных устройств с использованием светодиодов</w:t>
            </w:r>
          </w:p>
        </w:tc>
        <w:tc>
          <w:tcPr>
            <w:tcW w:w="1375" w:type="dxa"/>
            <w:tcBorders>
              <w:top w:val="single" w:sz="4" w:space="0" w:color="000000"/>
              <w:left w:val="single" w:sz="4" w:space="0" w:color="000000"/>
              <w:bottom w:val="single" w:sz="4" w:space="0" w:color="000000"/>
              <w:right w:val="single" w:sz="4" w:space="0" w:color="000000"/>
            </w:tcBorders>
            <w:vAlign w:val="center"/>
          </w:tcPr>
          <w:p w14:paraId="2677B4BE"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0,025</w:t>
            </w:r>
          </w:p>
        </w:tc>
        <w:tc>
          <w:tcPr>
            <w:tcW w:w="1215" w:type="dxa"/>
            <w:tcBorders>
              <w:top w:val="single" w:sz="4" w:space="0" w:color="000000"/>
              <w:left w:val="single" w:sz="4" w:space="0" w:color="000000"/>
              <w:bottom w:val="single" w:sz="4" w:space="0" w:color="000000"/>
              <w:right w:val="single" w:sz="4" w:space="0" w:color="000000"/>
            </w:tcBorders>
            <w:vAlign w:val="center"/>
          </w:tcPr>
          <w:p w14:paraId="595DB19E"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0,094</w:t>
            </w:r>
          </w:p>
        </w:tc>
        <w:tc>
          <w:tcPr>
            <w:tcW w:w="1220" w:type="dxa"/>
            <w:tcBorders>
              <w:top w:val="single" w:sz="4" w:space="0" w:color="000000"/>
              <w:left w:val="single" w:sz="4" w:space="0" w:color="000000"/>
              <w:bottom w:val="single" w:sz="4" w:space="0" w:color="000000"/>
              <w:right w:val="single" w:sz="4" w:space="0" w:color="000000"/>
            </w:tcBorders>
            <w:vAlign w:val="center"/>
          </w:tcPr>
          <w:p w14:paraId="7A73D702"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0,156</w:t>
            </w:r>
          </w:p>
        </w:tc>
      </w:tr>
      <w:tr w:rsidR="002449C2" w14:paraId="4A75A303" w14:textId="77777777">
        <w:trPr>
          <w:trHeight w:val="288"/>
        </w:trPr>
        <w:tc>
          <w:tcPr>
            <w:tcW w:w="5610" w:type="dxa"/>
            <w:tcBorders>
              <w:top w:val="single" w:sz="4" w:space="0" w:color="000000"/>
              <w:left w:val="single" w:sz="4" w:space="0" w:color="000000"/>
              <w:bottom w:val="single" w:sz="4" w:space="0" w:color="000000"/>
              <w:right w:val="single" w:sz="4" w:space="0" w:color="000000"/>
            </w:tcBorders>
            <w:vAlign w:val="center"/>
          </w:tcPr>
          <w:p w14:paraId="792787CB"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lang w:eastAsia="en-US"/>
              </w:rPr>
            </w:pPr>
            <w:r>
              <w:rPr>
                <w:rFonts w:ascii="Times New Roman" w:eastAsia="Arial" w:hAnsi="Times New Roman"/>
                <w:lang w:eastAsia="en-US"/>
              </w:rPr>
              <w:t>Уменьшение электрической нагрузки электротермического оборудования за счет регулировки мощности котлов, при переводе в дежурный режим в нерабочее время</w:t>
            </w:r>
          </w:p>
        </w:tc>
        <w:tc>
          <w:tcPr>
            <w:tcW w:w="1375" w:type="dxa"/>
            <w:tcBorders>
              <w:top w:val="single" w:sz="4" w:space="0" w:color="000000"/>
              <w:left w:val="single" w:sz="4" w:space="0" w:color="000000"/>
              <w:bottom w:val="single" w:sz="4" w:space="0" w:color="000000"/>
              <w:right w:val="single" w:sz="4" w:space="0" w:color="000000"/>
            </w:tcBorders>
            <w:vAlign w:val="center"/>
          </w:tcPr>
          <w:p w14:paraId="7C918029"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0,012</w:t>
            </w:r>
          </w:p>
        </w:tc>
        <w:tc>
          <w:tcPr>
            <w:tcW w:w="1215" w:type="dxa"/>
            <w:tcBorders>
              <w:top w:val="single" w:sz="4" w:space="0" w:color="000000"/>
              <w:left w:val="single" w:sz="4" w:space="0" w:color="000000"/>
              <w:bottom w:val="single" w:sz="4" w:space="0" w:color="000000"/>
              <w:right w:val="single" w:sz="4" w:space="0" w:color="000000"/>
            </w:tcBorders>
            <w:vAlign w:val="center"/>
          </w:tcPr>
          <w:p w14:paraId="74EEAA30"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0,092</w:t>
            </w:r>
          </w:p>
        </w:tc>
        <w:tc>
          <w:tcPr>
            <w:tcW w:w="1220" w:type="dxa"/>
            <w:tcBorders>
              <w:top w:val="single" w:sz="4" w:space="0" w:color="000000"/>
              <w:left w:val="single" w:sz="4" w:space="0" w:color="000000"/>
              <w:bottom w:val="single" w:sz="4" w:space="0" w:color="000000"/>
              <w:right w:val="single" w:sz="4" w:space="0" w:color="000000"/>
            </w:tcBorders>
            <w:vAlign w:val="center"/>
          </w:tcPr>
          <w:p w14:paraId="0303F90A"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w:t>
            </w:r>
          </w:p>
        </w:tc>
      </w:tr>
      <w:tr w:rsidR="002449C2" w14:paraId="4C1F8F8A" w14:textId="77777777">
        <w:trPr>
          <w:trHeight w:val="288"/>
        </w:trPr>
        <w:tc>
          <w:tcPr>
            <w:tcW w:w="5610" w:type="dxa"/>
            <w:tcBorders>
              <w:top w:val="single" w:sz="4" w:space="0" w:color="000000"/>
              <w:left w:val="single" w:sz="4" w:space="0" w:color="000000"/>
              <w:bottom w:val="single" w:sz="4" w:space="0" w:color="000000"/>
              <w:right w:val="single" w:sz="4" w:space="0" w:color="000000"/>
            </w:tcBorders>
            <w:vAlign w:val="center"/>
          </w:tcPr>
          <w:p w14:paraId="1DFB94A5"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lang w:eastAsia="en-US"/>
              </w:rPr>
            </w:pPr>
            <w:r>
              <w:rPr>
                <w:rFonts w:ascii="Times New Roman" w:eastAsia="Arial" w:hAnsi="Times New Roman"/>
                <w:lang w:eastAsia="en-US"/>
              </w:rPr>
              <w:t>Отключение трансформаторов на подстанции с сезонной нагрузкой</w:t>
            </w:r>
          </w:p>
        </w:tc>
        <w:tc>
          <w:tcPr>
            <w:tcW w:w="1375" w:type="dxa"/>
            <w:tcBorders>
              <w:top w:val="single" w:sz="4" w:space="0" w:color="000000"/>
              <w:left w:val="single" w:sz="4" w:space="0" w:color="000000"/>
              <w:bottom w:val="single" w:sz="4" w:space="0" w:color="000000"/>
              <w:right w:val="single" w:sz="4" w:space="0" w:color="000000"/>
            </w:tcBorders>
            <w:vAlign w:val="center"/>
          </w:tcPr>
          <w:p w14:paraId="57822D4C"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1,025</w:t>
            </w:r>
          </w:p>
        </w:tc>
        <w:tc>
          <w:tcPr>
            <w:tcW w:w="1215" w:type="dxa"/>
            <w:tcBorders>
              <w:top w:val="single" w:sz="4" w:space="0" w:color="000000"/>
              <w:left w:val="single" w:sz="4" w:space="0" w:color="000000"/>
              <w:bottom w:val="single" w:sz="4" w:space="0" w:color="000000"/>
              <w:right w:val="single" w:sz="4" w:space="0" w:color="000000"/>
            </w:tcBorders>
            <w:vAlign w:val="center"/>
          </w:tcPr>
          <w:p w14:paraId="38108EA8"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3,962</w:t>
            </w:r>
          </w:p>
        </w:tc>
        <w:tc>
          <w:tcPr>
            <w:tcW w:w="1220" w:type="dxa"/>
            <w:tcBorders>
              <w:top w:val="single" w:sz="4" w:space="0" w:color="000000"/>
              <w:left w:val="single" w:sz="4" w:space="0" w:color="000000"/>
              <w:bottom w:val="single" w:sz="4" w:space="0" w:color="000000"/>
              <w:right w:val="single" w:sz="4" w:space="0" w:color="000000"/>
            </w:tcBorders>
            <w:vAlign w:val="center"/>
          </w:tcPr>
          <w:p w14:paraId="6E3D98E6"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w:t>
            </w:r>
          </w:p>
        </w:tc>
      </w:tr>
      <w:tr w:rsidR="002449C2" w14:paraId="3E7C995B" w14:textId="77777777">
        <w:trPr>
          <w:trHeight w:val="288"/>
        </w:trPr>
        <w:tc>
          <w:tcPr>
            <w:tcW w:w="5610" w:type="dxa"/>
            <w:tcBorders>
              <w:top w:val="single" w:sz="4" w:space="0" w:color="000000"/>
              <w:left w:val="single" w:sz="4" w:space="0" w:color="000000"/>
              <w:bottom w:val="single" w:sz="4" w:space="0" w:color="000000"/>
              <w:right w:val="single" w:sz="4" w:space="0" w:color="000000"/>
            </w:tcBorders>
            <w:vAlign w:val="center"/>
          </w:tcPr>
          <w:p w14:paraId="71D26ED5"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lang w:eastAsia="en-US"/>
              </w:rPr>
            </w:pPr>
            <w:r>
              <w:rPr>
                <w:rFonts w:ascii="Times New Roman" w:eastAsia="Arial" w:hAnsi="Times New Roman"/>
                <w:lang w:eastAsia="en-US"/>
              </w:rPr>
              <w:t>Отключение трансформаторов в режиме малых нагрузок</w:t>
            </w:r>
          </w:p>
        </w:tc>
        <w:tc>
          <w:tcPr>
            <w:tcW w:w="1375" w:type="dxa"/>
            <w:tcBorders>
              <w:top w:val="single" w:sz="4" w:space="0" w:color="000000"/>
              <w:left w:val="single" w:sz="4" w:space="0" w:color="000000"/>
              <w:bottom w:val="single" w:sz="4" w:space="0" w:color="000000"/>
              <w:right w:val="single" w:sz="4" w:space="0" w:color="000000"/>
            </w:tcBorders>
            <w:vAlign w:val="center"/>
          </w:tcPr>
          <w:p w14:paraId="30F2C915"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1,657</w:t>
            </w:r>
          </w:p>
        </w:tc>
        <w:tc>
          <w:tcPr>
            <w:tcW w:w="1215" w:type="dxa"/>
            <w:tcBorders>
              <w:top w:val="single" w:sz="4" w:space="0" w:color="000000"/>
              <w:left w:val="single" w:sz="4" w:space="0" w:color="000000"/>
              <w:bottom w:val="single" w:sz="4" w:space="0" w:color="000000"/>
              <w:right w:val="single" w:sz="4" w:space="0" w:color="000000"/>
            </w:tcBorders>
            <w:vAlign w:val="center"/>
          </w:tcPr>
          <w:p w14:paraId="6D18ED16"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6,581</w:t>
            </w:r>
          </w:p>
        </w:tc>
        <w:tc>
          <w:tcPr>
            <w:tcW w:w="1220" w:type="dxa"/>
            <w:tcBorders>
              <w:top w:val="single" w:sz="4" w:space="0" w:color="000000"/>
              <w:left w:val="single" w:sz="4" w:space="0" w:color="000000"/>
              <w:bottom w:val="single" w:sz="4" w:space="0" w:color="000000"/>
              <w:right w:val="single" w:sz="4" w:space="0" w:color="000000"/>
            </w:tcBorders>
            <w:vAlign w:val="center"/>
          </w:tcPr>
          <w:p w14:paraId="704C699D"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w:t>
            </w:r>
          </w:p>
        </w:tc>
      </w:tr>
      <w:tr w:rsidR="002449C2" w14:paraId="15B1306D" w14:textId="77777777">
        <w:trPr>
          <w:trHeight w:val="288"/>
        </w:trPr>
        <w:tc>
          <w:tcPr>
            <w:tcW w:w="5610" w:type="dxa"/>
            <w:tcBorders>
              <w:top w:val="single" w:sz="4" w:space="0" w:color="000000"/>
              <w:left w:val="single" w:sz="4" w:space="0" w:color="000000"/>
              <w:bottom w:val="single" w:sz="4" w:space="0" w:color="000000"/>
              <w:right w:val="single" w:sz="4" w:space="0" w:color="000000"/>
            </w:tcBorders>
            <w:vAlign w:val="center"/>
          </w:tcPr>
          <w:p w14:paraId="4D14127F"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lang w:eastAsia="en-US"/>
              </w:rPr>
            </w:pPr>
            <w:r>
              <w:rPr>
                <w:rFonts w:ascii="Times New Roman" w:eastAsia="Arial" w:hAnsi="Times New Roman"/>
                <w:lang w:eastAsia="en-US"/>
              </w:rPr>
              <w:t>Уплотнение оконных и дверных проемов</w:t>
            </w:r>
          </w:p>
        </w:tc>
        <w:tc>
          <w:tcPr>
            <w:tcW w:w="1375" w:type="dxa"/>
            <w:tcBorders>
              <w:top w:val="single" w:sz="4" w:space="0" w:color="000000"/>
              <w:left w:val="single" w:sz="4" w:space="0" w:color="000000"/>
              <w:bottom w:val="single" w:sz="4" w:space="0" w:color="000000"/>
              <w:right w:val="single" w:sz="4" w:space="0" w:color="000000"/>
            </w:tcBorders>
            <w:vAlign w:val="center"/>
          </w:tcPr>
          <w:p w14:paraId="16167532"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0,02</w:t>
            </w:r>
          </w:p>
        </w:tc>
        <w:tc>
          <w:tcPr>
            <w:tcW w:w="1215" w:type="dxa"/>
            <w:tcBorders>
              <w:top w:val="single" w:sz="4" w:space="0" w:color="000000"/>
              <w:left w:val="single" w:sz="4" w:space="0" w:color="000000"/>
              <w:bottom w:val="single" w:sz="4" w:space="0" w:color="000000"/>
              <w:right w:val="single" w:sz="4" w:space="0" w:color="000000"/>
            </w:tcBorders>
            <w:vAlign w:val="center"/>
          </w:tcPr>
          <w:p w14:paraId="769AB795"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0,108</w:t>
            </w:r>
          </w:p>
        </w:tc>
        <w:tc>
          <w:tcPr>
            <w:tcW w:w="1220" w:type="dxa"/>
            <w:tcBorders>
              <w:top w:val="single" w:sz="4" w:space="0" w:color="000000"/>
              <w:left w:val="single" w:sz="4" w:space="0" w:color="000000"/>
              <w:bottom w:val="single" w:sz="4" w:space="0" w:color="000000"/>
              <w:right w:val="single" w:sz="4" w:space="0" w:color="000000"/>
            </w:tcBorders>
            <w:vAlign w:val="center"/>
          </w:tcPr>
          <w:p w14:paraId="2881C6B7"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w:t>
            </w:r>
          </w:p>
        </w:tc>
      </w:tr>
      <w:tr w:rsidR="002449C2" w14:paraId="41CC05DC" w14:textId="77777777">
        <w:trPr>
          <w:trHeight w:val="288"/>
        </w:trPr>
        <w:tc>
          <w:tcPr>
            <w:tcW w:w="5610" w:type="dxa"/>
            <w:tcBorders>
              <w:top w:val="single" w:sz="4" w:space="0" w:color="000000"/>
              <w:left w:val="single" w:sz="4" w:space="0" w:color="000000"/>
              <w:bottom w:val="single" w:sz="4" w:space="0" w:color="000000"/>
              <w:right w:val="single" w:sz="4" w:space="0" w:color="000000"/>
            </w:tcBorders>
            <w:vAlign w:val="center"/>
          </w:tcPr>
          <w:p w14:paraId="499B8630"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lang w:eastAsia="en-US"/>
              </w:rPr>
            </w:pPr>
            <w:r>
              <w:rPr>
                <w:rFonts w:ascii="Times New Roman" w:eastAsia="Arial" w:hAnsi="Times New Roman"/>
                <w:lang w:eastAsia="en-US"/>
              </w:rPr>
              <w:t>Прочие организационные мероприятия</w:t>
            </w:r>
          </w:p>
        </w:tc>
        <w:tc>
          <w:tcPr>
            <w:tcW w:w="1375" w:type="dxa"/>
            <w:tcBorders>
              <w:top w:val="single" w:sz="4" w:space="0" w:color="000000"/>
              <w:left w:val="single" w:sz="4" w:space="0" w:color="000000"/>
              <w:bottom w:val="single" w:sz="4" w:space="0" w:color="000000"/>
              <w:right w:val="single" w:sz="4" w:space="0" w:color="000000"/>
            </w:tcBorders>
            <w:vAlign w:val="center"/>
          </w:tcPr>
          <w:p w14:paraId="6E77A8F1"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0,002</w:t>
            </w:r>
          </w:p>
        </w:tc>
        <w:tc>
          <w:tcPr>
            <w:tcW w:w="1215" w:type="dxa"/>
            <w:tcBorders>
              <w:top w:val="single" w:sz="4" w:space="0" w:color="000000"/>
              <w:left w:val="single" w:sz="4" w:space="0" w:color="000000"/>
              <w:bottom w:val="single" w:sz="4" w:space="0" w:color="000000"/>
              <w:right w:val="single" w:sz="4" w:space="0" w:color="000000"/>
            </w:tcBorders>
            <w:vAlign w:val="center"/>
          </w:tcPr>
          <w:p w14:paraId="7F9906A7"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0,09</w:t>
            </w:r>
          </w:p>
        </w:tc>
        <w:tc>
          <w:tcPr>
            <w:tcW w:w="1220" w:type="dxa"/>
            <w:tcBorders>
              <w:top w:val="single" w:sz="4" w:space="0" w:color="000000"/>
              <w:left w:val="single" w:sz="4" w:space="0" w:color="000000"/>
              <w:bottom w:val="single" w:sz="4" w:space="0" w:color="000000"/>
              <w:right w:val="single" w:sz="4" w:space="0" w:color="000000"/>
            </w:tcBorders>
            <w:vAlign w:val="center"/>
          </w:tcPr>
          <w:p w14:paraId="2CA14475"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w:t>
            </w:r>
          </w:p>
        </w:tc>
      </w:tr>
      <w:tr w:rsidR="002449C2" w14:paraId="77A3C50E" w14:textId="77777777">
        <w:tc>
          <w:tcPr>
            <w:tcW w:w="5610" w:type="dxa"/>
            <w:tcBorders>
              <w:top w:val="single" w:sz="4" w:space="0" w:color="000000"/>
              <w:left w:val="single" w:sz="4" w:space="0" w:color="000000"/>
              <w:bottom w:val="single" w:sz="4" w:space="0" w:color="000000"/>
              <w:right w:val="single" w:sz="4" w:space="0" w:color="000000"/>
            </w:tcBorders>
            <w:vAlign w:val="center"/>
          </w:tcPr>
          <w:p w14:paraId="4B099C18" w14:textId="77777777" w:rsidR="002449C2" w:rsidRDefault="00123961">
            <w:pPr>
              <w:shd w:val="clear" w:color="auto" w:fill="FFFFFF"/>
              <w:tabs>
                <w:tab w:val="left" w:pos="1080"/>
                <w:tab w:val="left" w:pos="1320"/>
              </w:tabs>
              <w:spacing w:after="0" w:line="240" w:lineRule="auto"/>
              <w:rPr>
                <w:rFonts w:ascii="Times New Roman" w:eastAsia="Arial" w:hAnsi="Times New Roman"/>
                <w:b/>
                <w:lang w:eastAsia="en-US"/>
              </w:rPr>
            </w:pPr>
            <w:r>
              <w:rPr>
                <w:rFonts w:ascii="Times New Roman" w:eastAsia="Arial" w:hAnsi="Times New Roman"/>
                <w:b/>
                <w:lang w:eastAsia="en-US"/>
              </w:rPr>
              <w:t>- Тепловая энергия (системы отопления зданий), Гкал</w:t>
            </w:r>
          </w:p>
        </w:tc>
        <w:tc>
          <w:tcPr>
            <w:tcW w:w="1375" w:type="dxa"/>
            <w:tcBorders>
              <w:top w:val="single" w:sz="4" w:space="0" w:color="000000"/>
              <w:left w:val="single" w:sz="4" w:space="0" w:color="000000"/>
              <w:bottom w:val="single" w:sz="4" w:space="0" w:color="000000"/>
              <w:right w:val="single" w:sz="4" w:space="0" w:color="000000"/>
            </w:tcBorders>
            <w:vAlign w:val="center"/>
          </w:tcPr>
          <w:p w14:paraId="4AB61005"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c>
          <w:tcPr>
            <w:tcW w:w="1215" w:type="dxa"/>
            <w:tcBorders>
              <w:top w:val="single" w:sz="4" w:space="0" w:color="000000"/>
              <w:left w:val="single" w:sz="4" w:space="0" w:color="000000"/>
              <w:bottom w:val="single" w:sz="4" w:space="0" w:color="000000"/>
              <w:right w:val="single" w:sz="4" w:space="0" w:color="000000"/>
            </w:tcBorders>
            <w:vAlign w:val="center"/>
          </w:tcPr>
          <w:p w14:paraId="45917EB6"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c>
          <w:tcPr>
            <w:tcW w:w="1220" w:type="dxa"/>
            <w:tcBorders>
              <w:top w:val="single" w:sz="4" w:space="0" w:color="000000"/>
              <w:left w:val="single" w:sz="4" w:space="0" w:color="000000"/>
              <w:bottom w:val="single" w:sz="4" w:space="0" w:color="000000"/>
              <w:right w:val="single" w:sz="4" w:space="0" w:color="000000"/>
            </w:tcBorders>
            <w:vAlign w:val="center"/>
          </w:tcPr>
          <w:p w14:paraId="79B6DF5C"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r>
      <w:tr w:rsidR="002449C2" w14:paraId="1F413E43" w14:textId="77777777">
        <w:tc>
          <w:tcPr>
            <w:tcW w:w="5610" w:type="dxa"/>
            <w:tcBorders>
              <w:top w:val="single" w:sz="4" w:space="0" w:color="000000"/>
              <w:left w:val="single" w:sz="4" w:space="0" w:color="000000"/>
              <w:bottom w:val="single" w:sz="4" w:space="0" w:color="000000"/>
              <w:right w:val="single" w:sz="4" w:space="0" w:color="000000"/>
            </w:tcBorders>
            <w:vAlign w:val="center"/>
          </w:tcPr>
          <w:p w14:paraId="60CB9502"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lang w:eastAsia="en-US"/>
              </w:rPr>
            </w:pPr>
            <w:r>
              <w:rPr>
                <w:rFonts w:ascii="Times New Roman" w:eastAsia="Arial" w:hAnsi="Times New Roman"/>
                <w:lang w:eastAsia="en-US"/>
              </w:rPr>
              <w:t>Уплотнение оконных и дверных проемов</w:t>
            </w:r>
          </w:p>
        </w:tc>
        <w:tc>
          <w:tcPr>
            <w:tcW w:w="1375" w:type="dxa"/>
            <w:tcBorders>
              <w:top w:val="single" w:sz="4" w:space="0" w:color="000000"/>
              <w:left w:val="single" w:sz="4" w:space="0" w:color="000000"/>
              <w:bottom w:val="single" w:sz="4" w:space="0" w:color="000000"/>
              <w:right w:val="single" w:sz="4" w:space="0" w:color="000000"/>
            </w:tcBorders>
            <w:vAlign w:val="center"/>
          </w:tcPr>
          <w:p w14:paraId="7D204F5B"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5,700</w:t>
            </w:r>
          </w:p>
        </w:tc>
        <w:tc>
          <w:tcPr>
            <w:tcW w:w="1215" w:type="dxa"/>
            <w:tcBorders>
              <w:top w:val="single" w:sz="4" w:space="0" w:color="000000"/>
              <w:left w:val="single" w:sz="4" w:space="0" w:color="000000"/>
              <w:bottom w:val="single" w:sz="4" w:space="0" w:color="000000"/>
              <w:right w:val="single" w:sz="4" w:space="0" w:color="000000"/>
            </w:tcBorders>
            <w:vAlign w:val="center"/>
          </w:tcPr>
          <w:p w14:paraId="5B9149E5"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0,022</w:t>
            </w:r>
          </w:p>
        </w:tc>
        <w:tc>
          <w:tcPr>
            <w:tcW w:w="1220" w:type="dxa"/>
            <w:tcBorders>
              <w:top w:val="single" w:sz="4" w:space="0" w:color="000000"/>
              <w:left w:val="single" w:sz="4" w:space="0" w:color="000000"/>
              <w:bottom w:val="single" w:sz="4" w:space="0" w:color="000000"/>
              <w:right w:val="single" w:sz="4" w:space="0" w:color="000000"/>
            </w:tcBorders>
            <w:vAlign w:val="center"/>
          </w:tcPr>
          <w:p w14:paraId="6FCCCF7F"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w:t>
            </w:r>
          </w:p>
        </w:tc>
      </w:tr>
      <w:tr w:rsidR="002449C2" w14:paraId="354BA8A3" w14:textId="77777777">
        <w:tc>
          <w:tcPr>
            <w:tcW w:w="5610" w:type="dxa"/>
            <w:tcBorders>
              <w:top w:val="single" w:sz="4" w:space="0" w:color="000000"/>
              <w:left w:val="single" w:sz="4" w:space="0" w:color="000000"/>
              <w:bottom w:val="single" w:sz="4" w:space="0" w:color="000000"/>
              <w:right w:val="single" w:sz="4" w:space="0" w:color="000000"/>
            </w:tcBorders>
            <w:vAlign w:val="center"/>
          </w:tcPr>
          <w:p w14:paraId="24FE6563" w14:textId="77777777" w:rsidR="002449C2" w:rsidRDefault="00123961">
            <w:pPr>
              <w:shd w:val="clear" w:color="auto" w:fill="FFFFFF"/>
              <w:spacing w:after="0" w:line="240" w:lineRule="auto"/>
              <w:rPr>
                <w:rFonts w:ascii="Times New Roman" w:eastAsia="Arial" w:hAnsi="Times New Roman"/>
                <w:lang w:eastAsia="en-US"/>
              </w:rPr>
            </w:pPr>
            <w:r>
              <w:rPr>
                <w:rFonts w:ascii="Times New Roman" w:eastAsia="Arial Narrow" w:hAnsi="Times New Roman"/>
                <w:lang w:eastAsia="en-US"/>
              </w:rPr>
              <w:t>Снижение отопительной нагрузки в зданиях или отдельных помещениях в нерабочие периоды</w:t>
            </w:r>
          </w:p>
        </w:tc>
        <w:tc>
          <w:tcPr>
            <w:tcW w:w="1375" w:type="dxa"/>
            <w:tcBorders>
              <w:top w:val="single" w:sz="4" w:space="0" w:color="000000"/>
              <w:left w:val="single" w:sz="4" w:space="0" w:color="000000"/>
              <w:bottom w:val="single" w:sz="4" w:space="0" w:color="000000"/>
              <w:right w:val="single" w:sz="4" w:space="0" w:color="000000"/>
            </w:tcBorders>
            <w:vAlign w:val="center"/>
          </w:tcPr>
          <w:p w14:paraId="4E8440A9" w14:textId="77777777" w:rsidR="002449C2" w:rsidRDefault="00123961">
            <w:pPr>
              <w:shd w:val="clear" w:color="auto" w:fill="FFFFFF"/>
              <w:spacing w:after="0" w:line="240" w:lineRule="auto"/>
              <w:jc w:val="center"/>
              <w:rPr>
                <w:rFonts w:ascii="Times New Roman" w:eastAsia="Arial" w:hAnsi="Times New Roman"/>
                <w:lang w:eastAsia="en-US"/>
              </w:rPr>
            </w:pPr>
            <w:r>
              <w:rPr>
                <w:rFonts w:ascii="Times New Roman" w:eastAsia="Arial Narrow" w:hAnsi="Times New Roman"/>
                <w:lang w:eastAsia="en-US"/>
              </w:rPr>
              <w:t>19,80</w:t>
            </w:r>
          </w:p>
        </w:tc>
        <w:tc>
          <w:tcPr>
            <w:tcW w:w="1215" w:type="dxa"/>
            <w:tcBorders>
              <w:top w:val="single" w:sz="4" w:space="0" w:color="000000"/>
              <w:left w:val="single" w:sz="4" w:space="0" w:color="000000"/>
              <w:bottom w:val="single" w:sz="4" w:space="0" w:color="000000"/>
              <w:right w:val="single" w:sz="4" w:space="0" w:color="000000"/>
            </w:tcBorders>
            <w:vAlign w:val="center"/>
          </w:tcPr>
          <w:p w14:paraId="42B167FD" w14:textId="77777777" w:rsidR="002449C2" w:rsidRDefault="00123961">
            <w:pPr>
              <w:shd w:val="clear" w:color="auto" w:fill="FFFFFF"/>
              <w:spacing w:after="0" w:line="240" w:lineRule="auto"/>
              <w:jc w:val="center"/>
              <w:rPr>
                <w:rFonts w:ascii="Times New Roman" w:eastAsia="Arial" w:hAnsi="Times New Roman"/>
                <w:lang w:eastAsia="en-US"/>
              </w:rPr>
            </w:pPr>
            <w:r>
              <w:rPr>
                <w:rFonts w:ascii="Times New Roman" w:eastAsia="Arial Narrow" w:hAnsi="Times New Roman"/>
                <w:lang w:eastAsia="en-US"/>
              </w:rPr>
              <w:t>0,026</w:t>
            </w:r>
          </w:p>
        </w:tc>
        <w:tc>
          <w:tcPr>
            <w:tcW w:w="1220" w:type="dxa"/>
            <w:tcBorders>
              <w:top w:val="single" w:sz="4" w:space="0" w:color="000000"/>
              <w:left w:val="single" w:sz="4" w:space="0" w:color="000000"/>
              <w:bottom w:val="single" w:sz="4" w:space="0" w:color="000000"/>
              <w:right w:val="single" w:sz="4" w:space="0" w:color="000000"/>
            </w:tcBorders>
            <w:vAlign w:val="center"/>
          </w:tcPr>
          <w:p w14:paraId="2AEF3186" w14:textId="77777777" w:rsidR="002449C2" w:rsidRDefault="00123961">
            <w:pPr>
              <w:shd w:val="clear" w:color="auto" w:fill="FFFFFF"/>
              <w:spacing w:after="0" w:line="240" w:lineRule="auto"/>
              <w:jc w:val="center"/>
              <w:rPr>
                <w:rFonts w:ascii="Times New Roman" w:eastAsia="Arial" w:hAnsi="Times New Roman"/>
                <w:lang w:eastAsia="en-US"/>
              </w:rPr>
            </w:pPr>
            <w:r>
              <w:rPr>
                <w:rFonts w:ascii="Times New Roman" w:eastAsia="Arial Narrow" w:hAnsi="Times New Roman"/>
                <w:lang w:eastAsia="en-US"/>
              </w:rPr>
              <w:t>0,00</w:t>
            </w:r>
          </w:p>
        </w:tc>
      </w:tr>
      <w:tr w:rsidR="002449C2" w14:paraId="46EA5EB6" w14:textId="77777777">
        <w:trPr>
          <w:trHeight w:val="98"/>
        </w:trPr>
        <w:tc>
          <w:tcPr>
            <w:tcW w:w="5610" w:type="dxa"/>
            <w:tcBorders>
              <w:top w:val="single" w:sz="4" w:space="0" w:color="000000"/>
              <w:left w:val="single" w:sz="4" w:space="0" w:color="000000"/>
              <w:bottom w:val="single" w:sz="4" w:space="0" w:color="000000"/>
              <w:right w:val="single" w:sz="4" w:space="0" w:color="000000"/>
            </w:tcBorders>
            <w:vAlign w:val="center"/>
          </w:tcPr>
          <w:p w14:paraId="32914F94"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lang w:eastAsia="en-US"/>
              </w:rPr>
            </w:pPr>
            <w:r>
              <w:rPr>
                <w:rFonts w:ascii="Times New Roman" w:eastAsia="Arial Narrow" w:hAnsi="Times New Roman"/>
                <w:lang w:eastAsia="en-US"/>
              </w:rPr>
              <w:t>Уменьшение подачи тепловой энергии за счет прикрытия  задвижки в элеваторных узлах  в ночное время и выходные дни для переключения отопления из нормального режима в экономный и открытие задвижки перед началом работ для   приведения системы отопления в нормальный режим</w:t>
            </w:r>
          </w:p>
        </w:tc>
        <w:tc>
          <w:tcPr>
            <w:tcW w:w="1375" w:type="dxa"/>
            <w:tcBorders>
              <w:top w:val="single" w:sz="4" w:space="0" w:color="000000"/>
              <w:left w:val="single" w:sz="4" w:space="0" w:color="000000"/>
              <w:bottom w:val="single" w:sz="4" w:space="0" w:color="000000"/>
              <w:right w:val="single" w:sz="4" w:space="0" w:color="000000"/>
            </w:tcBorders>
            <w:vAlign w:val="center"/>
          </w:tcPr>
          <w:p w14:paraId="0BA6BCDB"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Narrow" w:hAnsi="Times New Roman"/>
                <w:lang w:eastAsia="en-US"/>
              </w:rPr>
              <w:t>3,832</w:t>
            </w:r>
          </w:p>
        </w:tc>
        <w:tc>
          <w:tcPr>
            <w:tcW w:w="1215" w:type="dxa"/>
            <w:tcBorders>
              <w:top w:val="single" w:sz="4" w:space="0" w:color="000000"/>
              <w:left w:val="single" w:sz="4" w:space="0" w:color="000000"/>
              <w:bottom w:val="single" w:sz="4" w:space="0" w:color="000000"/>
              <w:right w:val="single" w:sz="4" w:space="0" w:color="000000"/>
            </w:tcBorders>
            <w:vAlign w:val="center"/>
          </w:tcPr>
          <w:p w14:paraId="16A7DA1A"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Narrow" w:hAnsi="Times New Roman"/>
                <w:lang w:eastAsia="en-US"/>
              </w:rPr>
              <w:t>0,116</w:t>
            </w:r>
          </w:p>
        </w:tc>
        <w:tc>
          <w:tcPr>
            <w:tcW w:w="1220" w:type="dxa"/>
            <w:tcBorders>
              <w:top w:val="single" w:sz="4" w:space="0" w:color="000000"/>
              <w:left w:val="single" w:sz="4" w:space="0" w:color="000000"/>
              <w:bottom w:val="single" w:sz="4" w:space="0" w:color="000000"/>
              <w:right w:val="single" w:sz="4" w:space="0" w:color="000000"/>
            </w:tcBorders>
            <w:vAlign w:val="center"/>
          </w:tcPr>
          <w:p w14:paraId="4066E84B"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Narrow" w:hAnsi="Times New Roman"/>
                <w:lang w:eastAsia="en-US"/>
              </w:rPr>
              <w:t>0,00</w:t>
            </w:r>
          </w:p>
        </w:tc>
      </w:tr>
      <w:tr w:rsidR="002449C2" w14:paraId="6F1ED5D6" w14:textId="77777777">
        <w:tc>
          <w:tcPr>
            <w:tcW w:w="5610" w:type="dxa"/>
            <w:tcBorders>
              <w:top w:val="single" w:sz="4" w:space="0" w:color="000000"/>
              <w:left w:val="single" w:sz="4" w:space="0" w:color="000000"/>
              <w:bottom w:val="single" w:sz="4" w:space="0" w:color="000000"/>
              <w:right w:val="single" w:sz="4" w:space="0" w:color="000000"/>
            </w:tcBorders>
            <w:vAlign w:val="center"/>
          </w:tcPr>
          <w:p w14:paraId="28404150" w14:textId="77777777" w:rsidR="002449C2" w:rsidRDefault="00123961">
            <w:pPr>
              <w:shd w:val="clear" w:color="auto" w:fill="FFFFFF"/>
              <w:tabs>
                <w:tab w:val="left" w:pos="1080"/>
                <w:tab w:val="left" w:pos="1320"/>
              </w:tabs>
              <w:spacing w:after="0" w:line="240" w:lineRule="auto"/>
              <w:rPr>
                <w:rFonts w:ascii="Times New Roman" w:eastAsia="Arial" w:hAnsi="Times New Roman"/>
                <w:b/>
                <w:lang w:eastAsia="en-US"/>
              </w:rPr>
            </w:pPr>
            <w:r>
              <w:rPr>
                <w:rFonts w:ascii="Times New Roman" w:eastAsia="Arial" w:hAnsi="Times New Roman"/>
                <w:b/>
                <w:lang w:eastAsia="en-US"/>
              </w:rPr>
              <w:t>- Газ природный (в том числе сжиженный), тыс. м</w:t>
            </w:r>
            <w:r>
              <w:rPr>
                <w:rFonts w:ascii="Times New Roman" w:eastAsia="Arial" w:hAnsi="Times New Roman"/>
                <w:b/>
                <w:vertAlign w:val="superscript"/>
                <w:lang w:eastAsia="en-US"/>
              </w:rPr>
              <w:t>3</w:t>
            </w:r>
          </w:p>
        </w:tc>
        <w:tc>
          <w:tcPr>
            <w:tcW w:w="1375" w:type="dxa"/>
            <w:tcBorders>
              <w:top w:val="single" w:sz="4" w:space="0" w:color="000000"/>
              <w:left w:val="single" w:sz="4" w:space="0" w:color="000000"/>
              <w:bottom w:val="single" w:sz="4" w:space="0" w:color="000000"/>
              <w:right w:val="single" w:sz="4" w:space="0" w:color="000000"/>
            </w:tcBorders>
            <w:vAlign w:val="center"/>
          </w:tcPr>
          <w:p w14:paraId="441661B2"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c>
          <w:tcPr>
            <w:tcW w:w="1215" w:type="dxa"/>
            <w:tcBorders>
              <w:top w:val="single" w:sz="4" w:space="0" w:color="000000"/>
              <w:left w:val="single" w:sz="4" w:space="0" w:color="000000"/>
              <w:bottom w:val="single" w:sz="4" w:space="0" w:color="000000"/>
              <w:right w:val="single" w:sz="4" w:space="0" w:color="000000"/>
            </w:tcBorders>
            <w:vAlign w:val="center"/>
          </w:tcPr>
          <w:p w14:paraId="29AEB605"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c>
          <w:tcPr>
            <w:tcW w:w="1220" w:type="dxa"/>
            <w:tcBorders>
              <w:top w:val="single" w:sz="4" w:space="0" w:color="000000"/>
              <w:left w:val="single" w:sz="4" w:space="0" w:color="000000"/>
              <w:bottom w:val="single" w:sz="4" w:space="0" w:color="000000"/>
              <w:right w:val="single" w:sz="4" w:space="0" w:color="000000"/>
            </w:tcBorders>
            <w:vAlign w:val="center"/>
          </w:tcPr>
          <w:p w14:paraId="2E8994D1"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r>
      <w:tr w:rsidR="002449C2" w14:paraId="56156FD4" w14:textId="77777777">
        <w:trPr>
          <w:trHeight w:val="386"/>
        </w:trPr>
        <w:tc>
          <w:tcPr>
            <w:tcW w:w="5610" w:type="dxa"/>
            <w:tcBorders>
              <w:top w:val="single" w:sz="4" w:space="0" w:color="000000"/>
              <w:left w:val="single" w:sz="4" w:space="0" w:color="000000"/>
              <w:bottom w:val="single" w:sz="4" w:space="0" w:color="000000"/>
              <w:right w:val="single" w:sz="4" w:space="0" w:color="000000"/>
            </w:tcBorders>
            <w:vAlign w:val="center"/>
          </w:tcPr>
          <w:p w14:paraId="0CFE70A0"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lang w:eastAsia="en-US"/>
              </w:rPr>
            </w:pPr>
            <w:r>
              <w:rPr>
                <w:rFonts w:ascii="Times New Roman" w:eastAsia="Arial" w:hAnsi="Times New Roman"/>
                <w:lang w:eastAsia="en-US"/>
              </w:rPr>
              <w:t>Уменьшение объема газоснабжения за счет регулировки терморегулятором температуры выдачи тепловой энергии в отопительный сезон. Снижение отопительной нагрузки в зданиях или отдельных помещениях в нерабочие периоды</w:t>
            </w:r>
          </w:p>
        </w:tc>
        <w:tc>
          <w:tcPr>
            <w:tcW w:w="1375" w:type="dxa"/>
            <w:tcBorders>
              <w:top w:val="single" w:sz="4" w:space="0" w:color="000000"/>
              <w:left w:val="single" w:sz="4" w:space="0" w:color="000000"/>
              <w:bottom w:val="single" w:sz="4" w:space="0" w:color="000000"/>
              <w:right w:val="single" w:sz="4" w:space="0" w:color="000000"/>
            </w:tcBorders>
            <w:vAlign w:val="center"/>
          </w:tcPr>
          <w:p w14:paraId="18336399"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0,210</w:t>
            </w:r>
          </w:p>
        </w:tc>
        <w:tc>
          <w:tcPr>
            <w:tcW w:w="1215" w:type="dxa"/>
            <w:tcBorders>
              <w:top w:val="single" w:sz="4" w:space="0" w:color="000000"/>
              <w:left w:val="single" w:sz="4" w:space="0" w:color="000000"/>
              <w:bottom w:val="single" w:sz="4" w:space="0" w:color="000000"/>
              <w:right w:val="single" w:sz="4" w:space="0" w:color="000000"/>
            </w:tcBorders>
            <w:vAlign w:val="center"/>
          </w:tcPr>
          <w:p w14:paraId="0680A446"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0,025</w:t>
            </w:r>
          </w:p>
        </w:tc>
        <w:tc>
          <w:tcPr>
            <w:tcW w:w="1220" w:type="dxa"/>
            <w:tcBorders>
              <w:top w:val="single" w:sz="4" w:space="0" w:color="000000"/>
              <w:left w:val="single" w:sz="4" w:space="0" w:color="000000"/>
              <w:bottom w:val="single" w:sz="4" w:space="0" w:color="000000"/>
              <w:right w:val="single" w:sz="4" w:space="0" w:color="000000"/>
            </w:tcBorders>
            <w:vAlign w:val="center"/>
          </w:tcPr>
          <w:p w14:paraId="102AD40B"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w:t>
            </w:r>
          </w:p>
        </w:tc>
      </w:tr>
      <w:tr w:rsidR="002449C2" w14:paraId="4AE4621A" w14:textId="77777777">
        <w:trPr>
          <w:trHeight w:val="386"/>
        </w:trPr>
        <w:tc>
          <w:tcPr>
            <w:tcW w:w="5610" w:type="dxa"/>
            <w:tcBorders>
              <w:top w:val="single" w:sz="4" w:space="0" w:color="000000"/>
              <w:left w:val="single" w:sz="4" w:space="0" w:color="000000"/>
              <w:bottom w:val="single" w:sz="4" w:space="0" w:color="000000"/>
              <w:right w:val="single" w:sz="4" w:space="0" w:color="000000"/>
            </w:tcBorders>
            <w:vAlign w:val="center"/>
          </w:tcPr>
          <w:p w14:paraId="0F6FFCF3" w14:textId="77777777" w:rsidR="002449C2" w:rsidRDefault="00123961">
            <w:pPr>
              <w:shd w:val="clear" w:color="auto" w:fill="FFFFFF"/>
              <w:tabs>
                <w:tab w:val="left" w:pos="1080"/>
                <w:tab w:val="left" w:pos="1320"/>
              </w:tabs>
              <w:spacing w:after="0" w:line="240" w:lineRule="auto"/>
              <w:jc w:val="both"/>
              <w:rPr>
                <w:rFonts w:ascii="Times New Roman" w:eastAsia="Arial" w:hAnsi="Times New Roman"/>
                <w:lang w:eastAsia="en-US"/>
              </w:rPr>
            </w:pPr>
            <w:r>
              <w:rPr>
                <w:rFonts w:ascii="Times New Roman" w:eastAsia="Arial" w:hAnsi="Times New Roman"/>
                <w:lang w:eastAsia="en-US"/>
              </w:rPr>
              <w:t>Проведение ряда тепло сберегающих мероприятий</w:t>
            </w:r>
          </w:p>
        </w:tc>
        <w:tc>
          <w:tcPr>
            <w:tcW w:w="1375" w:type="dxa"/>
            <w:tcBorders>
              <w:top w:val="single" w:sz="4" w:space="0" w:color="000000"/>
              <w:left w:val="single" w:sz="4" w:space="0" w:color="000000"/>
              <w:bottom w:val="single" w:sz="4" w:space="0" w:color="000000"/>
              <w:right w:val="single" w:sz="4" w:space="0" w:color="000000"/>
            </w:tcBorders>
            <w:vAlign w:val="center"/>
          </w:tcPr>
          <w:p w14:paraId="56479D17"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11,80</w:t>
            </w:r>
          </w:p>
        </w:tc>
        <w:tc>
          <w:tcPr>
            <w:tcW w:w="1215" w:type="dxa"/>
            <w:tcBorders>
              <w:top w:val="single" w:sz="4" w:space="0" w:color="000000"/>
              <w:left w:val="single" w:sz="4" w:space="0" w:color="000000"/>
              <w:bottom w:val="single" w:sz="4" w:space="0" w:color="000000"/>
              <w:right w:val="single" w:sz="4" w:space="0" w:color="000000"/>
            </w:tcBorders>
            <w:vAlign w:val="center"/>
          </w:tcPr>
          <w:p w14:paraId="146258A5"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0,082</w:t>
            </w:r>
          </w:p>
        </w:tc>
        <w:tc>
          <w:tcPr>
            <w:tcW w:w="1220" w:type="dxa"/>
            <w:tcBorders>
              <w:top w:val="single" w:sz="4" w:space="0" w:color="000000"/>
              <w:left w:val="single" w:sz="4" w:space="0" w:color="000000"/>
              <w:bottom w:val="single" w:sz="4" w:space="0" w:color="000000"/>
              <w:right w:val="single" w:sz="4" w:space="0" w:color="000000"/>
            </w:tcBorders>
            <w:vAlign w:val="center"/>
          </w:tcPr>
          <w:p w14:paraId="1BEF6AE4"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0,075</w:t>
            </w:r>
          </w:p>
        </w:tc>
      </w:tr>
      <w:tr w:rsidR="002449C2" w14:paraId="761CAAF8" w14:textId="77777777">
        <w:tc>
          <w:tcPr>
            <w:tcW w:w="5610" w:type="dxa"/>
            <w:tcBorders>
              <w:top w:val="single" w:sz="4" w:space="0" w:color="000000"/>
              <w:left w:val="single" w:sz="4" w:space="0" w:color="000000"/>
              <w:bottom w:val="single" w:sz="4" w:space="0" w:color="000000"/>
              <w:right w:val="single" w:sz="4" w:space="0" w:color="000000"/>
            </w:tcBorders>
            <w:vAlign w:val="center"/>
          </w:tcPr>
          <w:p w14:paraId="36945EE8" w14:textId="77777777" w:rsidR="002449C2" w:rsidRDefault="00123961">
            <w:pPr>
              <w:shd w:val="clear" w:color="auto" w:fill="FFFFFF"/>
              <w:tabs>
                <w:tab w:val="left" w:pos="1080"/>
                <w:tab w:val="left" w:pos="1320"/>
              </w:tabs>
              <w:spacing w:after="0" w:line="240" w:lineRule="auto"/>
              <w:rPr>
                <w:rFonts w:ascii="Times New Roman" w:eastAsia="Arial" w:hAnsi="Times New Roman"/>
                <w:b/>
                <w:lang w:eastAsia="en-US"/>
              </w:rPr>
            </w:pPr>
            <w:r>
              <w:rPr>
                <w:rFonts w:ascii="Times New Roman" w:eastAsia="Arial" w:hAnsi="Times New Roman"/>
                <w:b/>
                <w:lang w:eastAsia="en-US"/>
              </w:rPr>
              <w:t>- Водоснабжение холодное, тыс. л.</w:t>
            </w:r>
          </w:p>
        </w:tc>
        <w:tc>
          <w:tcPr>
            <w:tcW w:w="1375" w:type="dxa"/>
            <w:tcBorders>
              <w:top w:val="single" w:sz="4" w:space="0" w:color="000000"/>
              <w:left w:val="single" w:sz="4" w:space="0" w:color="000000"/>
              <w:bottom w:val="single" w:sz="4" w:space="0" w:color="000000"/>
              <w:right w:val="single" w:sz="4" w:space="0" w:color="000000"/>
            </w:tcBorders>
            <w:vAlign w:val="center"/>
          </w:tcPr>
          <w:p w14:paraId="7509AD7D"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c>
          <w:tcPr>
            <w:tcW w:w="1215" w:type="dxa"/>
            <w:tcBorders>
              <w:top w:val="single" w:sz="4" w:space="0" w:color="000000"/>
              <w:left w:val="single" w:sz="4" w:space="0" w:color="000000"/>
              <w:bottom w:val="single" w:sz="4" w:space="0" w:color="000000"/>
              <w:right w:val="single" w:sz="4" w:space="0" w:color="000000"/>
            </w:tcBorders>
            <w:vAlign w:val="center"/>
          </w:tcPr>
          <w:p w14:paraId="0F5191FE"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c>
          <w:tcPr>
            <w:tcW w:w="1220" w:type="dxa"/>
            <w:tcBorders>
              <w:top w:val="single" w:sz="4" w:space="0" w:color="000000"/>
              <w:left w:val="single" w:sz="4" w:space="0" w:color="000000"/>
              <w:bottom w:val="single" w:sz="4" w:space="0" w:color="000000"/>
              <w:right w:val="single" w:sz="4" w:space="0" w:color="000000"/>
            </w:tcBorders>
            <w:vAlign w:val="center"/>
          </w:tcPr>
          <w:p w14:paraId="475A813C"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r>
      <w:tr w:rsidR="002449C2" w14:paraId="7C257D40" w14:textId="77777777">
        <w:trPr>
          <w:trHeight w:val="192"/>
        </w:trPr>
        <w:tc>
          <w:tcPr>
            <w:tcW w:w="5610" w:type="dxa"/>
            <w:tcBorders>
              <w:top w:val="single" w:sz="4" w:space="0" w:color="000000"/>
              <w:left w:val="single" w:sz="4" w:space="0" w:color="000000"/>
              <w:bottom w:val="single" w:sz="4" w:space="0" w:color="000000"/>
              <w:right w:val="single" w:sz="4" w:space="0" w:color="000000"/>
            </w:tcBorders>
            <w:vAlign w:val="center"/>
          </w:tcPr>
          <w:p w14:paraId="44D7D392" w14:textId="77777777" w:rsidR="002449C2" w:rsidRDefault="00123961">
            <w:pPr>
              <w:shd w:val="clear" w:color="auto" w:fill="FFFFFF"/>
              <w:tabs>
                <w:tab w:val="left" w:pos="1080"/>
                <w:tab w:val="left" w:pos="1320"/>
              </w:tabs>
              <w:spacing w:after="0" w:line="240" w:lineRule="auto"/>
              <w:rPr>
                <w:rFonts w:ascii="Times New Roman" w:eastAsia="Arial" w:hAnsi="Times New Roman"/>
                <w:lang w:eastAsia="en-US"/>
              </w:rPr>
            </w:pPr>
            <w:r>
              <w:rPr>
                <w:rFonts w:ascii="Times New Roman" w:eastAsia="Arial" w:hAnsi="Times New Roman"/>
                <w:lang w:eastAsia="en-US"/>
              </w:rPr>
              <w:t>Уменьшение объема холодного водопотребления за счет отключения точек подачи холодной воды на полив зеленых насаждений</w:t>
            </w:r>
          </w:p>
        </w:tc>
        <w:tc>
          <w:tcPr>
            <w:tcW w:w="1375" w:type="dxa"/>
            <w:tcBorders>
              <w:top w:val="single" w:sz="4" w:space="0" w:color="000000"/>
              <w:left w:val="single" w:sz="4" w:space="0" w:color="000000"/>
              <w:bottom w:val="single" w:sz="4" w:space="0" w:color="000000"/>
              <w:right w:val="single" w:sz="4" w:space="0" w:color="000000"/>
            </w:tcBorders>
            <w:vAlign w:val="center"/>
          </w:tcPr>
          <w:p w14:paraId="26DC5C09"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0,807</w:t>
            </w:r>
          </w:p>
        </w:tc>
        <w:tc>
          <w:tcPr>
            <w:tcW w:w="1215" w:type="dxa"/>
            <w:tcBorders>
              <w:top w:val="single" w:sz="4" w:space="0" w:color="000000"/>
              <w:left w:val="single" w:sz="4" w:space="0" w:color="000000"/>
              <w:bottom w:val="single" w:sz="4" w:space="0" w:color="000000"/>
              <w:right w:val="single" w:sz="4" w:space="0" w:color="000000"/>
            </w:tcBorders>
            <w:vAlign w:val="center"/>
          </w:tcPr>
          <w:p w14:paraId="6EC3907F"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0,131</w:t>
            </w:r>
          </w:p>
        </w:tc>
        <w:tc>
          <w:tcPr>
            <w:tcW w:w="1220" w:type="dxa"/>
            <w:tcBorders>
              <w:top w:val="single" w:sz="4" w:space="0" w:color="000000"/>
              <w:left w:val="single" w:sz="4" w:space="0" w:color="000000"/>
              <w:bottom w:val="single" w:sz="4" w:space="0" w:color="000000"/>
              <w:right w:val="single" w:sz="4" w:space="0" w:color="000000"/>
            </w:tcBorders>
            <w:vAlign w:val="center"/>
          </w:tcPr>
          <w:p w14:paraId="5F8B4010"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w:t>
            </w:r>
          </w:p>
        </w:tc>
      </w:tr>
      <w:tr w:rsidR="002449C2" w14:paraId="7A240A02" w14:textId="77777777">
        <w:trPr>
          <w:trHeight w:val="192"/>
        </w:trPr>
        <w:tc>
          <w:tcPr>
            <w:tcW w:w="5610" w:type="dxa"/>
            <w:tcBorders>
              <w:top w:val="single" w:sz="4" w:space="0" w:color="000000"/>
              <w:left w:val="single" w:sz="4" w:space="0" w:color="000000"/>
              <w:bottom w:val="single" w:sz="4" w:space="0" w:color="000000"/>
              <w:right w:val="single" w:sz="4" w:space="0" w:color="000000"/>
            </w:tcBorders>
            <w:vAlign w:val="center"/>
          </w:tcPr>
          <w:p w14:paraId="4542FF7A" w14:textId="77777777" w:rsidR="002449C2" w:rsidRDefault="00123961">
            <w:pPr>
              <w:shd w:val="clear" w:color="auto" w:fill="FFFFFF"/>
              <w:tabs>
                <w:tab w:val="left" w:pos="1080"/>
                <w:tab w:val="left" w:pos="1320"/>
              </w:tabs>
              <w:spacing w:after="0" w:line="240" w:lineRule="auto"/>
              <w:rPr>
                <w:rFonts w:ascii="Times New Roman" w:eastAsia="Arial" w:hAnsi="Times New Roman"/>
                <w:lang w:eastAsia="en-US"/>
              </w:rPr>
            </w:pPr>
            <w:r>
              <w:rPr>
                <w:rFonts w:ascii="Times New Roman" w:eastAsia="Arial" w:hAnsi="Times New Roman"/>
                <w:lang w:eastAsia="en-US"/>
              </w:rPr>
              <w:t>Ведение систематического мониторинга показателей энергопотребления на объектах, сбор и анализ информации об энергопотреблении зданий, строений и сооружений</w:t>
            </w:r>
          </w:p>
        </w:tc>
        <w:tc>
          <w:tcPr>
            <w:tcW w:w="1375" w:type="dxa"/>
            <w:tcBorders>
              <w:top w:val="single" w:sz="4" w:space="0" w:color="000000"/>
              <w:left w:val="single" w:sz="4" w:space="0" w:color="000000"/>
              <w:bottom w:val="single" w:sz="4" w:space="0" w:color="000000"/>
              <w:right w:val="single" w:sz="4" w:space="0" w:color="000000"/>
            </w:tcBorders>
            <w:vAlign w:val="center"/>
          </w:tcPr>
          <w:p w14:paraId="364FD5A5"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0,060</w:t>
            </w:r>
          </w:p>
        </w:tc>
        <w:tc>
          <w:tcPr>
            <w:tcW w:w="1215" w:type="dxa"/>
            <w:tcBorders>
              <w:top w:val="single" w:sz="4" w:space="0" w:color="000000"/>
              <w:left w:val="single" w:sz="4" w:space="0" w:color="000000"/>
              <w:bottom w:val="single" w:sz="4" w:space="0" w:color="000000"/>
              <w:right w:val="single" w:sz="4" w:space="0" w:color="000000"/>
            </w:tcBorders>
            <w:vAlign w:val="center"/>
          </w:tcPr>
          <w:p w14:paraId="2FC3EB1E"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0,004</w:t>
            </w:r>
          </w:p>
        </w:tc>
        <w:tc>
          <w:tcPr>
            <w:tcW w:w="1220" w:type="dxa"/>
            <w:tcBorders>
              <w:top w:val="single" w:sz="4" w:space="0" w:color="000000"/>
              <w:left w:val="single" w:sz="4" w:space="0" w:color="000000"/>
              <w:bottom w:val="single" w:sz="4" w:space="0" w:color="000000"/>
              <w:right w:val="single" w:sz="4" w:space="0" w:color="000000"/>
            </w:tcBorders>
            <w:vAlign w:val="center"/>
          </w:tcPr>
          <w:p w14:paraId="0A1F9F04"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w:t>
            </w:r>
          </w:p>
        </w:tc>
      </w:tr>
      <w:tr w:rsidR="002449C2" w14:paraId="59F326EF" w14:textId="77777777">
        <w:trPr>
          <w:trHeight w:val="192"/>
        </w:trPr>
        <w:tc>
          <w:tcPr>
            <w:tcW w:w="5610" w:type="dxa"/>
            <w:tcBorders>
              <w:top w:val="single" w:sz="4" w:space="0" w:color="000000"/>
              <w:left w:val="single" w:sz="4" w:space="0" w:color="000000"/>
              <w:bottom w:val="single" w:sz="4" w:space="0" w:color="000000"/>
              <w:right w:val="single" w:sz="4" w:space="0" w:color="000000"/>
            </w:tcBorders>
            <w:vAlign w:val="center"/>
          </w:tcPr>
          <w:p w14:paraId="53A0D959" w14:textId="77777777" w:rsidR="002449C2" w:rsidRDefault="00123961">
            <w:pPr>
              <w:shd w:val="clear" w:color="auto" w:fill="FFFFFF"/>
              <w:tabs>
                <w:tab w:val="left" w:pos="1080"/>
                <w:tab w:val="left" w:pos="1320"/>
              </w:tabs>
              <w:spacing w:after="0" w:line="240" w:lineRule="auto"/>
              <w:rPr>
                <w:rFonts w:ascii="Times New Roman" w:eastAsia="Arial" w:hAnsi="Times New Roman"/>
                <w:lang w:eastAsia="en-US"/>
              </w:rPr>
            </w:pPr>
            <w:r>
              <w:rPr>
                <w:rFonts w:ascii="Times New Roman" w:eastAsia="Arial" w:hAnsi="Times New Roman"/>
                <w:lang w:eastAsia="en-US"/>
              </w:rPr>
              <w:t>Разработка и внедрение нормативов удельного расхода холодной воды</w:t>
            </w:r>
          </w:p>
        </w:tc>
        <w:tc>
          <w:tcPr>
            <w:tcW w:w="1375" w:type="dxa"/>
            <w:tcBorders>
              <w:top w:val="single" w:sz="4" w:space="0" w:color="000000"/>
              <w:left w:val="single" w:sz="4" w:space="0" w:color="000000"/>
              <w:bottom w:val="single" w:sz="4" w:space="0" w:color="000000"/>
              <w:right w:val="single" w:sz="4" w:space="0" w:color="000000"/>
            </w:tcBorders>
            <w:vAlign w:val="center"/>
          </w:tcPr>
          <w:p w14:paraId="5CBF1774"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0,070</w:t>
            </w:r>
          </w:p>
        </w:tc>
        <w:tc>
          <w:tcPr>
            <w:tcW w:w="1215" w:type="dxa"/>
            <w:tcBorders>
              <w:top w:val="single" w:sz="4" w:space="0" w:color="000000"/>
              <w:left w:val="single" w:sz="4" w:space="0" w:color="000000"/>
              <w:bottom w:val="single" w:sz="4" w:space="0" w:color="000000"/>
              <w:right w:val="single" w:sz="4" w:space="0" w:color="000000"/>
            </w:tcBorders>
            <w:vAlign w:val="center"/>
          </w:tcPr>
          <w:p w14:paraId="29F39B1A"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0,004</w:t>
            </w:r>
          </w:p>
        </w:tc>
        <w:tc>
          <w:tcPr>
            <w:tcW w:w="1220" w:type="dxa"/>
            <w:tcBorders>
              <w:top w:val="single" w:sz="4" w:space="0" w:color="000000"/>
              <w:left w:val="single" w:sz="4" w:space="0" w:color="000000"/>
              <w:bottom w:val="single" w:sz="4" w:space="0" w:color="000000"/>
              <w:right w:val="single" w:sz="4" w:space="0" w:color="000000"/>
            </w:tcBorders>
            <w:vAlign w:val="center"/>
          </w:tcPr>
          <w:p w14:paraId="019205BF"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w:t>
            </w:r>
          </w:p>
        </w:tc>
      </w:tr>
      <w:tr w:rsidR="002449C2" w14:paraId="3FFD1ACB" w14:textId="77777777">
        <w:tc>
          <w:tcPr>
            <w:tcW w:w="5610" w:type="dxa"/>
            <w:tcBorders>
              <w:top w:val="single" w:sz="4" w:space="0" w:color="000000"/>
              <w:left w:val="single" w:sz="4" w:space="0" w:color="000000"/>
              <w:bottom w:val="single" w:sz="4" w:space="0" w:color="000000"/>
              <w:right w:val="single" w:sz="4" w:space="0" w:color="000000"/>
            </w:tcBorders>
            <w:vAlign w:val="center"/>
          </w:tcPr>
          <w:p w14:paraId="602981A7" w14:textId="77777777" w:rsidR="002449C2" w:rsidRDefault="00123961">
            <w:pPr>
              <w:shd w:val="clear" w:color="auto" w:fill="FFFFFF"/>
              <w:tabs>
                <w:tab w:val="left" w:pos="1080"/>
                <w:tab w:val="left" w:pos="1320"/>
              </w:tabs>
              <w:spacing w:after="0" w:line="240" w:lineRule="auto"/>
              <w:rPr>
                <w:rFonts w:ascii="Times New Roman" w:eastAsia="Arial" w:hAnsi="Times New Roman"/>
                <w:lang w:eastAsia="en-US"/>
              </w:rPr>
            </w:pPr>
            <w:r>
              <w:rPr>
                <w:rFonts w:ascii="Times New Roman" w:eastAsia="Arial" w:hAnsi="Times New Roman"/>
                <w:lang w:eastAsia="en-US"/>
              </w:rPr>
              <w:t>Сокращение водоразборных точек на полив и технические нужды</w:t>
            </w:r>
          </w:p>
        </w:tc>
        <w:tc>
          <w:tcPr>
            <w:tcW w:w="1375" w:type="dxa"/>
            <w:tcBorders>
              <w:top w:val="single" w:sz="4" w:space="0" w:color="000000"/>
              <w:left w:val="single" w:sz="4" w:space="0" w:color="000000"/>
              <w:bottom w:val="single" w:sz="4" w:space="0" w:color="000000"/>
              <w:right w:val="single" w:sz="4" w:space="0" w:color="000000"/>
            </w:tcBorders>
            <w:vAlign w:val="center"/>
          </w:tcPr>
          <w:p w14:paraId="335FDF60"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0,229</w:t>
            </w:r>
          </w:p>
        </w:tc>
        <w:tc>
          <w:tcPr>
            <w:tcW w:w="1215" w:type="dxa"/>
            <w:tcBorders>
              <w:top w:val="single" w:sz="4" w:space="0" w:color="000000"/>
              <w:left w:val="single" w:sz="4" w:space="0" w:color="000000"/>
              <w:bottom w:val="single" w:sz="4" w:space="0" w:color="000000"/>
              <w:right w:val="single" w:sz="4" w:space="0" w:color="000000"/>
            </w:tcBorders>
            <w:vAlign w:val="center"/>
          </w:tcPr>
          <w:p w14:paraId="00093B73"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0,012</w:t>
            </w:r>
          </w:p>
        </w:tc>
        <w:tc>
          <w:tcPr>
            <w:tcW w:w="1220" w:type="dxa"/>
            <w:tcBorders>
              <w:top w:val="single" w:sz="4" w:space="0" w:color="000000"/>
              <w:left w:val="single" w:sz="4" w:space="0" w:color="000000"/>
              <w:bottom w:val="single" w:sz="4" w:space="0" w:color="000000"/>
              <w:right w:val="single" w:sz="4" w:space="0" w:color="000000"/>
            </w:tcBorders>
            <w:vAlign w:val="center"/>
          </w:tcPr>
          <w:p w14:paraId="7D3A4885"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w:t>
            </w:r>
          </w:p>
        </w:tc>
      </w:tr>
      <w:tr w:rsidR="002449C2" w14:paraId="4985FF7A" w14:textId="77777777">
        <w:tc>
          <w:tcPr>
            <w:tcW w:w="5610" w:type="dxa"/>
            <w:tcBorders>
              <w:top w:val="single" w:sz="4" w:space="0" w:color="000000"/>
              <w:left w:val="single" w:sz="4" w:space="0" w:color="000000"/>
              <w:bottom w:val="single" w:sz="4" w:space="0" w:color="000000"/>
              <w:right w:val="single" w:sz="4" w:space="0" w:color="000000"/>
            </w:tcBorders>
            <w:vAlign w:val="center"/>
          </w:tcPr>
          <w:p w14:paraId="6BF9A467" w14:textId="77777777" w:rsidR="002449C2" w:rsidRDefault="00123961">
            <w:pPr>
              <w:shd w:val="clear" w:color="auto" w:fill="FFFFFF"/>
              <w:tabs>
                <w:tab w:val="left" w:pos="1080"/>
                <w:tab w:val="left" w:pos="1320"/>
              </w:tabs>
              <w:spacing w:after="0" w:line="240" w:lineRule="auto"/>
              <w:rPr>
                <w:rFonts w:ascii="Times New Roman" w:eastAsia="Arial" w:hAnsi="Times New Roman"/>
                <w:lang w:eastAsia="en-US"/>
              </w:rPr>
            </w:pPr>
            <w:r>
              <w:rPr>
                <w:rFonts w:ascii="Times New Roman" w:eastAsia="Arial" w:hAnsi="Times New Roman"/>
                <w:lang w:eastAsia="en-US"/>
              </w:rPr>
              <w:t>Замена изношенной арматуры в сливных бачках, кранов, вентилей в системе водоснабжения; установка двухкнопочных сливных механизмов</w:t>
            </w:r>
          </w:p>
        </w:tc>
        <w:tc>
          <w:tcPr>
            <w:tcW w:w="1375" w:type="dxa"/>
            <w:tcBorders>
              <w:top w:val="single" w:sz="4" w:space="0" w:color="000000"/>
              <w:left w:val="single" w:sz="4" w:space="0" w:color="000000"/>
              <w:bottom w:val="single" w:sz="4" w:space="0" w:color="000000"/>
              <w:right w:val="single" w:sz="4" w:space="0" w:color="000000"/>
            </w:tcBorders>
            <w:vAlign w:val="center"/>
          </w:tcPr>
          <w:p w14:paraId="6324E845"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0,038</w:t>
            </w:r>
          </w:p>
        </w:tc>
        <w:tc>
          <w:tcPr>
            <w:tcW w:w="1215" w:type="dxa"/>
            <w:tcBorders>
              <w:top w:val="single" w:sz="4" w:space="0" w:color="000000"/>
              <w:left w:val="single" w:sz="4" w:space="0" w:color="000000"/>
              <w:bottom w:val="single" w:sz="4" w:space="0" w:color="000000"/>
              <w:right w:val="single" w:sz="4" w:space="0" w:color="000000"/>
            </w:tcBorders>
            <w:vAlign w:val="center"/>
          </w:tcPr>
          <w:p w14:paraId="19EF8BCA"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0,002</w:t>
            </w:r>
          </w:p>
        </w:tc>
        <w:tc>
          <w:tcPr>
            <w:tcW w:w="1220" w:type="dxa"/>
            <w:tcBorders>
              <w:top w:val="single" w:sz="4" w:space="0" w:color="000000"/>
              <w:left w:val="single" w:sz="4" w:space="0" w:color="000000"/>
              <w:bottom w:val="single" w:sz="4" w:space="0" w:color="000000"/>
              <w:right w:val="single" w:sz="4" w:space="0" w:color="000000"/>
            </w:tcBorders>
            <w:vAlign w:val="center"/>
          </w:tcPr>
          <w:p w14:paraId="15D28D5E"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0,00</w:t>
            </w:r>
          </w:p>
        </w:tc>
      </w:tr>
      <w:tr w:rsidR="002449C2" w14:paraId="6058A8CC" w14:textId="77777777">
        <w:tc>
          <w:tcPr>
            <w:tcW w:w="5610" w:type="dxa"/>
            <w:tcBorders>
              <w:top w:val="single" w:sz="4" w:space="0" w:color="000000"/>
              <w:left w:val="single" w:sz="4" w:space="0" w:color="000000"/>
              <w:bottom w:val="single" w:sz="4" w:space="0" w:color="000000"/>
              <w:right w:val="single" w:sz="4" w:space="0" w:color="000000"/>
            </w:tcBorders>
            <w:vAlign w:val="center"/>
          </w:tcPr>
          <w:p w14:paraId="34A6CB3B" w14:textId="77777777" w:rsidR="002449C2" w:rsidRDefault="00123961">
            <w:pPr>
              <w:shd w:val="clear" w:color="auto" w:fill="FFFFFF"/>
              <w:tabs>
                <w:tab w:val="left" w:pos="1080"/>
                <w:tab w:val="left" w:pos="1320"/>
              </w:tabs>
              <w:spacing w:after="0" w:line="240" w:lineRule="auto"/>
              <w:rPr>
                <w:rFonts w:ascii="Times New Roman" w:eastAsia="Arial" w:hAnsi="Times New Roman"/>
                <w:b/>
                <w:lang w:eastAsia="en-US"/>
              </w:rPr>
            </w:pPr>
            <w:r>
              <w:rPr>
                <w:rFonts w:ascii="Times New Roman" w:eastAsia="Arial" w:hAnsi="Times New Roman"/>
                <w:b/>
                <w:lang w:eastAsia="en-US"/>
              </w:rPr>
              <w:t>- Водоснабжение горячее, тыс.л.</w:t>
            </w:r>
          </w:p>
        </w:tc>
        <w:tc>
          <w:tcPr>
            <w:tcW w:w="1375" w:type="dxa"/>
            <w:tcBorders>
              <w:top w:val="single" w:sz="4" w:space="0" w:color="000000"/>
              <w:left w:val="single" w:sz="4" w:space="0" w:color="000000"/>
              <w:bottom w:val="single" w:sz="4" w:space="0" w:color="000000"/>
              <w:right w:val="single" w:sz="4" w:space="0" w:color="000000"/>
            </w:tcBorders>
            <w:vAlign w:val="center"/>
          </w:tcPr>
          <w:p w14:paraId="7DCF5D16"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c>
          <w:tcPr>
            <w:tcW w:w="1215" w:type="dxa"/>
            <w:tcBorders>
              <w:top w:val="single" w:sz="4" w:space="0" w:color="000000"/>
              <w:left w:val="single" w:sz="4" w:space="0" w:color="000000"/>
              <w:bottom w:val="single" w:sz="4" w:space="0" w:color="000000"/>
              <w:right w:val="single" w:sz="4" w:space="0" w:color="000000"/>
            </w:tcBorders>
            <w:vAlign w:val="center"/>
          </w:tcPr>
          <w:p w14:paraId="17332036"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c>
          <w:tcPr>
            <w:tcW w:w="1220" w:type="dxa"/>
            <w:tcBorders>
              <w:top w:val="single" w:sz="4" w:space="0" w:color="000000"/>
              <w:left w:val="single" w:sz="4" w:space="0" w:color="000000"/>
              <w:bottom w:val="single" w:sz="4" w:space="0" w:color="000000"/>
              <w:right w:val="single" w:sz="4" w:space="0" w:color="000000"/>
            </w:tcBorders>
            <w:vAlign w:val="center"/>
          </w:tcPr>
          <w:p w14:paraId="1F677DFA" w14:textId="77777777" w:rsidR="002449C2" w:rsidRDefault="002449C2">
            <w:pPr>
              <w:shd w:val="clear" w:color="auto" w:fill="FFFFFF"/>
              <w:tabs>
                <w:tab w:val="left" w:pos="1080"/>
                <w:tab w:val="left" w:pos="1320"/>
              </w:tabs>
              <w:spacing w:after="0" w:line="240" w:lineRule="auto"/>
              <w:jc w:val="center"/>
              <w:rPr>
                <w:rFonts w:ascii="Times New Roman" w:eastAsia="Arial" w:hAnsi="Times New Roman"/>
                <w:lang w:eastAsia="en-US"/>
              </w:rPr>
            </w:pPr>
          </w:p>
        </w:tc>
      </w:tr>
      <w:tr w:rsidR="002449C2" w14:paraId="2FD52484" w14:textId="77777777">
        <w:tc>
          <w:tcPr>
            <w:tcW w:w="5610" w:type="dxa"/>
            <w:tcBorders>
              <w:top w:val="single" w:sz="4" w:space="0" w:color="000000"/>
              <w:left w:val="single" w:sz="4" w:space="0" w:color="000000"/>
              <w:bottom w:val="single" w:sz="4" w:space="0" w:color="000000"/>
              <w:right w:val="single" w:sz="4" w:space="0" w:color="000000"/>
            </w:tcBorders>
            <w:vAlign w:val="center"/>
          </w:tcPr>
          <w:p w14:paraId="4450972A" w14:textId="77777777" w:rsidR="002449C2" w:rsidRDefault="00123961">
            <w:pPr>
              <w:shd w:val="clear" w:color="auto" w:fill="FFFFFF"/>
              <w:tabs>
                <w:tab w:val="left" w:pos="1080"/>
                <w:tab w:val="left" w:pos="1320"/>
              </w:tabs>
              <w:spacing w:after="0" w:line="240" w:lineRule="auto"/>
              <w:rPr>
                <w:rFonts w:ascii="Times New Roman" w:eastAsia="Arial" w:hAnsi="Times New Roman"/>
                <w:lang w:eastAsia="en-US"/>
              </w:rPr>
            </w:pPr>
            <w:r>
              <w:rPr>
                <w:rFonts w:ascii="Times New Roman" w:eastAsia="Arial" w:hAnsi="Times New Roman"/>
                <w:lang w:eastAsia="en-US"/>
              </w:rPr>
              <w:t>Уменьшение объема горячего водопотребления за счет отключения точек подачи горячей воды в летний период</w:t>
            </w:r>
          </w:p>
        </w:tc>
        <w:tc>
          <w:tcPr>
            <w:tcW w:w="1375" w:type="dxa"/>
            <w:tcBorders>
              <w:top w:val="single" w:sz="4" w:space="0" w:color="000000"/>
              <w:left w:val="single" w:sz="4" w:space="0" w:color="000000"/>
              <w:bottom w:val="single" w:sz="4" w:space="0" w:color="000000"/>
              <w:right w:val="single" w:sz="4" w:space="0" w:color="000000"/>
            </w:tcBorders>
            <w:vAlign w:val="center"/>
          </w:tcPr>
          <w:p w14:paraId="62C4062A"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0,114</w:t>
            </w:r>
          </w:p>
        </w:tc>
        <w:tc>
          <w:tcPr>
            <w:tcW w:w="1215" w:type="dxa"/>
            <w:tcBorders>
              <w:top w:val="single" w:sz="4" w:space="0" w:color="000000"/>
              <w:left w:val="single" w:sz="4" w:space="0" w:color="000000"/>
              <w:bottom w:val="single" w:sz="4" w:space="0" w:color="000000"/>
              <w:right w:val="single" w:sz="4" w:space="0" w:color="000000"/>
            </w:tcBorders>
            <w:vAlign w:val="center"/>
          </w:tcPr>
          <w:p w14:paraId="152D6648"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r>
              <w:rPr>
                <w:rFonts w:ascii="Times New Roman" w:eastAsia="Arial" w:hAnsi="Times New Roman"/>
                <w:lang w:eastAsia="en-US"/>
              </w:rPr>
              <w:t>0,036</w:t>
            </w:r>
          </w:p>
        </w:tc>
        <w:tc>
          <w:tcPr>
            <w:tcW w:w="1220" w:type="dxa"/>
            <w:tcBorders>
              <w:top w:val="single" w:sz="4" w:space="0" w:color="000000"/>
              <w:left w:val="single" w:sz="4" w:space="0" w:color="000000"/>
              <w:bottom w:val="single" w:sz="4" w:space="0" w:color="000000"/>
              <w:right w:val="single" w:sz="4" w:space="0" w:color="000000"/>
            </w:tcBorders>
            <w:vAlign w:val="center"/>
          </w:tcPr>
          <w:p w14:paraId="09B996A6" w14:textId="77777777" w:rsidR="002449C2" w:rsidRDefault="00123961">
            <w:pPr>
              <w:shd w:val="clear" w:color="auto" w:fill="FFFFFF"/>
              <w:tabs>
                <w:tab w:val="left" w:pos="1080"/>
                <w:tab w:val="left" w:pos="1320"/>
              </w:tabs>
              <w:spacing w:after="0" w:line="240" w:lineRule="auto"/>
              <w:jc w:val="center"/>
              <w:rPr>
                <w:rFonts w:ascii="Times New Roman" w:eastAsia="Arial" w:hAnsi="Times New Roman"/>
                <w:lang w:eastAsia="en-US"/>
              </w:rPr>
            </w:pPr>
            <w:bookmarkStart w:id="125" w:name="_Toc33542782"/>
            <w:r>
              <w:rPr>
                <w:rFonts w:ascii="Times New Roman" w:eastAsia="Arial" w:hAnsi="Times New Roman"/>
                <w:lang w:eastAsia="en-US"/>
              </w:rPr>
              <w:t>0,00</w:t>
            </w:r>
            <w:bookmarkEnd w:id="125"/>
          </w:p>
        </w:tc>
      </w:tr>
    </w:tbl>
    <w:p w14:paraId="1EE69700" w14:textId="77777777" w:rsidR="002449C2" w:rsidRDefault="002449C2">
      <w:pPr>
        <w:shd w:val="clear" w:color="auto" w:fill="FFFFFF"/>
        <w:spacing w:after="0" w:line="240" w:lineRule="auto"/>
        <w:ind w:firstLine="567"/>
        <w:jc w:val="both"/>
        <w:rPr>
          <w:rFonts w:ascii="Times New Roman" w:eastAsia="Arial" w:hAnsi="Times New Roman"/>
          <w:sz w:val="26"/>
          <w:szCs w:val="26"/>
          <w:lang w:eastAsia="en-US"/>
        </w:rPr>
      </w:pPr>
    </w:p>
    <w:p w14:paraId="0F3B9393" w14:textId="77777777" w:rsidR="002449C2" w:rsidRDefault="00123961">
      <w:pPr>
        <w:shd w:val="clear" w:color="auto" w:fill="FFFFFF"/>
        <w:spacing w:after="0" w:line="240" w:lineRule="auto"/>
        <w:ind w:firstLine="567"/>
        <w:jc w:val="both"/>
        <w:rPr>
          <w:rFonts w:ascii="Times New Roman" w:eastAsia="Arial" w:hAnsi="Times New Roman"/>
          <w:sz w:val="26"/>
          <w:szCs w:val="26"/>
          <w:lang w:eastAsia="en-US"/>
        </w:rPr>
      </w:pPr>
      <w:r>
        <w:rPr>
          <w:rFonts w:ascii="Times New Roman" w:eastAsia="Arial" w:hAnsi="Times New Roman"/>
          <w:sz w:val="26"/>
          <w:szCs w:val="26"/>
          <w:lang w:eastAsia="en-US"/>
        </w:rPr>
        <w:t>По результатам 2024 года эффект от реализации целевых мероприятий по снижению расхода ресурсов на хозяйственные нужды в целом по Обществу составил 222,93 тыс.т.у.т. на сумму 7,017 млн руб. при плане 229,75 тыс. т.у.т. на сумму 7,23 млн руб.</w:t>
      </w:r>
    </w:p>
    <w:p w14:paraId="7B992732" w14:textId="77777777" w:rsidR="002449C2" w:rsidRDefault="00123961">
      <w:pPr>
        <w:shd w:val="clear" w:color="auto" w:fill="FFFFFF"/>
        <w:spacing w:after="0" w:line="240" w:lineRule="auto"/>
        <w:ind w:firstLine="567"/>
        <w:jc w:val="both"/>
        <w:rPr>
          <w:rFonts w:ascii="Times New Roman" w:eastAsia="Arial" w:hAnsi="Times New Roman"/>
          <w:sz w:val="26"/>
          <w:szCs w:val="26"/>
          <w:lang w:eastAsia="en-US"/>
        </w:rPr>
      </w:pPr>
      <w:r>
        <w:rPr>
          <w:rFonts w:ascii="Times New Roman" w:eastAsia="Arial" w:hAnsi="Times New Roman"/>
          <w:sz w:val="26"/>
          <w:szCs w:val="26"/>
          <w:lang w:eastAsia="en-US"/>
        </w:rPr>
        <w:t>При этом доля технических мероприятий составила 68% (эффект 6,67 млн руб. или 131,94 т.у.т.), среди которых основной эффект внесли мероприятия по установке осветительных устройств с использованием светодиодов.</w:t>
      </w:r>
    </w:p>
    <w:p w14:paraId="3D819D3A" w14:textId="77777777" w:rsidR="002449C2" w:rsidRDefault="00123961">
      <w:pPr>
        <w:shd w:val="clear" w:color="auto" w:fill="FFFFFF"/>
        <w:spacing w:after="0" w:line="240" w:lineRule="auto"/>
        <w:ind w:firstLine="567"/>
        <w:jc w:val="both"/>
        <w:rPr>
          <w:rFonts w:ascii="Times New Roman" w:eastAsia="Arial" w:hAnsi="Times New Roman"/>
          <w:sz w:val="26"/>
          <w:szCs w:val="26"/>
          <w:lang w:eastAsia="en-US"/>
        </w:rPr>
      </w:pPr>
      <w:r>
        <w:rPr>
          <w:rFonts w:ascii="Times New Roman" w:eastAsia="Arial" w:hAnsi="Times New Roman"/>
          <w:sz w:val="26"/>
          <w:szCs w:val="26"/>
          <w:lang w:eastAsia="en-US"/>
        </w:rPr>
        <w:t>По результатам 2024 года эффект от реализации Программы в части снижения моторного топлива составил 2,406 млн руб. или 67,11 тыс. л.</w:t>
      </w:r>
    </w:p>
    <w:p w14:paraId="3079A1D9" w14:textId="77777777" w:rsidR="002449C2" w:rsidRDefault="00123961">
      <w:pPr>
        <w:shd w:val="clear" w:color="auto" w:fill="FFFFFF"/>
        <w:spacing w:after="0" w:line="240" w:lineRule="auto"/>
        <w:ind w:firstLine="567"/>
        <w:jc w:val="both"/>
        <w:rPr>
          <w:rFonts w:ascii="Times New Roman" w:eastAsia="Arial" w:hAnsi="Times New Roman"/>
          <w:sz w:val="26"/>
          <w:szCs w:val="26"/>
          <w:lang w:eastAsia="en-US"/>
        </w:rPr>
      </w:pPr>
      <w:r>
        <w:rPr>
          <w:rFonts w:ascii="Times New Roman" w:eastAsia="Arial" w:hAnsi="Times New Roman"/>
          <w:sz w:val="26"/>
          <w:szCs w:val="26"/>
          <w:lang w:eastAsia="en-US"/>
        </w:rPr>
        <w:t>По итогам 2024 года ПАО «Россети Юг»- «Волгоградэнерго» не выполнены целевые показатели «Расход моторного топлива автотранспортом и спецтехникой». Относительно плана 2024 года показатель превышен в натуральном выражении на 443,74 тыс. л. или 22,7 %. по следующим причинам:</w:t>
      </w:r>
    </w:p>
    <w:p w14:paraId="4542CB43" w14:textId="77777777" w:rsidR="002449C2" w:rsidRDefault="00123961">
      <w:pPr>
        <w:shd w:val="clear" w:color="auto" w:fill="FFFFFF"/>
        <w:spacing w:after="0" w:line="240" w:lineRule="auto"/>
        <w:ind w:firstLine="567"/>
        <w:jc w:val="both"/>
        <w:rPr>
          <w:rFonts w:ascii="Times New Roman" w:eastAsia="Arial" w:hAnsi="Times New Roman"/>
          <w:sz w:val="26"/>
          <w:szCs w:val="26"/>
          <w:lang w:eastAsia="en-US"/>
        </w:rPr>
      </w:pPr>
      <w:r>
        <w:rPr>
          <w:rFonts w:ascii="Times New Roman" w:eastAsia="Arial" w:hAnsi="Times New Roman"/>
          <w:sz w:val="26"/>
          <w:szCs w:val="26"/>
          <w:lang w:eastAsia="en-US"/>
        </w:rPr>
        <w:t>-за счет увеличения пробега автотранспортом и спецтехникой при ликвидации аварии (последствий стихийных бедствий) зимой и дополнительным (внеплановым) объемом ремонтных работ летом на ВЛ и ПС.</w:t>
      </w:r>
    </w:p>
    <w:p w14:paraId="2E7CA37B" w14:textId="77777777" w:rsidR="002449C2" w:rsidRDefault="002449C2">
      <w:pPr>
        <w:widowControl w:val="0"/>
        <w:shd w:val="clear" w:color="auto" w:fill="FFFFFF"/>
        <w:spacing w:after="0" w:line="240" w:lineRule="auto"/>
        <w:rPr>
          <w:rFonts w:ascii="Times New Roman" w:hAnsi="Times New Roman"/>
          <w:sz w:val="26"/>
          <w:szCs w:val="26"/>
          <w:lang w:eastAsia="en-US"/>
        </w:rPr>
      </w:pPr>
    </w:p>
    <w:p w14:paraId="7E986CDD" w14:textId="77777777" w:rsidR="002449C2" w:rsidRDefault="00123961">
      <w:pPr>
        <w:shd w:val="clear" w:color="auto" w:fill="FFFFFF"/>
        <w:spacing w:after="0" w:line="240" w:lineRule="auto"/>
        <w:ind w:firstLine="567"/>
        <w:jc w:val="both"/>
        <w:rPr>
          <w:rFonts w:ascii="Times New Roman" w:eastAsia="Arial" w:hAnsi="Times New Roman"/>
          <w:b/>
          <w:sz w:val="26"/>
          <w:szCs w:val="26"/>
          <w:lang w:eastAsia="en-US"/>
        </w:rPr>
      </w:pPr>
      <w:r>
        <w:rPr>
          <w:rFonts w:ascii="Times New Roman" w:eastAsia="Arial" w:hAnsi="Times New Roman"/>
          <w:b/>
          <w:sz w:val="26"/>
          <w:szCs w:val="26"/>
          <w:lang w:eastAsia="en-US"/>
        </w:rPr>
        <w:t>Развитие системы энергетического менеджмента (СЭнМ).</w:t>
      </w:r>
    </w:p>
    <w:p w14:paraId="3895498E" w14:textId="77777777" w:rsidR="002449C2" w:rsidRDefault="002449C2">
      <w:pPr>
        <w:shd w:val="clear" w:color="auto" w:fill="FFFFFF"/>
        <w:spacing w:after="0" w:line="240" w:lineRule="auto"/>
        <w:ind w:firstLine="567"/>
        <w:jc w:val="both"/>
        <w:rPr>
          <w:rFonts w:ascii="Times New Roman" w:eastAsia="Arial" w:hAnsi="Times New Roman"/>
          <w:b/>
          <w:sz w:val="26"/>
          <w:szCs w:val="26"/>
          <w:lang w:eastAsia="en-US"/>
        </w:rPr>
      </w:pPr>
    </w:p>
    <w:p w14:paraId="52339C62"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СЭнМ - это часть общей системы управления Общества, которая обладает четкой организационной структурой и ставит целью достижение положений, указанных в энергетической политике посредством реализации программ по энергосбережению и повышению энергоэффективности.</w:t>
      </w:r>
    </w:p>
    <w:p w14:paraId="2103469A"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С 2015 года в ПАО «Россети Юг» внедрена и сертифицирована СЭнМ в соответствии с международным стандартом </w:t>
      </w:r>
      <w:r>
        <w:rPr>
          <w:rFonts w:ascii="Times New Roman" w:eastAsia="Times New Roman" w:hAnsi="Times New Roman"/>
          <w:sz w:val="26"/>
          <w:szCs w:val="26"/>
          <w:lang w:val="en-US" w:eastAsia="ru-RU"/>
        </w:rPr>
        <w:t>ISO</w:t>
      </w:r>
      <w:r>
        <w:rPr>
          <w:rFonts w:ascii="Times New Roman" w:eastAsia="Times New Roman" w:hAnsi="Times New Roman"/>
          <w:sz w:val="26"/>
          <w:szCs w:val="26"/>
          <w:lang w:eastAsia="ru-RU"/>
        </w:rPr>
        <w:t xml:space="preserve"> 50001.</w:t>
      </w:r>
    </w:p>
    <w:p w14:paraId="15B8441C"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2024 году было проведено 22 внутренних аудита системы энергетического менеджмента в соответствии с утвержденным графиком и стандартом ИСМ 80380011-ИА/Ф-5300 049-2020 «Внутренний аудит СЭнМ». С 25.11.2024 по 02.12.2024 компанией АО «СЖС Восток Лимитед» в исполнительном аппарате и филиалах ПАО «Россети Юг» проводился надзорный аудит системы энергетического менеджмента на соответствие требованиям международному стандарту ISO 50001:2018. По результатам проведенного аудита подтверждено соответствие системы энергетического менеджмента ПАО «Россети Юг» требованиям международного стандарта ISO 50001:2018 (сертификат соответствия RU24/00000146). Группа аудиторов заключила, что организация установила и поддерживает систему управления в соответствии с требованиями стандарта и продемонстрировала способность системы систематически достигать согласованные цели в соответствии с политикой организации.</w:t>
      </w:r>
    </w:p>
    <w:p w14:paraId="5919A88F" w14:textId="77777777" w:rsidR="002449C2" w:rsidRDefault="002449C2">
      <w:pPr>
        <w:spacing w:after="0" w:line="240" w:lineRule="auto"/>
        <w:jc w:val="both"/>
        <w:rPr>
          <w:rFonts w:ascii="Times New Roman" w:eastAsia="Times New Roman" w:hAnsi="Times New Roman"/>
          <w:sz w:val="26"/>
          <w:szCs w:val="26"/>
          <w:lang w:eastAsia="ru-RU"/>
        </w:rPr>
      </w:pPr>
    </w:p>
    <w:p w14:paraId="48644D3E" w14:textId="77777777" w:rsidR="002449C2" w:rsidRDefault="00123961">
      <w:pPr>
        <w:spacing w:after="0" w:line="240" w:lineRule="auto"/>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ab/>
        <w:t>Эффекты от внедрения системы энергетического менеджмента в ПАО «Россети Юг»:</w:t>
      </w:r>
    </w:p>
    <w:p w14:paraId="4AF40E74" w14:textId="77777777" w:rsidR="002449C2" w:rsidRDefault="00123961">
      <w:pPr>
        <w:tabs>
          <w:tab w:val="left" w:pos="993"/>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внедрены не отдельные функциональные регламенты и узконаправленные документы в филиалах, а единые стандарты, предлагающие системный, комплексный подход к вопросам энергосбережения;</w:t>
      </w:r>
    </w:p>
    <w:p w14:paraId="0FDB4432" w14:textId="77777777" w:rsidR="002449C2" w:rsidRDefault="00123961">
      <w:pPr>
        <w:tabs>
          <w:tab w:val="left" w:pos="993"/>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улучшение финансовых показателей за счет экономии и рационального использования всех видов энергоресурсов на уровне ИА – филиал – ПО – РЭС;</w:t>
      </w:r>
    </w:p>
    <w:p w14:paraId="69D3F3A6" w14:textId="77777777" w:rsidR="002449C2" w:rsidRDefault="00123961">
      <w:pPr>
        <w:tabs>
          <w:tab w:val="left" w:pos="993"/>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сокращение издержек, выявление и устранение непроизводственных расходов;</w:t>
      </w:r>
    </w:p>
    <w:p w14:paraId="03371E12" w14:textId="77777777" w:rsidR="002449C2" w:rsidRDefault="00123961">
      <w:pPr>
        <w:tabs>
          <w:tab w:val="left" w:pos="993"/>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высокая репутация организации и имиджевая привлекательность;</w:t>
      </w:r>
    </w:p>
    <w:p w14:paraId="74894831" w14:textId="77777777" w:rsidR="002449C2" w:rsidRDefault="00123961">
      <w:pPr>
        <w:tabs>
          <w:tab w:val="left" w:pos="993"/>
        </w:tabs>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w:t>
      </w:r>
      <w:r>
        <w:rPr>
          <w:rFonts w:ascii="Times New Roman" w:eastAsia="Times New Roman" w:hAnsi="Times New Roman"/>
          <w:sz w:val="26"/>
          <w:szCs w:val="26"/>
          <w:lang w:eastAsia="ru-RU"/>
        </w:rPr>
        <w:tab/>
        <w:t>вовлечение каждого работника организации в процесс достижения целей в области энергетической эффективности и энергосбережения</w:t>
      </w:r>
    </w:p>
    <w:p w14:paraId="51A36DB9" w14:textId="77777777" w:rsidR="002449C2" w:rsidRDefault="002449C2">
      <w:pPr>
        <w:widowControl w:val="0"/>
        <w:shd w:val="clear" w:color="auto" w:fill="FFFFFF"/>
        <w:spacing w:after="0" w:line="240" w:lineRule="auto"/>
        <w:jc w:val="center"/>
        <w:rPr>
          <w:rFonts w:ascii="Times New Roman" w:hAnsi="Times New Roman"/>
          <w:b/>
          <w:sz w:val="26"/>
          <w:szCs w:val="26"/>
          <w:lang w:eastAsia="en-US"/>
        </w:rPr>
      </w:pPr>
    </w:p>
    <w:p w14:paraId="05B52E99" w14:textId="77777777" w:rsidR="002449C2" w:rsidRDefault="00123961">
      <w:pPr>
        <w:widowControl w:val="0"/>
        <w:shd w:val="clear" w:color="auto" w:fill="FFFFFF"/>
        <w:spacing w:after="0" w:line="240" w:lineRule="auto"/>
        <w:jc w:val="center"/>
        <w:rPr>
          <w:rFonts w:ascii="Times New Roman" w:hAnsi="Times New Roman"/>
          <w:b/>
          <w:sz w:val="26"/>
          <w:szCs w:val="26"/>
          <w:lang w:eastAsia="en-US"/>
        </w:rPr>
      </w:pPr>
      <w:r>
        <w:rPr>
          <w:rFonts w:ascii="Times New Roman" w:hAnsi="Times New Roman"/>
          <w:b/>
          <w:sz w:val="26"/>
          <w:szCs w:val="26"/>
          <w:lang w:eastAsia="en-US"/>
        </w:rPr>
        <w:t xml:space="preserve">Расход топливно-энергетических ресурсов (ТЭР) на хозяйственные </w:t>
      </w:r>
    </w:p>
    <w:p w14:paraId="12C955A3" w14:textId="77777777" w:rsidR="002449C2" w:rsidRDefault="00123961">
      <w:pPr>
        <w:widowControl w:val="0"/>
        <w:shd w:val="clear" w:color="auto" w:fill="FFFFFF"/>
        <w:spacing w:after="0" w:line="240" w:lineRule="auto"/>
        <w:jc w:val="center"/>
        <w:rPr>
          <w:rFonts w:ascii="Times New Roman" w:hAnsi="Times New Roman"/>
          <w:b/>
          <w:sz w:val="26"/>
          <w:szCs w:val="26"/>
          <w:lang w:eastAsia="en-US"/>
        </w:rPr>
      </w:pPr>
      <w:r>
        <w:rPr>
          <w:rFonts w:ascii="Times New Roman" w:hAnsi="Times New Roman"/>
          <w:b/>
          <w:sz w:val="26"/>
          <w:szCs w:val="26"/>
          <w:lang w:eastAsia="en-US"/>
        </w:rPr>
        <w:t>нужды зданий административно-производственного назначения</w:t>
      </w:r>
    </w:p>
    <w:p w14:paraId="50E70E94" w14:textId="77777777" w:rsidR="002449C2" w:rsidRDefault="002449C2">
      <w:pPr>
        <w:widowControl w:val="0"/>
        <w:shd w:val="clear" w:color="auto" w:fill="FFFFFF"/>
        <w:spacing w:after="0" w:line="240" w:lineRule="auto"/>
        <w:rPr>
          <w:rFonts w:ascii="Times New Roman" w:hAnsi="Times New Roman"/>
          <w:b/>
          <w:sz w:val="26"/>
          <w:szCs w:val="26"/>
          <w:lang w:eastAsia="en-US"/>
        </w:rPr>
      </w:pPr>
    </w:p>
    <w:tbl>
      <w:tblPr>
        <w:tblW w:w="5000" w:type="pct"/>
        <w:tblLayout w:type="fixed"/>
        <w:tblCellMar>
          <w:top w:w="28" w:type="dxa"/>
          <w:left w:w="85" w:type="dxa"/>
          <w:bottom w:w="28" w:type="dxa"/>
          <w:right w:w="85" w:type="dxa"/>
        </w:tblCellMar>
        <w:tblLook w:val="04A0" w:firstRow="1" w:lastRow="0" w:firstColumn="1" w:lastColumn="0" w:noHBand="0" w:noVBand="1"/>
      </w:tblPr>
      <w:tblGrid>
        <w:gridCol w:w="3672"/>
        <w:gridCol w:w="935"/>
        <w:gridCol w:w="1004"/>
        <w:gridCol w:w="1155"/>
        <w:gridCol w:w="1151"/>
        <w:gridCol w:w="1571"/>
      </w:tblGrid>
      <w:tr w:rsidR="002449C2" w14:paraId="394B9AAB" w14:textId="77777777">
        <w:trPr>
          <w:cantSplit/>
          <w:trHeight w:val="197"/>
        </w:trPr>
        <w:tc>
          <w:tcPr>
            <w:tcW w:w="3676" w:type="dxa"/>
            <w:vMerge w:val="restart"/>
            <w:tcBorders>
              <w:top w:val="single" w:sz="4" w:space="0" w:color="000000"/>
              <w:left w:val="single" w:sz="4" w:space="0" w:color="000000"/>
              <w:bottom w:val="single" w:sz="4" w:space="0" w:color="000000"/>
              <w:right w:val="single" w:sz="4" w:space="0" w:color="000000"/>
            </w:tcBorders>
            <w:vAlign w:val="center"/>
          </w:tcPr>
          <w:p w14:paraId="4B271EBA" w14:textId="77777777" w:rsidR="002449C2" w:rsidRDefault="00123961">
            <w:pPr>
              <w:shd w:val="clear" w:color="auto" w:fill="FFFFFF"/>
              <w:spacing w:after="0" w:line="240" w:lineRule="auto"/>
              <w:jc w:val="center"/>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Показатели</w:t>
            </w:r>
          </w:p>
        </w:tc>
        <w:tc>
          <w:tcPr>
            <w:tcW w:w="936" w:type="dxa"/>
            <w:vMerge w:val="restart"/>
            <w:tcBorders>
              <w:top w:val="single" w:sz="4" w:space="0" w:color="000000"/>
              <w:left w:val="single" w:sz="4" w:space="0" w:color="000000"/>
              <w:bottom w:val="single" w:sz="4" w:space="0" w:color="000000"/>
              <w:right w:val="single" w:sz="4" w:space="0" w:color="000000"/>
            </w:tcBorders>
            <w:vAlign w:val="center"/>
          </w:tcPr>
          <w:p w14:paraId="36D2B30B" w14:textId="77777777" w:rsidR="002449C2" w:rsidRDefault="00123961">
            <w:pPr>
              <w:shd w:val="clear" w:color="auto" w:fill="FFFFFF"/>
              <w:spacing w:after="0" w:line="240" w:lineRule="auto"/>
              <w:jc w:val="center"/>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Ед.изм.</w:t>
            </w:r>
          </w:p>
        </w:tc>
        <w:tc>
          <w:tcPr>
            <w:tcW w:w="4885" w:type="dxa"/>
            <w:gridSpan w:val="4"/>
            <w:tcBorders>
              <w:top w:val="single" w:sz="4" w:space="0" w:color="000000"/>
              <w:left w:val="single" w:sz="4" w:space="0" w:color="000000"/>
              <w:bottom w:val="single" w:sz="4" w:space="0" w:color="000000"/>
              <w:right w:val="single" w:sz="4" w:space="0" w:color="000000"/>
            </w:tcBorders>
            <w:vAlign w:val="center"/>
          </w:tcPr>
          <w:p w14:paraId="4C2B6EEF" w14:textId="77777777" w:rsidR="002449C2" w:rsidRDefault="00123961">
            <w:pPr>
              <w:widowControl w:val="0"/>
              <w:shd w:val="clear" w:color="auto" w:fill="FFFFFF"/>
              <w:spacing w:after="0"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Период</w:t>
            </w:r>
          </w:p>
        </w:tc>
      </w:tr>
      <w:tr w:rsidR="002449C2" w14:paraId="1A3C6F84" w14:textId="77777777">
        <w:trPr>
          <w:cantSplit/>
          <w:trHeight w:val="531"/>
        </w:trPr>
        <w:tc>
          <w:tcPr>
            <w:tcW w:w="3676" w:type="dxa"/>
            <w:vMerge/>
            <w:tcBorders>
              <w:top w:val="single" w:sz="4" w:space="0" w:color="000000"/>
              <w:left w:val="single" w:sz="4" w:space="0" w:color="000000"/>
              <w:bottom w:val="single" w:sz="4" w:space="0" w:color="000000"/>
              <w:right w:val="single" w:sz="4" w:space="0" w:color="000000"/>
            </w:tcBorders>
            <w:vAlign w:val="center"/>
          </w:tcPr>
          <w:p w14:paraId="247975C7" w14:textId="77777777" w:rsidR="002449C2" w:rsidRDefault="002449C2">
            <w:pPr>
              <w:shd w:val="clear" w:color="auto" w:fill="FFFFFF"/>
              <w:spacing w:after="0" w:line="240" w:lineRule="auto"/>
              <w:jc w:val="both"/>
              <w:rPr>
                <w:rFonts w:ascii="Times New Roman" w:eastAsia="Times New Roman" w:hAnsi="Times New Roman"/>
                <w:bCs/>
                <w:color w:val="000000"/>
                <w:sz w:val="24"/>
                <w:szCs w:val="24"/>
                <w:lang w:eastAsia="ru-RU"/>
              </w:rPr>
            </w:pPr>
          </w:p>
        </w:tc>
        <w:tc>
          <w:tcPr>
            <w:tcW w:w="936" w:type="dxa"/>
            <w:vMerge/>
            <w:tcBorders>
              <w:top w:val="single" w:sz="4" w:space="0" w:color="000000"/>
              <w:left w:val="single" w:sz="4" w:space="0" w:color="000000"/>
              <w:bottom w:val="single" w:sz="4" w:space="0" w:color="000000"/>
              <w:right w:val="single" w:sz="4" w:space="0" w:color="000000"/>
            </w:tcBorders>
            <w:vAlign w:val="center"/>
          </w:tcPr>
          <w:p w14:paraId="62A81D18" w14:textId="77777777" w:rsidR="002449C2" w:rsidRDefault="002449C2">
            <w:pPr>
              <w:shd w:val="clear" w:color="auto" w:fill="FFFFFF"/>
              <w:spacing w:after="0" w:line="240" w:lineRule="auto"/>
              <w:jc w:val="both"/>
              <w:rPr>
                <w:rFonts w:ascii="Times New Roman" w:eastAsia="Times New Roman" w:hAnsi="Times New Roman"/>
                <w:bCs/>
                <w:color w:val="000000"/>
                <w:sz w:val="24"/>
                <w:szCs w:val="24"/>
                <w:lang w:eastAsia="ru-RU"/>
              </w:rPr>
            </w:pPr>
          </w:p>
        </w:tc>
        <w:tc>
          <w:tcPr>
            <w:tcW w:w="10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711EB2" w14:textId="77777777" w:rsidR="002449C2" w:rsidRDefault="00123961">
            <w:pPr>
              <w:widowControl w:val="0"/>
              <w:shd w:val="clear" w:color="auto" w:fill="FFFFFF"/>
              <w:tabs>
                <w:tab w:val="left" w:pos="24"/>
              </w:tabs>
              <w:spacing w:after="0"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2022 год</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B391F8" w14:textId="77777777" w:rsidR="002449C2" w:rsidRDefault="00123961">
            <w:pPr>
              <w:widowControl w:val="0"/>
              <w:shd w:val="clear" w:color="auto" w:fill="FFFFFF"/>
              <w:spacing w:after="0"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2023 год</w:t>
            </w:r>
          </w:p>
        </w:tc>
        <w:tc>
          <w:tcPr>
            <w:tcW w:w="1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F3A1E0" w14:textId="77777777" w:rsidR="002449C2" w:rsidRDefault="00123961">
            <w:pPr>
              <w:widowControl w:val="0"/>
              <w:shd w:val="clear" w:color="auto" w:fill="FFFFFF"/>
              <w:spacing w:after="0"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2024 год</w:t>
            </w:r>
          </w:p>
        </w:tc>
        <w:tc>
          <w:tcPr>
            <w:tcW w:w="1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95CC7E" w14:textId="77777777" w:rsidR="002449C2" w:rsidRDefault="00123961">
            <w:pPr>
              <w:widowControl w:val="0"/>
              <w:shd w:val="clear" w:color="auto" w:fill="FFFFFF"/>
              <w:tabs>
                <w:tab w:val="left" w:pos="751"/>
              </w:tabs>
              <w:spacing w:after="0"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изменение</w:t>
            </w:r>
          </w:p>
          <w:p w14:paraId="7DD2C780" w14:textId="77777777" w:rsidR="002449C2" w:rsidRDefault="00123961">
            <w:pPr>
              <w:widowControl w:val="0"/>
              <w:shd w:val="clear" w:color="auto" w:fill="FFFFFF"/>
              <w:spacing w:after="0"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2024/2023, %</w:t>
            </w:r>
          </w:p>
        </w:tc>
      </w:tr>
      <w:tr w:rsidR="002449C2" w14:paraId="6A0CC71E" w14:textId="77777777">
        <w:trPr>
          <w:cantSplit/>
          <w:trHeight w:val="391"/>
        </w:trPr>
        <w:tc>
          <w:tcPr>
            <w:tcW w:w="3676" w:type="dxa"/>
            <w:vMerge w:val="restart"/>
            <w:tcBorders>
              <w:top w:val="single" w:sz="4" w:space="0" w:color="000000"/>
              <w:left w:val="single" w:sz="4" w:space="0" w:color="000000"/>
              <w:bottom w:val="single" w:sz="4" w:space="0" w:color="000000"/>
              <w:right w:val="single" w:sz="4" w:space="0" w:color="000000"/>
            </w:tcBorders>
          </w:tcPr>
          <w:p w14:paraId="1B8ED1BA" w14:textId="77777777" w:rsidR="002449C2" w:rsidRDefault="00123961">
            <w:pPr>
              <w:shd w:val="clear" w:color="auto" w:fill="FFFFFF"/>
              <w:spacing w:after="0" w:line="240" w:lineRule="auto"/>
              <w:jc w:val="both"/>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Расход топливно-энергетических ресурсов (ТЭР) на хозяйственные</w:t>
            </w:r>
          </w:p>
          <w:p w14:paraId="51109DF1" w14:textId="77777777" w:rsidR="002449C2" w:rsidRDefault="00123961">
            <w:pPr>
              <w:shd w:val="clear" w:color="auto" w:fill="FFFFFF"/>
              <w:spacing w:after="0" w:line="240" w:lineRule="auto"/>
              <w:jc w:val="both"/>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нужды зданий административно-производственного назначения</w:t>
            </w:r>
          </w:p>
        </w:tc>
        <w:tc>
          <w:tcPr>
            <w:tcW w:w="936" w:type="dxa"/>
            <w:tcBorders>
              <w:top w:val="single" w:sz="4" w:space="0" w:color="000000"/>
              <w:left w:val="single" w:sz="4" w:space="0" w:color="000000"/>
              <w:bottom w:val="single" w:sz="4" w:space="0" w:color="000000"/>
              <w:right w:val="single" w:sz="4" w:space="0" w:color="000000"/>
            </w:tcBorders>
          </w:tcPr>
          <w:p w14:paraId="05880A6F" w14:textId="77777777" w:rsidR="002449C2" w:rsidRDefault="00123961">
            <w:pPr>
              <w:shd w:val="clear" w:color="auto" w:fill="FFFFFF"/>
              <w:spacing w:after="0" w:line="240" w:lineRule="auto"/>
              <w:jc w:val="center"/>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Тыс. т.у.т.</w:t>
            </w:r>
          </w:p>
        </w:tc>
        <w:tc>
          <w:tcPr>
            <w:tcW w:w="1005" w:type="dxa"/>
            <w:tcBorders>
              <w:top w:val="single" w:sz="4" w:space="0" w:color="000000"/>
              <w:left w:val="single" w:sz="4" w:space="0" w:color="000000"/>
              <w:bottom w:val="single" w:sz="4" w:space="0" w:color="000000"/>
              <w:right w:val="single" w:sz="4" w:space="0" w:color="000000"/>
            </w:tcBorders>
            <w:vAlign w:val="center"/>
          </w:tcPr>
          <w:p w14:paraId="4F04FCAB" w14:textId="77777777" w:rsidR="002449C2" w:rsidRDefault="00123961">
            <w:pPr>
              <w:widowControl w:val="0"/>
              <w:shd w:val="clear" w:color="auto" w:fill="FFFFFF"/>
              <w:spacing w:after="0" w:line="240" w:lineRule="auto"/>
              <w:jc w:val="center"/>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8,40</w:t>
            </w:r>
          </w:p>
        </w:tc>
        <w:tc>
          <w:tcPr>
            <w:tcW w:w="1156" w:type="dxa"/>
            <w:tcBorders>
              <w:top w:val="single" w:sz="4" w:space="0" w:color="000000"/>
              <w:left w:val="single" w:sz="4" w:space="0" w:color="000000"/>
              <w:bottom w:val="single" w:sz="4" w:space="0" w:color="000000"/>
              <w:right w:val="single" w:sz="4" w:space="0" w:color="000000"/>
            </w:tcBorders>
            <w:vAlign w:val="center"/>
          </w:tcPr>
          <w:p w14:paraId="0D5E1CBE" w14:textId="77777777" w:rsidR="002449C2" w:rsidRDefault="00123961">
            <w:pPr>
              <w:widowControl w:val="0"/>
              <w:shd w:val="clear" w:color="auto" w:fill="FFFFFF"/>
              <w:spacing w:after="0" w:line="240" w:lineRule="auto"/>
              <w:jc w:val="center"/>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8,75</w:t>
            </w:r>
          </w:p>
        </w:tc>
        <w:tc>
          <w:tcPr>
            <w:tcW w:w="1152" w:type="dxa"/>
            <w:tcBorders>
              <w:top w:val="single" w:sz="4" w:space="0" w:color="000000"/>
              <w:left w:val="single" w:sz="4" w:space="0" w:color="000000"/>
              <w:bottom w:val="single" w:sz="4" w:space="0" w:color="000000"/>
              <w:right w:val="single" w:sz="4" w:space="0" w:color="000000"/>
            </w:tcBorders>
            <w:vAlign w:val="center"/>
          </w:tcPr>
          <w:p w14:paraId="6E8158B9" w14:textId="77777777" w:rsidR="002449C2" w:rsidRDefault="00123961">
            <w:pPr>
              <w:widowControl w:val="0"/>
              <w:shd w:val="clear" w:color="auto" w:fill="FFFFFF"/>
              <w:spacing w:after="0" w:line="240" w:lineRule="auto"/>
              <w:jc w:val="center"/>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7,99</w:t>
            </w:r>
          </w:p>
        </w:tc>
        <w:tc>
          <w:tcPr>
            <w:tcW w:w="1572" w:type="dxa"/>
            <w:tcBorders>
              <w:top w:val="single" w:sz="4" w:space="0" w:color="000000"/>
              <w:left w:val="single" w:sz="4" w:space="0" w:color="000000"/>
              <w:bottom w:val="single" w:sz="4" w:space="0" w:color="000000"/>
              <w:right w:val="single" w:sz="4" w:space="0" w:color="000000"/>
            </w:tcBorders>
            <w:vAlign w:val="center"/>
          </w:tcPr>
          <w:p w14:paraId="733597C8" w14:textId="77777777" w:rsidR="002449C2" w:rsidRDefault="00123961">
            <w:pPr>
              <w:widowControl w:val="0"/>
              <w:shd w:val="clear" w:color="auto" w:fill="FFFFFF"/>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-12,5</w:t>
            </w:r>
          </w:p>
        </w:tc>
      </w:tr>
      <w:tr w:rsidR="002449C2" w14:paraId="4F0A5DAE" w14:textId="77777777">
        <w:trPr>
          <w:cantSplit/>
        </w:trPr>
        <w:tc>
          <w:tcPr>
            <w:tcW w:w="3676" w:type="dxa"/>
            <w:vMerge/>
            <w:tcBorders>
              <w:top w:val="single" w:sz="4" w:space="0" w:color="000000"/>
              <w:left w:val="single" w:sz="4" w:space="0" w:color="000000"/>
              <w:bottom w:val="single" w:sz="4" w:space="0" w:color="000000"/>
              <w:right w:val="single" w:sz="4" w:space="0" w:color="000000"/>
            </w:tcBorders>
            <w:vAlign w:val="center"/>
          </w:tcPr>
          <w:p w14:paraId="073FC6A8" w14:textId="77777777" w:rsidR="002449C2" w:rsidRDefault="002449C2">
            <w:pPr>
              <w:widowControl w:val="0"/>
              <w:shd w:val="clear" w:color="auto" w:fill="FFFFFF"/>
              <w:spacing w:after="0" w:line="240" w:lineRule="auto"/>
              <w:jc w:val="both"/>
              <w:rPr>
                <w:rFonts w:ascii="Times New Roman" w:eastAsia="Times New Roman" w:hAnsi="Times New Roman"/>
                <w:b/>
                <w:color w:val="000000"/>
                <w:sz w:val="24"/>
                <w:szCs w:val="24"/>
                <w:lang w:eastAsia="ru-RU"/>
              </w:rPr>
            </w:pPr>
          </w:p>
        </w:tc>
        <w:tc>
          <w:tcPr>
            <w:tcW w:w="936" w:type="dxa"/>
            <w:tcBorders>
              <w:top w:val="single" w:sz="4" w:space="0" w:color="000000"/>
              <w:left w:val="single" w:sz="4" w:space="0" w:color="000000"/>
              <w:bottom w:val="single" w:sz="4" w:space="0" w:color="000000"/>
              <w:right w:val="single" w:sz="4" w:space="0" w:color="000000"/>
            </w:tcBorders>
          </w:tcPr>
          <w:p w14:paraId="34B4DF11" w14:textId="77777777" w:rsidR="002449C2" w:rsidRDefault="00123961">
            <w:pPr>
              <w:shd w:val="clear" w:color="auto" w:fill="FFFFFF"/>
              <w:spacing w:after="0" w:line="240" w:lineRule="auto"/>
              <w:jc w:val="center"/>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en-US"/>
              </w:rPr>
              <w:t>Млн руб.</w:t>
            </w:r>
          </w:p>
        </w:tc>
        <w:tc>
          <w:tcPr>
            <w:tcW w:w="1005" w:type="dxa"/>
            <w:tcBorders>
              <w:top w:val="single" w:sz="4" w:space="0" w:color="000000"/>
              <w:left w:val="single" w:sz="4" w:space="0" w:color="000000"/>
              <w:bottom w:val="single" w:sz="4" w:space="0" w:color="000000"/>
              <w:right w:val="single" w:sz="4" w:space="0" w:color="000000"/>
            </w:tcBorders>
            <w:vAlign w:val="center"/>
          </w:tcPr>
          <w:p w14:paraId="19DE6652" w14:textId="77777777" w:rsidR="002449C2" w:rsidRDefault="00123961">
            <w:pPr>
              <w:widowControl w:val="0"/>
              <w:shd w:val="clear" w:color="auto" w:fill="FFFFFF"/>
              <w:spacing w:after="0" w:line="240" w:lineRule="auto"/>
              <w:jc w:val="center"/>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277,56</w:t>
            </w:r>
          </w:p>
        </w:tc>
        <w:tc>
          <w:tcPr>
            <w:tcW w:w="1156" w:type="dxa"/>
            <w:tcBorders>
              <w:top w:val="single" w:sz="4" w:space="0" w:color="000000"/>
              <w:left w:val="single" w:sz="4" w:space="0" w:color="000000"/>
              <w:bottom w:val="single" w:sz="4" w:space="0" w:color="000000"/>
              <w:right w:val="single" w:sz="4" w:space="0" w:color="000000"/>
            </w:tcBorders>
            <w:vAlign w:val="center"/>
          </w:tcPr>
          <w:p w14:paraId="040814C9" w14:textId="77777777" w:rsidR="002449C2" w:rsidRDefault="00123961">
            <w:pPr>
              <w:widowControl w:val="0"/>
              <w:shd w:val="clear" w:color="auto" w:fill="FFFFFF"/>
              <w:spacing w:after="0" w:line="240" w:lineRule="auto"/>
              <w:jc w:val="center"/>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322,98</w:t>
            </w:r>
          </w:p>
        </w:tc>
        <w:tc>
          <w:tcPr>
            <w:tcW w:w="1152" w:type="dxa"/>
            <w:tcBorders>
              <w:top w:val="single" w:sz="4" w:space="0" w:color="000000"/>
              <w:left w:val="single" w:sz="4" w:space="0" w:color="000000"/>
              <w:bottom w:val="single" w:sz="4" w:space="0" w:color="000000"/>
              <w:right w:val="single" w:sz="4" w:space="0" w:color="000000"/>
            </w:tcBorders>
            <w:vAlign w:val="center"/>
          </w:tcPr>
          <w:p w14:paraId="451210F3" w14:textId="77777777" w:rsidR="002449C2" w:rsidRDefault="00123961">
            <w:pPr>
              <w:widowControl w:val="0"/>
              <w:shd w:val="clear" w:color="auto" w:fill="FFFFFF"/>
              <w:spacing w:after="0" w:line="240" w:lineRule="auto"/>
              <w:jc w:val="center"/>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320,69</w:t>
            </w:r>
          </w:p>
        </w:tc>
        <w:tc>
          <w:tcPr>
            <w:tcW w:w="1572" w:type="dxa"/>
            <w:tcBorders>
              <w:top w:val="single" w:sz="4" w:space="0" w:color="000000"/>
              <w:left w:val="single" w:sz="4" w:space="0" w:color="000000"/>
              <w:bottom w:val="single" w:sz="4" w:space="0" w:color="000000"/>
              <w:right w:val="single" w:sz="4" w:space="0" w:color="000000"/>
            </w:tcBorders>
            <w:vAlign w:val="center"/>
          </w:tcPr>
          <w:p w14:paraId="61212161" w14:textId="77777777" w:rsidR="002449C2" w:rsidRDefault="00123961">
            <w:pPr>
              <w:widowControl w:val="0"/>
              <w:shd w:val="clear" w:color="auto" w:fill="FFFFFF"/>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-0,6</w:t>
            </w:r>
          </w:p>
        </w:tc>
      </w:tr>
    </w:tbl>
    <w:p w14:paraId="5BB8B513" w14:textId="77777777" w:rsidR="002449C2" w:rsidRDefault="002449C2">
      <w:pPr>
        <w:widowControl w:val="0"/>
        <w:shd w:val="clear" w:color="auto" w:fill="FFFFFF"/>
        <w:spacing w:after="0" w:line="240" w:lineRule="auto"/>
        <w:rPr>
          <w:rFonts w:ascii="Times New Roman" w:hAnsi="Times New Roman"/>
          <w:b/>
          <w:sz w:val="26"/>
          <w:szCs w:val="26"/>
          <w:lang w:eastAsia="en-US"/>
        </w:rPr>
      </w:pPr>
    </w:p>
    <w:p w14:paraId="58078413" w14:textId="77777777" w:rsidR="002449C2" w:rsidRDefault="00123961">
      <w:pPr>
        <w:widowControl w:val="0"/>
        <w:shd w:val="clear" w:color="auto" w:fill="FFFFFF"/>
        <w:spacing w:after="0" w:line="240" w:lineRule="auto"/>
        <w:jc w:val="center"/>
        <w:rPr>
          <w:rFonts w:ascii="Times New Roman" w:hAnsi="Times New Roman"/>
          <w:b/>
          <w:sz w:val="26"/>
          <w:szCs w:val="26"/>
          <w:lang w:eastAsia="en-US"/>
        </w:rPr>
      </w:pPr>
      <w:r>
        <w:rPr>
          <w:rFonts w:ascii="Times New Roman" w:hAnsi="Times New Roman"/>
          <w:b/>
          <w:sz w:val="26"/>
          <w:szCs w:val="26"/>
          <w:lang w:eastAsia="en-US"/>
        </w:rPr>
        <w:t>Объем энергетических ресурсов, использованных в 2024 году</w:t>
      </w:r>
    </w:p>
    <w:p w14:paraId="3362B581" w14:textId="77777777" w:rsidR="002449C2" w:rsidRDefault="002449C2">
      <w:pPr>
        <w:widowControl w:val="0"/>
        <w:shd w:val="clear" w:color="auto" w:fill="FFFFFF"/>
        <w:spacing w:after="0" w:line="240" w:lineRule="auto"/>
        <w:jc w:val="center"/>
        <w:rPr>
          <w:rFonts w:ascii="Times New Roman" w:hAnsi="Times New Roman"/>
          <w:b/>
          <w:sz w:val="26"/>
          <w:szCs w:val="26"/>
          <w:lang w:eastAsia="en-US"/>
        </w:rPr>
      </w:pPr>
    </w:p>
    <w:tbl>
      <w:tblPr>
        <w:tblW w:w="5000" w:type="pct"/>
        <w:jc w:val="center"/>
        <w:tblLayout w:type="fixed"/>
        <w:tblLook w:val="04A0" w:firstRow="1" w:lastRow="0" w:firstColumn="1" w:lastColumn="0" w:noHBand="0" w:noVBand="1"/>
      </w:tblPr>
      <w:tblGrid>
        <w:gridCol w:w="681"/>
        <w:gridCol w:w="2234"/>
        <w:gridCol w:w="1973"/>
        <w:gridCol w:w="1446"/>
        <w:gridCol w:w="1452"/>
        <w:gridCol w:w="1702"/>
      </w:tblGrid>
      <w:tr w:rsidR="002449C2" w14:paraId="231A8DC9" w14:textId="77777777">
        <w:trPr>
          <w:trHeight w:val="1"/>
          <w:jc w:val="center"/>
        </w:trPr>
        <w:tc>
          <w:tcPr>
            <w:tcW w:w="682"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CD9DF37" w14:textId="77777777" w:rsidR="002449C2" w:rsidRDefault="00123961">
            <w:pPr>
              <w:widowControl w:val="0"/>
              <w:shd w:val="clear" w:color="auto" w:fill="FFFFFF"/>
              <w:spacing w:after="0" w:line="240" w:lineRule="auto"/>
              <w:rPr>
                <w:rFonts w:ascii="Times New Roman" w:hAnsi="Times New Roman"/>
                <w:sz w:val="24"/>
                <w:szCs w:val="24"/>
                <w:lang w:eastAsia="en-US"/>
              </w:rPr>
            </w:pPr>
            <w:r>
              <w:rPr>
                <w:rFonts w:ascii="Times New Roman" w:hAnsi="Times New Roman"/>
                <w:sz w:val="24"/>
                <w:szCs w:val="24"/>
                <w:lang w:eastAsia="en-US"/>
              </w:rPr>
              <w:t>№ п/п</w:t>
            </w:r>
          </w:p>
        </w:tc>
        <w:tc>
          <w:tcPr>
            <w:tcW w:w="2236"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D553A83"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sz w:val="24"/>
                <w:szCs w:val="24"/>
                <w:lang w:eastAsia="en-US"/>
              </w:rPr>
              <w:t>Виды ресурсов*</w:t>
            </w:r>
          </w:p>
        </w:tc>
        <w:tc>
          <w:tcPr>
            <w:tcW w:w="197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9B2A568"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sz w:val="24"/>
                <w:szCs w:val="24"/>
                <w:lang w:eastAsia="en-US"/>
              </w:rPr>
              <w:t>Ед. изм.</w:t>
            </w:r>
          </w:p>
        </w:tc>
        <w:tc>
          <w:tcPr>
            <w:tcW w:w="144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5805D52"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sz w:val="24"/>
                <w:szCs w:val="24"/>
                <w:lang w:eastAsia="en-US"/>
              </w:rPr>
              <w:t>План 2024</w:t>
            </w:r>
          </w:p>
        </w:tc>
        <w:tc>
          <w:tcPr>
            <w:tcW w:w="1453"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8890B21"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sz w:val="24"/>
                <w:szCs w:val="24"/>
                <w:lang w:eastAsia="en-US"/>
              </w:rPr>
              <w:t>Факт 2024</w:t>
            </w:r>
          </w:p>
        </w:tc>
        <w:tc>
          <w:tcPr>
            <w:tcW w:w="170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C7C9987"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sz w:val="24"/>
                <w:szCs w:val="24"/>
                <w:lang w:eastAsia="en-US"/>
              </w:rPr>
              <w:t>Отклонение в %</w:t>
            </w:r>
          </w:p>
        </w:tc>
      </w:tr>
      <w:tr w:rsidR="002449C2" w14:paraId="24968CC8" w14:textId="77777777">
        <w:trPr>
          <w:trHeight w:val="1"/>
          <w:jc w:val="center"/>
        </w:trPr>
        <w:tc>
          <w:tcPr>
            <w:tcW w:w="682" w:type="dxa"/>
            <w:vMerge w:val="restart"/>
            <w:tcBorders>
              <w:top w:val="single" w:sz="4" w:space="0" w:color="000000"/>
              <w:left w:val="single" w:sz="4" w:space="0" w:color="000000"/>
              <w:bottom w:val="single" w:sz="4" w:space="0" w:color="000000"/>
              <w:right w:val="single" w:sz="4" w:space="0" w:color="000000"/>
            </w:tcBorders>
            <w:vAlign w:val="center"/>
          </w:tcPr>
          <w:p w14:paraId="4CBE2545" w14:textId="77777777" w:rsidR="002449C2" w:rsidRDefault="00123961">
            <w:pPr>
              <w:widowControl w:val="0"/>
              <w:shd w:val="clear" w:color="auto" w:fill="FFFFFF"/>
              <w:spacing w:after="0" w:line="240" w:lineRule="auto"/>
              <w:rPr>
                <w:rFonts w:ascii="Times New Roman" w:hAnsi="Times New Roman"/>
                <w:sz w:val="24"/>
                <w:szCs w:val="24"/>
                <w:lang w:eastAsia="en-US"/>
              </w:rPr>
            </w:pPr>
            <w:r>
              <w:rPr>
                <w:rFonts w:ascii="Times New Roman" w:hAnsi="Times New Roman"/>
                <w:sz w:val="24"/>
                <w:szCs w:val="24"/>
                <w:lang w:eastAsia="en-US"/>
              </w:rPr>
              <w:t>1.</w:t>
            </w:r>
          </w:p>
        </w:tc>
        <w:tc>
          <w:tcPr>
            <w:tcW w:w="2236"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14:paraId="35A8AC52" w14:textId="77777777" w:rsidR="002449C2" w:rsidRDefault="00123961">
            <w:pPr>
              <w:keepNext/>
              <w:widowControl w:val="0"/>
              <w:shd w:val="clear" w:color="auto" w:fill="FFFFFF"/>
              <w:spacing w:after="0" w:line="240" w:lineRule="auto"/>
              <w:jc w:val="both"/>
              <w:rPr>
                <w:rFonts w:ascii="Times New Roman" w:hAnsi="Times New Roman"/>
                <w:sz w:val="24"/>
                <w:szCs w:val="24"/>
                <w:lang w:eastAsia="en-US"/>
              </w:rPr>
            </w:pPr>
            <w:r>
              <w:rPr>
                <w:rFonts w:ascii="Times New Roman" w:hAnsi="Times New Roman"/>
                <w:sz w:val="24"/>
                <w:szCs w:val="24"/>
                <w:lang w:eastAsia="en-US"/>
              </w:rPr>
              <w:t>тепловая энергия</w:t>
            </w:r>
          </w:p>
        </w:tc>
        <w:tc>
          <w:tcPr>
            <w:tcW w:w="197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2E7A0FB" w14:textId="77777777" w:rsidR="002449C2" w:rsidRDefault="00123961">
            <w:pPr>
              <w:keepNext/>
              <w:widowControl w:val="0"/>
              <w:shd w:val="clear" w:color="auto" w:fill="FFFFFF"/>
              <w:spacing w:after="0" w:line="240" w:lineRule="auto"/>
              <w:rPr>
                <w:rFonts w:ascii="Times New Roman" w:hAnsi="Times New Roman"/>
                <w:sz w:val="24"/>
                <w:szCs w:val="24"/>
                <w:lang w:eastAsia="en-US"/>
              </w:rPr>
            </w:pPr>
            <w:r>
              <w:rPr>
                <w:rFonts w:ascii="Times New Roman" w:hAnsi="Times New Roman"/>
                <w:sz w:val="24"/>
                <w:szCs w:val="24"/>
                <w:lang w:eastAsia="en-US"/>
              </w:rPr>
              <w:t>Гкал</w:t>
            </w:r>
          </w:p>
        </w:tc>
        <w:tc>
          <w:tcPr>
            <w:tcW w:w="1447" w:type="dxa"/>
            <w:tcBorders>
              <w:top w:val="single" w:sz="4" w:space="0" w:color="000000"/>
              <w:left w:val="single" w:sz="4" w:space="0" w:color="000000"/>
              <w:bottom w:val="single" w:sz="4" w:space="0" w:color="000000"/>
              <w:right w:val="single" w:sz="4" w:space="0" w:color="000000"/>
            </w:tcBorders>
          </w:tcPr>
          <w:p w14:paraId="2B1772D5"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sz w:val="24"/>
                <w:szCs w:val="24"/>
                <w:lang w:eastAsia="en-US"/>
              </w:rPr>
              <w:t>13460,04</w:t>
            </w:r>
          </w:p>
        </w:tc>
        <w:tc>
          <w:tcPr>
            <w:tcW w:w="1453" w:type="dxa"/>
            <w:tcBorders>
              <w:top w:val="single" w:sz="4" w:space="0" w:color="000000"/>
              <w:left w:val="single" w:sz="4" w:space="0" w:color="000000"/>
              <w:bottom w:val="single" w:sz="4" w:space="0" w:color="000000"/>
              <w:right w:val="single" w:sz="4" w:space="0" w:color="000000"/>
            </w:tcBorders>
          </w:tcPr>
          <w:p w14:paraId="3D9D3151" w14:textId="77777777" w:rsidR="002449C2" w:rsidRDefault="00123961">
            <w:pPr>
              <w:keepNext/>
              <w:widowControl w:val="0"/>
              <w:shd w:val="clear" w:color="auto" w:fill="FFFFFF"/>
              <w:jc w:val="center"/>
              <w:rPr>
                <w:rFonts w:ascii="Times New Roman" w:hAnsi="Times New Roman"/>
                <w:sz w:val="24"/>
                <w:szCs w:val="24"/>
                <w:lang w:eastAsia="en-US"/>
              </w:rPr>
            </w:pPr>
            <w:r>
              <w:rPr>
                <w:rFonts w:ascii="Times New Roman" w:hAnsi="Times New Roman"/>
                <w:sz w:val="24"/>
                <w:szCs w:val="24"/>
                <w:lang w:eastAsia="en-US"/>
              </w:rPr>
              <w:t>12570,94</w:t>
            </w:r>
          </w:p>
        </w:tc>
        <w:tc>
          <w:tcPr>
            <w:tcW w:w="1704" w:type="dxa"/>
            <w:tcBorders>
              <w:top w:val="single" w:sz="4" w:space="0" w:color="000000"/>
              <w:left w:val="single" w:sz="4" w:space="0" w:color="000000"/>
              <w:bottom w:val="single" w:sz="4" w:space="0" w:color="000000"/>
              <w:right w:val="single" w:sz="4" w:space="0" w:color="000000"/>
            </w:tcBorders>
          </w:tcPr>
          <w:p w14:paraId="5279C565" w14:textId="77777777" w:rsidR="002449C2" w:rsidRDefault="00123961">
            <w:pPr>
              <w:keepNext/>
              <w:widowControl w:val="0"/>
              <w:shd w:val="clear" w:color="auto" w:fill="FFFFFF"/>
              <w:jc w:val="center"/>
              <w:rPr>
                <w:rFonts w:ascii="Times New Roman" w:hAnsi="Times New Roman"/>
                <w:sz w:val="24"/>
                <w:szCs w:val="24"/>
                <w:lang w:eastAsia="en-US"/>
              </w:rPr>
            </w:pPr>
            <w:r>
              <w:rPr>
                <w:rFonts w:ascii="Times New Roman" w:hAnsi="Times New Roman"/>
                <w:sz w:val="24"/>
                <w:szCs w:val="24"/>
                <w:lang w:eastAsia="en-US"/>
              </w:rPr>
              <w:t>-6,61</w:t>
            </w:r>
          </w:p>
        </w:tc>
      </w:tr>
      <w:tr w:rsidR="002449C2" w14:paraId="6D5A0054" w14:textId="77777777">
        <w:trPr>
          <w:trHeight w:val="1"/>
          <w:jc w:val="center"/>
        </w:trPr>
        <w:tc>
          <w:tcPr>
            <w:tcW w:w="682" w:type="dxa"/>
            <w:vMerge/>
            <w:tcBorders>
              <w:top w:val="single" w:sz="4" w:space="0" w:color="000000"/>
              <w:left w:val="single" w:sz="4" w:space="0" w:color="000000"/>
              <w:bottom w:val="single" w:sz="4" w:space="0" w:color="000000"/>
              <w:right w:val="single" w:sz="4" w:space="0" w:color="000000"/>
            </w:tcBorders>
            <w:vAlign w:val="center"/>
          </w:tcPr>
          <w:p w14:paraId="3EA3AD5F" w14:textId="77777777" w:rsidR="002449C2" w:rsidRDefault="002449C2">
            <w:pPr>
              <w:widowControl w:val="0"/>
              <w:shd w:val="clear" w:color="auto" w:fill="FFFFFF"/>
              <w:spacing w:after="0" w:line="240" w:lineRule="auto"/>
              <w:rPr>
                <w:rFonts w:ascii="Times New Roman" w:hAnsi="Times New Roman"/>
                <w:sz w:val="24"/>
                <w:szCs w:val="24"/>
                <w:lang w:eastAsia="en-US"/>
              </w:rPr>
            </w:pPr>
          </w:p>
        </w:tc>
        <w:tc>
          <w:tcPr>
            <w:tcW w:w="2236" w:type="dxa"/>
            <w:vMerge/>
            <w:tcBorders>
              <w:top w:val="single" w:sz="4" w:space="0" w:color="000000"/>
              <w:left w:val="single" w:sz="4" w:space="0" w:color="000000"/>
              <w:bottom w:val="single" w:sz="4" w:space="0" w:color="000000"/>
              <w:right w:val="single" w:sz="4" w:space="0" w:color="000000"/>
            </w:tcBorders>
            <w:shd w:val="clear" w:color="000000" w:fill="FFFFFF"/>
            <w:vAlign w:val="center"/>
          </w:tcPr>
          <w:p w14:paraId="283EF1C0" w14:textId="77777777" w:rsidR="002449C2" w:rsidRDefault="002449C2">
            <w:pPr>
              <w:keepNext/>
              <w:widowControl w:val="0"/>
              <w:shd w:val="clear" w:color="auto" w:fill="FFFFFF"/>
              <w:spacing w:after="0" w:line="240" w:lineRule="auto"/>
              <w:jc w:val="both"/>
              <w:rPr>
                <w:rFonts w:ascii="Times New Roman" w:hAnsi="Times New Roman"/>
                <w:sz w:val="24"/>
                <w:szCs w:val="24"/>
                <w:lang w:eastAsia="en-US"/>
              </w:rPr>
            </w:pPr>
          </w:p>
        </w:tc>
        <w:tc>
          <w:tcPr>
            <w:tcW w:w="197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1CD1D3B" w14:textId="77777777" w:rsidR="002449C2" w:rsidRDefault="00123961">
            <w:pPr>
              <w:keepNext/>
              <w:widowControl w:val="0"/>
              <w:shd w:val="clear" w:color="auto" w:fill="FFFFFF"/>
              <w:spacing w:after="0" w:line="240" w:lineRule="auto"/>
              <w:rPr>
                <w:rFonts w:ascii="Times New Roman" w:hAnsi="Times New Roman"/>
                <w:sz w:val="24"/>
                <w:szCs w:val="24"/>
                <w:lang w:eastAsia="en-US"/>
              </w:rPr>
            </w:pPr>
            <w:r>
              <w:rPr>
                <w:rFonts w:ascii="Times New Roman" w:hAnsi="Times New Roman"/>
                <w:sz w:val="24"/>
                <w:szCs w:val="24"/>
                <w:lang w:eastAsia="en-US"/>
              </w:rPr>
              <w:t>млн руб.</w:t>
            </w:r>
          </w:p>
        </w:tc>
        <w:tc>
          <w:tcPr>
            <w:tcW w:w="1447" w:type="dxa"/>
            <w:tcBorders>
              <w:top w:val="single" w:sz="4" w:space="0" w:color="000000"/>
              <w:left w:val="single" w:sz="4" w:space="0" w:color="000000"/>
              <w:bottom w:val="single" w:sz="4" w:space="0" w:color="000000"/>
              <w:right w:val="single" w:sz="4" w:space="0" w:color="000000"/>
            </w:tcBorders>
          </w:tcPr>
          <w:p w14:paraId="04E7290B"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sz w:val="24"/>
                <w:szCs w:val="24"/>
                <w:lang w:eastAsia="en-US"/>
              </w:rPr>
              <w:t>14,84</w:t>
            </w:r>
          </w:p>
        </w:tc>
        <w:tc>
          <w:tcPr>
            <w:tcW w:w="1453" w:type="dxa"/>
            <w:tcBorders>
              <w:top w:val="single" w:sz="4" w:space="0" w:color="000000"/>
              <w:left w:val="single" w:sz="4" w:space="0" w:color="000000"/>
              <w:bottom w:val="single" w:sz="4" w:space="0" w:color="000000"/>
              <w:right w:val="single" w:sz="4" w:space="0" w:color="000000"/>
            </w:tcBorders>
          </w:tcPr>
          <w:p w14:paraId="331E3ED9"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sz w:val="24"/>
                <w:szCs w:val="24"/>
                <w:lang w:eastAsia="en-US"/>
              </w:rPr>
              <w:t>11,47</w:t>
            </w:r>
          </w:p>
        </w:tc>
        <w:tc>
          <w:tcPr>
            <w:tcW w:w="1704" w:type="dxa"/>
            <w:tcBorders>
              <w:top w:val="single" w:sz="4" w:space="0" w:color="000000"/>
              <w:left w:val="single" w:sz="4" w:space="0" w:color="000000"/>
              <w:bottom w:val="single" w:sz="4" w:space="0" w:color="000000"/>
              <w:right w:val="single" w:sz="4" w:space="0" w:color="000000"/>
            </w:tcBorders>
          </w:tcPr>
          <w:p w14:paraId="2A5DD8FC"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sz w:val="24"/>
                <w:szCs w:val="24"/>
                <w:lang w:eastAsia="en-US"/>
              </w:rPr>
              <w:t>-22,71</w:t>
            </w:r>
          </w:p>
        </w:tc>
      </w:tr>
      <w:tr w:rsidR="002449C2" w14:paraId="7DE838E0" w14:textId="77777777">
        <w:trPr>
          <w:trHeight w:val="1"/>
          <w:jc w:val="center"/>
        </w:trPr>
        <w:tc>
          <w:tcPr>
            <w:tcW w:w="682"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14:paraId="30CB8CFA" w14:textId="77777777" w:rsidR="002449C2" w:rsidRDefault="00123961">
            <w:pPr>
              <w:widowControl w:val="0"/>
              <w:shd w:val="clear" w:color="auto" w:fill="FFFFFF"/>
              <w:spacing w:after="0" w:line="240" w:lineRule="auto"/>
              <w:rPr>
                <w:rFonts w:ascii="Times New Roman" w:hAnsi="Times New Roman"/>
                <w:sz w:val="24"/>
                <w:szCs w:val="24"/>
                <w:lang w:eastAsia="en-US"/>
              </w:rPr>
            </w:pPr>
            <w:r>
              <w:rPr>
                <w:rFonts w:ascii="Times New Roman" w:hAnsi="Times New Roman"/>
                <w:sz w:val="24"/>
                <w:szCs w:val="24"/>
                <w:lang w:eastAsia="en-US"/>
              </w:rPr>
              <w:t>2.</w:t>
            </w:r>
          </w:p>
        </w:tc>
        <w:tc>
          <w:tcPr>
            <w:tcW w:w="2236"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14:paraId="0BEC3368" w14:textId="77777777" w:rsidR="002449C2" w:rsidRDefault="00123961">
            <w:pPr>
              <w:keepNext/>
              <w:widowControl w:val="0"/>
              <w:shd w:val="clear" w:color="auto" w:fill="FFFFFF"/>
              <w:spacing w:after="0" w:line="240" w:lineRule="auto"/>
              <w:jc w:val="both"/>
              <w:rPr>
                <w:rFonts w:ascii="Times New Roman" w:hAnsi="Times New Roman"/>
                <w:sz w:val="24"/>
                <w:szCs w:val="24"/>
                <w:lang w:eastAsia="en-US"/>
              </w:rPr>
            </w:pPr>
            <w:r>
              <w:rPr>
                <w:rFonts w:ascii="Times New Roman" w:hAnsi="Times New Roman"/>
                <w:sz w:val="24"/>
                <w:szCs w:val="24"/>
                <w:lang w:eastAsia="en-US"/>
              </w:rPr>
              <w:t>электрическая энергия</w:t>
            </w:r>
          </w:p>
        </w:tc>
        <w:tc>
          <w:tcPr>
            <w:tcW w:w="197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F7CD56C" w14:textId="77777777" w:rsidR="002449C2" w:rsidRDefault="00123961">
            <w:pPr>
              <w:keepNext/>
              <w:widowControl w:val="0"/>
              <w:shd w:val="clear" w:color="auto" w:fill="FFFFFF"/>
              <w:spacing w:after="0" w:line="240" w:lineRule="auto"/>
              <w:rPr>
                <w:rFonts w:ascii="Times New Roman" w:hAnsi="Times New Roman"/>
                <w:sz w:val="24"/>
                <w:szCs w:val="24"/>
                <w:lang w:eastAsia="en-US"/>
              </w:rPr>
            </w:pPr>
            <w:r>
              <w:rPr>
                <w:rFonts w:ascii="Times New Roman" w:hAnsi="Times New Roman"/>
                <w:sz w:val="24"/>
                <w:szCs w:val="24"/>
                <w:lang w:eastAsia="en-US"/>
              </w:rPr>
              <w:t>млн кВт·ч</w:t>
            </w:r>
          </w:p>
        </w:tc>
        <w:tc>
          <w:tcPr>
            <w:tcW w:w="1447" w:type="dxa"/>
            <w:tcBorders>
              <w:top w:val="single" w:sz="4" w:space="0" w:color="000000"/>
              <w:left w:val="single" w:sz="4" w:space="0" w:color="000000"/>
              <w:bottom w:val="single" w:sz="4" w:space="0" w:color="000000"/>
              <w:right w:val="single" w:sz="4" w:space="0" w:color="000000"/>
            </w:tcBorders>
          </w:tcPr>
          <w:p w14:paraId="73149CB9"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sz w:val="24"/>
                <w:szCs w:val="24"/>
                <w:lang w:eastAsia="en-US"/>
              </w:rPr>
              <w:t>47,99</w:t>
            </w:r>
          </w:p>
        </w:tc>
        <w:tc>
          <w:tcPr>
            <w:tcW w:w="1453" w:type="dxa"/>
            <w:tcBorders>
              <w:top w:val="single" w:sz="4" w:space="0" w:color="000000"/>
              <w:left w:val="single" w:sz="4" w:space="0" w:color="000000"/>
              <w:bottom w:val="single" w:sz="4" w:space="0" w:color="000000"/>
              <w:right w:val="single" w:sz="4" w:space="0" w:color="000000"/>
            </w:tcBorders>
          </w:tcPr>
          <w:p w14:paraId="78CD5539"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sz w:val="24"/>
                <w:szCs w:val="24"/>
                <w:lang w:eastAsia="en-US"/>
              </w:rPr>
              <w:t>45,84</w:t>
            </w:r>
          </w:p>
        </w:tc>
        <w:tc>
          <w:tcPr>
            <w:tcW w:w="1704" w:type="dxa"/>
            <w:tcBorders>
              <w:top w:val="single" w:sz="4" w:space="0" w:color="000000"/>
              <w:left w:val="single" w:sz="4" w:space="0" w:color="000000"/>
              <w:bottom w:val="single" w:sz="4" w:space="0" w:color="000000"/>
              <w:right w:val="single" w:sz="4" w:space="0" w:color="000000"/>
            </w:tcBorders>
          </w:tcPr>
          <w:p w14:paraId="784B5AD3"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sz w:val="24"/>
                <w:szCs w:val="24"/>
                <w:lang w:eastAsia="en-US"/>
              </w:rPr>
              <w:t>-4,48</w:t>
            </w:r>
          </w:p>
        </w:tc>
      </w:tr>
      <w:tr w:rsidR="002449C2" w14:paraId="596058BD" w14:textId="77777777">
        <w:trPr>
          <w:trHeight w:val="147"/>
          <w:jc w:val="center"/>
        </w:trPr>
        <w:tc>
          <w:tcPr>
            <w:tcW w:w="682" w:type="dxa"/>
            <w:vMerge/>
            <w:tcBorders>
              <w:top w:val="single" w:sz="4" w:space="0" w:color="000000"/>
              <w:left w:val="single" w:sz="4" w:space="0" w:color="000000"/>
              <w:bottom w:val="single" w:sz="4" w:space="0" w:color="000000"/>
              <w:right w:val="single" w:sz="4" w:space="0" w:color="000000"/>
            </w:tcBorders>
            <w:shd w:val="clear" w:color="000000" w:fill="FFFFFF"/>
            <w:vAlign w:val="center"/>
          </w:tcPr>
          <w:p w14:paraId="50DADCB0" w14:textId="77777777" w:rsidR="002449C2" w:rsidRDefault="002449C2">
            <w:pPr>
              <w:keepNext/>
              <w:widowControl w:val="0"/>
              <w:shd w:val="clear" w:color="auto" w:fill="FFFFFF"/>
              <w:spacing w:after="0" w:line="240" w:lineRule="auto"/>
              <w:rPr>
                <w:rFonts w:ascii="Times New Roman" w:hAnsi="Times New Roman"/>
                <w:sz w:val="24"/>
                <w:szCs w:val="24"/>
                <w:lang w:eastAsia="en-US"/>
              </w:rPr>
            </w:pPr>
          </w:p>
        </w:tc>
        <w:tc>
          <w:tcPr>
            <w:tcW w:w="2236" w:type="dxa"/>
            <w:vMerge/>
            <w:tcBorders>
              <w:top w:val="single" w:sz="4" w:space="0" w:color="000000"/>
              <w:left w:val="single" w:sz="4" w:space="0" w:color="000000"/>
              <w:bottom w:val="single" w:sz="4" w:space="0" w:color="000000"/>
              <w:right w:val="single" w:sz="4" w:space="0" w:color="000000"/>
            </w:tcBorders>
            <w:shd w:val="clear" w:color="000000" w:fill="FFFFFF"/>
            <w:vAlign w:val="center"/>
          </w:tcPr>
          <w:p w14:paraId="77513AC1" w14:textId="77777777" w:rsidR="002449C2" w:rsidRDefault="002449C2">
            <w:pPr>
              <w:keepNext/>
              <w:widowControl w:val="0"/>
              <w:shd w:val="clear" w:color="auto" w:fill="FFFFFF"/>
              <w:spacing w:after="0" w:line="240" w:lineRule="auto"/>
              <w:jc w:val="both"/>
              <w:rPr>
                <w:rFonts w:ascii="Times New Roman" w:hAnsi="Times New Roman"/>
                <w:sz w:val="24"/>
                <w:szCs w:val="24"/>
                <w:lang w:eastAsia="en-US"/>
              </w:rPr>
            </w:pPr>
          </w:p>
        </w:tc>
        <w:tc>
          <w:tcPr>
            <w:tcW w:w="197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247F0C2" w14:textId="77777777" w:rsidR="002449C2" w:rsidRDefault="00123961">
            <w:pPr>
              <w:keepNext/>
              <w:widowControl w:val="0"/>
              <w:shd w:val="clear" w:color="auto" w:fill="FFFFFF"/>
              <w:spacing w:after="0" w:line="240" w:lineRule="auto"/>
              <w:rPr>
                <w:rFonts w:ascii="Times New Roman" w:hAnsi="Times New Roman"/>
                <w:sz w:val="24"/>
                <w:szCs w:val="24"/>
                <w:lang w:eastAsia="en-US"/>
              </w:rPr>
            </w:pPr>
            <w:r>
              <w:rPr>
                <w:rFonts w:ascii="Times New Roman" w:hAnsi="Times New Roman"/>
                <w:sz w:val="24"/>
                <w:szCs w:val="24"/>
                <w:lang w:eastAsia="en-US"/>
              </w:rPr>
              <w:t>млн руб.</w:t>
            </w:r>
          </w:p>
        </w:tc>
        <w:tc>
          <w:tcPr>
            <w:tcW w:w="1447" w:type="dxa"/>
            <w:tcBorders>
              <w:top w:val="single" w:sz="4" w:space="0" w:color="000000"/>
              <w:left w:val="single" w:sz="4" w:space="0" w:color="000000"/>
              <w:bottom w:val="single" w:sz="4" w:space="0" w:color="000000"/>
              <w:right w:val="single" w:sz="4" w:space="0" w:color="000000"/>
            </w:tcBorders>
          </w:tcPr>
          <w:p w14:paraId="1CEBF2A8"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sz w:val="24"/>
                <w:szCs w:val="24"/>
                <w:lang w:eastAsia="en-US"/>
              </w:rPr>
              <w:t>298,15</w:t>
            </w:r>
          </w:p>
        </w:tc>
        <w:tc>
          <w:tcPr>
            <w:tcW w:w="1453" w:type="dxa"/>
            <w:tcBorders>
              <w:top w:val="single" w:sz="4" w:space="0" w:color="000000"/>
              <w:left w:val="single" w:sz="4" w:space="0" w:color="000000"/>
              <w:bottom w:val="single" w:sz="4" w:space="0" w:color="000000"/>
              <w:right w:val="single" w:sz="4" w:space="0" w:color="000000"/>
            </w:tcBorders>
          </w:tcPr>
          <w:p w14:paraId="22C8E902"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sz w:val="24"/>
                <w:szCs w:val="24"/>
                <w:lang w:eastAsia="en-US"/>
              </w:rPr>
              <w:t>285,20</w:t>
            </w:r>
          </w:p>
        </w:tc>
        <w:tc>
          <w:tcPr>
            <w:tcW w:w="1704" w:type="dxa"/>
            <w:tcBorders>
              <w:top w:val="single" w:sz="4" w:space="0" w:color="000000"/>
              <w:left w:val="single" w:sz="4" w:space="0" w:color="000000"/>
              <w:bottom w:val="single" w:sz="4" w:space="0" w:color="000000"/>
              <w:right w:val="single" w:sz="4" w:space="0" w:color="000000"/>
            </w:tcBorders>
          </w:tcPr>
          <w:p w14:paraId="109FB145"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sz w:val="24"/>
                <w:szCs w:val="24"/>
                <w:lang w:eastAsia="en-US"/>
              </w:rPr>
              <w:t>-4,34</w:t>
            </w:r>
          </w:p>
        </w:tc>
      </w:tr>
      <w:tr w:rsidR="002449C2" w14:paraId="23560F94" w14:textId="77777777">
        <w:trPr>
          <w:trHeight w:val="271"/>
          <w:jc w:val="center"/>
        </w:trPr>
        <w:tc>
          <w:tcPr>
            <w:tcW w:w="682"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14:paraId="60393F19" w14:textId="77777777" w:rsidR="002449C2" w:rsidRDefault="00123961">
            <w:pPr>
              <w:widowControl w:val="0"/>
              <w:shd w:val="clear" w:color="auto" w:fill="FFFFFF"/>
              <w:spacing w:after="0" w:line="240" w:lineRule="auto"/>
              <w:rPr>
                <w:rFonts w:ascii="Times New Roman" w:hAnsi="Times New Roman"/>
                <w:sz w:val="24"/>
                <w:szCs w:val="24"/>
                <w:lang w:eastAsia="en-US"/>
              </w:rPr>
            </w:pPr>
            <w:r>
              <w:rPr>
                <w:rFonts w:ascii="Times New Roman" w:hAnsi="Times New Roman"/>
                <w:sz w:val="24"/>
                <w:szCs w:val="24"/>
                <w:lang w:eastAsia="en-US"/>
              </w:rPr>
              <w:t>3.</w:t>
            </w:r>
          </w:p>
        </w:tc>
        <w:tc>
          <w:tcPr>
            <w:tcW w:w="2236"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14:paraId="0F368644" w14:textId="77777777" w:rsidR="002449C2" w:rsidRDefault="00123961">
            <w:pPr>
              <w:widowControl w:val="0"/>
              <w:shd w:val="clear" w:color="auto" w:fill="FFFFFF"/>
              <w:spacing w:after="0" w:line="240" w:lineRule="auto"/>
              <w:jc w:val="both"/>
              <w:rPr>
                <w:rFonts w:ascii="Times New Roman" w:hAnsi="Times New Roman"/>
                <w:sz w:val="24"/>
                <w:szCs w:val="24"/>
                <w:lang w:eastAsia="en-US"/>
              </w:rPr>
            </w:pPr>
            <w:r>
              <w:rPr>
                <w:rFonts w:ascii="Times New Roman" w:hAnsi="Times New Roman"/>
                <w:sz w:val="24"/>
                <w:szCs w:val="24"/>
                <w:lang w:eastAsia="en-US"/>
              </w:rPr>
              <w:t>бензин автомобильный</w:t>
            </w:r>
          </w:p>
        </w:tc>
        <w:tc>
          <w:tcPr>
            <w:tcW w:w="197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9C98C8F" w14:textId="77777777" w:rsidR="002449C2" w:rsidRDefault="00123961">
            <w:pPr>
              <w:keepNext/>
              <w:widowControl w:val="0"/>
              <w:shd w:val="clear" w:color="auto" w:fill="FFFFFF"/>
              <w:spacing w:after="0" w:line="240" w:lineRule="auto"/>
              <w:rPr>
                <w:rFonts w:ascii="Times New Roman" w:hAnsi="Times New Roman"/>
                <w:sz w:val="24"/>
                <w:szCs w:val="24"/>
                <w:lang w:eastAsia="en-US"/>
              </w:rPr>
            </w:pPr>
            <w:r>
              <w:rPr>
                <w:rFonts w:ascii="Times New Roman" w:hAnsi="Times New Roman"/>
                <w:sz w:val="24"/>
                <w:szCs w:val="24"/>
                <w:lang w:eastAsia="en-US"/>
              </w:rPr>
              <w:t>тыс. л.</w:t>
            </w:r>
          </w:p>
        </w:tc>
        <w:tc>
          <w:tcPr>
            <w:tcW w:w="1447" w:type="dxa"/>
            <w:tcBorders>
              <w:top w:val="single" w:sz="4" w:space="0" w:color="000000"/>
              <w:left w:val="single" w:sz="4" w:space="0" w:color="000000"/>
              <w:bottom w:val="single" w:sz="4" w:space="0" w:color="000000"/>
              <w:right w:val="single" w:sz="4" w:space="0" w:color="000000"/>
            </w:tcBorders>
          </w:tcPr>
          <w:p w14:paraId="04222A16"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sz w:val="24"/>
                <w:szCs w:val="24"/>
                <w:lang w:eastAsia="en-US"/>
              </w:rPr>
              <w:t>5426,63</w:t>
            </w:r>
          </w:p>
        </w:tc>
        <w:tc>
          <w:tcPr>
            <w:tcW w:w="1453" w:type="dxa"/>
            <w:tcBorders>
              <w:top w:val="single" w:sz="4" w:space="0" w:color="000000"/>
              <w:left w:val="single" w:sz="4" w:space="0" w:color="000000"/>
              <w:bottom w:val="single" w:sz="4" w:space="0" w:color="000000"/>
              <w:right w:val="single" w:sz="4" w:space="0" w:color="000000"/>
            </w:tcBorders>
          </w:tcPr>
          <w:p w14:paraId="2DB54331"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sz w:val="24"/>
                <w:szCs w:val="24"/>
                <w:lang w:eastAsia="en-US"/>
              </w:rPr>
              <w:t>5592,59</w:t>
            </w:r>
          </w:p>
        </w:tc>
        <w:tc>
          <w:tcPr>
            <w:tcW w:w="1704" w:type="dxa"/>
            <w:tcBorders>
              <w:top w:val="single" w:sz="4" w:space="0" w:color="000000"/>
              <w:left w:val="single" w:sz="4" w:space="0" w:color="000000"/>
              <w:bottom w:val="single" w:sz="4" w:space="0" w:color="000000"/>
              <w:right w:val="single" w:sz="4" w:space="0" w:color="000000"/>
            </w:tcBorders>
            <w:shd w:val="clear" w:color="000000" w:fill="DCE6F1"/>
            <w:vAlign w:val="center"/>
          </w:tcPr>
          <w:p w14:paraId="1DDF874B"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color w:val="000000"/>
                <w:sz w:val="24"/>
                <w:szCs w:val="24"/>
              </w:rPr>
              <w:t>3,06**</w:t>
            </w:r>
          </w:p>
        </w:tc>
      </w:tr>
      <w:tr w:rsidR="002449C2" w14:paraId="7965EB33" w14:textId="77777777">
        <w:trPr>
          <w:trHeight w:val="275"/>
          <w:jc w:val="center"/>
        </w:trPr>
        <w:tc>
          <w:tcPr>
            <w:tcW w:w="682" w:type="dxa"/>
            <w:vMerge/>
            <w:tcBorders>
              <w:top w:val="single" w:sz="4" w:space="0" w:color="000000"/>
              <w:left w:val="single" w:sz="4" w:space="0" w:color="000000"/>
              <w:bottom w:val="single" w:sz="4" w:space="0" w:color="000000"/>
              <w:right w:val="single" w:sz="4" w:space="0" w:color="000000"/>
            </w:tcBorders>
            <w:shd w:val="clear" w:color="000000" w:fill="FFFFFF"/>
            <w:vAlign w:val="center"/>
          </w:tcPr>
          <w:p w14:paraId="37A0779C" w14:textId="77777777" w:rsidR="002449C2" w:rsidRDefault="002449C2">
            <w:pPr>
              <w:widowControl w:val="0"/>
              <w:shd w:val="clear" w:color="auto" w:fill="FFFFFF"/>
              <w:spacing w:after="0" w:line="240" w:lineRule="auto"/>
              <w:rPr>
                <w:rFonts w:ascii="Times New Roman" w:hAnsi="Times New Roman"/>
                <w:sz w:val="24"/>
                <w:szCs w:val="24"/>
                <w:lang w:eastAsia="en-US"/>
              </w:rPr>
            </w:pPr>
          </w:p>
        </w:tc>
        <w:tc>
          <w:tcPr>
            <w:tcW w:w="2236" w:type="dxa"/>
            <w:vMerge/>
            <w:tcBorders>
              <w:top w:val="single" w:sz="4" w:space="0" w:color="000000"/>
              <w:left w:val="single" w:sz="4" w:space="0" w:color="000000"/>
              <w:bottom w:val="single" w:sz="4" w:space="0" w:color="000000"/>
              <w:right w:val="single" w:sz="4" w:space="0" w:color="000000"/>
            </w:tcBorders>
            <w:shd w:val="clear" w:color="000000" w:fill="FFFFFF"/>
            <w:vAlign w:val="center"/>
          </w:tcPr>
          <w:p w14:paraId="22196328" w14:textId="77777777" w:rsidR="002449C2" w:rsidRDefault="002449C2">
            <w:pPr>
              <w:widowControl w:val="0"/>
              <w:shd w:val="clear" w:color="auto" w:fill="FFFFFF"/>
              <w:spacing w:after="0" w:line="240" w:lineRule="auto"/>
              <w:jc w:val="both"/>
              <w:rPr>
                <w:rFonts w:ascii="Times New Roman" w:hAnsi="Times New Roman"/>
                <w:sz w:val="24"/>
                <w:szCs w:val="24"/>
                <w:lang w:eastAsia="en-US"/>
              </w:rPr>
            </w:pPr>
          </w:p>
        </w:tc>
        <w:tc>
          <w:tcPr>
            <w:tcW w:w="197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2FDB3F2" w14:textId="77777777" w:rsidR="002449C2" w:rsidRDefault="00123961">
            <w:pPr>
              <w:keepNext/>
              <w:widowControl w:val="0"/>
              <w:shd w:val="clear" w:color="auto" w:fill="FFFFFF"/>
              <w:spacing w:after="0" w:line="240" w:lineRule="auto"/>
              <w:rPr>
                <w:rFonts w:ascii="Times New Roman" w:hAnsi="Times New Roman"/>
                <w:sz w:val="24"/>
                <w:szCs w:val="24"/>
                <w:lang w:eastAsia="en-US"/>
              </w:rPr>
            </w:pPr>
            <w:r>
              <w:rPr>
                <w:rFonts w:ascii="Times New Roman" w:hAnsi="Times New Roman"/>
                <w:sz w:val="24"/>
                <w:szCs w:val="24"/>
                <w:lang w:eastAsia="en-US"/>
              </w:rPr>
              <w:t>млн руб</w:t>
            </w:r>
          </w:p>
        </w:tc>
        <w:tc>
          <w:tcPr>
            <w:tcW w:w="1447" w:type="dxa"/>
            <w:tcBorders>
              <w:top w:val="single" w:sz="4" w:space="0" w:color="000000"/>
              <w:left w:val="single" w:sz="4" w:space="0" w:color="000000"/>
              <w:bottom w:val="single" w:sz="4" w:space="0" w:color="000000"/>
              <w:right w:val="single" w:sz="4" w:space="0" w:color="000000"/>
            </w:tcBorders>
          </w:tcPr>
          <w:p w14:paraId="19ED3085"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sz w:val="24"/>
                <w:szCs w:val="24"/>
                <w:lang w:eastAsia="en-US"/>
              </w:rPr>
              <w:t>216,95</w:t>
            </w:r>
          </w:p>
        </w:tc>
        <w:tc>
          <w:tcPr>
            <w:tcW w:w="1453" w:type="dxa"/>
            <w:tcBorders>
              <w:top w:val="single" w:sz="4" w:space="0" w:color="000000"/>
              <w:left w:val="single" w:sz="4" w:space="0" w:color="000000"/>
              <w:bottom w:val="single" w:sz="4" w:space="0" w:color="000000"/>
              <w:right w:val="single" w:sz="4" w:space="0" w:color="000000"/>
            </w:tcBorders>
          </w:tcPr>
          <w:p w14:paraId="3B6B1D7B"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sz w:val="24"/>
                <w:szCs w:val="24"/>
                <w:lang w:eastAsia="en-US"/>
              </w:rPr>
              <w:t>242,36</w:t>
            </w:r>
          </w:p>
        </w:tc>
        <w:tc>
          <w:tcPr>
            <w:tcW w:w="1704" w:type="dxa"/>
            <w:tcBorders>
              <w:left w:val="single" w:sz="4" w:space="0" w:color="000000"/>
              <w:bottom w:val="single" w:sz="4" w:space="0" w:color="000000"/>
              <w:right w:val="single" w:sz="4" w:space="0" w:color="000000"/>
            </w:tcBorders>
            <w:shd w:val="clear" w:color="000000" w:fill="DCE6F1"/>
            <w:vAlign w:val="center"/>
          </w:tcPr>
          <w:p w14:paraId="1756D63F"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color w:val="000000"/>
                <w:sz w:val="24"/>
                <w:szCs w:val="24"/>
              </w:rPr>
              <w:t>11,71</w:t>
            </w:r>
          </w:p>
        </w:tc>
      </w:tr>
      <w:tr w:rsidR="002449C2" w14:paraId="6CE026F5" w14:textId="77777777">
        <w:trPr>
          <w:trHeight w:val="279"/>
          <w:jc w:val="center"/>
        </w:trPr>
        <w:tc>
          <w:tcPr>
            <w:tcW w:w="682"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14:paraId="55FD0C32" w14:textId="77777777" w:rsidR="002449C2" w:rsidRDefault="00123961">
            <w:pPr>
              <w:widowControl w:val="0"/>
              <w:shd w:val="clear" w:color="auto" w:fill="FFFFFF"/>
              <w:spacing w:after="0" w:line="240" w:lineRule="auto"/>
              <w:rPr>
                <w:rFonts w:ascii="Times New Roman" w:hAnsi="Times New Roman"/>
                <w:sz w:val="24"/>
                <w:szCs w:val="24"/>
                <w:lang w:eastAsia="en-US"/>
              </w:rPr>
            </w:pPr>
            <w:r>
              <w:rPr>
                <w:rFonts w:ascii="Times New Roman" w:hAnsi="Times New Roman"/>
                <w:sz w:val="24"/>
                <w:szCs w:val="24"/>
                <w:lang w:eastAsia="en-US"/>
              </w:rPr>
              <w:t>4.</w:t>
            </w:r>
          </w:p>
        </w:tc>
        <w:tc>
          <w:tcPr>
            <w:tcW w:w="2236"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14:paraId="67C9BFFD" w14:textId="77777777" w:rsidR="002449C2" w:rsidRDefault="00123961">
            <w:pPr>
              <w:widowControl w:val="0"/>
              <w:shd w:val="clear" w:color="auto" w:fill="FFFFFF"/>
              <w:spacing w:after="0" w:line="240" w:lineRule="auto"/>
              <w:jc w:val="both"/>
              <w:rPr>
                <w:rFonts w:ascii="Times New Roman" w:hAnsi="Times New Roman"/>
                <w:sz w:val="24"/>
                <w:szCs w:val="24"/>
                <w:lang w:eastAsia="en-US"/>
              </w:rPr>
            </w:pPr>
            <w:r>
              <w:rPr>
                <w:rFonts w:ascii="Times New Roman" w:hAnsi="Times New Roman"/>
                <w:sz w:val="24"/>
                <w:szCs w:val="24"/>
                <w:lang w:eastAsia="en-US"/>
              </w:rPr>
              <w:t>топливо дизельное</w:t>
            </w:r>
          </w:p>
        </w:tc>
        <w:tc>
          <w:tcPr>
            <w:tcW w:w="197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1D74758" w14:textId="77777777" w:rsidR="002449C2" w:rsidRDefault="00123961">
            <w:pPr>
              <w:keepNext/>
              <w:widowControl w:val="0"/>
              <w:shd w:val="clear" w:color="auto" w:fill="FFFFFF"/>
              <w:spacing w:after="0" w:line="240" w:lineRule="auto"/>
              <w:rPr>
                <w:rFonts w:ascii="Times New Roman" w:hAnsi="Times New Roman"/>
                <w:sz w:val="24"/>
                <w:szCs w:val="24"/>
                <w:lang w:eastAsia="en-US"/>
              </w:rPr>
            </w:pPr>
            <w:r>
              <w:rPr>
                <w:rFonts w:ascii="Times New Roman" w:hAnsi="Times New Roman"/>
                <w:sz w:val="24"/>
                <w:szCs w:val="24"/>
                <w:lang w:eastAsia="en-US"/>
              </w:rPr>
              <w:t>тыс. л.</w:t>
            </w:r>
          </w:p>
        </w:tc>
        <w:tc>
          <w:tcPr>
            <w:tcW w:w="1447" w:type="dxa"/>
            <w:tcBorders>
              <w:top w:val="single" w:sz="4" w:space="0" w:color="000000"/>
              <w:left w:val="single" w:sz="4" w:space="0" w:color="000000"/>
              <w:bottom w:val="single" w:sz="4" w:space="0" w:color="000000"/>
              <w:right w:val="single" w:sz="4" w:space="0" w:color="000000"/>
            </w:tcBorders>
          </w:tcPr>
          <w:p w14:paraId="7AD8CD29"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sz w:val="24"/>
                <w:szCs w:val="24"/>
                <w:lang w:eastAsia="en-US"/>
              </w:rPr>
              <w:t>2434,87</w:t>
            </w:r>
          </w:p>
        </w:tc>
        <w:tc>
          <w:tcPr>
            <w:tcW w:w="1453" w:type="dxa"/>
            <w:tcBorders>
              <w:top w:val="single" w:sz="4" w:space="0" w:color="000000"/>
              <w:left w:val="single" w:sz="4" w:space="0" w:color="000000"/>
              <w:bottom w:val="single" w:sz="4" w:space="0" w:color="000000"/>
              <w:right w:val="single" w:sz="4" w:space="0" w:color="000000"/>
            </w:tcBorders>
          </w:tcPr>
          <w:p w14:paraId="6A43A80F"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sz w:val="24"/>
                <w:szCs w:val="24"/>
                <w:lang w:eastAsia="en-US"/>
              </w:rPr>
              <w:t>2770,42</w:t>
            </w:r>
          </w:p>
        </w:tc>
        <w:tc>
          <w:tcPr>
            <w:tcW w:w="1704" w:type="dxa"/>
            <w:tcBorders>
              <w:left w:val="single" w:sz="4" w:space="0" w:color="000000"/>
              <w:bottom w:val="single" w:sz="4" w:space="0" w:color="000000"/>
              <w:right w:val="single" w:sz="4" w:space="0" w:color="000000"/>
            </w:tcBorders>
            <w:shd w:val="clear" w:color="000000" w:fill="DCE6F1"/>
            <w:vAlign w:val="center"/>
          </w:tcPr>
          <w:p w14:paraId="4093458E"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color w:val="000000"/>
                <w:sz w:val="24"/>
                <w:szCs w:val="24"/>
              </w:rPr>
              <w:t>13,78**</w:t>
            </w:r>
          </w:p>
        </w:tc>
      </w:tr>
      <w:tr w:rsidR="002449C2" w14:paraId="160F9456" w14:textId="77777777">
        <w:trPr>
          <w:trHeight w:val="256"/>
          <w:jc w:val="center"/>
        </w:trPr>
        <w:tc>
          <w:tcPr>
            <w:tcW w:w="682" w:type="dxa"/>
            <w:vMerge/>
            <w:tcBorders>
              <w:top w:val="single" w:sz="4" w:space="0" w:color="000000"/>
              <w:left w:val="single" w:sz="4" w:space="0" w:color="000000"/>
              <w:bottom w:val="single" w:sz="4" w:space="0" w:color="000000"/>
              <w:right w:val="single" w:sz="4" w:space="0" w:color="000000"/>
            </w:tcBorders>
            <w:shd w:val="clear" w:color="000000" w:fill="FFFFFF"/>
            <w:vAlign w:val="center"/>
          </w:tcPr>
          <w:p w14:paraId="6E43850E" w14:textId="77777777" w:rsidR="002449C2" w:rsidRDefault="002449C2">
            <w:pPr>
              <w:widowControl w:val="0"/>
              <w:shd w:val="clear" w:color="auto" w:fill="FFFFFF"/>
              <w:spacing w:after="0" w:line="240" w:lineRule="auto"/>
              <w:rPr>
                <w:rFonts w:ascii="Times New Roman" w:hAnsi="Times New Roman"/>
                <w:sz w:val="24"/>
                <w:szCs w:val="24"/>
                <w:lang w:eastAsia="en-US"/>
              </w:rPr>
            </w:pPr>
          </w:p>
        </w:tc>
        <w:tc>
          <w:tcPr>
            <w:tcW w:w="2236" w:type="dxa"/>
            <w:vMerge/>
            <w:tcBorders>
              <w:top w:val="single" w:sz="4" w:space="0" w:color="000000"/>
              <w:left w:val="single" w:sz="4" w:space="0" w:color="000000"/>
              <w:bottom w:val="single" w:sz="4" w:space="0" w:color="000000"/>
              <w:right w:val="single" w:sz="4" w:space="0" w:color="000000"/>
            </w:tcBorders>
            <w:shd w:val="clear" w:color="000000" w:fill="FFFFFF"/>
            <w:vAlign w:val="center"/>
          </w:tcPr>
          <w:p w14:paraId="2F545443" w14:textId="77777777" w:rsidR="002449C2" w:rsidRDefault="002449C2">
            <w:pPr>
              <w:widowControl w:val="0"/>
              <w:shd w:val="clear" w:color="auto" w:fill="FFFFFF"/>
              <w:spacing w:after="0" w:line="240" w:lineRule="auto"/>
              <w:jc w:val="both"/>
              <w:rPr>
                <w:rFonts w:ascii="Times New Roman" w:hAnsi="Times New Roman"/>
                <w:sz w:val="24"/>
                <w:szCs w:val="24"/>
                <w:lang w:eastAsia="en-US"/>
              </w:rPr>
            </w:pPr>
          </w:p>
        </w:tc>
        <w:tc>
          <w:tcPr>
            <w:tcW w:w="197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13150A7" w14:textId="77777777" w:rsidR="002449C2" w:rsidRDefault="00123961">
            <w:pPr>
              <w:keepNext/>
              <w:widowControl w:val="0"/>
              <w:shd w:val="clear" w:color="auto" w:fill="FFFFFF"/>
              <w:spacing w:after="0" w:line="240" w:lineRule="auto"/>
              <w:rPr>
                <w:rFonts w:ascii="Times New Roman" w:hAnsi="Times New Roman"/>
                <w:sz w:val="24"/>
                <w:szCs w:val="24"/>
                <w:lang w:eastAsia="en-US"/>
              </w:rPr>
            </w:pPr>
            <w:r>
              <w:rPr>
                <w:rFonts w:ascii="Times New Roman" w:hAnsi="Times New Roman"/>
                <w:sz w:val="24"/>
                <w:szCs w:val="24"/>
                <w:lang w:eastAsia="en-US"/>
              </w:rPr>
              <w:t>млн руб</w:t>
            </w:r>
          </w:p>
        </w:tc>
        <w:tc>
          <w:tcPr>
            <w:tcW w:w="1447" w:type="dxa"/>
            <w:tcBorders>
              <w:top w:val="single" w:sz="4" w:space="0" w:color="000000"/>
              <w:left w:val="single" w:sz="4" w:space="0" w:color="000000"/>
              <w:bottom w:val="single" w:sz="4" w:space="0" w:color="000000"/>
              <w:right w:val="single" w:sz="4" w:space="0" w:color="000000"/>
            </w:tcBorders>
          </w:tcPr>
          <w:p w14:paraId="6BEFE6FD"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sz w:val="24"/>
                <w:szCs w:val="24"/>
                <w:lang w:eastAsia="en-US"/>
              </w:rPr>
              <w:t>99,78</w:t>
            </w:r>
          </w:p>
        </w:tc>
        <w:tc>
          <w:tcPr>
            <w:tcW w:w="1453" w:type="dxa"/>
            <w:tcBorders>
              <w:top w:val="single" w:sz="4" w:space="0" w:color="000000"/>
              <w:left w:val="single" w:sz="4" w:space="0" w:color="000000"/>
              <w:bottom w:val="single" w:sz="4" w:space="0" w:color="000000"/>
              <w:right w:val="single" w:sz="4" w:space="0" w:color="000000"/>
            </w:tcBorders>
          </w:tcPr>
          <w:p w14:paraId="6D7D6D52"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sz w:val="24"/>
                <w:szCs w:val="24"/>
                <w:lang w:eastAsia="en-US"/>
              </w:rPr>
              <w:t>131,19</w:t>
            </w:r>
          </w:p>
        </w:tc>
        <w:tc>
          <w:tcPr>
            <w:tcW w:w="1704" w:type="dxa"/>
            <w:tcBorders>
              <w:left w:val="single" w:sz="4" w:space="0" w:color="000000"/>
              <w:bottom w:val="single" w:sz="4" w:space="0" w:color="000000"/>
              <w:right w:val="single" w:sz="4" w:space="0" w:color="000000"/>
            </w:tcBorders>
            <w:shd w:val="clear" w:color="000000" w:fill="DCE6F1"/>
            <w:vAlign w:val="center"/>
          </w:tcPr>
          <w:p w14:paraId="7FD7D4E7" w14:textId="77777777" w:rsidR="002449C2" w:rsidRDefault="00123961">
            <w:pPr>
              <w:keepNext/>
              <w:widowControl w:val="0"/>
              <w:shd w:val="clear" w:color="auto" w:fill="FFFFFF"/>
              <w:spacing w:after="0" w:line="240" w:lineRule="auto"/>
              <w:jc w:val="center"/>
              <w:rPr>
                <w:rFonts w:ascii="Times New Roman" w:hAnsi="Times New Roman"/>
                <w:sz w:val="24"/>
                <w:szCs w:val="24"/>
                <w:lang w:eastAsia="en-US"/>
              </w:rPr>
            </w:pPr>
            <w:r>
              <w:rPr>
                <w:rFonts w:ascii="Times New Roman" w:hAnsi="Times New Roman"/>
                <w:color w:val="000000"/>
                <w:sz w:val="24"/>
                <w:szCs w:val="24"/>
              </w:rPr>
              <w:t>31,48</w:t>
            </w:r>
          </w:p>
        </w:tc>
      </w:tr>
      <w:tr w:rsidR="002449C2" w14:paraId="4CA19AFF" w14:textId="77777777">
        <w:trPr>
          <w:trHeight w:val="254"/>
          <w:jc w:val="center"/>
        </w:trPr>
        <w:tc>
          <w:tcPr>
            <w:tcW w:w="682"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14:paraId="6EBA68CD" w14:textId="77777777" w:rsidR="002449C2" w:rsidRDefault="00123961">
            <w:pPr>
              <w:widowControl w:val="0"/>
              <w:shd w:val="clear" w:color="auto" w:fill="FFFFFF"/>
              <w:spacing w:after="0" w:line="240" w:lineRule="auto"/>
              <w:rPr>
                <w:rFonts w:ascii="Times New Roman" w:hAnsi="Times New Roman"/>
                <w:sz w:val="24"/>
                <w:szCs w:val="24"/>
                <w:lang w:eastAsia="en-US"/>
              </w:rPr>
            </w:pPr>
            <w:r>
              <w:rPr>
                <w:rFonts w:ascii="Times New Roman" w:hAnsi="Times New Roman"/>
                <w:sz w:val="24"/>
                <w:szCs w:val="24"/>
                <w:lang w:eastAsia="en-US"/>
              </w:rPr>
              <w:t>5.</w:t>
            </w:r>
          </w:p>
        </w:tc>
        <w:tc>
          <w:tcPr>
            <w:tcW w:w="2236"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14:paraId="00537E35" w14:textId="77777777" w:rsidR="002449C2" w:rsidRDefault="00123961">
            <w:pPr>
              <w:widowControl w:val="0"/>
              <w:shd w:val="clear" w:color="auto" w:fill="FFFFFF"/>
              <w:spacing w:after="0" w:line="240" w:lineRule="auto"/>
              <w:jc w:val="both"/>
              <w:rPr>
                <w:rFonts w:ascii="Times New Roman" w:hAnsi="Times New Roman"/>
                <w:sz w:val="24"/>
                <w:szCs w:val="24"/>
                <w:lang w:val="en-US" w:eastAsia="en-US"/>
              </w:rPr>
            </w:pPr>
            <w:r>
              <w:rPr>
                <w:rFonts w:ascii="Times New Roman" w:hAnsi="Times New Roman"/>
                <w:sz w:val="24"/>
                <w:szCs w:val="24"/>
                <w:lang w:eastAsia="en-US"/>
              </w:rPr>
              <w:t>газ естественный (природный)</w:t>
            </w:r>
          </w:p>
        </w:tc>
        <w:tc>
          <w:tcPr>
            <w:tcW w:w="197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E1D62F1" w14:textId="77777777" w:rsidR="002449C2" w:rsidRDefault="00123961">
            <w:pPr>
              <w:keepNext/>
              <w:widowControl w:val="0"/>
              <w:shd w:val="clear" w:color="auto" w:fill="FFFFFF"/>
              <w:spacing w:after="0" w:line="240" w:lineRule="auto"/>
              <w:rPr>
                <w:rFonts w:ascii="Times New Roman" w:hAnsi="Times New Roman"/>
                <w:sz w:val="24"/>
                <w:szCs w:val="24"/>
                <w:lang w:eastAsia="en-US"/>
              </w:rPr>
            </w:pPr>
            <w:r>
              <w:rPr>
                <w:rFonts w:ascii="Times New Roman" w:hAnsi="Times New Roman"/>
                <w:sz w:val="24"/>
                <w:szCs w:val="24"/>
                <w:lang w:eastAsia="en-US"/>
              </w:rPr>
              <w:t>тыс. м3</w:t>
            </w:r>
          </w:p>
        </w:tc>
        <w:tc>
          <w:tcPr>
            <w:tcW w:w="1447" w:type="dxa"/>
            <w:tcBorders>
              <w:top w:val="single" w:sz="4" w:space="0" w:color="000000"/>
              <w:left w:val="single" w:sz="4" w:space="0" w:color="000000"/>
              <w:bottom w:val="single" w:sz="4" w:space="0" w:color="000000"/>
              <w:right w:val="single" w:sz="4" w:space="0" w:color="000000"/>
            </w:tcBorders>
          </w:tcPr>
          <w:p w14:paraId="6869670E" w14:textId="77777777" w:rsidR="002449C2" w:rsidRDefault="00123961">
            <w:pPr>
              <w:jc w:val="center"/>
              <w:rPr>
                <w:rFonts w:ascii="Times New Roman" w:hAnsi="Times New Roman"/>
                <w:color w:val="000000"/>
                <w:sz w:val="24"/>
                <w:szCs w:val="24"/>
              </w:rPr>
            </w:pPr>
            <w:r>
              <w:rPr>
                <w:rFonts w:ascii="Times New Roman" w:hAnsi="Times New Roman"/>
                <w:color w:val="000000"/>
                <w:sz w:val="24"/>
                <w:szCs w:val="24"/>
                <w:lang w:eastAsia="en-US"/>
              </w:rPr>
              <w:t>858,07</w:t>
            </w:r>
          </w:p>
        </w:tc>
        <w:tc>
          <w:tcPr>
            <w:tcW w:w="1453" w:type="dxa"/>
            <w:tcBorders>
              <w:top w:val="single" w:sz="4" w:space="0" w:color="000000"/>
              <w:left w:val="single" w:sz="4" w:space="0" w:color="000000"/>
              <w:bottom w:val="single" w:sz="4" w:space="0" w:color="000000"/>
              <w:right w:val="single" w:sz="4" w:space="0" w:color="000000"/>
            </w:tcBorders>
          </w:tcPr>
          <w:p w14:paraId="2EA37275" w14:textId="77777777" w:rsidR="002449C2" w:rsidRDefault="00123961">
            <w:pPr>
              <w:jc w:val="center"/>
              <w:rPr>
                <w:rFonts w:ascii="Times New Roman" w:hAnsi="Times New Roman"/>
                <w:color w:val="000000"/>
                <w:sz w:val="24"/>
                <w:szCs w:val="24"/>
              </w:rPr>
            </w:pPr>
            <w:r>
              <w:rPr>
                <w:rFonts w:ascii="Times New Roman" w:hAnsi="Times New Roman"/>
                <w:color w:val="000000"/>
                <w:sz w:val="24"/>
                <w:szCs w:val="24"/>
                <w:lang w:eastAsia="en-US"/>
              </w:rPr>
              <w:t>607,29</w:t>
            </w:r>
          </w:p>
        </w:tc>
        <w:tc>
          <w:tcPr>
            <w:tcW w:w="1704" w:type="dxa"/>
            <w:tcBorders>
              <w:top w:val="single" w:sz="4" w:space="0" w:color="000000"/>
              <w:left w:val="single" w:sz="4" w:space="0" w:color="000000"/>
              <w:bottom w:val="single" w:sz="4" w:space="0" w:color="000000"/>
              <w:right w:val="single" w:sz="4" w:space="0" w:color="000000"/>
            </w:tcBorders>
          </w:tcPr>
          <w:p w14:paraId="4F6ABB55" w14:textId="77777777" w:rsidR="002449C2" w:rsidRDefault="00123961">
            <w:pPr>
              <w:spacing w:after="0" w:line="240" w:lineRule="auto"/>
              <w:jc w:val="center"/>
              <w:rPr>
                <w:rFonts w:ascii="Times New Roman" w:eastAsia="Times New Roman" w:hAnsi="Times New Roman"/>
                <w:color w:val="000000"/>
                <w:sz w:val="24"/>
                <w:szCs w:val="24"/>
                <w:lang w:eastAsia="ru-RU"/>
              </w:rPr>
            </w:pPr>
            <w:r>
              <w:rPr>
                <w:rFonts w:ascii="Times New Roman" w:hAnsi="Times New Roman"/>
                <w:color w:val="000000"/>
                <w:sz w:val="24"/>
                <w:szCs w:val="24"/>
              </w:rPr>
              <w:t>-29,23</w:t>
            </w:r>
          </w:p>
        </w:tc>
      </w:tr>
      <w:tr w:rsidR="002449C2" w14:paraId="1EC4EB3C" w14:textId="77777777">
        <w:trPr>
          <w:trHeight w:val="538"/>
          <w:jc w:val="center"/>
        </w:trPr>
        <w:tc>
          <w:tcPr>
            <w:tcW w:w="682" w:type="dxa"/>
            <w:vMerge/>
            <w:tcBorders>
              <w:top w:val="single" w:sz="4" w:space="0" w:color="000000"/>
              <w:left w:val="single" w:sz="4" w:space="0" w:color="000000"/>
              <w:bottom w:val="single" w:sz="4" w:space="0" w:color="000000"/>
              <w:right w:val="single" w:sz="4" w:space="0" w:color="000000"/>
            </w:tcBorders>
            <w:shd w:val="clear" w:color="000000" w:fill="FFFFFF"/>
            <w:vAlign w:val="center"/>
          </w:tcPr>
          <w:p w14:paraId="6EC410C9" w14:textId="77777777" w:rsidR="002449C2" w:rsidRDefault="002449C2">
            <w:pPr>
              <w:widowControl w:val="0"/>
              <w:shd w:val="clear" w:color="auto" w:fill="FFFFFF"/>
              <w:spacing w:after="0" w:line="240" w:lineRule="auto"/>
              <w:rPr>
                <w:rFonts w:ascii="Times New Roman" w:hAnsi="Times New Roman"/>
                <w:sz w:val="24"/>
                <w:szCs w:val="24"/>
                <w:lang w:eastAsia="en-US"/>
              </w:rPr>
            </w:pPr>
          </w:p>
        </w:tc>
        <w:tc>
          <w:tcPr>
            <w:tcW w:w="2236" w:type="dxa"/>
            <w:vMerge/>
            <w:tcBorders>
              <w:top w:val="single" w:sz="4" w:space="0" w:color="000000"/>
              <w:left w:val="single" w:sz="4" w:space="0" w:color="000000"/>
              <w:bottom w:val="single" w:sz="4" w:space="0" w:color="000000"/>
              <w:right w:val="single" w:sz="4" w:space="0" w:color="000000"/>
            </w:tcBorders>
            <w:shd w:val="clear" w:color="000000" w:fill="FFFFFF"/>
            <w:vAlign w:val="center"/>
          </w:tcPr>
          <w:p w14:paraId="72C4DB4A" w14:textId="77777777" w:rsidR="002449C2" w:rsidRDefault="002449C2">
            <w:pPr>
              <w:widowControl w:val="0"/>
              <w:shd w:val="clear" w:color="auto" w:fill="FFFFFF"/>
              <w:spacing w:after="0" w:line="240" w:lineRule="auto"/>
              <w:jc w:val="both"/>
              <w:rPr>
                <w:rFonts w:ascii="Times New Roman" w:hAnsi="Times New Roman"/>
                <w:sz w:val="24"/>
                <w:szCs w:val="24"/>
                <w:lang w:eastAsia="en-US"/>
              </w:rPr>
            </w:pPr>
          </w:p>
        </w:tc>
        <w:tc>
          <w:tcPr>
            <w:tcW w:w="197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51D91DC" w14:textId="77777777" w:rsidR="002449C2" w:rsidRDefault="00123961">
            <w:pPr>
              <w:keepNext/>
              <w:widowControl w:val="0"/>
              <w:shd w:val="clear" w:color="auto" w:fill="FFFFFF"/>
              <w:spacing w:after="0" w:line="240" w:lineRule="auto"/>
              <w:rPr>
                <w:rFonts w:ascii="Times New Roman" w:hAnsi="Times New Roman"/>
                <w:sz w:val="24"/>
                <w:szCs w:val="24"/>
                <w:lang w:eastAsia="en-US"/>
              </w:rPr>
            </w:pPr>
            <w:r>
              <w:rPr>
                <w:rFonts w:ascii="Times New Roman" w:hAnsi="Times New Roman"/>
                <w:sz w:val="24"/>
                <w:szCs w:val="24"/>
                <w:lang w:eastAsia="en-US"/>
              </w:rPr>
              <w:t>млн руб</w:t>
            </w:r>
          </w:p>
        </w:tc>
        <w:tc>
          <w:tcPr>
            <w:tcW w:w="1447" w:type="dxa"/>
            <w:tcBorders>
              <w:top w:val="single" w:sz="4" w:space="0" w:color="000000"/>
              <w:left w:val="single" w:sz="4" w:space="0" w:color="000000"/>
              <w:bottom w:val="single" w:sz="4" w:space="0" w:color="000000"/>
              <w:right w:val="single" w:sz="4" w:space="0" w:color="000000"/>
            </w:tcBorders>
          </w:tcPr>
          <w:p w14:paraId="5A714EA8" w14:textId="77777777" w:rsidR="002449C2" w:rsidRDefault="00123961">
            <w:pPr>
              <w:jc w:val="center"/>
              <w:rPr>
                <w:rFonts w:ascii="Times New Roman" w:hAnsi="Times New Roman"/>
                <w:color w:val="000000"/>
                <w:sz w:val="24"/>
                <w:szCs w:val="24"/>
              </w:rPr>
            </w:pPr>
            <w:r>
              <w:rPr>
                <w:rFonts w:ascii="Times New Roman" w:hAnsi="Times New Roman"/>
                <w:color w:val="000000"/>
                <w:sz w:val="24"/>
                <w:szCs w:val="24"/>
                <w:lang w:eastAsia="en-US"/>
              </w:rPr>
              <w:t>7,78</w:t>
            </w:r>
          </w:p>
        </w:tc>
        <w:tc>
          <w:tcPr>
            <w:tcW w:w="1453" w:type="dxa"/>
            <w:tcBorders>
              <w:top w:val="single" w:sz="4" w:space="0" w:color="000000"/>
              <w:left w:val="single" w:sz="4" w:space="0" w:color="000000"/>
              <w:bottom w:val="single" w:sz="4" w:space="0" w:color="000000"/>
              <w:right w:val="single" w:sz="4" w:space="0" w:color="000000"/>
            </w:tcBorders>
          </w:tcPr>
          <w:p w14:paraId="47E3638A" w14:textId="77777777" w:rsidR="002449C2" w:rsidRDefault="00123961">
            <w:pPr>
              <w:jc w:val="center"/>
              <w:rPr>
                <w:rFonts w:ascii="Times New Roman" w:hAnsi="Times New Roman"/>
                <w:color w:val="000000"/>
                <w:sz w:val="24"/>
                <w:szCs w:val="24"/>
              </w:rPr>
            </w:pPr>
            <w:r>
              <w:rPr>
                <w:rFonts w:ascii="Times New Roman" w:hAnsi="Times New Roman"/>
                <w:color w:val="000000"/>
                <w:sz w:val="24"/>
                <w:szCs w:val="24"/>
                <w:lang w:eastAsia="en-US"/>
              </w:rPr>
              <w:t>5,02</w:t>
            </w:r>
          </w:p>
        </w:tc>
        <w:tc>
          <w:tcPr>
            <w:tcW w:w="1704" w:type="dxa"/>
            <w:tcBorders>
              <w:top w:val="single" w:sz="4" w:space="0" w:color="000000"/>
              <w:left w:val="single" w:sz="4" w:space="0" w:color="000000"/>
              <w:bottom w:val="single" w:sz="4" w:space="0" w:color="000000"/>
              <w:right w:val="single" w:sz="4" w:space="0" w:color="000000"/>
            </w:tcBorders>
          </w:tcPr>
          <w:p w14:paraId="796E7D2C" w14:textId="77777777" w:rsidR="002449C2" w:rsidRDefault="00123961">
            <w:pPr>
              <w:jc w:val="center"/>
              <w:rPr>
                <w:rFonts w:ascii="Times New Roman" w:hAnsi="Times New Roman"/>
                <w:color w:val="000000"/>
                <w:sz w:val="24"/>
                <w:szCs w:val="24"/>
              </w:rPr>
            </w:pPr>
            <w:r>
              <w:rPr>
                <w:rFonts w:ascii="Times New Roman" w:hAnsi="Times New Roman"/>
                <w:color w:val="000000"/>
                <w:sz w:val="24"/>
                <w:szCs w:val="24"/>
              </w:rPr>
              <w:t>-35,48</w:t>
            </w:r>
          </w:p>
        </w:tc>
      </w:tr>
    </w:tbl>
    <w:p w14:paraId="03812628" w14:textId="77777777" w:rsidR="002449C2" w:rsidRDefault="00123961">
      <w:pPr>
        <w:shd w:val="clear" w:color="auto" w:fill="FFFFFF"/>
        <w:tabs>
          <w:tab w:val="left" w:pos="0"/>
        </w:tabs>
        <w:spacing w:after="0" w:line="240" w:lineRule="auto"/>
        <w:rPr>
          <w:rFonts w:ascii="Times New Roman" w:hAnsi="Times New Roman"/>
          <w:sz w:val="20"/>
          <w:szCs w:val="20"/>
          <w:lang w:eastAsia="en-US"/>
        </w:rPr>
      </w:pPr>
      <w:r>
        <w:rPr>
          <w:rFonts w:ascii="Times New Roman" w:hAnsi="Times New Roman"/>
          <w:sz w:val="20"/>
          <w:szCs w:val="20"/>
          <w:lang w:eastAsia="en-US"/>
        </w:rPr>
        <w:t>* не используемые ресурсы: атомная энергия, электромагнитная энергия, нефть, мазут топочный, уголь, горючие сланцы, торф.</w:t>
      </w:r>
    </w:p>
    <w:p w14:paraId="0CA17958" w14:textId="77777777" w:rsidR="002449C2" w:rsidRDefault="00123961">
      <w:pPr>
        <w:shd w:val="clear" w:color="auto" w:fill="FFFFFF"/>
        <w:tabs>
          <w:tab w:val="left" w:pos="0"/>
        </w:tabs>
        <w:spacing w:after="0" w:line="240" w:lineRule="auto"/>
        <w:rPr>
          <w:rFonts w:ascii="Times New Roman" w:hAnsi="Times New Roman"/>
          <w:sz w:val="20"/>
          <w:szCs w:val="20"/>
          <w:lang w:eastAsia="en-US"/>
        </w:rPr>
      </w:pPr>
      <w:r>
        <w:rPr>
          <w:rFonts w:ascii="Times New Roman" w:hAnsi="Times New Roman"/>
          <w:sz w:val="20"/>
          <w:szCs w:val="20"/>
          <w:lang w:eastAsia="en-US"/>
        </w:rPr>
        <w:t>** увеличение потребления моторного топлива (по сравнению с плановыми показателями) - за счет увеличения пробега автотранспортом и спецтехникой при ликвидации аварии (последствий стихийных бедствий) зимой и дополнительным (внеплановым) объемом ремонтных работ летом на ВЛ и ПС</w:t>
      </w:r>
    </w:p>
    <w:p w14:paraId="3126B82D" w14:textId="77777777" w:rsidR="002449C2" w:rsidRDefault="002449C2">
      <w:pPr>
        <w:widowControl w:val="0"/>
        <w:shd w:val="clear" w:color="auto" w:fill="FFFFFF"/>
        <w:spacing w:after="0" w:line="240" w:lineRule="auto"/>
        <w:rPr>
          <w:rFonts w:ascii="Times New Roman" w:hAnsi="Times New Roman"/>
          <w:sz w:val="26"/>
          <w:szCs w:val="26"/>
          <w:lang w:eastAsia="en-US"/>
        </w:rPr>
      </w:pPr>
    </w:p>
    <w:p w14:paraId="35746998" w14:textId="77777777" w:rsidR="002449C2" w:rsidRDefault="00123961">
      <w:pPr>
        <w:keepNext/>
        <w:pBdr>
          <w:bottom w:val="single" w:sz="4" w:space="1" w:color="622423"/>
        </w:pBdr>
        <w:shd w:val="clear" w:color="auto" w:fill="FFFFFF"/>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126" w:name="_Toc97725730"/>
      <w:bookmarkStart w:id="127" w:name="_Toc195174952"/>
      <w:bookmarkStart w:id="128" w:name="undefined"/>
      <w:bookmarkStart w:id="129" w:name="_Toc196143045"/>
      <w:r>
        <w:rPr>
          <w:rFonts w:ascii="Times New Roman" w:eastAsia="Times New Roman" w:hAnsi="Times New Roman"/>
          <w:caps/>
          <w:color w:val="632423"/>
          <w:spacing w:val="15"/>
          <w:sz w:val="24"/>
          <w:szCs w:val="24"/>
          <w:lang w:eastAsia="en-US" w:bidi="en-US"/>
        </w:rPr>
        <w:t>Системы менеджмента</w:t>
      </w:r>
      <w:bookmarkEnd w:id="126"/>
      <w:bookmarkEnd w:id="127"/>
      <w:bookmarkEnd w:id="128"/>
      <w:bookmarkEnd w:id="129"/>
    </w:p>
    <w:p w14:paraId="4E03BE7D" w14:textId="77777777" w:rsidR="002449C2" w:rsidRDefault="00123961">
      <w:pPr>
        <w:shd w:val="clear" w:color="auto" w:fill="FFFFFF"/>
        <w:tabs>
          <w:tab w:val="left" w:pos="0"/>
        </w:tabs>
        <w:spacing w:after="0" w:line="240" w:lineRule="auto"/>
        <w:ind w:firstLine="709"/>
        <w:rPr>
          <w:rFonts w:ascii="Times New Roman" w:hAnsi="Times New Roman"/>
          <w:sz w:val="26"/>
          <w:szCs w:val="26"/>
          <w:lang w:eastAsia="en-US"/>
        </w:rPr>
      </w:pPr>
      <w:r>
        <w:rPr>
          <w:rFonts w:ascii="Times New Roman" w:hAnsi="Times New Roman"/>
          <w:sz w:val="26"/>
          <w:szCs w:val="26"/>
          <w:lang w:eastAsia="en-US"/>
        </w:rPr>
        <w:t>В Обществе внедрены и действуют следующие системы менеджмента:</w:t>
      </w:r>
    </w:p>
    <w:p w14:paraId="00AFAC30" w14:textId="77777777" w:rsidR="002449C2" w:rsidRDefault="00123961">
      <w:pPr>
        <w:shd w:val="clear" w:color="auto" w:fill="FFFFFF"/>
        <w:tabs>
          <w:tab w:val="left" w:pos="0"/>
        </w:tabs>
        <w:spacing w:after="0" w:line="240" w:lineRule="auto"/>
        <w:ind w:left="709"/>
        <w:jc w:val="both"/>
        <w:rPr>
          <w:rFonts w:ascii="Times New Roman" w:hAnsi="Times New Roman"/>
          <w:color w:val="2E74B5"/>
          <w:sz w:val="26"/>
          <w:szCs w:val="26"/>
          <w:lang w:eastAsia="en-US"/>
        </w:rPr>
      </w:pPr>
      <w:r>
        <w:rPr>
          <w:rFonts w:ascii="Times New Roman" w:hAnsi="Times New Roman"/>
          <w:color w:val="2E74B5"/>
          <w:sz w:val="26"/>
          <w:szCs w:val="26"/>
          <w:lang w:eastAsia="en-US"/>
        </w:rPr>
        <w:t>Система менеджмента качества (СМК)</w:t>
      </w:r>
    </w:p>
    <w:p w14:paraId="6E6D5AB1" w14:textId="77777777" w:rsidR="002449C2" w:rsidRDefault="00123961">
      <w:pPr>
        <w:shd w:val="clear" w:color="auto" w:fill="FFFFFF"/>
        <w:tabs>
          <w:tab w:val="left" w:pos="-426"/>
          <w:tab w:val="left" w:pos="993"/>
        </w:tabs>
        <w:spacing w:after="0" w:line="240" w:lineRule="auto"/>
        <w:ind w:firstLine="709"/>
        <w:jc w:val="both"/>
        <w:rPr>
          <w:rFonts w:ascii="Times New Roman" w:hAnsi="Times New Roman"/>
          <w:bCs/>
          <w:sz w:val="26"/>
          <w:szCs w:val="26"/>
        </w:rPr>
      </w:pPr>
      <w:r>
        <w:rPr>
          <w:rFonts w:ascii="Times New Roman" w:hAnsi="Times New Roman"/>
          <w:bCs/>
          <w:sz w:val="26"/>
          <w:szCs w:val="26"/>
        </w:rPr>
        <w:t>СМК – это часть общей системы управления Общества, которая предназначена для обеспечения высокого качества предоставляемых услуг в соответствии с требованиями нормативных документов, потребностями и ожиданиями потребителей и удовлетворения всех заинтересованных сторон, включая работников, акционеров, инвесторов и партнеров Общества.</w:t>
      </w:r>
    </w:p>
    <w:p w14:paraId="743D2D69" w14:textId="77777777" w:rsidR="002449C2" w:rsidRDefault="00123961">
      <w:pPr>
        <w:shd w:val="clear" w:color="auto" w:fill="FFFFFF"/>
        <w:tabs>
          <w:tab w:val="left" w:pos="3"/>
        </w:tabs>
        <w:spacing w:after="0" w:line="240" w:lineRule="auto"/>
        <w:ind w:firstLine="709"/>
        <w:jc w:val="both"/>
        <w:rPr>
          <w:rFonts w:ascii="Times New Roman" w:hAnsi="Times New Roman"/>
          <w:color w:val="2E74B5"/>
          <w:sz w:val="26"/>
          <w:szCs w:val="26"/>
          <w:lang w:eastAsia="en-US"/>
        </w:rPr>
      </w:pPr>
      <w:r>
        <w:rPr>
          <w:rFonts w:ascii="Times New Roman" w:hAnsi="Times New Roman"/>
          <w:bCs/>
          <w:sz w:val="26"/>
          <w:szCs w:val="26"/>
        </w:rPr>
        <w:t>В 2024 году по результатам ресертификационного аудита СМК Общества была признана полностью соответствующей требованиям стандарта ГОСТ Р ИСО 9001-2015. Выданный по итогам независимой проверки сертификат действует до 04.11.2027.</w:t>
      </w:r>
    </w:p>
    <w:p w14:paraId="6A041D49" w14:textId="77777777" w:rsidR="002449C2" w:rsidRDefault="00123961">
      <w:pPr>
        <w:shd w:val="clear" w:color="auto" w:fill="FFFFFF"/>
        <w:tabs>
          <w:tab w:val="left" w:pos="3"/>
        </w:tabs>
        <w:spacing w:after="0" w:line="240" w:lineRule="auto"/>
        <w:ind w:firstLine="709"/>
        <w:jc w:val="both"/>
        <w:rPr>
          <w:rFonts w:ascii="Times New Roman" w:hAnsi="Times New Roman"/>
          <w:color w:val="2E74B5"/>
          <w:sz w:val="26"/>
          <w:szCs w:val="26"/>
          <w:lang w:eastAsia="en-US"/>
        </w:rPr>
      </w:pPr>
      <w:r>
        <w:rPr>
          <w:rFonts w:ascii="Times New Roman" w:hAnsi="Times New Roman"/>
          <w:color w:val="2E74B5"/>
          <w:sz w:val="26"/>
          <w:szCs w:val="26"/>
          <w:lang w:eastAsia="en-US"/>
        </w:rPr>
        <w:t>Система экологического менеджмента (СЭМ)</w:t>
      </w:r>
    </w:p>
    <w:p w14:paraId="3AE47B5F" w14:textId="77777777" w:rsidR="002449C2" w:rsidRDefault="00123961">
      <w:pPr>
        <w:shd w:val="clear" w:color="auto" w:fill="FFFFFF"/>
        <w:tabs>
          <w:tab w:val="left" w:pos="-426"/>
          <w:tab w:val="left" w:pos="993"/>
        </w:tabs>
        <w:spacing w:after="0" w:line="240" w:lineRule="auto"/>
        <w:ind w:firstLine="709"/>
        <w:jc w:val="both"/>
        <w:rPr>
          <w:rFonts w:ascii="Times New Roman" w:hAnsi="Times New Roman"/>
          <w:bCs/>
          <w:sz w:val="26"/>
          <w:szCs w:val="26"/>
        </w:rPr>
      </w:pPr>
      <w:r>
        <w:rPr>
          <w:rFonts w:ascii="Times New Roman" w:hAnsi="Times New Roman"/>
          <w:bCs/>
          <w:sz w:val="26"/>
          <w:szCs w:val="26"/>
        </w:rPr>
        <w:t>СЭМ - это часть общей системы управления Общества со своей организационной структурой, механизмами, процедурами и ресурсами, необходимыми для управления экологическими аспектами деятельности путем разработки и достижения целей экологической политики.</w:t>
      </w:r>
    </w:p>
    <w:p w14:paraId="6A5DBD08" w14:textId="77777777" w:rsidR="002449C2" w:rsidRDefault="00123961">
      <w:pPr>
        <w:pStyle w:val="afff8"/>
        <w:spacing w:beforeAutospacing="0" w:after="0" w:afterAutospacing="0"/>
        <w:ind w:firstLine="708"/>
        <w:jc w:val="both"/>
        <w:rPr>
          <w:rFonts w:ascii="Times New Roman" w:hAnsi="Times New Roman"/>
          <w:bCs/>
          <w:sz w:val="26"/>
          <w:szCs w:val="26"/>
        </w:rPr>
      </w:pPr>
      <w:r>
        <w:rPr>
          <w:rFonts w:ascii="Times New Roman" w:hAnsi="Times New Roman"/>
          <w:bCs/>
          <w:sz w:val="26"/>
          <w:szCs w:val="26"/>
        </w:rPr>
        <w:t>В 2024 году по результатам ресертификационного аудита СЭМ</w:t>
      </w:r>
      <w:r>
        <w:rPr>
          <w:rFonts w:ascii="Times New Roman" w:hAnsi="Times New Roman"/>
          <w:bCs/>
          <w:sz w:val="26"/>
          <w:szCs w:val="26"/>
        </w:rPr>
        <w:br/>
        <w:t xml:space="preserve">Общества была признана полностью соответствующей требованиям стандарта ГОСТ Р ИСО 14001-2016. Выданный по итогам независимой проверки сертификат действует </w:t>
      </w:r>
      <w:r>
        <w:rPr>
          <w:rFonts w:ascii="Times New Roman" w:hAnsi="Times New Roman"/>
          <w:bCs/>
          <w:sz w:val="26"/>
          <w:szCs w:val="26"/>
          <w:lang w:val="ru-RU"/>
        </w:rPr>
        <w:t xml:space="preserve">до </w:t>
      </w:r>
      <w:r>
        <w:rPr>
          <w:rFonts w:ascii="Times New Roman" w:hAnsi="Times New Roman"/>
          <w:bCs/>
          <w:sz w:val="26"/>
          <w:szCs w:val="26"/>
        </w:rPr>
        <w:t>04.11.2027.</w:t>
      </w:r>
    </w:p>
    <w:p w14:paraId="2929CDB9" w14:textId="77777777" w:rsidR="002449C2" w:rsidRDefault="00123961">
      <w:pPr>
        <w:shd w:val="clear" w:color="auto" w:fill="FFFFFF"/>
        <w:tabs>
          <w:tab w:val="left" w:pos="0"/>
        </w:tabs>
        <w:spacing w:after="0" w:line="240" w:lineRule="auto"/>
        <w:ind w:left="709"/>
        <w:contextualSpacing/>
        <w:jc w:val="both"/>
        <w:rPr>
          <w:rFonts w:ascii="Times New Roman" w:hAnsi="Times New Roman"/>
          <w:color w:val="2E74B5"/>
          <w:sz w:val="26"/>
          <w:szCs w:val="26"/>
          <w:lang w:eastAsia="en-US"/>
        </w:rPr>
      </w:pPr>
      <w:r>
        <w:rPr>
          <w:rFonts w:ascii="Times New Roman" w:hAnsi="Times New Roman"/>
          <w:color w:val="2E74B5"/>
          <w:sz w:val="26"/>
          <w:szCs w:val="26"/>
          <w:lang w:eastAsia="en-US"/>
        </w:rPr>
        <w:t>Система энергетического менеджмента (СЭнМ)</w:t>
      </w:r>
    </w:p>
    <w:p w14:paraId="43C608AD" w14:textId="77777777" w:rsidR="002449C2" w:rsidRDefault="00123961">
      <w:pPr>
        <w:shd w:val="clear" w:color="auto" w:fill="FFFFFF"/>
        <w:tabs>
          <w:tab w:val="left" w:pos="-426"/>
          <w:tab w:val="left" w:pos="993"/>
        </w:tabs>
        <w:spacing w:after="0" w:line="240" w:lineRule="auto"/>
        <w:ind w:firstLine="709"/>
        <w:jc w:val="both"/>
        <w:rPr>
          <w:rFonts w:ascii="Times New Roman" w:hAnsi="Times New Roman"/>
          <w:bCs/>
          <w:sz w:val="26"/>
          <w:szCs w:val="26"/>
        </w:rPr>
      </w:pPr>
      <w:r>
        <w:rPr>
          <w:rFonts w:ascii="Times New Roman" w:hAnsi="Times New Roman"/>
          <w:bCs/>
          <w:sz w:val="26"/>
          <w:szCs w:val="26"/>
        </w:rPr>
        <w:t>СЭнМ - это часть общей системы управления Общества, которая обладает четкой организационной структурой и ставит целью достижение положений, указанных в энергетической политике посредством реализации программ по энергосбережению и повышению энергоэффективности.</w:t>
      </w:r>
    </w:p>
    <w:p w14:paraId="1F479FDA" w14:textId="77777777" w:rsidR="002449C2" w:rsidRDefault="00123961">
      <w:pPr>
        <w:pStyle w:val="afff8"/>
        <w:spacing w:beforeAutospacing="0" w:after="0" w:afterAutospacing="0"/>
        <w:ind w:firstLine="708"/>
        <w:jc w:val="both"/>
        <w:rPr>
          <w:rFonts w:ascii="Times New Roman" w:hAnsi="Times New Roman"/>
          <w:bCs/>
          <w:sz w:val="26"/>
          <w:szCs w:val="26"/>
        </w:rPr>
      </w:pPr>
      <w:r>
        <w:rPr>
          <w:rFonts w:ascii="Times New Roman" w:hAnsi="Times New Roman"/>
          <w:bCs/>
          <w:sz w:val="26"/>
          <w:szCs w:val="26"/>
        </w:rPr>
        <w:t>В 2024 году по результатам ресертификационного аудита СЭнМ</w:t>
      </w:r>
      <w:r>
        <w:rPr>
          <w:rFonts w:ascii="Times New Roman" w:hAnsi="Times New Roman"/>
          <w:bCs/>
          <w:sz w:val="26"/>
          <w:szCs w:val="26"/>
        </w:rPr>
        <w:br/>
        <w:t>Общества была признана полностью соответствующей требованиям стандарт</w:t>
      </w:r>
      <w:r>
        <w:rPr>
          <w:rFonts w:ascii="Times New Roman" w:hAnsi="Times New Roman"/>
          <w:bCs/>
          <w:sz w:val="26"/>
          <w:szCs w:val="26"/>
          <w:lang w:val="ru-RU"/>
        </w:rPr>
        <w:t>а</w:t>
      </w:r>
      <w:r>
        <w:rPr>
          <w:rFonts w:ascii="Times New Roman" w:hAnsi="Times New Roman"/>
          <w:bCs/>
          <w:sz w:val="26"/>
          <w:szCs w:val="26"/>
        </w:rPr>
        <w:t xml:space="preserve"> ISO 50001:2018</w:t>
      </w:r>
      <w:r>
        <w:rPr>
          <w:rFonts w:ascii="Times New Roman" w:eastAsia="Calibri" w:hAnsi="Times New Roman"/>
          <w:bCs/>
          <w:i/>
          <w:lang w:val="ru-RU"/>
        </w:rPr>
        <w:t xml:space="preserve">. </w:t>
      </w:r>
      <w:r>
        <w:rPr>
          <w:rFonts w:ascii="Times New Roman" w:hAnsi="Times New Roman"/>
          <w:bCs/>
          <w:sz w:val="26"/>
          <w:szCs w:val="26"/>
        </w:rPr>
        <w:t>Выданны</w:t>
      </w:r>
      <w:r>
        <w:rPr>
          <w:rFonts w:ascii="Times New Roman" w:hAnsi="Times New Roman"/>
          <w:bCs/>
          <w:sz w:val="26"/>
          <w:szCs w:val="26"/>
          <w:lang w:val="ru-RU"/>
        </w:rPr>
        <w:t>й</w:t>
      </w:r>
      <w:r>
        <w:rPr>
          <w:rFonts w:ascii="Times New Roman" w:hAnsi="Times New Roman"/>
          <w:bCs/>
          <w:sz w:val="26"/>
          <w:szCs w:val="26"/>
        </w:rPr>
        <w:t xml:space="preserve"> по итогам независимой проверки сертификат действу</w:t>
      </w:r>
      <w:r>
        <w:rPr>
          <w:rFonts w:ascii="Times New Roman" w:hAnsi="Times New Roman"/>
          <w:bCs/>
          <w:sz w:val="26"/>
          <w:szCs w:val="26"/>
          <w:lang w:val="ru-RU"/>
        </w:rPr>
        <w:t>е</w:t>
      </w:r>
      <w:r>
        <w:rPr>
          <w:rFonts w:ascii="Times New Roman" w:hAnsi="Times New Roman"/>
          <w:bCs/>
          <w:sz w:val="26"/>
          <w:szCs w:val="26"/>
        </w:rPr>
        <w:t xml:space="preserve">т до </w:t>
      </w:r>
      <w:r>
        <w:rPr>
          <w:rFonts w:ascii="Times New Roman" w:hAnsi="Times New Roman"/>
          <w:bCs/>
          <w:sz w:val="26"/>
          <w:szCs w:val="26"/>
          <w:lang w:val="ru-RU"/>
        </w:rPr>
        <w:t>18.01.2028</w:t>
      </w:r>
      <w:r>
        <w:rPr>
          <w:rFonts w:ascii="Times New Roman" w:hAnsi="Times New Roman"/>
          <w:bCs/>
          <w:sz w:val="26"/>
          <w:szCs w:val="26"/>
        </w:rPr>
        <w:t>.</w:t>
      </w:r>
    </w:p>
    <w:p w14:paraId="19CC4138" w14:textId="77777777" w:rsidR="002449C2" w:rsidRDefault="00123961">
      <w:pPr>
        <w:shd w:val="clear" w:color="auto" w:fill="FFFFFF"/>
        <w:tabs>
          <w:tab w:val="left" w:pos="-426"/>
          <w:tab w:val="left" w:pos="993"/>
        </w:tabs>
        <w:spacing w:after="0" w:line="240" w:lineRule="auto"/>
        <w:ind w:firstLine="709"/>
        <w:jc w:val="both"/>
        <w:rPr>
          <w:rFonts w:ascii="Times New Roman" w:hAnsi="Times New Roman"/>
          <w:color w:val="2E74B5"/>
          <w:sz w:val="26"/>
          <w:szCs w:val="26"/>
          <w:lang w:eastAsia="en-US"/>
        </w:rPr>
      </w:pPr>
      <w:r>
        <w:rPr>
          <w:rFonts w:ascii="Times New Roman" w:hAnsi="Times New Roman"/>
          <w:color w:val="2E74B5"/>
          <w:sz w:val="26"/>
          <w:szCs w:val="26"/>
          <w:lang w:eastAsia="en-US"/>
        </w:rPr>
        <w:t>Система менеджмента безопасности труда и охраны здоровья (СМБТиОЗ)</w:t>
      </w:r>
    </w:p>
    <w:p w14:paraId="4BEEBEB6" w14:textId="77777777" w:rsidR="002449C2" w:rsidRDefault="00123961">
      <w:pPr>
        <w:shd w:val="clear" w:color="auto" w:fill="FFFFFF"/>
        <w:tabs>
          <w:tab w:val="left" w:pos="-426"/>
          <w:tab w:val="left" w:pos="993"/>
        </w:tabs>
        <w:spacing w:after="0" w:line="240" w:lineRule="auto"/>
        <w:ind w:firstLine="709"/>
        <w:jc w:val="both"/>
        <w:rPr>
          <w:rFonts w:ascii="Times New Roman" w:hAnsi="Times New Roman"/>
          <w:bCs/>
          <w:sz w:val="26"/>
          <w:szCs w:val="26"/>
        </w:rPr>
      </w:pPr>
      <w:r>
        <w:rPr>
          <w:rFonts w:ascii="Times New Roman" w:hAnsi="Times New Roman"/>
          <w:bCs/>
          <w:sz w:val="26"/>
          <w:szCs w:val="26"/>
        </w:rPr>
        <w:t>СМБТиОЗ - это часть общей системы управления Общества, которая позволяет управлять производственными и поведенческими рисками и улучшать показатели деятельности в области безопасности труда и охраны здоровья.</w:t>
      </w:r>
    </w:p>
    <w:p w14:paraId="21171CE4" w14:textId="77777777" w:rsidR="002449C2" w:rsidRDefault="00123961">
      <w:pPr>
        <w:shd w:val="clear" w:color="auto" w:fill="FFFFFF"/>
        <w:tabs>
          <w:tab w:val="left" w:pos="-426"/>
          <w:tab w:val="left" w:pos="993"/>
        </w:tabs>
        <w:spacing w:after="0" w:line="240" w:lineRule="auto"/>
        <w:ind w:firstLine="709"/>
        <w:jc w:val="both"/>
        <w:rPr>
          <w:rFonts w:ascii="Times New Roman" w:hAnsi="Times New Roman"/>
          <w:bCs/>
          <w:sz w:val="26"/>
          <w:szCs w:val="26"/>
        </w:rPr>
      </w:pPr>
      <w:r>
        <w:rPr>
          <w:rFonts w:ascii="Times New Roman" w:hAnsi="Times New Roman"/>
          <w:bCs/>
          <w:sz w:val="26"/>
          <w:szCs w:val="26"/>
        </w:rPr>
        <w:t>В 2024 году по результатам ресертификационного аудита СМБТиОЗ</w:t>
      </w:r>
      <w:r>
        <w:rPr>
          <w:rFonts w:ascii="Times New Roman" w:hAnsi="Times New Roman"/>
          <w:bCs/>
          <w:sz w:val="26"/>
          <w:szCs w:val="26"/>
        </w:rPr>
        <w:br/>
        <w:t>Общества была признана полностью соответствующей требованиям стандартов ГОСТ Р ИСО 45001-2020. Выданный по итогам независимой проверки сертификат действует до 01.11.2027.</w:t>
      </w:r>
    </w:p>
    <w:p w14:paraId="0EBC2954" w14:textId="77777777" w:rsidR="002449C2" w:rsidRDefault="00123961">
      <w:pPr>
        <w:shd w:val="clear" w:color="auto" w:fill="FFFFFF"/>
        <w:tabs>
          <w:tab w:val="left" w:pos="-426"/>
          <w:tab w:val="left" w:pos="993"/>
        </w:tabs>
        <w:spacing w:after="0" w:line="240" w:lineRule="auto"/>
        <w:ind w:firstLine="709"/>
        <w:jc w:val="both"/>
        <w:rPr>
          <w:rFonts w:ascii="Times New Roman" w:hAnsi="Times New Roman"/>
          <w:bCs/>
          <w:sz w:val="26"/>
          <w:szCs w:val="26"/>
        </w:rPr>
      </w:pPr>
      <w:r>
        <w:rPr>
          <w:rFonts w:ascii="Times New Roman" w:hAnsi="Times New Roman"/>
          <w:bCs/>
          <w:sz w:val="26"/>
          <w:szCs w:val="26"/>
        </w:rPr>
        <w:t>Системы менеджмента Общества соответствуют требованиям стандартов ГОСТ Р ИСО 9001, ГОСТ Р ИСО 14001, ГОСТ Р ИСО 45001 и объединены в интегрированную систему менеджмента (ИСМ).</w:t>
      </w:r>
    </w:p>
    <w:p w14:paraId="638A2E77" w14:textId="77777777" w:rsidR="002449C2" w:rsidRDefault="00123961">
      <w:pPr>
        <w:shd w:val="clear" w:color="auto" w:fill="FFFFFF"/>
        <w:tabs>
          <w:tab w:val="left" w:pos="-426"/>
          <w:tab w:val="left" w:pos="993"/>
        </w:tabs>
        <w:spacing w:after="0" w:line="240" w:lineRule="auto"/>
        <w:ind w:firstLine="709"/>
        <w:jc w:val="both"/>
        <w:rPr>
          <w:rFonts w:ascii="Times New Roman" w:hAnsi="Times New Roman"/>
          <w:bCs/>
          <w:sz w:val="26"/>
          <w:szCs w:val="26"/>
        </w:rPr>
      </w:pPr>
      <w:r>
        <w:rPr>
          <w:rFonts w:ascii="Times New Roman" w:hAnsi="Times New Roman"/>
          <w:bCs/>
          <w:sz w:val="26"/>
          <w:szCs w:val="26"/>
        </w:rPr>
        <w:t>Система энергетического менеджмента соответствует требованиям стандарта ISO 50001 и на данный момент не входит в ИСМ.</w:t>
      </w:r>
    </w:p>
    <w:p w14:paraId="472578DA" w14:textId="77777777" w:rsidR="002449C2" w:rsidRDefault="002449C2">
      <w:pPr>
        <w:widowControl w:val="0"/>
        <w:shd w:val="clear" w:color="auto" w:fill="FFFFFF"/>
        <w:spacing w:before="120" w:after="120" w:line="240" w:lineRule="auto"/>
        <w:jc w:val="center"/>
        <w:rPr>
          <w:rFonts w:ascii="Times New Roman" w:eastAsia="Times New Roman" w:hAnsi="Times New Roman"/>
          <w:b/>
          <w:sz w:val="26"/>
          <w:szCs w:val="26"/>
          <w:lang w:eastAsia="ru-RU"/>
        </w:rPr>
      </w:pPr>
    </w:p>
    <w:p w14:paraId="039A1313" w14:textId="77777777" w:rsidR="002449C2" w:rsidRDefault="00123961">
      <w:pPr>
        <w:widowControl w:val="0"/>
        <w:shd w:val="clear" w:color="auto" w:fill="FFFFFF"/>
        <w:spacing w:before="120" w:after="120" w:line="240" w:lineRule="auto"/>
        <w:jc w:val="center"/>
        <w:rPr>
          <w:rFonts w:ascii="Times New Roman" w:hAnsi="Times New Roman"/>
          <w:b/>
          <w:sz w:val="26"/>
          <w:szCs w:val="26"/>
          <w:lang w:eastAsia="en-US"/>
        </w:rPr>
      </w:pPr>
      <w:r>
        <w:rPr>
          <w:rFonts w:ascii="Times New Roman" w:eastAsia="Times New Roman" w:hAnsi="Times New Roman"/>
          <w:b/>
          <w:sz w:val="26"/>
          <w:szCs w:val="26"/>
          <w:lang w:eastAsia="ru-RU"/>
        </w:rPr>
        <w:t>Информация о наличии сертификатов</w:t>
      </w:r>
      <w:r>
        <w:rPr>
          <w:rFonts w:ascii="Times New Roman" w:hAnsi="Times New Roman"/>
          <w:b/>
          <w:sz w:val="26"/>
          <w:szCs w:val="26"/>
          <w:lang w:eastAsia="en-US"/>
        </w:rPr>
        <w:t xml:space="preserve"> </w:t>
      </w:r>
    </w:p>
    <w:tbl>
      <w:tblPr>
        <w:tblW w:w="9044" w:type="dxa"/>
        <w:tblInd w:w="-5" w:type="dxa"/>
        <w:tblLayout w:type="fixed"/>
        <w:tblLook w:val="04A0" w:firstRow="1" w:lastRow="0" w:firstColumn="1" w:lastColumn="0" w:noHBand="0" w:noVBand="1"/>
      </w:tblPr>
      <w:tblGrid>
        <w:gridCol w:w="1987"/>
        <w:gridCol w:w="1277"/>
        <w:gridCol w:w="1272"/>
        <w:gridCol w:w="1276"/>
        <w:gridCol w:w="1389"/>
        <w:gridCol w:w="1843"/>
      </w:tblGrid>
      <w:tr w:rsidR="002449C2" w14:paraId="1EE4BE0C" w14:textId="77777777">
        <w:tc>
          <w:tcPr>
            <w:tcW w:w="1986"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48DA6524" w14:textId="77777777" w:rsidR="002449C2" w:rsidRDefault="00123961">
            <w:pPr>
              <w:shd w:val="clear" w:color="auto" w:fill="FFFFFF"/>
              <w:tabs>
                <w:tab w:val="left" w:pos="1134"/>
              </w:tabs>
              <w:spacing w:after="0" w:line="240" w:lineRule="auto"/>
              <w:jc w:val="center"/>
              <w:rPr>
                <w:rFonts w:ascii="Times New Roman" w:hAnsi="Times New Roman"/>
                <w:sz w:val="20"/>
                <w:szCs w:val="20"/>
                <w:lang w:eastAsia="en-US"/>
              </w:rPr>
            </w:pPr>
            <w:r>
              <w:rPr>
                <w:rFonts w:ascii="Times New Roman" w:hAnsi="Times New Roman"/>
                <w:b/>
                <w:sz w:val="20"/>
                <w:szCs w:val="20"/>
                <w:lang w:eastAsia="en-US"/>
              </w:rPr>
              <w:t>Наименование</w:t>
            </w:r>
          </w:p>
        </w:tc>
        <w:tc>
          <w:tcPr>
            <w:tcW w:w="5214" w:type="dxa"/>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7D66FA7B" w14:textId="77777777" w:rsidR="002449C2" w:rsidRDefault="00123961">
            <w:pPr>
              <w:shd w:val="clear" w:color="auto" w:fill="FFFFFF"/>
              <w:tabs>
                <w:tab w:val="left" w:pos="1134"/>
              </w:tabs>
              <w:spacing w:after="0" w:line="240" w:lineRule="auto"/>
              <w:jc w:val="center"/>
              <w:rPr>
                <w:rFonts w:ascii="Times New Roman" w:hAnsi="Times New Roman"/>
                <w:sz w:val="20"/>
                <w:szCs w:val="20"/>
                <w:lang w:eastAsia="en-US"/>
              </w:rPr>
            </w:pPr>
            <w:r>
              <w:rPr>
                <w:rFonts w:ascii="Times New Roman" w:hAnsi="Times New Roman"/>
                <w:b/>
                <w:sz w:val="20"/>
                <w:szCs w:val="20"/>
                <w:lang w:eastAsia="en-US"/>
              </w:rPr>
              <w:t>Системы менеджмента/Срок действия сертификата</w:t>
            </w: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72A429CE" w14:textId="77777777" w:rsidR="002449C2" w:rsidRDefault="00123961">
            <w:pPr>
              <w:shd w:val="clear" w:color="auto" w:fill="FFFFFF"/>
              <w:tabs>
                <w:tab w:val="left" w:pos="1134"/>
              </w:tabs>
              <w:spacing w:after="0" w:line="240" w:lineRule="auto"/>
              <w:jc w:val="center"/>
              <w:rPr>
                <w:rFonts w:ascii="Times New Roman" w:hAnsi="Times New Roman"/>
                <w:sz w:val="20"/>
                <w:szCs w:val="20"/>
                <w:lang w:eastAsia="en-US"/>
              </w:rPr>
            </w:pPr>
            <w:r>
              <w:rPr>
                <w:rFonts w:ascii="Times New Roman" w:hAnsi="Times New Roman"/>
                <w:b/>
                <w:sz w:val="20"/>
                <w:szCs w:val="20"/>
                <w:lang w:eastAsia="en-US"/>
              </w:rPr>
              <w:t>Орган по сертификации</w:t>
            </w:r>
          </w:p>
        </w:tc>
      </w:tr>
      <w:tr w:rsidR="002449C2" w14:paraId="23AE5EBD" w14:textId="77777777">
        <w:tc>
          <w:tcPr>
            <w:tcW w:w="1986" w:type="dxa"/>
            <w:vMerge/>
            <w:tcBorders>
              <w:top w:val="single" w:sz="4" w:space="0" w:color="000000"/>
              <w:left w:val="single" w:sz="4" w:space="0" w:color="000000"/>
              <w:bottom w:val="single" w:sz="4" w:space="0" w:color="000000"/>
              <w:right w:val="single" w:sz="4" w:space="0" w:color="000000"/>
            </w:tcBorders>
            <w:shd w:val="clear" w:color="auto" w:fill="FFFFFF"/>
          </w:tcPr>
          <w:p w14:paraId="485B8FBA" w14:textId="77777777" w:rsidR="002449C2" w:rsidRDefault="002449C2">
            <w:pPr>
              <w:shd w:val="clear" w:color="auto" w:fill="FFFFFF"/>
              <w:tabs>
                <w:tab w:val="left" w:pos="1134"/>
              </w:tabs>
              <w:spacing w:after="0" w:line="240" w:lineRule="auto"/>
              <w:ind w:firstLine="709"/>
              <w:jc w:val="both"/>
              <w:rPr>
                <w:rFonts w:ascii="Times New Roman" w:hAnsi="Times New Roman"/>
                <w:sz w:val="20"/>
                <w:szCs w:val="20"/>
                <w:lang w:eastAsia="en-US"/>
              </w:rPr>
            </w:pPr>
          </w:p>
        </w:tc>
        <w:tc>
          <w:tcPr>
            <w:tcW w:w="127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A5A357" w14:textId="77777777" w:rsidR="002449C2" w:rsidRDefault="00123961">
            <w:pPr>
              <w:shd w:val="clear" w:color="auto" w:fill="FFFFFF"/>
              <w:tabs>
                <w:tab w:val="left" w:pos="1134"/>
              </w:tabs>
              <w:spacing w:after="0" w:line="240" w:lineRule="auto"/>
              <w:jc w:val="center"/>
              <w:rPr>
                <w:rFonts w:ascii="Times New Roman" w:hAnsi="Times New Roman"/>
                <w:sz w:val="20"/>
                <w:szCs w:val="20"/>
                <w:lang w:val="en-US" w:eastAsia="en-US"/>
              </w:rPr>
            </w:pPr>
            <w:r>
              <w:rPr>
                <w:rFonts w:ascii="Times New Roman" w:hAnsi="Times New Roman"/>
                <w:sz w:val="20"/>
                <w:szCs w:val="20"/>
                <w:lang w:eastAsia="en-US"/>
              </w:rPr>
              <w:t>ГОСТ Р ИСО 9</w:t>
            </w:r>
            <w:r>
              <w:rPr>
                <w:rFonts w:ascii="Times New Roman" w:hAnsi="Times New Roman"/>
                <w:sz w:val="20"/>
                <w:szCs w:val="20"/>
                <w:lang w:val="en-US" w:eastAsia="en-US"/>
              </w:rPr>
              <w:t>0</w:t>
            </w:r>
            <w:r>
              <w:rPr>
                <w:rFonts w:ascii="Times New Roman" w:hAnsi="Times New Roman"/>
                <w:sz w:val="20"/>
                <w:szCs w:val="20"/>
                <w:lang w:eastAsia="en-US"/>
              </w:rPr>
              <w:t>01</w:t>
            </w:r>
          </w:p>
        </w:tc>
        <w:tc>
          <w:tcPr>
            <w:tcW w:w="127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783978" w14:textId="77777777" w:rsidR="002449C2" w:rsidRDefault="00123961">
            <w:pPr>
              <w:shd w:val="clear" w:color="auto" w:fill="FFFFFF"/>
              <w:tabs>
                <w:tab w:val="left" w:pos="1134"/>
              </w:tabs>
              <w:spacing w:after="0" w:line="240" w:lineRule="auto"/>
              <w:jc w:val="center"/>
              <w:rPr>
                <w:rFonts w:ascii="Times New Roman" w:hAnsi="Times New Roman"/>
                <w:sz w:val="20"/>
                <w:szCs w:val="20"/>
              </w:rPr>
            </w:pPr>
            <w:r>
              <w:rPr>
                <w:rFonts w:ascii="Times New Roman" w:hAnsi="Times New Roman"/>
                <w:sz w:val="20"/>
                <w:szCs w:val="20"/>
                <w:lang w:val="en-US" w:eastAsia="en-US"/>
              </w:rPr>
              <w:t>ISO</w:t>
            </w:r>
            <w:r>
              <w:rPr>
                <w:rFonts w:ascii="Times New Roman" w:hAnsi="Times New Roman"/>
                <w:sz w:val="20"/>
                <w:szCs w:val="20"/>
                <w:lang w:eastAsia="en-US"/>
              </w:rPr>
              <w:t xml:space="preserve"> 50</w:t>
            </w:r>
            <w:r>
              <w:rPr>
                <w:rFonts w:ascii="Times New Roman" w:hAnsi="Times New Roman"/>
                <w:sz w:val="20"/>
                <w:szCs w:val="20"/>
                <w:lang w:val="en-US" w:eastAsia="en-US"/>
              </w:rPr>
              <w:t>0</w:t>
            </w:r>
            <w:r>
              <w:rPr>
                <w:rFonts w:ascii="Times New Roman" w:hAnsi="Times New Roman"/>
                <w:sz w:val="20"/>
                <w:szCs w:val="20"/>
                <w:lang w:eastAsia="en-US"/>
              </w:rPr>
              <w:t>01</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41639F" w14:textId="77777777" w:rsidR="002449C2" w:rsidRDefault="00123961">
            <w:pPr>
              <w:shd w:val="clear" w:color="auto" w:fill="FFFFFF"/>
              <w:tabs>
                <w:tab w:val="left" w:pos="1134"/>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ГОСТ Р ИСО  14</w:t>
            </w:r>
            <w:r>
              <w:rPr>
                <w:rFonts w:ascii="Times New Roman" w:hAnsi="Times New Roman"/>
                <w:sz w:val="20"/>
                <w:szCs w:val="20"/>
                <w:lang w:val="en-US" w:eastAsia="en-US"/>
              </w:rPr>
              <w:t>0</w:t>
            </w:r>
            <w:r>
              <w:rPr>
                <w:rFonts w:ascii="Times New Roman" w:hAnsi="Times New Roman"/>
                <w:sz w:val="20"/>
                <w:szCs w:val="20"/>
                <w:lang w:eastAsia="en-US"/>
              </w:rPr>
              <w:t>01</w:t>
            </w:r>
          </w:p>
        </w:tc>
        <w:tc>
          <w:tcPr>
            <w:tcW w:w="13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69798FD" w14:textId="77777777" w:rsidR="002449C2" w:rsidRDefault="00123961">
            <w:pPr>
              <w:shd w:val="clear" w:color="auto" w:fill="FFFFFF"/>
              <w:tabs>
                <w:tab w:val="left" w:pos="1134"/>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ГОСТ Р ИСО  45001</w:t>
            </w:r>
          </w:p>
        </w:tc>
        <w:tc>
          <w:tcPr>
            <w:tcW w:w="1843" w:type="dxa"/>
            <w:vMerge/>
            <w:tcBorders>
              <w:top w:val="single" w:sz="4" w:space="0" w:color="000000"/>
              <w:left w:val="single" w:sz="4" w:space="0" w:color="000000"/>
              <w:bottom w:val="single" w:sz="4" w:space="0" w:color="000000"/>
              <w:right w:val="single" w:sz="4" w:space="0" w:color="000000"/>
            </w:tcBorders>
            <w:shd w:val="clear" w:color="auto" w:fill="FFFFFF"/>
          </w:tcPr>
          <w:p w14:paraId="20D4EDAA" w14:textId="77777777" w:rsidR="002449C2" w:rsidRDefault="002449C2">
            <w:pPr>
              <w:shd w:val="clear" w:color="auto" w:fill="FFFFFF"/>
              <w:tabs>
                <w:tab w:val="left" w:pos="1134"/>
              </w:tabs>
              <w:spacing w:after="0" w:line="240" w:lineRule="auto"/>
              <w:ind w:firstLine="709"/>
              <w:jc w:val="both"/>
              <w:rPr>
                <w:rFonts w:ascii="Times New Roman" w:hAnsi="Times New Roman"/>
                <w:sz w:val="20"/>
                <w:szCs w:val="20"/>
                <w:lang w:eastAsia="en-US"/>
              </w:rPr>
            </w:pPr>
          </w:p>
        </w:tc>
      </w:tr>
      <w:tr w:rsidR="002449C2" w14:paraId="3E0DEF6B" w14:textId="77777777">
        <w:tc>
          <w:tcPr>
            <w:tcW w:w="1986"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7375332D" w14:textId="77777777" w:rsidR="002449C2" w:rsidRDefault="00123961">
            <w:pPr>
              <w:shd w:val="clear" w:color="auto" w:fill="FFFFFF"/>
              <w:tabs>
                <w:tab w:val="left" w:pos="1134"/>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ПАО «Россети Юг»</w:t>
            </w:r>
          </w:p>
          <w:p w14:paraId="7239403A" w14:textId="77777777" w:rsidR="002449C2" w:rsidRDefault="002449C2">
            <w:pPr>
              <w:shd w:val="clear" w:color="auto" w:fill="FFFFFF"/>
              <w:tabs>
                <w:tab w:val="left" w:pos="1134"/>
              </w:tabs>
              <w:spacing w:after="0" w:line="240" w:lineRule="auto"/>
              <w:jc w:val="center"/>
              <w:rPr>
                <w:rFonts w:ascii="Times New Roman" w:hAnsi="Times New Roman"/>
                <w:sz w:val="20"/>
                <w:szCs w:val="20"/>
                <w:lang w:eastAsia="en-US"/>
              </w:rPr>
            </w:pPr>
          </w:p>
        </w:tc>
        <w:tc>
          <w:tcPr>
            <w:tcW w:w="1277" w:type="dxa"/>
            <w:tcBorders>
              <w:top w:val="single" w:sz="4" w:space="0" w:color="000000"/>
              <w:left w:val="single" w:sz="4" w:space="0" w:color="000000"/>
              <w:bottom w:val="single" w:sz="4" w:space="0" w:color="000000"/>
              <w:right w:val="single" w:sz="4" w:space="0" w:color="000000"/>
            </w:tcBorders>
            <w:vAlign w:val="center"/>
          </w:tcPr>
          <w:p w14:paraId="1961ED14" w14:textId="77777777" w:rsidR="002449C2" w:rsidRDefault="00123961">
            <w:pPr>
              <w:shd w:val="clear" w:color="auto" w:fill="FFFFFF"/>
              <w:tabs>
                <w:tab w:val="left" w:pos="1134"/>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04.11.2027</w:t>
            </w:r>
          </w:p>
        </w:tc>
        <w:tc>
          <w:tcPr>
            <w:tcW w:w="1272" w:type="dxa"/>
            <w:tcBorders>
              <w:top w:val="single" w:sz="4" w:space="0" w:color="000000"/>
              <w:left w:val="single" w:sz="4" w:space="0" w:color="000000"/>
              <w:bottom w:val="single" w:sz="4" w:space="0" w:color="000000"/>
              <w:right w:val="single" w:sz="4" w:space="0" w:color="000000"/>
            </w:tcBorders>
            <w:vAlign w:val="center"/>
          </w:tcPr>
          <w:p w14:paraId="5CD0E36B" w14:textId="77777777" w:rsidR="002449C2" w:rsidRDefault="002449C2">
            <w:pPr>
              <w:shd w:val="clear" w:color="auto" w:fill="FFFFFF"/>
              <w:tabs>
                <w:tab w:val="left" w:pos="1134"/>
              </w:tabs>
              <w:spacing w:after="0" w:line="240" w:lineRule="auto"/>
              <w:jc w:val="center"/>
              <w:rPr>
                <w:rFonts w:ascii="Times New Roman" w:hAnsi="Times New Roman"/>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54B160D4" w14:textId="77777777" w:rsidR="002449C2" w:rsidRDefault="00123961">
            <w:pPr>
              <w:shd w:val="clear" w:color="auto" w:fill="FFFFFF"/>
              <w:tabs>
                <w:tab w:val="left" w:pos="1134"/>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04.11.2027</w:t>
            </w:r>
          </w:p>
        </w:tc>
        <w:tc>
          <w:tcPr>
            <w:tcW w:w="1389" w:type="dxa"/>
            <w:tcBorders>
              <w:top w:val="single" w:sz="4" w:space="0" w:color="000000"/>
              <w:left w:val="single" w:sz="4" w:space="0" w:color="000000"/>
              <w:bottom w:val="single" w:sz="4" w:space="0" w:color="000000"/>
              <w:right w:val="single" w:sz="4" w:space="0" w:color="000000"/>
            </w:tcBorders>
            <w:vAlign w:val="center"/>
          </w:tcPr>
          <w:p w14:paraId="33DC8081" w14:textId="77777777" w:rsidR="002449C2" w:rsidRDefault="00123961">
            <w:pPr>
              <w:shd w:val="clear" w:color="auto" w:fill="FFFFFF"/>
              <w:tabs>
                <w:tab w:val="left" w:pos="1134"/>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04.11.2027</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cPr>
          <w:p w14:paraId="2D3AA663" w14:textId="77777777" w:rsidR="002449C2" w:rsidRDefault="00123961">
            <w:pPr>
              <w:shd w:val="clear" w:color="auto" w:fill="FFFFFF"/>
              <w:tabs>
                <w:tab w:val="left" w:pos="1134"/>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ООО «Промстандарт»</w:t>
            </w:r>
          </w:p>
        </w:tc>
      </w:tr>
      <w:tr w:rsidR="002449C2" w14:paraId="2BEED9CC" w14:textId="77777777">
        <w:trPr>
          <w:trHeight w:val="509"/>
        </w:trPr>
        <w:tc>
          <w:tcPr>
            <w:tcW w:w="1986" w:type="dxa"/>
            <w:vMerge/>
            <w:tcBorders>
              <w:top w:val="single" w:sz="4" w:space="0" w:color="000000"/>
              <w:left w:val="single" w:sz="4" w:space="0" w:color="000000"/>
              <w:bottom w:val="single" w:sz="4" w:space="0" w:color="000000"/>
              <w:right w:val="single" w:sz="4" w:space="0" w:color="000000"/>
            </w:tcBorders>
            <w:shd w:val="clear" w:color="FFFFFF" w:fill="FFFFFF"/>
            <w:vAlign w:val="center"/>
          </w:tcPr>
          <w:p w14:paraId="37A6B257" w14:textId="77777777" w:rsidR="002449C2" w:rsidRDefault="002449C2">
            <w:pPr>
              <w:shd w:val="clear" w:color="auto" w:fill="FFFFFF"/>
              <w:rPr>
                <w:rFonts w:ascii="Times New Roman" w:hAnsi="Times New Roman"/>
              </w:rPr>
            </w:pPr>
          </w:p>
        </w:tc>
        <w:tc>
          <w:tcPr>
            <w:tcW w:w="127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11147E9D" w14:textId="77777777" w:rsidR="002449C2" w:rsidRDefault="002449C2">
            <w:pPr>
              <w:shd w:val="clear" w:color="auto" w:fill="FFFFFF"/>
              <w:tabs>
                <w:tab w:val="left" w:pos="1134"/>
              </w:tabs>
              <w:spacing w:after="0" w:line="240" w:lineRule="auto"/>
              <w:jc w:val="center"/>
              <w:rPr>
                <w:rFonts w:ascii="Times New Roman" w:hAnsi="Times New Roman"/>
                <w:sz w:val="20"/>
                <w:szCs w:val="20"/>
                <w:lang w:eastAsia="en-US"/>
              </w:rPr>
            </w:pPr>
          </w:p>
        </w:tc>
        <w:tc>
          <w:tcPr>
            <w:tcW w:w="1272"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5A49F9B1" w14:textId="77777777" w:rsidR="002449C2" w:rsidRDefault="00123961">
            <w:pPr>
              <w:shd w:val="clear" w:color="auto" w:fill="FFFFFF"/>
              <w:tabs>
                <w:tab w:val="left" w:pos="1134"/>
              </w:tabs>
              <w:spacing w:after="0" w:line="240" w:lineRule="auto"/>
              <w:jc w:val="center"/>
              <w:rPr>
                <w:rFonts w:ascii="Times New Roman" w:hAnsi="Times New Roman"/>
                <w:sz w:val="20"/>
                <w:szCs w:val="20"/>
              </w:rPr>
            </w:pPr>
            <w:r>
              <w:rPr>
                <w:rFonts w:ascii="Times New Roman" w:hAnsi="Times New Roman"/>
                <w:sz w:val="20"/>
                <w:szCs w:val="20"/>
                <w:lang w:eastAsia="en-US"/>
              </w:rPr>
              <w:t>18.01.2028</w:t>
            </w:r>
          </w:p>
          <w:p w14:paraId="62FCDF07" w14:textId="77777777" w:rsidR="002449C2" w:rsidRDefault="002449C2">
            <w:pPr>
              <w:shd w:val="clear" w:color="auto" w:fill="FFFFFF"/>
              <w:tabs>
                <w:tab w:val="left" w:pos="1134"/>
              </w:tabs>
              <w:spacing w:after="0" w:line="240" w:lineRule="auto"/>
              <w:jc w:val="center"/>
              <w:rPr>
                <w:rFonts w:ascii="Times New Roman" w:hAnsi="Times New Roman"/>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1A0506AE" w14:textId="77777777" w:rsidR="002449C2" w:rsidRDefault="002449C2">
            <w:pPr>
              <w:shd w:val="clear" w:color="auto" w:fill="FFFFFF"/>
              <w:tabs>
                <w:tab w:val="left" w:pos="1134"/>
              </w:tabs>
              <w:spacing w:after="0" w:line="240" w:lineRule="auto"/>
              <w:jc w:val="center"/>
              <w:rPr>
                <w:rFonts w:ascii="Times New Roman" w:hAnsi="Times New Roman"/>
                <w:sz w:val="20"/>
                <w:szCs w:val="20"/>
                <w:lang w:eastAsia="en-US"/>
              </w:rPr>
            </w:pPr>
          </w:p>
        </w:tc>
        <w:tc>
          <w:tcPr>
            <w:tcW w:w="138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4DDE13B5" w14:textId="77777777" w:rsidR="002449C2" w:rsidRDefault="002449C2">
            <w:pPr>
              <w:shd w:val="clear" w:color="auto" w:fill="FFFFFF"/>
              <w:tabs>
                <w:tab w:val="left" w:pos="1134"/>
              </w:tabs>
              <w:spacing w:after="0" w:line="240" w:lineRule="auto"/>
              <w:jc w:val="center"/>
              <w:rPr>
                <w:rFonts w:ascii="Times New Roman" w:hAnsi="Times New Roman"/>
                <w:sz w:val="20"/>
                <w:szCs w:val="20"/>
                <w:lang w:eastAsia="en-US"/>
              </w:rPr>
            </w:pPr>
          </w:p>
        </w:tc>
        <w:tc>
          <w:tcPr>
            <w:tcW w:w="1843" w:type="dxa"/>
            <w:tcBorders>
              <w:top w:val="single" w:sz="4" w:space="0" w:color="000000"/>
              <w:left w:val="single" w:sz="4" w:space="0" w:color="000000"/>
              <w:bottom w:val="single" w:sz="4" w:space="0" w:color="000000"/>
              <w:right w:val="single" w:sz="4" w:space="0" w:color="000000"/>
            </w:tcBorders>
            <w:shd w:val="clear" w:color="FFFFFF" w:fill="FFFFFF"/>
          </w:tcPr>
          <w:p w14:paraId="5BA6E011" w14:textId="77777777" w:rsidR="002449C2" w:rsidRDefault="00123961">
            <w:pPr>
              <w:shd w:val="clear" w:color="auto" w:fill="FFFFFF"/>
              <w:tabs>
                <w:tab w:val="left" w:pos="1134"/>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АО «СЖС Восток лимитед»</w:t>
            </w:r>
          </w:p>
        </w:tc>
      </w:tr>
    </w:tbl>
    <w:p w14:paraId="052636FD" w14:textId="77777777" w:rsidR="002449C2" w:rsidRDefault="002449C2">
      <w:pPr>
        <w:shd w:val="clear" w:color="auto" w:fill="FFFFFF"/>
        <w:tabs>
          <w:tab w:val="left" w:pos="709"/>
          <w:tab w:val="left" w:pos="1134"/>
        </w:tabs>
        <w:spacing w:after="0" w:line="240" w:lineRule="auto"/>
        <w:ind w:firstLine="709"/>
        <w:jc w:val="both"/>
        <w:rPr>
          <w:rFonts w:ascii="Times New Roman" w:eastAsia="Times New Roman" w:hAnsi="Times New Roman"/>
          <w:i/>
          <w:sz w:val="24"/>
          <w:szCs w:val="24"/>
          <w:lang w:eastAsia="ru-RU"/>
        </w:rPr>
      </w:pPr>
    </w:p>
    <w:p w14:paraId="26182D27" w14:textId="77777777" w:rsidR="002449C2" w:rsidRDefault="00123961">
      <w:pPr>
        <w:shd w:val="clear" w:color="auto" w:fill="FFFFFF"/>
        <w:tabs>
          <w:tab w:val="left" w:pos="0"/>
        </w:tabs>
        <w:spacing w:after="0" w:line="240" w:lineRule="auto"/>
        <w:jc w:val="both"/>
        <w:rPr>
          <w:rFonts w:ascii="Times New Roman" w:eastAsia="Times New Roman" w:hAnsi="Times New Roman"/>
          <w:i/>
          <w:sz w:val="20"/>
          <w:szCs w:val="20"/>
          <w:lang w:eastAsia="ru-RU"/>
        </w:rPr>
      </w:pPr>
      <w:r>
        <w:rPr>
          <w:rFonts w:ascii="Times New Roman" w:eastAsia="Times New Roman" w:hAnsi="Times New Roman"/>
          <w:i/>
          <w:sz w:val="20"/>
          <w:szCs w:val="20"/>
          <w:lang w:eastAsia="ru-RU"/>
        </w:rPr>
        <w:t>Примечание:</w:t>
      </w:r>
    </w:p>
    <w:p w14:paraId="0888EF36" w14:textId="77777777" w:rsidR="002449C2" w:rsidRDefault="00123961">
      <w:pPr>
        <w:shd w:val="clear" w:color="auto" w:fill="FFFFFF"/>
        <w:tabs>
          <w:tab w:val="left" w:pos="0"/>
        </w:tabs>
        <w:spacing w:after="0" w:line="240" w:lineRule="auto"/>
        <w:jc w:val="both"/>
        <w:rPr>
          <w:rFonts w:ascii="Times New Roman" w:eastAsia="Times New Roman" w:hAnsi="Times New Roman"/>
          <w:i/>
          <w:sz w:val="20"/>
          <w:szCs w:val="20"/>
          <w:lang w:eastAsia="ru-RU"/>
        </w:rPr>
      </w:pPr>
      <w:r>
        <w:rPr>
          <w:rFonts w:ascii="Times New Roman" w:hAnsi="Times New Roman"/>
          <w:bCs/>
        </w:rPr>
        <w:t xml:space="preserve">ГОСТ Р ИСО 9001-2015 </w:t>
      </w:r>
      <w:r>
        <w:rPr>
          <w:rFonts w:ascii="Times New Roman" w:eastAsia="Times New Roman" w:hAnsi="Times New Roman"/>
          <w:i/>
          <w:sz w:val="20"/>
          <w:szCs w:val="20"/>
          <w:lang w:eastAsia="ru-RU"/>
        </w:rPr>
        <w:t>– система менеджмента качества</w:t>
      </w:r>
    </w:p>
    <w:p w14:paraId="084DAD62" w14:textId="77777777" w:rsidR="002449C2" w:rsidRDefault="00123961">
      <w:pPr>
        <w:shd w:val="clear" w:color="auto" w:fill="FFFFFF"/>
        <w:tabs>
          <w:tab w:val="left" w:pos="0"/>
        </w:tabs>
        <w:spacing w:after="0" w:line="240" w:lineRule="auto"/>
        <w:jc w:val="both"/>
        <w:rPr>
          <w:rFonts w:ascii="Times New Roman" w:eastAsia="Times New Roman" w:hAnsi="Times New Roman"/>
          <w:i/>
          <w:sz w:val="20"/>
          <w:szCs w:val="20"/>
          <w:lang w:eastAsia="ru-RU"/>
        </w:rPr>
      </w:pPr>
      <w:r>
        <w:rPr>
          <w:rFonts w:ascii="Times New Roman" w:hAnsi="Times New Roman"/>
          <w:bCs/>
        </w:rPr>
        <w:t xml:space="preserve">ГОСТ Р ИСО 14001-2016 </w:t>
      </w:r>
      <w:r>
        <w:rPr>
          <w:rFonts w:ascii="Times New Roman" w:eastAsia="Times New Roman" w:hAnsi="Times New Roman"/>
          <w:i/>
          <w:sz w:val="20"/>
          <w:szCs w:val="20"/>
          <w:lang w:eastAsia="ru-RU"/>
        </w:rPr>
        <w:t xml:space="preserve">– система экологического менеджмента </w:t>
      </w:r>
    </w:p>
    <w:p w14:paraId="27013603" w14:textId="77777777" w:rsidR="002449C2" w:rsidRDefault="00123961">
      <w:pPr>
        <w:shd w:val="clear" w:color="auto" w:fill="FFFFFF"/>
        <w:tabs>
          <w:tab w:val="left" w:pos="0"/>
        </w:tabs>
        <w:spacing w:after="0" w:line="240" w:lineRule="auto"/>
        <w:jc w:val="both"/>
        <w:rPr>
          <w:rFonts w:ascii="Times New Roman" w:eastAsia="Times New Roman" w:hAnsi="Times New Roman"/>
          <w:i/>
          <w:sz w:val="20"/>
          <w:szCs w:val="20"/>
          <w:lang w:eastAsia="ru-RU"/>
        </w:rPr>
      </w:pPr>
      <w:r>
        <w:rPr>
          <w:rFonts w:ascii="Times New Roman" w:hAnsi="Times New Roman"/>
          <w:bCs/>
        </w:rPr>
        <w:t>ISO 50001-2018</w:t>
      </w:r>
      <w:r>
        <w:rPr>
          <w:rFonts w:ascii="Times New Roman" w:eastAsia="Times New Roman" w:hAnsi="Times New Roman"/>
          <w:i/>
          <w:sz w:val="20"/>
          <w:szCs w:val="20"/>
          <w:lang w:eastAsia="ru-RU"/>
        </w:rPr>
        <w:t xml:space="preserve"> – система энергетического менеджмента</w:t>
      </w:r>
    </w:p>
    <w:p w14:paraId="7481C769" w14:textId="77777777" w:rsidR="002449C2" w:rsidRDefault="00123961">
      <w:pPr>
        <w:shd w:val="clear" w:color="auto" w:fill="FFFFFF"/>
        <w:tabs>
          <w:tab w:val="left" w:pos="0"/>
        </w:tabs>
        <w:spacing w:after="0" w:line="240" w:lineRule="auto"/>
        <w:jc w:val="both"/>
        <w:rPr>
          <w:rFonts w:ascii="Times New Roman" w:eastAsia="Times New Roman" w:hAnsi="Times New Roman"/>
          <w:i/>
          <w:sz w:val="20"/>
          <w:szCs w:val="20"/>
          <w:lang w:eastAsia="ru-RU"/>
        </w:rPr>
      </w:pPr>
      <w:r>
        <w:rPr>
          <w:rFonts w:ascii="Times New Roman" w:hAnsi="Times New Roman"/>
          <w:bCs/>
        </w:rPr>
        <w:t xml:space="preserve">ГОСТ Р ИСО 45001-2020 </w:t>
      </w:r>
      <w:r>
        <w:rPr>
          <w:rFonts w:ascii="Times New Roman" w:eastAsia="Times New Roman" w:hAnsi="Times New Roman"/>
          <w:i/>
          <w:sz w:val="20"/>
          <w:szCs w:val="20"/>
          <w:lang w:eastAsia="ru-RU"/>
        </w:rPr>
        <w:t>– система менеджмента безопасности труда и охраны здоровья</w:t>
      </w:r>
    </w:p>
    <w:p w14:paraId="31CBFB6F" w14:textId="77777777" w:rsidR="002449C2" w:rsidRDefault="002449C2">
      <w:pPr>
        <w:shd w:val="clear" w:color="auto" w:fill="FFFFFF"/>
        <w:tabs>
          <w:tab w:val="left" w:pos="709"/>
          <w:tab w:val="left" w:pos="1134"/>
        </w:tabs>
        <w:spacing w:after="0" w:line="240" w:lineRule="auto"/>
        <w:ind w:firstLine="709"/>
        <w:jc w:val="both"/>
        <w:rPr>
          <w:rFonts w:ascii="Times New Roman" w:hAnsi="Times New Roman"/>
          <w:sz w:val="24"/>
          <w:szCs w:val="24"/>
          <w:lang w:eastAsia="en-US"/>
        </w:rPr>
      </w:pPr>
    </w:p>
    <w:p w14:paraId="7979A790" w14:textId="77777777" w:rsidR="002449C2" w:rsidRDefault="00123961">
      <w:pPr>
        <w:shd w:val="clear" w:color="auto" w:fill="FFFFFF"/>
        <w:tabs>
          <w:tab w:val="left" w:pos="709"/>
          <w:tab w:val="left" w:pos="1134"/>
        </w:tabs>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К основным участникам систем менеджмента относятся:</w:t>
      </w:r>
    </w:p>
    <w:p w14:paraId="4B1E4223" w14:textId="77777777" w:rsidR="002449C2" w:rsidRDefault="00123961">
      <w:pPr>
        <w:numPr>
          <w:ilvl w:val="0"/>
          <w:numId w:val="45"/>
        </w:numPr>
        <w:shd w:val="clear" w:color="auto" w:fill="FFFFFF"/>
        <w:tabs>
          <w:tab w:val="left" w:pos="142"/>
          <w:tab w:val="left" w:pos="426"/>
          <w:tab w:val="left" w:pos="993"/>
        </w:tabs>
        <w:spacing w:after="0" w:line="240" w:lineRule="auto"/>
        <w:ind w:left="0" w:firstLine="709"/>
        <w:jc w:val="both"/>
        <w:rPr>
          <w:rFonts w:ascii="Times New Roman" w:hAnsi="Times New Roman"/>
          <w:sz w:val="26"/>
          <w:szCs w:val="26"/>
          <w:lang w:eastAsia="ru-RU"/>
        </w:rPr>
      </w:pPr>
      <w:r>
        <w:rPr>
          <w:rFonts w:ascii="Times New Roman" w:hAnsi="Times New Roman"/>
          <w:sz w:val="26"/>
          <w:szCs w:val="26"/>
          <w:lang w:eastAsia="ru-RU"/>
        </w:rPr>
        <w:t>Генеральный директор;</w:t>
      </w:r>
    </w:p>
    <w:p w14:paraId="62DC183F" w14:textId="77777777" w:rsidR="002449C2" w:rsidRDefault="00123961">
      <w:pPr>
        <w:numPr>
          <w:ilvl w:val="0"/>
          <w:numId w:val="45"/>
        </w:numPr>
        <w:shd w:val="clear" w:color="auto" w:fill="FFFFFF"/>
        <w:tabs>
          <w:tab w:val="left" w:pos="142"/>
          <w:tab w:val="left" w:pos="426"/>
          <w:tab w:val="left" w:pos="993"/>
        </w:tabs>
        <w:spacing w:after="0" w:line="240" w:lineRule="auto"/>
        <w:ind w:left="0" w:firstLine="709"/>
        <w:jc w:val="both"/>
        <w:rPr>
          <w:rFonts w:ascii="Times New Roman" w:hAnsi="Times New Roman"/>
          <w:sz w:val="26"/>
          <w:szCs w:val="26"/>
          <w:lang w:eastAsia="ru-RU"/>
        </w:rPr>
      </w:pPr>
      <w:r>
        <w:rPr>
          <w:rFonts w:ascii="Times New Roman" w:hAnsi="Times New Roman"/>
          <w:sz w:val="26"/>
          <w:szCs w:val="26"/>
          <w:lang w:eastAsia="ru-RU"/>
        </w:rPr>
        <w:t>заместитель Генерального директора - руководитель Аппарата как представитель руководства Общества по интегрированной системе менеджмента (далее – ИСМ);</w:t>
      </w:r>
    </w:p>
    <w:p w14:paraId="309B196E" w14:textId="77777777" w:rsidR="002449C2" w:rsidRDefault="00123961">
      <w:pPr>
        <w:numPr>
          <w:ilvl w:val="0"/>
          <w:numId w:val="45"/>
        </w:numPr>
        <w:shd w:val="clear" w:color="auto" w:fill="FFFFFF"/>
        <w:tabs>
          <w:tab w:val="left" w:pos="142"/>
          <w:tab w:val="left" w:pos="426"/>
          <w:tab w:val="left" w:pos="993"/>
        </w:tabs>
        <w:spacing w:after="0" w:line="240" w:lineRule="auto"/>
        <w:ind w:left="0" w:firstLine="709"/>
        <w:jc w:val="both"/>
        <w:rPr>
          <w:rFonts w:ascii="Times New Roman" w:hAnsi="Times New Roman"/>
          <w:sz w:val="26"/>
          <w:szCs w:val="26"/>
          <w:lang w:eastAsia="ru-RU"/>
        </w:rPr>
      </w:pPr>
      <w:r>
        <w:rPr>
          <w:rFonts w:ascii="Times New Roman" w:hAnsi="Times New Roman"/>
          <w:sz w:val="26"/>
          <w:szCs w:val="26"/>
          <w:lang w:eastAsia="ru-RU"/>
        </w:rPr>
        <w:t>департамент управления персоналом и организационного проектирования в исполнительном аппарате Общества, управления по работе с персоналом в филиалах Общества (в части СМК, организации комплексной системной работы, сертификации);</w:t>
      </w:r>
    </w:p>
    <w:p w14:paraId="492B640E" w14:textId="77777777" w:rsidR="002449C2" w:rsidRDefault="00123961">
      <w:pPr>
        <w:numPr>
          <w:ilvl w:val="0"/>
          <w:numId w:val="45"/>
        </w:numPr>
        <w:shd w:val="clear" w:color="auto" w:fill="FFFFFF"/>
        <w:tabs>
          <w:tab w:val="left" w:pos="142"/>
          <w:tab w:val="left" w:pos="426"/>
          <w:tab w:val="left" w:pos="993"/>
        </w:tabs>
        <w:spacing w:after="0" w:line="240" w:lineRule="auto"/>
        <w:ind w:left="0" w:firstLine="709"/>
        <w:jc w:val="both"/>
        <w:rPr>
          <w:rFonts w:ascii="Times New Roman" w:hAnsi="Times New Roman"/>
          <w:sz w:val="26"/>
          <w:szCs w:val="26"/>
          <w:lang w:eastAsia="ru-RU"/>
        </w:rPr>
      </w:pPr>
      <w:r>
        <w:rPr>
          <w:rFonts w:ascii="Times New Roman" w:hAnsi="Times New Roman"/>
          <w:sz w:val="26"/>
          <w:szCs w:val="26"/>
          <w:lang w:eastAsia="ru-RU"/>
        </w:rPr>
        <w:t>департамент производственной безопасности, охраны труда и производственного контроля в исполнительном аппарате Общества, управления производственной безопасности, охраны труда и производственного контроля в филиалах Общества (в части охраны здоровья и безопасности труда, экологической безопасности);</w:t>
      </w:r>
    </w:p>
    <w:p w14:paraId="20AA57C9" w14:textId="77777777" w:rsidR="002449C2" w:rsidRDefault="00123961">
      <w:pPr>
        <w:numPr>
          <w:ilvl w:val="0"/>
          <w:numId w:val="45"/>
        </w:numPr>
        <w:shd w:val="clear" w:color="auto" w:fill="FFFFFF"/>
        <w:tabs>
          <w:tab w:val="left" w:pos="142"/>
          <w:tab w:val="left" w:pos="426"/>
          <w:tab w:val="left" w:pos="1134"/>
        </w:tabs>
        <w:spacing w:after="0" w:line="240" w:lineRule="auto"/>
        <w:ind w:left="0" w:firstLine="709"/>
        <w:jc w:val="both"/>
        <w:rPr>
          <w:rFonts w:ascii="Times New Roman" w:hAnsi="Times New Roman"/>
          <w:sz w:val="26"/>
          <w:szCs w:val="26"/>
          <w:lang w:eastAsia="ru-RU"/>
        </w:rPr>
      </w:pPr>
      <w:r>
        <w:rPr>
          <w:rFonts w:ascii="Times New Roman" w:hAnsi="Times New Roman"/>
          <w:sz w:val="26"/>
          <w:szCs w:val="26"/>
          <w:lang w:eastAsia="ru-RU"/>
        </w:rPr>
        <w:t>департамент технологического развития и инноваций в исполнительном аппарате, управления (отделы) развития и инноваций в филиалах;</w:t>
      </w:r>
    </w:p>
    <w:p w14:paraId="41F686AC" w14:textId="77777777" w:rsidR="002449C2" w:rsidRDefault="00123961">
      <w:pPr>
        <w:numPr>
          <w:ilvl w:val="0"/>
          <w:numId w:val="45"/>
        </w:numPr>
        <w:shd w:val="clear" w:color="auto" w:fill="FFFFFF"/>
        <w:tabs>
          <w:tab w:val="left" w:pos="142"/>
          <w:tab w:val="left" w:pos="426"/>
          <w:tab w:val="left" w:pos="1134"/>
        </w:tabs>
        <w:spacing w:after="0" w:line="240" w:lineRule="auto"/>
        <w:ind w:left="0" w:firstLine="709"/>
        <w:jc w:val="both"/>
        <w:rPr>
          <w:rFonts w:ascii="Times New Roman" w:hAnsi="Times New Roman"/>
          <w:sz w:val="26"/>
          <w:szCs w:val="26"/>
          <w:lang w:eastAsia="ru-RU"/>
        </w:rPr>
      </w:pPr>
      <w:r>
        <w:rPr>
          <w:rFonts w:ascii="Times New Roman" w:hAnsi="Times New Roman"/>
          <w:sz w:val="26"/>
          <w:szCs w:val="26"/>
          <w:lang w:eastAsia="ru-RU"/>
        </w:rPr>
        <w:t>первый заместитель директора – Главный инженер в филиалах Общества как представитель по ИСМ в филиалах;</w:t>
      </w:r>
    </w:p>
    <w:p w14:paraId="2999475B" w14:textId="77777777" w:rsidR="002449C2" w:rsidRDefault="00123961">
      <w:pPr>
        <w:numPr>
          <w:ilvl w:val="0"/>
          <w:numId w:val="45"/>
        </w:numPr>
        <w:shd w:val="clear" w:color="auto" w:fill="FFFFFF"/>
        <w:tabs>
          <w:tab w:val="left" w:pos="142"/>
          <w:tab w:val="left" w:pos="426"/>
          <w:tab w:val="left" w:pos="1134"/>
        </w:tabs>
        <w:spacing w:after="0" w:line="240" w:lineRule="auto"/>
        <w:ind w:left="0" w:firstLine="709"/>
        <w:jc w:val="both"/>
        <w:rPr>
          <w:rFonts w:ascii="Times New Roman" w:hAnsi="Times New Roman"/>
          <w:sz w:val="26"/>
          <w:szCs w:val="26"/>
          <w:lang w:eastAsia="ru-RU"/>
        </w:rPr>
      </w:pPr>
      <w:r>
        <w:rPr>
          <w:rFonts w:ascii="Times New Roman" w:hAnsi="Times New Roman"/>
          <w:sz w:val="26"/>
          <w:szCs w:val="26"/>
          <w:lang w:eastAsia="ru-RU"/>
        </w:rPr>
        <w:t>главный инженер производственных отделений и районов электрических сетей как ответственный за вопросы ИСМ;</w:t>
      </w:r>
    </w:p>
    <w:p w14:paraId="785343D9" w14:textId="77777777" w:rsidR="002449C2" w:rsidRDefault="00123961">
      <w:pPr>
        <w:numPr>
          <w:ilvl w:val="0"/>
          <w:numId w:val="45"/>
        </w:numPr>
        <w:shd w:val="clear" w:color="auto" w:fill="FFFFFF"/>
        <w:tabs>
          <w:tab w:val="left" w:pos="142"/>
          <w:tab w:val="left" w:pos="426"/>
          <w:tab w:val="left" w:pos="1134"/>
        </w:tabs>
        <w:spacing w:after="0" w:line="240" w:lineRule="auto"/>
        <w:ind w:left="0" w:firstLine="709"/>
        <w:jc w:val="both"/>
        <w:rPr>
          <w:rFonts w:ascii="Times New Roman" w:hAnsi="Times New Roman"/>
          <w:sz w:val="26"/>
          <w:szCs w:val="26"/>
          <w:lang w:eastAsia="ru-RU"/>
        </w:rPr>
      </w:pPr>
      <w:r>
        <w:rPr>
          <w:rFonts w:ascii="Times New Roman" w:hAnsi="Times New Roman"/>
          <w:sz w:val="26"/>
          <w:szCs w:val="26"/>
          <w:lang w:eastAsia="ru-RU"/>
        </w:rPr>
        <w:t>другие подразделения Общества ответственные за управление бизнес-процессами, выполнение обязанностей в области охраны окружающей среды, а также в области охраны здоровья и безопасности труда.</w:t>
      </w:r>
    </w:p>
    <w:p w14:paraId="2D5EDB36" w14:textId="77777777" w:rsidR="002449C2" w:rsidRDefault="002449C2">
      <w:pPr>
        <w:shd w:val="clear" w:color="auto" w:fill="FFFFFF"/>
        <w:tabs>
          <w:tab w:val="left" w:pos="1134"/>
        </w:tabs>
        <w:spacing w:after="0" w:line="240" w:lineRule="auto"/>
        <w:ind w:firstLine="709"/>
        <w:jc w:val="both"/>
        <w:rPr>
          <w:rFonts w:ascii="Times New Roman" w:hAnsi="Times New Roman"/>
          <w:sz w:val="26"/>
          <w:szCs w:val="26"/>
          <w:lang w:eastAsia="en-US"/>
        </w:rPr>
      </w:pPr>
    </w:p>
    <w:p w14:paraId="2B0C785E" w14:textId="77777777" w:rsidR="002449C2" w:rsidRDefault="00123961">
      <w:pPr>
        <w:shd w:val="clear" w:color="auto" w:fill="FFFFFF"/>
        <w:spacing w:after="120" w:line="240" w:lineRule="auto"/>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Основные результаты функционирования систем менеджмента.</w:t>
      </w:r>
    </w:p>
    <w:p w14:paraId="18726825" w14:textId="77777777" w:rsidR="002449C2" w:rsidRDefault="00123961">
      <w:pPr>
        <w:shd w:val="clear" w:color="auto" w:fill="FFFFFF"/>
        <w:spacing w:after="0" w:line="240" w:lineRule="auto"/>
        <w:jc w:val="both"/>
        <w:rPr>
          <w:rFonts w:ascii="Times New Roman" w:hAnsi="Times New Roman"/>
          <w:color w:val="000066"/>
          <w:sz w:val="26"/>
          <w:szCs w:val="26"/>
          <w:lang w:eastAsia="ru-RU"/>
        </w:rPr>
      </w:pPr>
      <w:r>
        <w:rPr>
          <w:rFonts w:ascii="Times New Roman" w:hAnsi="Times New Roman"/>
          <w:sz w:val="26"/>
          <w:szCs w:val="26"/>
          <w:lang w:eastAsia="ru-RU"/>
        </w:rPr>
        <w:t>а) повышение надежности и качества энергоснабжения;</w:t>
      </w:r>
    </w:p>
    <w:p w14:paraId="78121D8B" w14:textId="77777777" w:rsidR="002449C2" w:rsidRDefault="00123961">
      <w:pPr>
        <w:shd w:val="clear" w:color="auto" w:fill="FFFFFF"/>
        <w:spacing w:after="0" w:line="240" w:lineRule="auto"/>
        <w:ind w:firstLine="709"/>
        <w:jc w:val="both"/>
        <w:rPr>
          <w:rFonts w:ascii="Times New Roman" w:hAnsi="Times New Roman"/>
          <w:sz w:val="26"/>
          <w:szCs w:val="26"/>
          <w:lang w:eastAsia="ru-RU"/>
        </w:rPr>
      </w:pPr>
      <w:r>
        <w:rPr>
          <w:rFonts w:ascii="Times New Roman" w:hAnsi="Times New Roman"/>
          <w:sz w:val="26"/>
          <w:szCs w:val="26"/>
          <w:lang w:eastAsia="ru-RU"/>
        </w:rPr>
        <w:t xml:space="preserve">Информация предоставлена в </w:t>
      </w:r>
      <w:r>
        <w:rPr>
          <w:rFonts w:ascii="Times New Roman" w:hAnsi="Times New Roman"/>
          <w:sz w:val="26"/>
          <w:szCs w:val="26"/>
          <w:shd w:val="clear" w:color="auto" w:fill="FFFFFF"/>
          <w:lang w:eastAsia="ru-RU"/>
        </w:rPr>
        <w:t>разделе «Производственная деятельность».</w:t>
      </w:r>
      <w:r>
        <w:rPr>
          <w:rFonts w:ascii="Times New Roman" w:hAnsi="Times New Roman"/>
          <w:sz w:val="26"/>
          <w:szCs w:val="26"/>
          <w:lang w:eastAsia="ru-RU"/>
        </w:rPr>
        <w:t xml:space="preserve"> </w:t>
      </w:r>
    </w:p>
    <w:p w14:paraId="6A044FFC" w14:textId="77777777" w:rsidR="002449C2" w:rsidRDefault="00123961">
      <w:pPr>
        <w:shd w:val="clear" w:color="auto" w:fill="FFFFFF"/>
        <w:spacing w:after="0" w:line="240" w:lineRule="auto"/>
        <w:jc w:val="both"/>
        <w:rPr>
          <w:rFonts w:ascii="Times New Roman" w:hAnsi="Times New Roman"/>
          <w:sz w:val="26"/>
          <w:szCs w:val="26"/>
          <w:lang w:eastAsia="ru-RU"/>
        </w:rPr>
      </w:pPr>
      <w:r>
        <w:rPr>
          <w:rFonts w:ascii="Times New Roman" w:hAnsi="Times New Roman"/>
          <w:sz w:val="26"/>
          <w:szCs w:val="26"/>
          <w:lang w:eastAsia="ru-RU"/>
        </w:rPr>
        <w:t>б) увеличение уровня безопасности энергоснабжения;</w:t>
      </w:r>
    </w:p>
    <w:p w14:paraId="427D655E" w14:textId="77777777" w:rsidR="002449C2" w:rsidRDefault="00123961">
      <w:pPr>
        <w:shd w:val="clear" w:color="auto" w:fill="FFFFFF"/>
        <w:spacing w:after="0" w:line="240" w:lineRule="auto"/>
        <w:ind w:firstLine="709"/>
        <w:jc w:val="both"/>
        <w:rPr>
          <w:rFonts w:ascii="Times New Roman" w:hAnsi="Times New Roman"/>
          <w:sz w:val="26"/>
          <w:szCs w:val="26"/>
          <w:lang w:eastAsia="ru-RU"/>
        </w:rPr>
      </w:pPr>
      <w:r>
        <w:rPr>
          <w:rFonts w:ascii="Times New Roman" w:hAnsi="Times New Roman"/>
          <w:sz w:val="26"/>
          <w:szCs w:val="26"/>
          <w:lang w:eastAsia="ru-RU"/>
        </w:rPr>
        <w:t>Информация предоставлена в разделе «Производственная деятельность».</w:t>
      </w:r>
    </w:p>
    <w:p w14:paraId="5FA6936D" w14:textId="77777777" w:rsidR="002449C2" w:rsidRDefault="00123961">
      <w:pPr>
        <w:shd w:val="clear" w:color="auto" w:fill="FFFFFF"/>
        <w:spacing w:after="0" w:line="240" w:lineRule="auto"/>
        <w:jc w:val="both"/>
        <w:rPr>
          <w:rFonts w:ascii="Times New Roman" w:hAnsi="Times New Roman"/>
          <w:sz w:val="26"/>
          <w:szCs w:val="26"/>
          <w:lang w:eastAsia="ru-RU"/>
        </w:rPr>
      </w:pPr>
      <w:r>
        <w:rPr>
          <w:rFonts w:ascii="Times New Roman" w:hAnsi="Times New Roman"/>
          <w:sz w:val="26"/>
          <w:szCs w:val="26"/>
          <w:lang w:eastAsia="ru-RU"/>
        </w:rPr>
        <w:t>в) обеспечение безопасности труда и охраны здоровья при осуществлении производственной деятельности, в том числе снижение общего количества несчастных случаев при соблюдении требований законодательства в области охраны труда и охраны окружающей среды;</w:t>
      </w:r>
    </w:p>
    <w:p w14:paraId="147292FE" w14:textId="77777777" w:rsidR="002449C2" w:rsidRDefault="00123961">
      <w:pPr>
        <w:shd w:val="clear" w:color="auto" w:fill="FFFFFF"/>
        <w:spacing w:after="0" w:line="240" w:lineRule="auto"/>
        <w:ind w:firstLine="709"/>
        <w:jc w:val="both"/>
        <w:rPr>
          <w:rFonts w:ascii="Times New Roman" w:hAnsi="Times New Roman"/>
          <w:sz w:val="26"/>
          <w:szCs w:val="26"/>
          <w:lang w:eastAsia="ru-RU"/>
        </w:rPr>
      </w:pPr>
      <w:r>
        <w:rPr>
          <w:rFonts w:ascii="Times New Roman" w:hAnsi="Times New Roman"/>
          <w:sz w:val="26"/>
          <w:szCs w:val="26"/>
          <w:lang w:eastAsia="ru-RU"/>
        </w:rPr>
        <w:t>Информация предоставлена в разделе «Охрана труда».</w:t>
      </w:r>
    </w:p>
    <w:p w14:paraId="0A7DDE50" w14:textId="77777777" w:rsidR="002449C2" w:rsidRDefault="00123961">
      <w:pPr>
        <w:shd w:val="clear" w:color="auto" w:fill="FFFFFF"/>
        <w:spacing w:after="0" w:line="240" w:lineRule="auto"/>
        <w:jc w:val="both"/>
        <w:rPr>
          <w:rFonts w:ascii="Times New Roman" w:hAnsi="Times New Roman"/>
          <w:sz w:val="26"/>
          <w:szCs w:val="26"/>
          <w:lang w:eastAsia="ru-RU"/>
        </w:rPr>
      </w:pPr>
      <w:r>
        <w:rPr>
          <w:rFonts w:ascii="Times New Roman" w:hAnsi="Times New Roman"/>
          <w:sz w:val="26"/>
          <w:szCs w:val="26"/>
          <w:lang w:eastAsia="ru-RU"/>
        </w:rPr>
        <w:t>г) повышение энергетической эффективности;</w:t>
      </w:r>
    </w:p>
    <w:p w14:paraId="19C653D8" w14:textId="77777777" w:rsidR="002449C2" w:rsidRDefault="00123961">
      <w:pPr>
        <w:shd w:val="clear" w:color="auto" w:fill="FFFFFF"/>
        <w:spacing w:after="0" w:line="240" w:lineRule="auto"/>
        <w:ind w:firstLine="709"/>
        <w:jc w:val="both"/>
        <w:rPr>
          <w:rFonts w:ascii="Times New Roman" w:hAnsi="Times New Roman"/>
          <w:sz w:val="26"/>
          <w:szCs w:val="26"/>
          <w:lang w:eastAsia="ru-RU"/>
        </w:rPr>
      </w:pPr>
      <w:r>
        <w:rPr>
          <w:rFonts w:ascii="Times New Roman" w:hAnsi="Times New Roman"/>
          <w:sz w:val="26"/>
          <w:szCs w:val="26"/>
          <w:lang w:eastAsia="ru-RU"/>
        </w:rPr>
        <w:t>Информация предоставлена в разделе «Инновационное развитие и деятельность в области энергосбережения и повышения энергетической эффективности»</w:t>
      </w:r>
    </w:p>
    <w:p w14:paraId="688B4275" w14:textId="77777777" w:rsidR="002449C2" w:rsidRDefault="00123961">
      <w:pPr>
        <w:shd w:val="clear" w:color="auto" w:fill="FFFFFF"/>
        <w:spacing w:after="0" w:line="240" w:lineRule="auto"/>
        <w:jc w:val="both"/>
        <w:rPr>
          <w:rFonts w:ascii="Times New Roman" w:hAnsi="Times New Roman"/>
          <w:sz w:val="26"/>
          <w:szCs w:val="26"/>
          <w:lang w:eastAsia="ru-RU"/>
        </w:rPr>
      </w:pPr>
      <w:r>
        <w:rPr>
          <w:rFonts w:ascii="Times New Roman" w:hAnsi="Times New Roman"/>
          <w:sz w:val="26"/>
          <w:szCs w:val="26"/>
          <w:lang w:eastAsia="ru-RU"/>
        </w:rPr>
        <w:t>д) обеспечение экологической безопасности.</w:t>
      </w:r>
    </w:p>
    <w:p w14:paraId="41817D29"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hAnsi="Times New Roman"/>
          <w:sz w:val="26"/>
          <w:szCs w:val="26"/>
          <w:lang w:eastAsia="ru-RU"/>
        </w:rPr>
        <w:t>Информация предоставлена в разделе «Охрана труда».</w:t>
      </w:r>
    </w:p>
    <w:p w14:paraId="1FAB7500" w14:textId="77777777" w:rsidR="002449C2" w:rsidRDefault="00123961">
      <w:pPr>
        <w:shd w:val="clear" w:color="auto" w:fill="FFFFFF"/>
        <w:spacing w:after="0" w:line="240" w:lineRule="auto"/>
        <w:jc w:val="both"/>
        <w:rPr>
          <w:rFonts w:ascii="Times New Roman" w:hAnsi="Times New Roman"/>
          <w:sz w:val="26"/>
          <w:szCs w:val="26"/>
          <w:lang w:eastAsia="ru-RU"/>
        </w:rPr>
      </w:pPr>
      <w:r>
        <w:rPr>
          <w:rFonts w:ascii="Times New Roman" w:hAnsi="Times New Roman"/>
          <w:sz w:val="26"/>
          <w:szCs w:val="26"/>
          <w:lang w:eastAsia="ru-RU"/>
        </w:rPr>
        <w:t>е) повышение качества услуг по технологическому присоединению.</w:t>
      </w:r>
    </w:p>
    <w:p w14:paraId="0FB43215" w14:textId="77777777" w:rsidR="002449C2" w:rsidRDefault="00123961">
      <w:pPr>
        <w:shd w:val="clear" w:color="auto" w:fill="FFFFFF"/>
        <w:spacing w:after="0" w:line="240" w:lineRule="auto"/>
        <w:ind w:firstLine="709"/>
        <w:jc w:val="both"/>
        <w:rPr>
          <w:rFonts w:ascii="Times New Roman" w:hAnsi="Times New Roman"/>
          <w:sz w:val="26"/>
          <w:szCs w:val="26"/>
          <w:lang w:eastAsia="ru-RU"/>
        </w:rPr>
      </w:pPr>
      <w:r>
        <w:rPr>
          <w:rFonts w:ascii="Times New Roman" w:hAnsi="Times New Roman"/>
          <w:sz w:val="26"/>
          <w:szCs w:val="26"/>
          <w:lang w:eastAsia="ru-RU"/>
        </w:rPr>
        <w:t xml:space="preserve">Информация предоставлена в разделе «Технологическое присоединение». </w:t>
      </w:r>
    </w:p>
    <w:p w14:paraId="0EF20222" w14:textId="77777777" w:rsidR="002449C2" w:rsidRDefault="00123961">
      <w:pPr>
        <w:shd w:val="clear" w:color="auto" w:fill="FFFFFF"/>
        <w:spacing w:after="0" w:line="240" w:lineRule="auto"/>
        <w:ind w:firstLine="709"/>
        <w:jc w:val="both"/>
        <w:rPr>
          <w:rFonts w:ascii="Times New Roman" w:hAnsi="Times New Roman"/>
          <w:sz w:val="26"/>
          <w:szCs w:val="26"/>
          <w:lang w:eastAsia="ru-RU"/>
        </w:rPr>
      </w:pPr>
      <w:r>
        <w:rPr>
          <w:rFonts w:ascii="Times New Roman" w:hAnsi="Times New Roman"/>
          <w:sz w:val="26"/>
          <w:szCs w:val="26"/>
          <w:lang w:eastAsia="ru-RU"/>
        </w:rPr>
        <w:t>В целом функционирование систем менеджмента показали положительные результаты за истекший год.</w:t>
      </w:r>
    </w:p>
    <w:p w14:paraId="7CB58B7E" w14:textId="77777777" w:rsidR="002449C2" w:rsidRDefault="002449C2">
      <w:pPr>
        <w:shd w:val="clear" w:color="auto" w:fill="FFFFFF"/>
        <w:spacing w:after="0" w:line="240" w:lineRule="auto"/>
        <w:ind w:left="567" w:firstLine="709"/>
        <w:rPr>
          <w:rFonts w:ascii="Times New Roman" w:eastAsia="Times New Roman" w:hAnsi="Times New Roman"/>
          <w:sz w:val="26"/>
          <w:szCs w:val="26"/>
          <w:lang w:eastAsia="ru-RU"/>
        </w:rPr>
      </w:pPr>
    </w:p>
    <w:p w14:paraId="5BB5507D"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130" w:name="_Toc33542783"/>
      <w:bookmarkStart w:id="131" w:name="_Toc195174953"/>
      <w:bookmarkStart w:id="132" w:name="_Toc536544538"/>
      <w:bookmarkStart w:id="133" w:name="_Toc196143046"/>
      <w:r>
        <w:rPr>
          <w:rFonts w:ascii="Times New Roman" w:eastAsia="Times New Roman" w:hAnsi="Times New Roman"/>
          <w:caps/>
          <w:color w:val="632423"/>
          <w:spacing w:val="15"/>
          <w:sz w:val="24"/>
          <w:szCs w:val="24"/>
          <w:lang w:eastAsia="en-US" w:bidi="en-US"/>
        </w:rPr>
        <w:t>Закупочная деятельность</w:t>
      </w:r>
      <w:bookmarkEnd w:id="130"/>
      <w:bookmarkEnd w:id="131"/>
      <w:bookmarkEnd w:id="132"/>
      <w:bookmarkEnd w:id="133"/>
    </w:p>
    <w:p w14:paraId="55DDC505" w14:textId="77777777" w:rsidR="002449C2" w:rsidRDefault="00123961">
      <w:pPr>
        <w:keepNext/>
        <w:keepLines/>
        <w:spacing w:before="200" w:after="120" w:line="240" w:lineRule="auto"/>
        <w:ind w:left="567"/>
        <w:jc w:val="both"/>
        <w:outlineLvl w:val="2"/>
        <w:rPr>
          <w:rFonts w:ascii="Times New Roman" w:eastAsia="Times New Roman" w:hAnsi="Times New Roman"/>
          <w:b/>
          <w:sz w:val="28"/>
          <w:szCs w:val="28"/>
          <w:lang w:eastAsia="en-US" w:bidi="en-US"/>
        </w:rPr>
      </w:pPr>
      <w:bookmarkStart w:id="134" w:name="_Toc195174954"/>
      <w:bookmarkStart w:id="135" w:name="_Toc196143047"/>
      <w:r>
        <w:rPr>
          <w:rFonts w:ascii="Times New Roman" w:eastAsia="Times New Roman" w:hAnsi="Times New Roman"/>
          <w:b/>
          <w:sz w:val="28"/>
          <w:szCs w:val="28"/>
          <w:lang w:eastAsia="en-US" w:bidi="en-US"/>
        </w:rPr>
        <w:t>Нормативное регулирование закупочной деятельности</w:t>
      </w:r>
      <w:bookmarkEnd w:id="134"/>
      <w:bookmarkEnd w:id="135"/>
    </w:p>
    <w:p w14:paraId="37DC2317" w14:textId="77777777" w:rsidR="002449C2" w:rsidRDefault="002449C2">
      <w:pPr>
        <w:shd w:val="clear" w:color="auto" w:fill="FFFFFF"/>
        <w:spacing w:after="120" w:line="240" w:lineRule="auto"/>
        <w:jc w:val="both"/>
        <w:rPr>
          <w:rFonts w:ascii="Times New Roman" w:hAnsi="Times New Roman"/>
          <w:sz w:val="24"/>
          <w:szCs w:val="24"/>
          <w:lang w:eastAsia="en-US"/>
        </w:rPr>
      </w:pPr>
    </w:p>
    <w:tbl>
      <w:tblPr>
        <w:tblW w:w="9488" w:type="dxa"/>
        <w:tblLayout w:type="fixed"/>
        <w:tblLook w:val="04A0" w:firstRow="1" w:lastRow="0" w:firstColumn="1" w:lastColumn="0" w:noHBand="0" w:noVBand="1"/>
      </w:tblPr>
      <w:tblGrid>
        <w:gridCol w:w="3184"/>
        <w:gridCol w:w="267"/>
        <w:gridCol w:w="6037"/>
      </w:tblGrid>
      <w:tr w:rsidR="002449C2" w14:paraId="2A29AC67" w14:textId="77777777">
        <w:tc>
          <w:tcPr>
            <w:tcW w:w="3451" w:type="dxa"/>
            <w:gridSpan w:val="2"/>
            <w:tcBorders>
              <w:top w:val="single" w:sz="4" w:space="0" w:color="000000"/>
              <w:left w:val="single" w:sz="4" w:space="0" w:color="000000"/>
              <w:bottom w:val="single" w:sz="4" w:space="0" w:color="000000"/>
              <w:right w:val="single" w:sz="4" w:space="0" w:color="000000"/>
            </w:tcBorders>
            <w:shd w:val="clear" w:color="auto" w:fill="FFFFFF"/>
          </w:tcPr>
          <w:p w14:paraId="133AEDC5" w14:textId="77777777" w:rsidR="002449C2" w:rsidRDefault="00123961">
            <w:pPr>
              <w:shd w:val="clear" w:color="auto" w:fill="FFFFFF"/>
              <w:tabs>
                <w:tab w:val="left" w:pos="142"/>
              </w:tabs>
              <w:spacing w:after="0" w:line="240" w:lineRule="auto"/>
              <w:jc w:val="center"/>
              <w:rPr>
                <w:rFonts w:ascii="Times New Roman" w:eastAsia="Times New Roman" w:hAnsi="Times New Roman"/>
                <w:i/>
                <w:color w:val="0070C0"/>
                <w:sz w:val="20"/>
                <w:szCs w:val="20"/>
                <w:lang w:eastAsia="ru-RU"/>
              </w:rPr>
            </w:pPr>
            <w:r>
              <w:rPr>
                <w:rFonts w:ascii="Times New Roman" w:hAnsi="Times New Roman"/>
                <w:b/>
                <w:color w:val="000000"/>
                <w:sz w:val="20"/>
                <w:szCs w:val="20"/>
                <w:lang w:eastAsia="en-US"/>
              </w:rPr>
              <w:t>Единый стандарт закупок ПАО «Россети» (Положение о закупке).</w:t>
            </w:r>
          </w:p>
        </w:tc>
        <w:tc>
          <w:tcPr>
            <w:tcW w:w="6036" w:type="dxa"/>
            <w:tcBorders>
              <w:top w:val="single" w:sz="4" w:space="0" w:color="000000"/>
              <w:left w:val="single" w:sz="4" w:space="0" w:color="000000"/>
              <w:bottom w:val="single" w:sz="4" w:space="0" w:color="000000"/>
              <w:right w:val="single" w:sz="4" w:space="0" w:color="000000"/>
            </w:tcBorders>
            <w:shd w:val="clear" w:color="auto" w:fill="auto"/>
          </w:tcPr>
          <w:p w14:paraId="56C04BD2" w14:textId="77777777" w:rsidR="002449C2" w:rsidRDefault="00123961">
            <w:pPr>
              <w:shd w:val="clear" w:color="auto" w:fill="FFFFFF"/>
              <w:tabs>
                <w:tab w:val="left" w:pos="142"/>
              </w:tabs>
              <w:spacing w:after="0" w:line="240" w:lineRule="auto"/>
              <w:ind w:firstLine="567"/>
              <w:contextualSpacing/>
              <w:jc w:val="both"/>
              <w:rPr>
                <w:rFonts w:ascii="Times New Roman" w:hAnsi="Times New Roman"/>
                <w:color w:val="000000"/>
                <w:sz w:val="20"/>
                <w:szCs w:val="20"/>
              </w:rPr>
            </w:pPr>
            <w:r>
              <w:rPr>
                <w:rFonts w:ascii="Times New Roman" w:hAnsi="Times New Roman"/>
                <w:sz w:val="20"/>
                <w:szCs w:val="20"/>
              </w:rPr>
              <w:t>С 02.02.2023 введен в действие Единый стандарт закупок ПАО «Россети» (Положение о закупке) (утвержден решением Совета директоров ПАО «Россети» от 30.12.2022 № 604), решением Совета директоров ПАО «Россети Юг» 02.02.2023 (протокол заседания от 02.02.2023 № 512/2023) «О присоединении к Единому стандарту закупок ПАО «Россети» (Положение о закупке)».</w:t>
            </w:r>
          </w:p>
        </w:tc>
      </w:tr>
      <w:tr w:rsidR="002449C2" w14:paraId="7D13E30C" w14:textId="77777777">
        <w:tc>
          <w:tcPr>
            <w:tcW w:w="3451" w:type="dxa"/>
            <w:gridSpan w:val="2"/>
            <w:tcBorders>
              <w:top w:val="single" w:sz="4" w:space="0" w:color="000000"/>
              <w:left w:val="single" w:sz="4" w:space="0" w:color="000000"/>
              <w:bottom w:val="single" w:sz="4" w:space="0" w:color="000000"/>
              <w:right w:val="single" w:sz="4" w:space="0" w:color="000000"/>
            </w:tcBorders>
            <w:shd w:val="clear" w:color="auto" w:fill="FFFFFF"/>
          </w:tcPr>
          <w:p w14:paraId="1BC7C197" w14:textId="77777777" w:rsidR="002449C2" w:rsidRDefault="00123961">
            <w:pPr>
              <w:shd w:val="clear" w:color="auto" w:fill="FFFFFF"/>
              <w:tabs>
                <w:tab w:val="left" w:pos="142"/>
              </w:tabs>
              <w:spacing w:after="0" w:line="240" w:lineRule="auto"/>
              <w:jc w:val="center"/>
              <w:rPr>
                <w:rFonts w:ascii="Times New Roman" w:eastAsia="Times New Roman" w:hAnsi="Times New Roman"/>
                <w:i/>
                <w:color w:val="0070C0"/>
                <w:sz w:val="20"/>
                <w:szCs w:val="20"/>
                <w:lang w:eastAsia="ru-RU"/>
              </w:rPr>
            </w:pPr>
            <w:r>
              <w:rPr>
                <w:rFonts w:ascii="Times New Roman" w:hAnsi="Times New Roman"/>
                <w:b/>
                <w:color w:val="000000"/>
                <w:sz w:val="20"/>
                <w:szCs w:val="20"/>
                <w:lang w:eastAsia="en-US"/>
              </w:rPr>
              <w:t>Регламент взаимодействия структурных подразделений ПАО «Россети Юг» при проведении регламентированных закупок товаров, работ, услуг Общества.</w:t>
            </w:r>
          </w:p>
        </w:tc>
        <w:tc>
          <w:tcPr>
            <w:tcW w:w="6036" w:type="dxa"/>
            <w:tcBorders>
              <w:top w:val="single" w:sz="4" w:space="0" w:color="000000"/>
              <w:left w:val="single" w:sz="4" w:space="0" w:color="000000"/>
              <w:bottom w:val="single" w:sz="4" w:space="0" w:color="000000"/>
              <w:right w:val="single" w:sz="4" w:space="0" w:color="000000"/>
            </w:tcBorders>
            <w:shd w:val="clear" w:color="auto" w:fill="auto"/>
          </w:tcPr>
          <w:p w14:paraId="595A6CFC" w14:textId="77777777" w:rsidR="002449C2" w:rsidRDefault="00123961">
            <w:pPr>
              <w:shd w:val="clear" w:color="auto" w:fill="FFFFFF"/>
              <w:tabs>
                <w:tab w:val="left" w:pos="142"/>
              </w:tabs>
              <w:spacing w:after="0" w:line="240" w:lineRule="auto"/>
              <w:ind w:firstLine="567"/>
              <w:contextualSpacing/>
              <w:jc w:val="both"/>
              <w:rPr>
                <w:rFonts w:ascii="Times New Roman" w:hAnsi="Times New Roman"/>
                <w:color w:val="000000"/>
                <w:sz w:val="20"/>
                <w:szCs w:val="20"/>
              </w:rPr>
            </w:pPr>
            <w:r>
              <w:rPr>
                <w:rFonts w:ascii="Times New Roman" w:hAnsi="Times New Roman"/>
                <w:sz w:val="20"/>
                <w:szCs w:val="20"/>
              </w:rPr>
              <w:t>С 05.12.2022 введен в действие Регламент взаимодействия структурных подразделений ПАО «Россети Юг» при проведении регламентированных закупок товаров, работ, услуг Общества (приказ Общества от 05.12.2022 № 684), определяющий порядок взаимодействия структурных подразделений исполнительного аппарата и филиалов Общества при планировании и проведении закупок, формировании отчетности по итогам закупок.</w:t>
            </w:r>
          </w:p>
        </w:tc>
      </w:tr>
      <w:tr w:rsidR="002449C2" w14:paraId="43761CA3" w14:textId="77777777">
        <w:tc>
          <w:tcPr>
            <w:tcW w:w="3451" w:type="dxa"/>
            <w:gridSpan w:val="2"/>
            <w:tcBorders>
              <w:top w:val="single" w:sz="4" w:space="0" w:color="000000"/>
              <w:left w:val="single" w:sz="4" w:space="0" w:color="000000"/>
              <w:bottom w:val="single" w:sz="4" w:space="0" w:color="000000"/>
              <w:right w:val="single" w:sz="4" w:space="0" w:color="000000"/>
            </w:tcBorders>
            <w:shd w:val="clear" w:color="auto" w:fill="FFFFFF"/>
          </w:tcPr>
          <w:p w14:paraId="7EFA4BF3" w14:textId="77777777" w:rsidR="002449C2" w:rsidRDefault="00123961">
            <w:pPr>
              <w:shd w:val="clear" w:color="auto" w:fill="FFFFFF"/>
              <w:tabs>
                <w:tab w:val="left" w:pos="142"/>
              </w:tabs>
              <w:spacing w:after="0" w:line="240" w:lineRule="auto"/>
              <w:jc w:val="center"/>
              <w:rPr>
                <w:rFonts w:ascii="Times New Roman" w:eastAsia="Times New Roman" w:hAnsi="Times New Roman"/>
                <w:i/>
                <w:color w:val="0070C0"/>
                <w:sz w:val="20"/>
                <w:szCs w:val="20"/>
                <w:lang w:eastAsia="ru-RU"/>
              </w:rPr>
            </w:pPr>
            <w:r>
              <w:rPr>
                <w:rFonts w:ascii="Times New Roman" w:hAnsi="Times New Roman"/>
                <w:b/>
                <w:color w:val="000000"/>
                <w:sz w:val="20"/>
                <w:szCs w:val="20"/>
                <w:lang w:eastAsia="en-US"/>
              </w:rPr>
              <w:t>Положение о работе Центральной конкурсной комиссии ПАО «Россети Юг».</w:t>
            </w:r>
          </w:p>
        </w:tc>
        <w:tc>
          <w:tcPr>
            <w:tcW w:w="6036" w:type="dxa"/>
            <w:tcBorders>
              <w:top w:val="single" w:sz="4" w:space="0" w:color="000000"/>
              <w:left w:val="single" w:sz="4" w:space="0" w:color="000000"/>
              <w:bottom w:val="single" w:sz="4" w:space="0" w:color="000000"/>
              <w:right w:val="single" w:sz="4" w:space="0" w:color="000000"/>
            </w:tcBorders>
            <w:shd w:val="clear" w:color="auto" w:fill="FFFFFF"/>
          </w:tcPr>
          <w:p w14:paraId="6340AE93" w14:textId="77777777" w:rsidR="002449C2" w:rsidRDefault="00123961">
            <w:pPr>
              <w:tabs>
                <w:tab w:val="left" w:pos="142"/>
              </w:tabs>
              <w:spacing w:after="0" w:line="240" w:lineRule="auto"/>
              <w:ind w:firstLine="567"/>
              <w:contextualSpacing/>
              <w:jc w:val="both"/>
              <w:rPr>
                <w:rFonts w:ascii="Times New Roman" w:hAnsi="Times New Roman"/>
                <w:sz w:val="20"/>
                <w:szCs w:val="20"/>
              </w:rPr>
            </w:pPr>
            <w:r>
              <w:rPr>
                <w:rFonts w:ascii="Times New Roman" w:hAnsi="Times New Roman"/>
                <w:sz w:val="20"/>
                <w:szCs w:val="20"/>
              </w:rPr>
              <w:t>С 31.08.2023 введено в действие Положение о работе Центральной конкурсной комиссии ПАО «Россети Юг» (приказ Общества от 31.08.2023 № 523), разработанное с целью определения функций, задач, порядка подготовки и проведения заседаний Центральной конкурсной комиссии Общества.</w:t>
            </w:r>
          </w:p>
        </w:tc>
      </w:tr>
      <w:tr w:rsidR="002449C2" w14:paraId="6734AE68" w14:textId="77777777">
        <w:tc>
          <w:tcPr>
            <w:tcW w:w="3451" w:type="dxa"/>
            <w:gridSpan w:val="2"/>
            <w:tcBorders>
              <w:top w:val="single" w:sz="4" w:space="0" w:color="000000"/>
              <w:left w:val="single" w:sz="4" w:space="0" w:color="000000"/>
              <w:bottom w:val="single" w:sz="4" w:space="0" w:color="000000"/>
              <w:right w:val="single" w:sz="4" w:space="0" w:color="000000"/>
            </w:tcBorders>
            <w:shd w:val="clear" w:color="auto" w:fill="FFFFFF"/>
          </w:tcPr>
          <w:p w14:paraId="25356DE3" w14:textId="77777777" w:rsidR="002449C2" w:rsidRDefault="00123961">
            <w:pPr>
              <w:shd w:val="clear" w:color="auto" w:fill="FFFFFF"/>
              <w:tabs>
                <w:tab w:val="left" w:pos="142"/>
              </w:tabs>
              <w:spacing w:after="0" w:line="240" w:lineRule="auto"/>
              <w:jc w:val="center"/>
              <w:rPr>
                <w:rFonts w:ascii="Times New Roman" w:eastAsia="Times New Roman" w:hAnsi="Times New Roman"/>
                <w:i/>
                <w:color w:val="0070C0"/>
                <w:sz w:val="20"/>
                <w:szCs w:val="20"/>
                <w:lang w:eastAsia="ru-RU"/>
              </w:rPr>
            </w:pPr>
            <w:r>
              <w:rPr>
                <w:rFonts w:ascii="Times New Roman" w:hAnsi="Times New Roman"/>
                <w:b/>
                <w:color w:val="000000"/>
                <w:sz w:val="20"/>
                <w:szCs w:val="20"/>
                <w:lang w:eastAsia="en-US"/>
              </w:rPr>
              <w:t>Положение о работе постоянно действующей закупочной комиссии ПАО «Россети Юг».</w:t>
            </w:r>
          </w:p>
        </w:tc>
        <w:tc>
          <w:tcPr>
            <w:tcW w:w="6036" w:type="dxa"/>
            <w:tcBorders>
              <w:top w:val="single" w:sz="4" w:space="0" w:color="000000"/>
              <w:left w:val="single" w:sz="4" w:space="0" w:color="000000"/>
              <w:bottom w:val="single" w:sz="4" w:space="0" w:color="000000"/>
              <w:right w:val="single" w:sz="4" w:space="0" w:color="000000"/>
            </w:tcBorders>
            <w:shd w:val="clear" w:color="auto" w:fill="FFFFFF"/>
          </w:tcPr>
          <w:p w14:paraId="0DC55AAF" w14:textId="77777777" w:rsidR="002449C2" w:rsidRDefault="00123961">
            <w:pPr>
              <w:tabs>
                <w:tab w:val="left" w:pos="142"/>
              </w:tabs>
              <w:spacing w:after="0" w:line="240" w:lineRule="auto"/>
              <w:ind w:firstLine="567"/>
              <w:contextualSpacing/>
              <w:jc w:val="both"/>
              <w:rPr>
                <w:rFonts w:ascii="Times New Roman" w:hAnsi="Times New Roman"/>
                <w:sz w:val="20"/>
                <w:szCs w:val="20"/>
              </w:rPr>
            </w:pPr>
            <w:r>
              <w:rPr>
                <w:rFonts w:ascii="Times New Roman" w:hAnsi="Times New Roman"/>
                <w:sz w:val="20"/>
                <w:szCs w:val="20"/>
              </w:rPr>
              <w:t>С 03.10.2023 введено в действие Положение о работе постоянно действующей закупочной комиссии ПАО «Россети Юг» (приказ Общества от 03.10.2023 № 596), разработанное с целью определения функций, задач, порядка подготовки и проведения заседаний постоянно действующей закупочной комиссии Общества.</w:t>
            </w:r>
          </w:p>
        </w:tc>
      </w:tr>
      <w:tr w:rsidR="002449C2" w14:paraId="1138F91F" w14:textId="77777777">
        <w:tc>
          <w:tcPr>
            <w:tcW w:w="3184" w:type="dxa"/>
            <w:vMerge w:val="restart"/>
            <w:shd w:val="clear" w:color="auto" w:fill="FFFFFF"/>
          </w:tcPr>
          <w:p w14:paraId="6B13CCE1" w14:textId="77777777" w:rsidR="002449C2" w:rsidRDefault="002449C2">
            <w:pPr>
              <w:shd w:val="clear" w:color="auto" w:fill="FFFFFF"/>
              <w:tabs>
                <w:tab w:val="left" w:pos="142"/>
              </w:tabs>
              <w:spacing w:after="0" w:line="240" w:lineRule="auto"/>
              <w:rPr>
                <w:rFonts w:ascii="Times New Roman" w:hAnsi="Times New Roman"/>
                <w:i/>
                <w:color w:val="000000"/>
                <w:sz w:val="26"/>
                <w:szCs w:val="26"/>
              </w:rPr>
            </w:pPr>
          </w:p>
          <w:p w14:paraId="71A7D2AA" w14:textId="77777777" w:rsidR="002449C2" w:rsidRDefault="00123961">
            <w:pPr>
              <w:shd w:val="clear" w:color="auto" w:fill="FFFFFF"/>
              <w:tabs>
                <w:tab w:val="left" w:pos="142"/>
              </w:tabs>
              <w:spacing w:after="0" w:line="240" w:lineRule="auto"/>
              <w:rPr>
                <w:rFonts w:ascii="Times New Roman" w:hAnsi="Times New Roman"/>
                <w:i/>
                <w:color w:val="000000"/>
                <w:sz w:val="26"/>
                <w:szCs w:val="26"/>
              </w:rPr>
            </w:pPr>
            <w:r>
              <w:rPr>
                <w:rFonts w:ascii="Times New Roman" w:hAnsi="Times New Roman"/>
                <w:i/>
                <w:color w:val="000000"/>
                <w:sz w:val="26"/>
                <w:szCs w:val="26"/>
              </w:rPr>
              <w:t>Принципы построения</w:t>
            </w:r>
          </w:p>
          <w:p w14:paraId="4E49B892" w14:textId="77777777" w:rsidR="002449C2" w:rsidRDefault="00123961">
            <w:pPr>
              <w:shd w:val="clear" w:color="auto" w:fill="FFFFFF"/>
              <w:tabs>
                <w:tab w:val="left" w:pos="142"/>
              </w:tabs>
              <w:spacing w:after="0" w:line="240" w:lineRule="auto"/>
              <w:rPr>
                <w:rFonts w:ascii="Times New Roman" w:eastAsia="Times New Roman" w:hAnsi="Times New Roman"/>
                <w:i/>
                <w:color w:val="0070C0"/>
                <w:sz w:val="24"/>
                <w:szCs w:val="24"/>
                <w:lang w:eastAsia="ru-RU"/>
              </w:rPr>
            </w:pPr>
            <w:r>
              <w:rPr>
                <w:rFonts w:ascii="Times New Roman" w:hAnsi="Times New Roman"/>
                <w:i/>
                <w:color w:val="000000"/>
                <w:sz w:val="26"/>
                <w:szCs w:val="26"/>
              </w:rPr>
              <w:t>закупочной деятельности</w:t>
            </w:r>
          </w:p>
        </w:tc>
        <w:tc>
          <w:tcPr>
            <w:tcW w:w="6303" w:type="dxa"/>
            <w:gridSpan w:val="2"/>
            <w:shd w:val="clear" w:color="auto" w:fill="FFFFFF"/>
          </w:tcPr>
          <w:p w14:paraId="7D3A99C5" w14:textId="77777777" w:rsidR="002449C2" w:rsidRDefault="002449C2">
            <w:pPr>
              <w:shd w:val="clear" w:color="auto" w:fill="FFFFFF"/>
              <w:tabs>
                <w:tab w:val="left" w:pos="142"/>
              </w:tabs>
              <w:spacing w:after="0" w:line="240" w:lineRule="auto"/>
              <w:rPr>
                <w:rFonts w:ascii="Times New Roman" w:hAnsi="Times New Roman"/>
                <w:color w:val="000000"/>
                <w:sz w:val="26"/>
                <w:szCs w:val="26"/>
              </w:rPr>
            </w:pPr>
          </w:p>
          <w:p w14:paraId="4C2A0783" w14:textId="77777777" w:rsidR="002449C2" w:rsidRDefault="00123961">
            <w:pPr>
              <w:shd w:val="clear" w:color="auto" w:fill="FFFFFF"/>
              <w:tabs>
                <w:tab w:val="left" w:pos="142"/>
              </w:tabs>
              <w:spacing w:after="0" w:line="240" w:lineRule="auto"/>
              <w:rPr>
                <w:rFonts w:ascii="Times New Roman" w:hAnsi="Times New Roman"/>
                <w:color w:val="000000"/>
                <w:sz w:val="26"/>
                <w:szCs w:val="26"/>
              </w:rPr>
            </w:pPr>
            <w:r>
              <w:rPr>
                <w:rFonts w:ascii="Times New Roman" w:hAnsi="Times New Roman"/>
                <w:color w:val="000000"/>
                <w:sz w:val="26"/>
                <w:szCs w:val="26"/>
              </w:rPr>
              <w:t>- снижение издержек Общества за счет экономии средств при закупке товаров, работ и услуг, в том числе путем минимизации посреднических услуг;</w:t>
            </w:r>
          </w:p>
          <w:p w14:paraId="036F0AA1" w14:textId="77777777" w:rsidR="002449C2" w:rsidRDefault="00123961">
            <w:pPr>
              <w:shd w:val="clear" w:color="auto" w:fill="FFFFFF"/>
              <w:tabs>
                <w:tab w:val="left" w:pos="142"/>
              </w:tabs>
              <w:spacing w:after="0" w:line="240" w:lineRule="auto"/>
              <w:rPr>
                <w:rFonts w:ascii="Times New Roman" w:hAnsi="Times New Roman"/>
                <w:color w:val="000000"/>
                <w:sz w:val="26"/>
                <w:szCs w:val="26"/>
              </w:rPr>
            </w:pPr>
            <w:r>
              <w:rPr>
                <w:rFonts w:ascii="Times New Roman" w:hAnsi="Times New Roman"/>
                <w:color w:val="000000"/>
                <w:sz w:val="26"/>
                <w:szCs w:val="26"/>
              </w:rPr>
              <w:t>- обеспечение Общества товарами, работами и услугами требуемого качества, по минимальной стоимости и точно в срок;</w:t>
            </w:r>
          </w:p>
          <w:p w14:paraId="55F77464" w14:textId="77777777" w:rsidR="002449C2" w:rsidRDefault="00123961">
            <w:pPr>
              <w:shd w:val="clear" w:color="auto" w:fill="FFFFFF"/>
              <w:tabs>
                <w:tab w:val="left" w:pos="142"/>
              </w:tabs>
              <w:spacing w:after="0" w:line="240" w:lineRule="auto"/>
              <w:rPr>
                <w:rFonts w:ascii="Times New Roman" w:eastAsia="Times New Roman" w:hAnsi="Times New Roman"/>
                <w:sz w:val="26"/>
                <w:szCs w:val="26"/>
              </w:rPr>
            </w:pPr>
            <w:r>
              <w:rPr>
                <w:rFonts w:ascii="Times New Roman" w:hAnsi="Times New Roman"/>
                <w:color w:val="000000"/>
                <w:sz w:val="26"/>
                <w:szCs w:val="26"/>
              </w:rPr>
              <w:t>- равноправие, справедливость, отсутствие дискриминации и необоснованных ограничений конкуренции по отношению к участникам закупки;</w:t>
            </w:r>
          </w:p>
        </w:tc>
      </w:tr>
      <w:tr w:rsidR="002449C2" w14:paraId="3700539A" w14:textId="77777777">
        <w:tc>
          <w:tcPr>
            <w:tcW w:w="3184" w:type="dxa"/>
            <w:vMerge/>
            <w:shd w:val="clear" w:color="auto" w:fill="FFFFFF"/>
          </w:tcPr>
          <w:p w14:paraId="51B9D71A" w14:textId="77777777" w:rsidR="002449C2" w:rsidRDefault="002449C2">
            <w:pPr>
              <w:shd w:val="clear" w:color="auto" w:fill="FFFFFF"/>
              <w:tabs>
                <w:tab w:val="left" w:pos="142"/>
              </w:tabs>
              <w:spacing w:after="0" w:line="240" w:lineRule="auto"/>
              <w:rPr>
                <w:rFonts w:ascii="Times New Roman" w:eastAsia="Times New Roman" w:hAnsi="Times New Roman"/>
                <w:i/>
                <w:color w:val="0070C0"/>
                <w:sz w:val="24"/>
                <w:szCs w:val="24"/>
                <w:lang w:eastAsia="ru-RU"/>
              </w:rPr>
            </w:pPr>
          </w:p>
        </w:tc>
        <w:tc>
          <w:tcPr>
            <w:tcW w:w="6303" w:type="dxa"/>
            <w:gridSpan w:val="2"/>
            <w:shd w:val="clear" w:color="auto" w:fill="FFFFFF"/>
          </w:tcPr>
          <w:p w14:paraId="617DED2A" w14:textId="77777777" w:rsidR="002449C2" w:rsidRDefault="00123961">
            <w:pPr>
              <w:shd w:val="clear" w:color="auto" w:fill="FFFFFF"/>
              <w:tabs>
                <w:tab w:val="left" w:pos="142"/>
              </w:tabs>
              <w:spacing w:after="0" w:line="240" w:lineRule="auto"/>
              <w:rPr>
                <w:rFonts w:ascii="Times New Roman" w:eastAsia="Times New Roman" w:hAnsi="Times New Roman"/>
                <w:sz w:val="26"/>
                <w:szCs w:val="26"/>
              </w:rPr>
            </w:pPr>
            <w:r>
              <w:rPr>
                <w:rFonts w:ascii="Times New Roman" w:hAnsi="Times New Roman"/>
                <w:color w:val="000000"/>
                <w:sz w:val="26"/>
                <w:szCs w:val="26"/>
              </w:rPr>
              <w:t>- отсутствие ограничения допуска к участию в закупке;</w:t>
            </w:r>
          </w:p>
        </w:tc>
      </w:tr>
      <w:tr w:rsidR="002449C2" w14:paraId="36748303" w14:textId="77777777">
        <w:tc>
          <w:tcPr>
            <w:tcW w:w="3184" w:type="dxa"/>
            <w:vMerge/>
            <w:shd w:val="clear" w:color="auto" w:fill="FFFFFF"/>
          </w:tcPr>
          <w:p w14:paraId="229411A4" w14:textId="77777777" w:rsidR="002449C2" w:rsidRDefault="002449C2">
            <w:pPr>
              <w:shd w:val="clear" w:color="auto" w:fill="FFFFFF"/>
              <w:tabs>
                <w:tab w:val="left" w:pos="142"/>
              </w:tabs>
              <w:spacing w:after="0" w:line="240" w:lineRule="auto"/>
              <w:rPr>
                <w:rFonts w:ascii="Times New Roman" w:eastAsia="Times New Roman" w:hAnsi="Times New Roman"/>
                <w:i/>
                <w:color w:val="0070C0"/>
                <w:sz w:val="24"/>
                <w:szCs w:val="24"/>
                <w:lang w:eastAsia="ru-RU"/>
              </w:rPr>
            </w:pPr>
          </w:p>
        </w:tc>
        <w:tc>
          <w:tcPr>
            <w:tcW w:w="6303" w:type="dxa"/>
            <w:gridSpan w:val="2"/>
            <w:shd w:val="clear" w:color="auto" w:fill="FFFFFF"/>
          </w:tcPr>
          <w:p w14:paraId="25757A20" w14:textId="77777777" w:rsidR="002449C2" w:rsidRDefault="00123961">
            <w:pPr>
              <w:shd w:val="clear" w:color="auto" w:fill="FFFFFF"/>
              <w:tabs>
                <w:tab w:val="left" w:pos="142"/>
              </w:tabs>
              <w:spacing w:after="0" w:line="240" w:lineRule="auto"/>
              <w:rPr>
                <w:rFonts w:ascii="Times New Roman" w:hAnsi="Times New Roman"/>
                <w:color w:val="000000"/>
                <w:sz w:val="26"/>
                <w:szCs w:val="26"/>
              </w:rPr>
            </w:pPr>
            <w:r>
              <w:rPr>
                <w:rFonts w:ascii="Times New Roman" w:hAnsi="Times New Roman"/>
                <w:color w:val="000000"/>
                <w:sz w:val="26"/>
                <w:szCs w:val="26"/>
              </w:rPr>
              <w:t>- прозрачность закупочной деятельности;</w:t>
            </w:r>
          </w:p>
          <w:p w14:paraId="26DAE449" w14:textId="77777777" w:rsidR="002449C2" w:rsidRDefault="00123961">
            <w:pPr>
              <w:shd w:val="clear" w:color="auto" w:fill="FFFFFF"/>
              <w:tabs>
                <w:tab w:val="left" w:pos="142"/>
              </w:tabs>
              <w:spacing w:after="0" w:line="240" w:lineRule="auto"/>
              <w:rPr>
                <w:rFonts w:ascii="Times New Roman" w:eastAsia="Times New Roman" w:hAnsi="Times New Roman"/>
                <w:sz w:val="26"/>
                <w:szCs w:val="26"/>
              </w:rPr>
            </w:pPr>
            <w:r>
              <w:rPr>
                <w:rFonts w:ascii="Times New Roman" w:hAnsi="Times New Roman"/>
                <w:color w:val="000000"/>
                <w:sz w:val="26"/>
                <w:szCs w:val="26"/>
              </w:rPr>
              <w:t>-</w:t>
            </w:r>
            <w:r>
              <w:rPr>
                <w:rFonts w:ascii="Times New Roman" w:hAnsi="Times New Roman"/>
                <w:sz w:val="26"/>
                <w:szCs w:val="26"/>
              </w:rPr>
              <w:t xml:space="preserve"> </w:t>
            </w:r>
            <w:r>
              <w:rPr>
                <w:rFonts w:ascii="Times New Roman" w:hAnsi="Times New Roman"/>
                <w:color w:val="000000"/>
                <w:sz w:val="26"/>
                <w:szCs w:val="26"/>
              </w:rPr>
              <w:t>оптимизация системы управления закупками на основе передового опыта.</w:t>
            </w:r>
          </w:p>
        </w:tc>
      </w:tr>
      <w:tr w:rsidR="002449C2" w14:paraId="2431D964" w14:textId="77777777">
        <w:tc>
          <w:tcPr>
            <w:tcW w:w="3184" w:type="dxa"/>
            <w:vMerge/>
            <w:shd w:val="clear" w:color="auto" w:fill="FFFFFF"/>
          </w:tcPr>
          <w:p w14:paraId="2ED2D04D" w14:textId="77777777" w:rsidR="002449C2" w:rsidRDefault="002449C2">
            <w:pPr>
              <w:shd w:val="clear" w:color="auto" w:fill="FFFFFF"/>
              <w:tabs>
                <w:tab w:val="left" w:pos="142"/>
              </w:tabs>
              <w:spacing w:after="0" w:line="240" w:lineRule="auto"/>
              <w:jc w:val="center"/>
              <w:rPr>
                <w:rFonts w:ascii="Times New Roman" w:eastAsia="Times New Roman" w:hAnsi="Times New Roman"/>
                <w:i/>
                <w:color w:val="0070C0"/>
                <w:sz w:val="24"/>
                <w:szCs w:val="24"/>
                <w:lang w:eastAsia="ru-RU"/>
              </w:rPr>
            </w:pPr>
          </w:p>
        </w:tc>
        <w:tc>
          <w:tcPr>
            <w:tcW w:w="6303" w:type="dxa"/>
            <w:gridSpan w:val="2"/>
            <w:shd w:val="clear" w:color="auto" w:fill="FFFFFF"/>
          </w:tcPr>
          <w:p w14:paraId="688DD504" w14:textId="77777777" w:rsidR="002449C2" w:rsidRDefault="002449C2">
            <w:pPr>
              <w:shd w:val="clear" w:color="auto" w:fill="FFFFFF"/>
              <w:tabs>
                <w:tab w:val="left" w:pos="142"/>
              </w:tabs>
              <w:spacing w:after="0" w:line="240" w:lineRule="auto"/>
              <w:jc w:val="both"/>
              <w:rPr>
                <w:rFonts w:ascii="Times New Roman" w:eastAsia="Times New Roman" w:hAnsi="Times New Roman"/>
                <w:sz w:val="26"/>
                <w:szCs w:val="26"/>
              </w:rPr>
            </w:pPr>
          </w:p>
        </w:tc>
      </w:tr>
      <w:tr w:rsidR="002449C2" w14:paraId="3058BB54" w14:textId="77777777">
        <w:tc>
          <w:tcPr>
            <w:tcW w:w="9487" w:type="dxa"/>
            <w:gridSpan w:val="3"/>
            <w:shd w:val="clear" w:color="auto" w:fill="FFFFFF"/>
          </w:tcPr>
          <w:p w14:paraId="276D8A20" w14:textId="77777777" w:rsidR="002449C2" w:rsidRDefault="00123961">
            <w:pPr>
              <w:shd w:val="clear" w:color="auto" w:fill="FFFFFF"/>
              <w:spacing w:after="120" w:line="240" w:lineRule="auto"/>
              <w:jc w:val="both"/>
              <w:rPr>
                <w:rFonts w:ascii="Times New Roman" w:hAnsi="Times New Roman"/>
                <w:color w:val="000000"/>
                <w:sz w:val="24"/>
                <w:szCs w:val="24"/>
              </w:rPr>
            </w:pPr>
            <w:r>
              <w:rPr>
                <w:rFonts w:ascii="Times New Roman" w:hAnsi="Times New Roman"/>
                <w:sz w:val="26"/>
                <w:szCs w:val="26"/>
                <w:lang w:eastAsia="en-US"/>
              </w:rPr>
              <w:t xml:space="preserve">            Для эффективного взаимодействия с поставщиками Общество использует электронные торговые площадки </w:t>
            </w:r>
            <w:hyperlink r:id="rId110">
              <w:r>
                <w:rPr>
                  <w:rStyle w:val="ab"/>
                  <w:rFonts w:ascii="Times New Roman" w:hAnsi="Times New Roman"/>
                  <w:sz w:val="26"/>
                  <w:szCs w:val="26"/>
                  <w:lang w:eastAsia="en-US"/>
                </w:rPr>
                <w:t>www.rts-tender.ru</w:t>
              </w:r>
            </w:hyperlink>
            <w:r>
              <w:rPr>
                <w:rFonts w:ascii="Times New Roman" w:hAnsi="Times New Roman"/>
                <w:sz w:val="26"/>
                <w:szCs w:val="26"/>
                <w:lang w:eastAsia="en-US"/>
              </w:rPr>
              <w:t xml:space="preserve"> и </w:t>
            </w:r>
            <w:r>
              <w:rPr>
                <w:rStyle w:val="ab"/>
                <w:rFonts w:ascii="Times New Roman" w:hAnsi="Times New Roman"/>
                <w:sz w:val="26"/>
                <w:szCs w:val="26"/>
                <w:lang w:eastAsia="en-US"/>
              </w:rPr>
              <w:t>www.roseltorg.ru</w:t>
            </w:r>
            <w:r>
              <w:rPr>
                <w:rFonts w:ascii="Times New Roman" w:hAnsi="Times New Roman"/>
                <w:sz w:val="26"/>
                <w:szCs w:val="26"/>
                <w:lang w:eastAsia="en-US"/>
              </w:rPr>
              <w:t>, функционал которых дает возможность расширить круг привлекаемых к закупкам поставщиков, а также обеспечивает конкурентную среду, тем самым способствуя повышению эффективности закупочной деятельности Общества.</w:t>
            </w:r>
          </w:p>
        </w:tc>
      </w:tr>
    </w:tbl>
    <w:p w14:paraId="571746DA" w14:textId="77777777" w:rsidR="002449C2" w:rsidRDefault="00123961">
      <w:pPr>
        <w:keepNext/>
        <w:keepLines/>
        <w:spacing w:before="200" w:after="120" w:line="240" w:lineRule="auto"/>
        <w:ind w:left="567"/>
        <w:jc w:val="both"/>
        <w:outlineLvl w:val="2"/>
        <w:rPr>
          <w:rFonts w:ascii="Times New Roman" w:eastAsia="Times New Roman" w:hAnsi="Times New Roman"/>
          <w:b/>
          <w:sz w:val="28"/>
          <w:szCs w:val="28"/>
          <w:lang w:eastAsia="en-US" w:bidi="en-US"/>
        </w:rPr>
      </w:pPr>
      <w:bookmarkStart w:id="136" w:name="_Toc195174955"/>
      <w:bookmarkStart w:id="137" w:name="_Toc196143048"/>
      <w:r>
        <w:rPr>
          <w:rFonts w:ascii="Times New Roman" w:eastAsia="Times New Roman" w:hAnsi="Times New Roman"/>
          <w:b/>
          <w:sz w:val="28"/>
          <w:szCs w:val="28"/>
          <w:lang w:eastAsia="en-US" w:bidi="en-US"/>
        </w:rPr>
        <w:t>Способы проведения закупочных процедур</w:t>
      </w:r>
      <w:bookmarkEnd w:id="136"/>
      <w:bookmarkEnd w:id="137"/>
    </w:p>
    <w:p w14:paraId="33060205" w14:textId="77777777" w:rsidR="002449C2" w:rsidRDefault="002449C2">
      <w:pPr>
        <w:shd w:val="clear" w:color="auto" w:fill="FFFFFF"/>
        <w:tabs>
          <w:tab w:val="left" w:pos="142"/>
        </w:tabs>
        <w:spacing w:after="0" w:line="240" w:lineRule="auto"/>
        <w:jc w:val="both"/>
        <w:rPr>
          <w:rFonts w:ascii="Arial" w:eastAsia="Times New Roman" w:hAnsi="Arial" w:cs="Arial"/>
          <w:b/>
          <w:color w:val="1F497D"/>
          <w:sz w:val="24"/>
          <w:szCs w:val="24"/>
        </w:rPr>
      </w:pPr>
    </w:p>
    <w:tbl>
      <w:tblPr>
        <w:tblW w:w="5000" w:type="pct"/>
        <w:jc w:val="center"/>
        <w:tblLayout w:type="fixed"/>
        <w:tblLook w:val="04A0" w:firstRow="1" w:lastRow="0" w:firstColumn="1" w:lastColumn="0" w:noHBand="0" w:noVBand="1"/>
      </w:tblPr>
      <w:tblGrid>
        <w:gridCol w:w="2062"/>
        <w:gridCol w:w="7426"/>
      </w:tblGrid>
      <w:tr w:rsidR="002449C2" w14:paraId="4B33AB54" w14:textId="77777777">
        <w:trPr>
          <w:trHeight w:val="841"/>
          <w:jc w:val="center"/>
        </w:trPr>
        <w:tc>
          <w:tcPr>
            <w:tcW w:w="2064" w:type="dxa"/>
            <w:tcBorders>
              <w:top w:val="single" w:sz="4" w:space="0" w:color="000000"/>
              <w:left w:val="single" w:sz="4" w:space="0" w:color="000000"/>
              <w:bottom w:val="single" w:sz="4" w:space="0" w:color="000000"/>
              <w:right w:val="single" w:sz="4" w:space="0" w:color="000000"/>
            </w:tcBorders>
            <w:vAlign w:val="center"/>
          </w:tcPr>
          <w:p w14:paraId="08885814" w14:textId="77777777" w:rsidR="002449C2" w:rsidRDefault="00123961">
            <w:pPr>
              <w:spacing w:after="120" w:line="240" w:lineRule="auto"/>
              <w:jc w:val="center"/>
              <w:rPr>
                <w:rFonts w:ascii="Times New Roman" w:hAnsi="Times New Roman"/>
                <w:bCs/>
                <w:sz w:val="24"/>
                <w:szCs w:val="24"/>
                <w:lang w:eastAsia="en-US"/>
              </w:rPr>
            </w:pPr>
            <w:r>
              <w:rPr>
                <w:rFonts w:ascii="Times New Roman" w:eastAsia="Arial" w:hAnsi="Times New Roman"/>
                <w:bCs/>
                <w:sz w:val="24"/>
                <w:szCs w:val="24"/>
                <w:lang w:eastAsia="en-US"/>
              </w:rPr>
              <w:t>Конкурс</w:t>
            </w:r>
          </w:p>
        </w:tc>
        <w:tc>
          <w:tcPr>
            <w:tcW w:w="7433" w:type="dxa"/>
            <w:tcBorders>
              <w:top w:val="single" w:sz="4" w:space="0" w:color="000000"/>
              <w:left w:val="single" w:sz="4" w:space="0" w:color="000000"/>
              <w:bottom w:val="single" w:sz="4" w:space="0" w:color="000000"/>
              <w:right w:val="single" w:sz="4" w:space="0" w:color="000000"/>
            </w:tcBorders>
            <w:vAlign w:val="center"/>
          </w:tcPr>
          <w:p w14:paraId="71A7BE12" w14:textId="77777777" w:rsidR="002449C2" w:rsidRDefault="00123961">
            <w:pPr>
              <w:spacing w:after="120" w:line="240" w:lineRule="auto"/>
              <w:jc w:val="both"/>
              <w:rPr>
                <w:rFonts w:ascii="Times New Roman" w:hAnsi="Times New Roman"/>
                <w:sz w:val="24"/>
                <w:szCs w:val="24"/>
                <w:lang w:eastAsia="en-US"/>
              </w:rPr>
            </w:pPr>
            <w:r>
              <w:rPr>
                <w:rFonts w:ascii="Times New Roman" w:eastAsia="Arial" w:hAnsi="Times New Roman"/>
                <w:sz w:val="24"/>
                <w:szCs w:val="24"/>
                <w:lang w:eastAsia="en-US"/>
              </w:rPr>
              <w:t>Конкурс является основным способом закупки</w:t>
            </w:r>
            <w:r>
              <w:rPr>
                <w:rFonts w:ascii="Times New Roman" w:hAnsi="Times New Roman"/>
                <w:sz w:val="24"/>
                <w:szCs w:val="24"/>
              </w:rPr>
              <w:t xml:space="preserve"> </w:t>
            </w:r>
            <w:r>
              <w:rPr>
                <w:rFonts w:ascii="Times New Roman" w:eastAsia="Arial" w:hAnsi="Times New Roman"/>
                <w:sz w:val="24"/>
                <w:szCs w:val="24"/>
                <w:lang w:eastAsia="en-US"/>
              </w:rPr>
              <w:t>любой продукции. Выбор победителя конкурса осуществляется по совокупности критериев (не менее двух), установленных документацией о закупке.</w:t>
            </w:r>
          </w:p>
        </w:tc>
      </w:tr>
      <w:tr w:rsidR="002449C2" w14:paraId="14C23305" w14:textId="77777777">
        <w:trPr>
          <w:trHeight w:val="300"/>
          <w:jc w:val="center"/>
        </w:trPr>
        <w:tc>
          <w:tcPr>
            <w:tcW w:w="2064" w:type="dxa"/>
            <w:tcBorders>
              <w:top w:val="single" w:sz="4" w:space="0" w:color="000000"/>
              <w:left w:val="single" w:sz="4" w:space="0" w:color="000000"/>
              <w:bottom w:val="single" w:sz="4" w:space="0" w:color="000000"/>
              <w:right w:val="single" w:sz="4" w:space="0" w:color="000000"/>
            </w:tcBorders>
            <w:vAlign w:val="center"/>
          </w:tcPr>
          <w:p w14:paraId="184099D9" w14:textId="77777777" w:rsidR="002449C2" w:rsidRDefault="00123961">
            <w:pPr>
              <w:spacing w:after="120" w:line="240" w:lineRule="auto"/>
              <w:jc w:val="center"/>
              <w:rPr>
                <w:rFonts w:ascii="Times New Roman" w:hAnsi="Times New Roman"/>
                <w:bCs/>
                <w:sz w:val="24"/>
                <w:szCs w:val="24"/>
                <w:lang w:eastAsia="en-US"/>
              </w:rPr>
            </w:pPr>
            <w:r>
              <w:rPr>
                <w:rFonts w:ascii="Times New Roman" w:eastAsia="Arial" w:hAnsi="Times New Roman"/>
                <w:bCs/>
                <w:sz w:val="24"/>
                <w:szCs w:val="24"/>
                <w:lang w:eastAsia="en-US"/>
              </w:rPr>
              <w:t>Аукцион</w:t>
            </w:r>
          </w:p>
        </w:tc>
        <w:tc>
          <w:tcPr>
            <w:tcW w:w="7433" w:type="dxa"/>
            <w:tcBorders>
              <w:top w:val="single" w:sz="4" w:space="0" w:color="000000"/>
              <w:left w:val="single" w:sz="4" w:space="0" w:color="000000"/>
              <w:bottom w:val="single" w:sz="4" w:space="0" w:color="000000"/>
              <w:right w:val="single" w:sz="4" w:space="0" w:color="000000"/>
            </w:tcBorders>
            <w:vAlign w:val="center"/>
          </w:tcPr>
          <w:p w14:paraId="015AD5A1" w14:textId="77777777" w:rsidR="002449C2" w:rsidRDefault="00123961">
            <w:pPr>
              <w:spacing w:after="120" w:line="240" w:lineRule="auto"/>
              <w:jc w:val="both"/>
              <w:rPr>
                <w:rFonts w:ascii="Times New Roman" w:hAnsi="Times New Roman"/>
                <w:sz w:val="24"/>
                <w:szCs w:val="24"/>
                <w:lang w:eastAsia="en-US"/>
              </w:rPr>
            </w:pPr>
            <w:r>
              <w:rPr>
                <w:rFonts w:ascii="Times New Roman" w:eastAsia="Arial" w:hAnsi="Times New Roman"/>
                <w:sz w:val="24"/>
                <w:szCs w:val="24"/>
                <w:lang w:eastAsia="en-US"/>
              </w:rPr>
              <w:t>Аукцион может быть только одноэтапным, с проведением или без проведения предварительного квалификационного отбора (если иное не предусмотрено законодательством, в том числе при проведении спецторгов). При проведении аукциона не предусматривается постквалификация, право подачи альтернативных предложений. Аукцион проводится при закупках продукции, для которой существует конкурентный рынок производителей продукции и относительно которой инициатором закупки сформулированы подробные требования в форме технического задания. Только один критерий – цена договора.</w:t>
            </w:r>
          </w:p>
        </w:tc>
      </w:tr>
      <w:tr w:rsidR="002449C2" w14:paraId="70374C10" w14:textId="77777777">
        <w:trPr>
          <w:trHeight w:val="300"/>
          <w:jc w:val="center"/>
        </w:trPr>
        <w:tc>
          <w:tcPr>
            <w:tcW w:w="2064" w:type="dxa"/>
            <w:tcBorders>
              <w:top w:val="single" w:sz="4" w:space="0" w:color="000000"/>
              <w:left w:val="single" w:sz="4" w:space="0" w:color="000000"/>
              <w:bottom w:val="single" w:sz="4" w:space="0" w:color="000000"/>
              <w:right w:val="single" w:sz="4" w:space="0" w:color="000000"/>
            </w:tcBorders>
            <w:vAlign w:val="center"/>
          </w:tcPr>
          <w:p w14:paraId="792BFCC3" w14:textId="77777777" w:rsidR="002449C2" w:rsidRDefault="00123961">
            <w:pPr>
              <w:spacing w:after="120" w:line="240" w:lineRule="auto"/>
              <w:jc w:val="center"/>
              <w:rPr>
                <w:rFonts w:ascii="Times New Roman" w:hAnsi="Times New Roman"/>
                <w:bCs/>
                <w:sz w:val="24"/>
                <w:szCs w:val="24"/>
                <w:lang w:eastAsia="en-US"/>
              </w:rPr>
            </w:pPr>
            <w:r>
              <w:rPr>
                <w:rFonts w:ascii="Times New Roman" w:eastAsia="Arial" w:hAnsi="Times New Roman"/>
                <w:bCs/>
                <w:sz w:val="24"/>
                <w:szCs w:val="24"/>
                <w:lang w:eastAsia="en-US"/>
              </w:rPr>
              <w:t>Запрос предложений</w:t>
            </w:r>
          </w:p>
        </w:tc>
        <w:tc>
          <w:tcPr>
            <w:tcW w:w="7433" w:type="dxa"/>
            <w:tcBorders>
              <w:top w:val="single" w:sz="4" w:space="0" w:color="000000"/>
              <w:left w:val="single" w:sz="4" w:space="0" w:color="000000"/>
              <w:bottom w:val="single" w:sz="4" w:space="0" w:color="000000"/>
              <w:right w:val="single" w:sz="4" w:space="0" w:color="000000"/>
            </w:tcBorders>
            <w:vAlign w:val="center"/>
          </w:tcPr>
          <w:p w14:paraId="278CC827" w14:textId="77777777" w:rsidR="002449C2" w:rsidRDefault="00123961">
            <w:pPr>
              <w:spacing w:after="120" w:line="240" w:lineRule="auto"/>
              <w:jc w:val="both"/>
              <w:rPr>
                <w:rFonts w:ascii="Times New Roman" w:eastAsia="Arial" w:hAnsi="Times New Roman"/>
                <w:sz w:val="24"/>
                <w:szCs w:val="24"/>
                <w:lang w:eastAsia="en-US"/>
              </w:rPr>
            </w:pPr>
            <w:r>
              <w:rPr>
                <w:rFonts w:ascii="Times New Roman" w:eastAsia="Arial" w:hAnsi="Times New Roman"/>
                <w:sz w:val="24"/>
                <w:szCs w:val="24"/>
                <w:lang w:eastAsia="en-US"/>
              </w:rPr>
              <w:t>Запрос предложений проводится при закупках любой продукции при одновременном соблюдении следующих условий:</w:t>
            </w:r>
          </w:p>
          <w:p w14:paraId="5EE75369" w14:textId="77777777" w:rsidR="002449C2" w:rsidRDefault="00123961">
            <w:pPr>
              <w:spacing w:after="120" w:line="240" w:lineRule="auto"/>
              <w:jc w:val="both"/>
              <w:rPr>
                <w:rFonts w:ascii="Times New Roman" w:eastAsia="Arial" w:hAnsi="Times New Roman"/>
                <w:sz w:val="24"/>
                <w:szCs w:val="24"/>
                <w:lang w:eastAsia="en-US"/>
              </w:rPr>
            </w:pPr>
            <w:r>
              <w:rPr>
                <w:rFonts w:ascii="Times New Roman" w:eastAsia="Arial" w:hAnsi="Times New Roman"/>
                <w:sz w:val="24"/>
                <w:szCs w:val="24"/>
                <w:lang w:eastAsia="en-US"/>
              </w:rPr>
              <w:t>а)</w:t>
            </w:r>
            <w:r>
              <w:rPr>
                <w:rFonts w:ascii="Times New Roman" w:eastAsia="Arial" w:hAnsi="Times New Roman"/>
                <w:sz w:val="24"/>
                <w:szCs w:val="24"/>
                <w:lang w:eastAsia="en-US"/>
              </w:rPr>
              <w:tab/>
              <w:t>начальная (максимальная) цена договора не превышает 15 (пятнадцать) миллионов рублей с НДС (либо без НДС, если закупка продукции не облагается НДС либо НДС равен 0);</w:t>
            </w:r>
          </w:p>
          <w:p w14:paraId="6B77DBC7" w14:textId="77777777" w:rsidR="002449C2" w:rsidRDefault="00123961">
            <w:pPr>
              <w:spacing w:after="120" w:line="240" w:lineRule="auto"/>
              <w:jc w:val="both"/>
              <w:rPr>
                <w:rFonts w:ascii="Times New Roman" w:hAnsi="Times New Roman"/>
                <w:sz w:val="24"/>
                <w:szCs w:val="24"/>
                <w:lang w:eastAsia="en-US"/>
              </w:rPr>
            </w:pPr>
            <w:r>
              <w:rPr>
                <w:rFonts w:ascii="Times New Roman" w:eastAsia="Arial" w:hAnsi="Times New Roman"/>
                <w:sz w:val="24"/>
                <w:szCs w:val="24"/>
                <w:lang w:eastAsia="en-US"/>
              </w:rPr>
              <w:t>б)</w:t>
            </w:r>
            <w:r>
              <w:rPr>
                <w:rFonts w:ascii="Times New Roman" w:eastAsia="Arial" w:hAnsi="Times New Roman"/>
                <w:sz w:val="24"/>
                <w:szCs w:val="24"/>
                <w:lang w:eastAsia="en-US"/>
              </w:rPr>
              <w:tab/>
              <w:t>выбор победителя запроса предложений осуществляется по совокупности критериев (не менее двух), установленных документацией о закупке.</w:t>
            </w:r>
          </w:p>
        </w:tc>
      </w:tr>
      <w:tr w:rsidR="002449C2" w14:paraId="173AE3E9" w14:textId="77777777">
        <w:trPr>
          <w:trHeight w:val="1020"/>
          <w:jc w:val="center"/>
        </w:trPr>
        <w:tc>
          <w:tcPr>
            <w:tcW w:w="2064" w:type="dxa"/>
            <w:tcBorders>
              <w:top w:val="single" w:sz="4" w:space="0" w:color="000000"/>
              <w:left w:val="single" w:sz="4" w:space="0" w:color="000000"/>
              <w:bottom w:val="single" w:sz="4" w:space="0" w:color="000000"/>
              <w:right w:val="single" w:sz="4" w:space="0" w:color="000000"/>
            </w:tcBorders>
            <w:vAlign w:val="center"/>
          </w:tcPr>
          <w:p w14:paraId="146DFBE0" w14:textId="77777777" w:rsidR="002449C2" w:rsidRDefault="00123961">
            <w:pPr>
              <w:spacing w:after="120" w:line="240" w:lineRule="auto"/>
              <w:jc w:val="center"/>
              <w:rPr>
                <w:rFonts w:ascii="Times New Roman" w:hAnsi="Times New Roman"/>
                <w:bCs/>
                <w:sz w:val="24"/>
                <w:szCs w:val="24"/>
                <w:lang w:eastAsia="en-US"/>
              </w:rPr>
            </w:pPr>
            <w:r>
              <w:rPr>
                <w:rFonts w:ascii="Times New Roman" w:eastAsia="Arial" w:hAnsi="Times New Roman"/>
                <w:bCs/>
                <w:sz w:val="24"/>
                <w:szCs w:val="24"/>
                <w:lang w:eastAsia="en-US"/>
              </w:rPr>
              <w:t>Запрос котировок</w:t>
            </w:r>
          </w:p>
        </w:tc>
        <w:tc>
          <w:tcPr>
            <w:tcW w:w="7433" w:type="dxa"/>
            <w:tcBorders>
              <w:top w:val="single" w:sz="4" w:space="0" w:color="000000"/>
              <w:left w:val="single" w:sz="4" w:space="0" w:color="000000"/>
              <w:bottom w:val="single" w:sz="4" w:space="0" w:color="000000"/>
              <w:right w:val="single" w:sz="4" w:space="0" w:color="000000"/>
            </w:tcBorders>
            <w:vAlign w:val="center"/>
          </w:tcPr>
          <w:p w14:paraId="5A646FCE" w14:textId="77777777" w:rsidR="002449C2" w:rsidRDefault="00123961">
            <w:pPr>
              <w:spacing w:after="120" w:line="240" w:lineRule="auto"/>
              <w:rPr>
                <w:rFonts w:ascii="Times New Roman" w:eastAsia="Arial" w:hAnsi="Times New Roman"/>
                <w:sz w:val="24"/>
                <w:szCs w:val="24"/>
                <w:lang w:eastAsia="en-US"/>
              </w:rPr>
            </w:pPr>
            <w:r>
              <w:rPr>
                <w:rFonts w:ascii="Times New Roman" w:eastAsia="Arial" w:hAnsi="Times New Roman"/>
                <w:sz w:val="24"/>
                <w:szCs w:val="24"/>
                <w:lang w:eastAsia="en-US"/>
              </w:rPr>
              <w:t>Запрос котировок проводится при закупках продукции, для которой существует конкурентный рынок производителей продукции и относительно которой Инициатором закупки сформулированы подробные требования в форме технического задания при одновременном соблюдении следующих условий:</w:t>
            </w:r>
          </w:p>
          <w:p w14:paraId="5A220AD9" w14:textId="77777777" w:rsidR="002449C2" w:rsidRDefault="00123961">
            <w:pPr>
              <w:spacing w:after="120" w:line="240" w:lineRule="auto"/>
              <w:rPr>
                <w:rFonts w:ascii="Times New Roman" w:eastAsia="Arial" w:hAnsi="Times New Roman"/>
                <w:sz w:val="24"/>
                <w:szCs w:val="24"/>
                <w:lang w:eastAsia="en-US"/>
              </w:rPr>
            </w:pPr>
            <w:r>
              <w:rPr>
                <w:rFonts w:ascii="Times New Roman" w:eastAsia="Arial" w:hAnsi="Times New Roman"/>
                <w:sz w:val="24"/>
                <w:szCs w:val="24"/>
                <w:lang w:eastAsia="en-US"/>
              </w:rPr>
              <w:t>а)</w:t>
            </w:r>
            <w:r>
              <w:rPr>
                <w:rFonts w:ascii="Times New Roman" w:eastAsia="Arial" w:hAnsi="Times New Roman"/>
                <w:sz w:val="24"/>
                <w:szCs w:val="24"/>
                <w:lang w:eastAsia="en-US"/>
              </w:rPr>
              <w:tab/>
              <w:t>начальная (максимальная) цена договора не превышает 7 (семь) миллионов рублей с НДС (либо без НДС, если закупка продукции не облагается НДС либо НДС равен 0);</w:t>
            </w:r>
          </w:p>
          <w:p w14:paraId="67071EF1" w14:textId="77777777" w:rsidR="002449C2" w:rsidRDefault="00123961">
            <w:pPr>
              <w:spacing w:after="120" w:line="240" w:lineRule="auto"/>
              <w:rPr>
                <w:rFonts w:ascii="Times New Roman" w:hAnsi="Times New Roman"/>
                <w:sz w:val="24"/>
                <w:szCs w:val="24"/>
                <w:lang w:eastAsia="en-US"/>
              </w:rPr>
            </w:pPr>
            <w:r>
              <w:rPr>
                <w:rFonts w:ascii="Times New Roman" w:eastAsia="Arial" w:hAnsi="Times New Roman"/>
                <w:sz w:val="24"/>
                <w:szCs w:val="24"/>
                <w:lang w:eastAsia="en-US"/>
              </w:rPr>
              <w:t>б)</w:t>
            </w:r>
            <w:r>
              <w:rPr>
                <w:rFonts w:ascii="Times New Roman" w:eastAsia="Arial" w:hAnsi="Times New Roman"/>
                <w:sz w:val="24"/>
                <w:szCs w:val="24"/>
                <w:lang w:eastAsia="en-US"/>
              </w:rPr>
              <w:tab/>
              <w:t>выбор победителя будет осуществлен на основании только одного критерия – цены договора.</w:t>
            </w:r>
          </w:p>
        </w:tc>
      </w:tr>
      <w:tr w:rsidR="002449C2" w14:paraId="0FA4F032" w14:textId="77777777">
        <w:trPr>
          <w:trHeight w:val="1020"/>
          <w:jc w:val="center"/>
        </w:trPr>
        <w:tc>
          <w:tcPr>
            <w:tcW w:w="2064" w:type="dxa"/>
            <w:tcBorders>
              <w:top w:val="single" w:sz="4" w:space="0" w:color="000000"/>
              <w:left w:val="single" w:sz="4" w:space="0" w:color="000000"/>
              <w:bottom w:val="single" w:sz="4" w:space="0" w:color="000000"/>
              <w:right w:val="single" w:sz="4" w:space="0" w:color="000000"/>
            </w:tcBorders>
          </w:tcPr>
          <w:p w14:paraId="49462BC0" w14:textId="77777777" w:rsidR="002449C2" w:rsidRDefault="00123961">
            <w:pPr>
              <w:spacing w:after="120" w:line="240" w:lineRule="auto"/>
              <w:jc w:val="center"/>
              <w:rPr>
                <w:rFonts w:ascii="Times New Roman" w:hAnsi="Times New Roman"/>
                <w:sz w:val="24"/>
                <w:szCs w:val="24"/>
                <w:lang w:eastAsia="en-US"/>
              </w:rPr>
            </w:pPr>
            <w:r>
              <w:rPr>
                <w:rFonts w:ascii="Times New Roman" w:eastAsia="Arial" w:hAnsi="Times New Roman"/>
                <w:sz w:val="24"/>
                <w:szCs w:val="24"/>
                <w:lang w:eastAsia="en-US"/>
              </w:rPr>
              <w:t>Конкурентный отбор</w:t>
            </w:r>
          </w:p>
        </w:tc>
        <w:tc>
          <w:tcPr>
            <w:tcW w:w="7433" w:type="dxa"/>
            <w:tcBorders>
              <w:top w:val="single" w:sz="4" w:space="0" w:color="000000"/>
              <w:left w:val="single" w:sz="4" w:space="0" w:color="000000"/>
              <w:bottom w:val="single" w:sz="4" w:space="0" w:color="000000"/>
              <w:right w:val="single" w:sz="4" w:space="0" w:color="000000"/>
            </w:tcBorders>
          </w:tcPr>
          <w:p w14:paraId="240930E1" w14:textId="77777777" w:rsidR="002449C2" w:rsidRDefault="00123961">
            <w:pPr>
              <w:spacing w:after="120" w:line="240" w:lineRule="auto"/>
              <w:rPr>
                <w:rFonts w:ascii="Times New Roman" w:hAnsi="Times New Roman"/>
                <w:sz w:val="24"/>
                <w:szCs w:val="24"/>
                <w:lang w:eastAsia="en-US"/>
              </w:rPr>
            </w:pPr>
            <w:r>
              <w:rPr>
                <w:rFonts w:ascii="Times New Roman" w:eastAsia="Arial" w:hAnsi="Times New Roman"/>
                <w:sz w:val="24"/>
                <w:szCs w:val="24"/>
                <w:lang w:eastAsia="en-US"/>
              </w:rPr>
              <w:t>Конкурентный отбор с заключением по результатам таких процедур соглашений с несколькими победителями проводятся в случаях, когда на момент проведения закупки Заказчик не может определить конкретные объемы и (или) сроки поставки продукции (выполнения работ/оказания услуг). По результатам конкурентного отбора среди победителей таких процедур проводятся запросы цен, в целях удовлетворения возникающих в течение срока действия соглашений потребностей в продукции. Конкурентный отбор проводятся без ограничений по размеру начальной (максимальной) цены договора.</w:t>
            </w:r>
          </w:p>
        </w:tc>
      </w:tr>
      <w:tr w:rsidR="002449C2" w14:paraId="4D753473" w14:textId="77777777">
        <w:trPr>
          <w:trHeight w:val="1020"/>
          <w:jc w:val="center"/>
        </w:trPr>
        <w:tc>
          <w:tcPr>
            <w:tcW w:w="2064" w:type="dxa"/>
            <w:tcBorders>
              <w:top w:val="single" w:sz="4" w:space="0" w:color="000000"/>
              <w:left w:val="single" w:sz="4" w:space="0" w:color="000000"/>
              <w:bottom w:val="single" w:sz="4" w:space="0" w:color="000000"/>
              <w:right w:val="single" w:sz="4" w:space="0" w:color="000000"/>
            </w:tcBorders>
            <w:vAlign w:val="center"/>
          </w:tcPr>
          <w:p w14:paraId="459F7A71" w14:textId="77777777" w:rsidR="002449C2" w:rsidRDefault="00123961">
            <w:pPr>
              <w:spacing w:after="120" w:line="240" w:lineRule="auto"/>
              <w:jc w:val="center"/>
              <w:rPr>
                <w:rFonts w:ascii="Times New Roman" w:hAnsi="Times New Roman"/>
                <w:bCs/>
                <w:sz w:val="24"/>
                <w:szCs w:val="24"/>
                <w:lang w:eastAsia="en-US"/>
              </w:rPr>
            </w:pPr>
            <w:r>
              <w:rPr>
                <w:rFonts w:ascii="Times New Roman" w:eastAsia="Arial" w:hAnsi="Times New Roman"/>
                <w:bCs/>
                <w:sz w:val="24"/>
                <w:szCs w:val="24"/>
                <w:lang w:eastAsia="en-US"/>
              </w:rPr>
              <w:t>Запрос цен по результатам конкурентного отбора</w:t>
            </w:r>
          </w:p>
        </w:tc>
        <w:tc>
          <w:tcPr>
            <w:tcW w:w="7433" w:type="dxa"/>
            <w:tcBorders>
              <w:top w:val="single" w:sz="4" w:space="0" w:color="000000"/>
              <w:left w:val="single" w:sz="4" w:space="0" w:color="000000"/>
              <w:bottom w:val="single" w:sz="4" w:space="0" w:color="000000"/>
              <w:right w:val="single" w:sz="4" w:space="0" w:color="000000"/>
            </w:tcBorders>
            <w:vAlign w:val="center"/>
          </w:tcPr>
          <w:p w14:paraId="12291772" w14:textId="77777777" w:rsidR="002449C2" w:rsidRDefault="00123961">
            <w:pPr>
              <w:spacing w:after="120" w:line="240" w:lineRule="auto"/>
              <w:rPr>
                <w:rFonts w:ascii="Times New Roman" w:hAnsi="Times New Roman"/>
                <w:sz w:val="24"/>
                <w:szCs w:val="24"/>
                <w:lang w:eastAsia="en-US"/>
              </w:rPr>
            </w:pPr>
            <w:r>
              <w:rPr>
                <w:rFonts w:ascii="Times New Roman" w:eastAsia="Arial" w:hAnsi="Times New Roman"/>
                <w:sz w:val="24"/>
                <w:szCs w:val="24"/>
                <w:lang w:eastAsia="en-US"/>
              </w:rPr>
              <w:t>Запрос цен по результатам конкурентного отбора проводится только среди победителей конкурентного отбора без ограничений по размеру начальной (максимальной) цены договора (лота)</w:t>
            </w:r>
          </w:p>
        </w:tc>
      </w:tr>
      <w:tr w:rsidR="002449C2" w14:paraId="7B4E4BDD" w14:textId="77777777">
        <w:trPr>
          <w:trHeight w:val="1020"/>
          <w:jc w:val="center"/>
        </w:trPr>
        <w:tc>
          <w:tcPr>
            <w:tcW w:w="2064" w:type="dxa"/>
            <w:tcBorders>
              <w:top w:val="single" w:sz="4" w:space="0" w:color="000000"/>
              <w:left w:val="single" w:sz="4" w:space="0" w:color="000000"/>
              <w:bottom w:val="single" w:sz="4" w:space="0" w:color="000000"/>
              <w:right w:val="single" w:sz="4" w:space="0" w:color="000000"/>
            </w:tcBorders>
            <w:vAlign w:val="center"/>
          </w:tcPr>
          <w:p w14:paraId="2469F6EC" w14:textId="77777777" w:rsidR="002449C2" w:rsidRDefault="00123961">
            <w:pPr>
              <w:spacing w:after="120" w:line="240" w:lineRule="auto"/>
              <w:jc w:val="center"/>
              <w:rPr>
                <w:rFonts w:ascii="Times New Roman" w:hAnsi="Times New Roman"/>
                <w:bCs/>
                <w:sz w:val="24"/>
                <w:szCs w:val="24"/>
                <w:lang w:eastAsia="en-US"/>
              </w:rPr>
            </w:pPr>
            <w:r>
              <w:rPr>
                <w:rFonts w:ascii="Times New Roman" w:eastAsia="Arial" w:hAnsi="Times New Roman"/>
                <w:bCs/>
                <w:sz w:val="24"/>
                <w:szCs w:val="24"/>
                <w:lang w:eastAsia="en-US"/>
              </w:rPr>
              <w:t>Предварительный отбор</w:t>
            </w:r>
          </w:p>
        </w:tc>
        <w:tc>
          <w:tcPr>
            <w:tcW w:w="7433" w:type="dxa"/>
            <w:tcBorders>
              <w:top w:val="single" w:sz="4" w:space="0" w:color="000000"/>
              <w:left w:val="single" w:sz="4" w:space="0" w:color="000000"/>
              <w:bottom w:val="single" w:sz="4" w:space="0" w:color="000000"/>
              <w:right w:val="single" w:sz="4" w:space="0" w:color="000000"/>
            </w:tcBorders>
            <w:vAlign w:val="center"/>
          </w:tcPr>
          <w:p w14:paraId="103278BB" w14:textId="77777777" w:rsidR="002449C2" w:rsidRDefault="00123961">
            <w:pPr>
              <w:spacing w:after="120" w:line="240" w:lineRule="auto"/>
              <w:rPr>
                <w:rFonts w:ascii="Times New Roman" w:hAnsi="Times New Roman"/>
                <w:sz w:val="24"/>
                <w:szCs w:val="24"/>
                <w:lang w:eastAsia="en-US"/>
              </w:rPr>
            </w:pPr>
            <w:r>
              <w:rPr>
                <w:rFonts w:ascii="Times New Roman" w:eastAsia="Arial" w:hAnsi="Times New Roman"/>
                <w:sz w:val="24"/>
                <w:szCs w:val="24"/>
                <w:lang w:eastAsia="en-US"/>
              </w:rPr>
              <w:t>Предварительный отбор, с заключением по результатам таких процедур соглашений с несколькими победителями проводятся в случаях, когда на момент проведения закупки Заказчик не может определить конкретные объемы и (или) сроки поставки продукции (выполнения работ/оказания услуг). По результатам предварительного отбора среди победителей таких процедур проводятся запросы цен, в целях удовлетворения возникающих в течение срока действия соглашений потребностей в продукции. Предварительный отбор проводится без ограничений по размеру начальной (максимальной) цены договора.</w:t>
            </w:r>
          </w:p>
        </w:tc>
      </w:tr>
      <w:tr w:rsidR="002449C2" w14:paraId="7FCAABA5" w14:textId="77777777">
        <w:trPr>
          <w:trHeight w:val="1020"/>
          <w:jc w:val="center"/>
        </w:trPr>
        <w:tc>
          <w:tcPr>
            <w:tcW w:w="2064" w:type="dxa"/>
            <w:tcBorders>
              <w:top w:val="single" w:sz="4" w:space="0" w:color="000000"/>
              <w:left w:val="single" w:sz="4" w:space="0" w:color="000000"/>
              <w:bottom w:val="single" w:sz="4" w:space="0" w:color="000000"/>
              <w:right w:val="single" w:sz="4" w:space="0" w:color="000000"/>
            </w:tcBorders>
            <w:vAlign w:val="center"/>
          </w:tcPr>
          <w:p w14:paraId="05C14464" w14:textId="77777777" w:rsidR="002449C2" w:rsidRDefault="00123961">
            <w:pPr>
              <w:spacing w:after="120" w:line="240" w:lineRule="auto"/>
              <w:jc w:val="center"/>
              <w:rPr>
                <w:rFonts w:ascii="Times New Roman" w:hAnsi="Times New Roman"/>
                <w:bCs/>
                <w:sz w:val="24"/>
                <w:szCs w:val="24"/>
                <w:lang w:eastAsia="en-US"/>
              </w:rPr>
            </w:pPr>
            <w:r>
              <w:rPr>
                <w:rFonts w:ascii="Times New Roman" w:eastAsia="Arial" w:hAnsi="Times New Roman"/>
                <w:bCs/>
                <w:sz w:val="24"/>
                <w:szCs w:val="24"/>
                <w:lang w:eastAsia="en-US"/>
              </w:rPr>
              <w:t>Запрос цен по результатам предварительного отбора</w:t>
            </w:r>
          </w:p>
        </w:tc>
        <w:tc>
          <w:tcPr>
            <w:tcW w:w="7433" w:type="dxa"/>
            <w:tcBorders>
              <w:top w:val="single" w:sz="4" w:space="0" w:color="000000"/>
              <w:left w:val="single" w:sz="4" w:space="0" w:color="000000"/>
              <w:bottom w:val="single" w:sz="4" w:space="0" w:color="000000"/>
              <w:right w:val="single" w:sz="4" w:space="0" w:color="000000"/>
            </w:tcBorders>
            <w:vAlign w:val="center"/>
          </w:tcPr>
          <w:p w14:paraId="62696168" w14:textId="77777777" w:rsidR="002449C2" w:rsidRDefault="00123961">
            <w:pPr>
              <w:spacing w:after="120" w:line="240" w:lineRule="auto"/>
              <w:rPr>
                <w:rFonts w:ascii="Times New Roman" w:hAnsi="Times New Roman"/>
                <w:sz w:val="24"/>
                <w:szCs w:val="24"/>
                <w:lang w:eastAsia="en-US"/>
              </w:rPr>
            </w:pPr>
            <w:r>
              <w:rPr>
                <w:rFonts w:ascii="Times New Roman" w:eastAsia="Arial" w:hAnsi="Times New Roman"/>
                <w:sz w:val="24"/>
                <w:szCs w:val="24"/>
                <w:lang w:eastAsia="en-US"/>
              </w:rPr>
              <w:t>Запрос цен по результатам предварительного отбора проводится только среди победителей предварительного отбора без ограничений по размеру начальной (максимальной) цены договора</w:t>
            </w:r>
          </w:p>
        </w:tc>
      </w:tr>
      <w:tr w:rsidR="002449C2" w14:paraId="3C2E9FF1" w14:textId="77777777">
        <w:trPr>
          <w:trHeight w:val="1020"/>
          <w:jc w:val="center"/>
        </w:trPr>
        <w:tc>
          <w:tcPr>
            <w:tcW w:w="2064" w:type="dxa"/>
            <w:tcBorders>
              <w:top w:val="single" w:sz="4" w:space="0" w:color="000000"/>
              <w:left w:val="single" w:sz="4" w:space="0" w:color="000000"/>
              <w:bottom w:val="single" w:sz="4" w:space="0" w:color="000000"/>
              <w:right w:val="single" w:sz="4" w:space="0" w:color="000000"/>
            </w:tcBorders>
            <w:vAlign w:val="center"/>
          </w:tcPr>
          <w:p w14:paraId="1D27C31E" w14:textId="77777777" w:rsidR="002449C2" w:rsidRDefault="00123961">
            <w:pPr>
              <w:spacing w:after="120" w:line="240" w:lineRule="auto"/>
              <w:jc w:val="center"/>
              <w:rPr>
                <w:rFonts w:ascii="Times New Roman" w:hAnsi="Times New Roman"/>
                <w:bCs/>
                <w:sz w:val="24"/>
                <w:szCs w:val="24"/>
                <w:lang w:eastAsia="en-US"/>
              </w:rPr>
            </w:pPr>
            <w:r>
              <w:rPr>
                <w:rFonts w:ascii="Times New Roman" w:eastAsia="Arial" w:hAnsi="Times New Roman"/>
                <w:bCs/>
                <w:sz w:val="24"/>
                <w:szCs w:val="24"/>
                <w:lang w:eastAsia="en-US"/>
              </w:rPr>
              <w:t>Закупка путем участия в процедурах, организованных продавцами продукции.</w:t>
            </w:r>
          </w:p>
        </w:tc>
        <w:tc>
          <w:tcPr>
            <w:tcW w:w="7433" w:type="dxa"/>
            <w:tcBorders>
              <w:top w:val="single" w:sz="4" w:space="0" w:color="000000"/>
              <w:left w:val="single" w:sz="4" w:space="0" w:color="000000"/>
              <w:bottom w:val="single" w:sz="4" w:space="0" w:color="000000"/>
              <w:right w:val="single" w:sz="4" w:space="0" w:color="000000"/>
            </w:tcBorders>
            <w:vAlign w:val="center"/>
          </w:tcPr>
          <w:p w14:paraId="19751836" w14:textId="77777777" w:rsidR="002449C2" w:rsidRDefault="00123961">
            <w:pPr>
              <w:spacing w:after="120" w:line="240" w:lineRule="auto"/>
              <w:rPr>
                <w:rFonts w:ascii="Times New Roman" w:hAnsi="Times New Roman"/>
                <w:sz w:val="24"/>
                <w:szCs w:val="24"/>
                <w:lang w:eastAsia="en-US"/>
              </w:rPr>
            </w:pPr>
            <w:r>
              <w:rPr>
                <w:rFonts w:ascii="Times New Roman" w:eastAsia="Arial" w:hAnsi="Times New Roman"/>
                <w:sz w:val="24"/>
                <w:szCs w:val="24"/>
                <w:lang w:eastAsia="en-US"/>
              </w:rPr>
              <w:t>По решению ЦЗО Заказчика закупка производится путем участия Заказчика в аукционах, конкурсах или иных процедурах, организуемых продавцами продукции (в том числе на ЭП) в случае наличия потребности в продукции, приобретение которой возможно только путем участия в таких процедурах.</w:t>
            </w:r>
          </w:p>
        </w:tc>
      </w:tr>
      <w:tr w:rsidR="002449C2" w14:paraId="50CB9134" w14:textId="77777777">
        <w:trPr>
          <w:trHeight w:val="1020"/>
          <w:jc w:val="center"/>
        </w:trPr>
        <w:tc>
          <w:tcPr>
            <w:tcW w:w="2064" w:type="dxa"/>
            <w:tcBorders>
              <w:top w:val="single" w:sz="4" w:space="0" w:color="000000"/>
              <w:left w:val="single" w:sz="4" w:space="0" w:color="000000"/>
              <w:bottom w:val="single" w:sz="4" w:space="0" w:color="000000"/>
              <w:right w:val="single" w:sz="4" w:space="0" w:color="000000"/>
            </w:tcBorders>
            <w:vAlign w:val="center"/>
          </w:tcPr>
          <w:p w14:paraId="63BAAF99" w14:textId="77777777" w:rsidR="002449C2" w:rsidRDefault="00123961">
            <w:pPr>
              <w:spacing w:after="120" w:line="240" w:lineRule="auto"/>
              <w:jc w:val="center"/>
              <w:rPr>
                <w:rFonts w:ascii="Times New Roman" w:hAnsi="Times New Roman"/>
                <w:bCs/>
                <w:sz w:val="24"/>
                <w:szCs w:val="24"/>
                <w:lang w:eastAsia="en-US"/>
              </w:rPr>
            </w:pPr>
            <w:r>
              <w:rPr>
                <w:rFonts w:ascii="Times New Roman" w:eastAsia="Arial" w:hAnsi="Times New Roman"/>
                <w:bCs/>
                <w:sz w:val="24"/>
                <w:szCs w:val="24"/>
                <w:lang w:eastAsia="en-US"/>
              </w:rPr>
              <w:t>Закупка в электронном магазине</w:t>
            </w:r>
          </w:p>
        </w:tc>
        <w:tc>
          <w:tcPr>
            <w:tcW w:w="7433" w:type="dxa"/>
            <w:tcBorders>
              <w:top w:val="single" w:sz="4" w:space="0" w:color="000000"/>
              <w:left w:val="single" w:sz="4" w:space="0" w:color="000000"/>
              <w:bottom w:val="single" w:sz="4" w:space="0" w:color="000000"/>
              <w:right w:val="single" w:sz="4" w:space="0" w:color="000000"/>
            </w:tcBorders>
            <w:vAlign w:val="center"/>
          </w:tcPr>
          <w:p w14:paraId="0BEF72A0" w14:textId="77777777" w:rsidR="002449C2" w:rsidRDefault="00123961">
            <w:pPr>
              <w:spacing w:after="120" w:line="240" w:lineRule="auto"/>
              <w:rPr>
                <w:rFonts w:ascii="Times New Roman" w:eastAsia="Arial" w:hAnsi="Times New Roman"/>
                <w:bCs/>
                <w:sz w:val="24"/>
                <w:szCs w:val="24"/>
                <w:lang w:eastAsia="en-US"/>
              </w:rPr>
            </w:pPr>
            <w:r>
              <w:rPr>
                <w:rFonts w:ascii="Times New Roman" w:eastAsia="Arial" w:hAnsi="Times New Roman"/>
                <w:bCs/>
                <w:sz w:val="24"/>
                <w:szCs w:val="24"/>
                <w:lang w:eastAsia="en-US"/>
              </w:rPr>
              <w:t>Неконкурентный электронный способ закупки, применяется при закупках любой продукции при соблюдении следующих условий:</w:t>
            </w:r>
          </w:p>
          <w:p w14:paraId="7C0D2921" w14:textId="77777777" w:rsidR="002449C2" w:rsidRDefault="00123961">
            <w:pPr>
              <w:spacing w:after="120" w:line="240" w:lineRule="auto"/>
              <w:rPr>
                <w:rFonts w:ascii="Times New Roman" w:eastAsia="Arial" w:hAnsi="Times New Roman"/>
                <w:bCs/>
                <w:sz w:val="24"/>
                <w:szCs w:val="24"/>
                <w:lang w:eastAsia="en-US"/>
              </w:rPr>
            </w:pPr>
            <w:r>
              <w:rPr>
                <w:rFonts w:ascii="Times New Roman" w:eastAsia="Arial" w:hAnsi="Times New Roman"/>
                <w:bCs/>
                <w:sz w:val="24"/>
                <w:szCs w:val="24"/>
                <w:lang w:eastAsia="en-US"/>
              </w:rPr>
              <w:t>а) начальная (максимальная) цена договора не превышает 20 (двадцать) миллионов рублей;</w:t>
            </w:r>
          </w:p>
          <w:p w14:paraId="1FEFE25B" w14:textId="77777777" w:rsidR="002449C2" w:rsidRDefault="00123961">
            <w:pPr>
              <w:spacing w:after="120" w:line="240" w:lineRule="auto"/>
              <w:rPr>
                <w:rFonts w:ascii="Times New Roman" w:hAnsi="Times New Roman"/>
                <w:sz w:val="24"/>
                <w:szCs w:val="24"/>
                <w:lang w:eastAsia="en-US"/>
              </w:rPr>
            </w:pPr>
            <w:r>
              <w:rPr>
                <w:rFonts w:ascii="Times New Roman" w:eastAsia="Arial" w:hAnsi="Times New Roman"/>
                <w:bCs/>
                <w:sz w:val="24"/>
                <w:szCs w:val="24"/>
                <w:lang w:eastAsia="en-US"/>
              </w:rPr>
              <w:t>б) выбор победителя осуществляется по критериям оценки, установленным в извещении о закупке.</w:t>
            </w:r>
          </w:p>
        </w:tc>
      </w:tr>
      <w:tr w:rsidR="002449C2" w14:paraId="24F50EAF" w14:textId="77777777">
        <w:trPr>
          <w:trHeight w:val="1020"/>
          <w:jc w:val="center"/>
        </w:trPr>
        <w:tc>
          <w:tcPr>
            <w:tcW w:w="2064" w:type="dxa"/>
            <w:tcBorders>
              <w:top w:val="single" w:sz="4" w:space="0" w:color="000000"/>
              <w:left w:val="single" w:sz="4" w:space="0" w:color="000000"/>
              <w:bottom w:val="single" w:sz="4" w:space="0" w:color="000000"/>
              <w:right w:val="single" w:sz="4" w:space="0" w:color="000000"/>
            </w:tcBorders>
            <w:vAlign w:val="center"/>
          </w:tcPr>
          <w:p w14:paraId="2C8E510F" w14:textId="77777777" w:rsidR="002449C2" w:rsidRDefault="00123961">
            <w:pPr>
              <w:spacing w:after="120" w:line="240" w:lineRule="auto"/>
              <w:jc w:val="center"/>
              <w:rPr>
                <w:rFonts w:ascii="Times New Roman" w:hAnsi="Times New Roman"/>
                <w:bCs/>
                <w:sz w:val="24"/>
                <w:szCs w:val="24"/>
                <w:lang w:eastAsia="en-US"/>
              </w:rPr>
            </w:pPr>
            <w:r>
              <w:rPr>
                <w:rFonts w:ascii="Times New Roman" w:eastAsia="Arial" w:hAnsi="Times New Roman"/>
                <w:sz w:val="24"/>
                <w:szCs w:val="24"/>
                <w:lang w:eastAsia="en-US"/>
              </w:rPr>
              <w:t>Сравнение цен</w:t>
            </w:r>
          </w:p>
        </w:tc>
        <w:tc>
          <w:tcPr>
            <w:tcW w:w="7433" w:type="dxa"/>
            <w:tcBorders>
              <w:top w:val="single" w:sz="4" w:space="0" w:color="000000"/>
              <w:left w:val="single" w:sz="4" w:space="0" w:color="000000"/>
              <w:bottom w:val="single" w:sz="4" w:space="0" w:color="000000"/>
              <w:right w:val="single" w:sz="4" w:space="0" w:color="000000"/>
            </w:tcBorders>
            <w:vAlign w:val="center"/>
          </w:tcPr>
          <w:p w14:paraId="6AC865C4" w14:textId="77777777" w:rsidR="002449C2" w:rsidRDefault="00123961">
            <w:pPr>
              <w:spacing w:after="120" w:line="240" w:lineRule="auto"/>
              <w:rPr>
                <w:rFonts w:ascii="Times New Roman" w:hAnsi="Times New Roman"/>
                <w:sz w:val="24"/>
                <w:szCs w:val="24"/>
                <w:lang w:eastAsia="en-US"/>
              </w:rPr>
            </w:pPr>
            <w:r>
              <w:rPr>
                <w:rFonts w:ascii="Times New Roman" w:eastAsia="Arial" w:hAnsi="Times New Roman"/>
                <w:sz w:val="24"/>
                <w:szCs w:val="24"/>
                <w:lang w:eastAsia="en-US"/>
              </w:rPr>
              <w:t>Сравнение цен проводится при закупке простой продукции в случае, если начальная (максимальная) цена договора не превышает 500 (пятисот) тысяч рублей с НДС в случае, если выручка Заказчика за отчетный финансовый год составляет более 5 (пяти) миллиардов рублей, либо не превышает 100 (сто) тысяч рублей с НДС в случае, если выручка Заказчика за отчетный финансовый год составляет менее 5 (пяти) миллиардов рублей</w:t>
            </w:r>
          </w:p>
        </w:tc>
      </w:tr>
      <w:tr w:rsidR="002449C2" w14:paraId="1FB214B5" w14:textId="77777777">
        <w:trPr>
          <w:trHeight w:val="576"/>
          <w:jc w:val="center"/>
        </w:trPr>
        <w:tc>
          <w:tcPr>
            <w:tcW w:w="2064" w:type="dxa"/>
            <w:tcBorders>
              <w:top w:val="single" w:sz="4" w:space="0" w:color="000000"/>
              <w:left w:val="single" w:sz="4" w:space="0" w:color="000000"/>
              <w:bottom w:val="single" w:sz="4" w:space="0" w:color="000000"/>
              <w:right w:val="single" w:sz="4" w:space="0" w:color="000000"/>
            </w:tcBorders>
            <w:vAlign w:val="center"/>
          </w:tcPr>
          <w:p w14:paraId="68411A6D" w14:textId="77777777" w:rsidR="002449C2" w:rsidRDefault="00123961">
            <w:pPr>
              <w:spacing w:after="120" w:line="240" w:lineRule="auto"/>
              <w:jc w:val="center"/>
              <w:rPr>
                <w:rFonts w:ascii="Times New Roman" w:hAnsi="Times New Roman"/>
                <w:bCs/>
                <w:sz w:val="24"/>
                <w:szCs w:val="24"/>
                <w:lang w:eastAsia="en-US"/>
              </w:rPr>
            </w:pPr>
            <w:r>
              <w:rPr>
                <w:rFonts w:ascii="Times New Roman" w:eastAsia="Arial" w:hAnsi="Times New Roman"/>
                <w:bCs/>
                <w:sz w:val="24"/>
                <w:szCs w:val="24"/>
                <w:lang w:eastAsia="en-US"/>
              </w:rPr>
              <w:t>Закупки у единственного поставщика (исполнителя, подрядчика)</w:t>
            </w:r>
          </w:p>
        </w:tc>
        <w:tc>
          <w:tcPr>
            <w:tcW w:w="7433" w:type="dxa"/>
            <w:tcBorders>
              <w:top w:val="single" w:sz="4" w:space="0" w:color="000000"/>
              <w:left w:val="single" w:sz="4" w:space="0" w:color="000000"/>
              <w:bottom w:val="single" w:sz="4" w:space="0" w:color="000000"/>
              <w:right w:val="single" w:sz="4" w:space="0" w:color="000000"/>
            </w:tcBorders>
            <w:vAlign w:val="center"/>
          </w:tcPr>
          <w:p w14:paraId="249FB30C" w14:textId="77777777" w:rsidR="002449C2" w:rsidRDefault="00123961">
            <w:pPr>
              <w:spacing w:after="120" w:line="240" w:lineRule="auto"/>
              <w:jc w:val="both"/>
              <w:rPr>
                <w:rFonts w:ascii="Times New Roman" w:eastAsia="Arial" w:hAnsi="Times New Roman"/>
                <w:sz w:val="24"/>
                <w:szCs w:val="24"/>
                <w:lang w:eastAsia="en-US"/>
              </w:rPr>
            </w:pPr>
            <w:r>
              <w:rPr>
                <w:rFonts w:ascii="Times New Roman" w:eastAsia="Arial" w:hAnsi="Times New Roman"/>
                <w:sz w:val="24"/>
                <w:szCs w:val="24"/>
                <w:lang w:eastAsia="en-US"/>
              </w:rPr>
              <w:t>Решение о выборе поставщика принимается ЦЗО Заказчика или иным разрешающим органом в пределах его компетенции в соответствии с Единым стандартом закупок, в том числе на основании информации Заказчика о проведенном анализе рынка.</w:t>
            </w:r>
          </w:p>
          <w:p w14:paraId="1DA498F8" w14:textId="77777777" w:rsidR="002449C2" w:rsidRDefault="00123961">
            <w:pPr>
              <w:spacing w:after="120" w:line="240" w:lineRule="auto"/>
              <w:jc w:val="both"/>
              <w:rPr>
                <w:rFonts w:ascii="Times New Roman" w:hAnsi="Times New Roman"/>
                <w:sz w:val="24"/>
                <w:szCs w:val="24"/>
                <w:lang w:eastAsia="en-US"/>
              </w:rPr>
            </w:pPr>
            <w:r>
              <w:rPr>
                <w:rFonts w:ascii="Times New Roman" w:eastAsia="Arial" w:hAnsi="Times New Roman"/>
                <w:sz w:val="24"/>
                <w:szCs w:val="24"/>
                <w:lang w:eastAsia="en-US"/>
              </w:rPr>
              <w:t>Подразделяются на:</w:t>
            </w:r>
          </w:p>
          <w:p w14:paraId="4E8D321E" w14:textId="77777777" w:rsidR="002449C2" w:rsidRDefault="00123961">
            <w:pPr>
              <w:spacing w:after="120" w:line="240" w:lineRule="auto"/>
              <w:jc w:val="both"/>
              <w:rPr>
                <w:rFonts w:ascii="Times New Roman" w:hAnsi="Times New Roman"/>
                <w:sz w:val="24"/>
                <w:szCs w:val="24"/>
                <w:lang w:eastAsia="en-US"/>
              </w:rPr>
            </w:pPr>
            <w:r>
              <w:rPr>
                <w:rFonts w:ascii="Times New Roman" w:eastAsia="Arial" w:hAnsi="Times New Roman"/>
                <w:sz w:val="24"/>
                <w:szCs w:val="24"/>
                <w:lang w:eastAsia="en-US"/>
              </w:rPr>
              <w:t>а) закупка уникальных товаров (работ, услуг) у единственного поставщика (исполнителя, подрядчика);</w:t>
            </w:r>
          </w:p>
          <w:p w14:paraId="19C88271" w14:textId="77777777" w:rsidR="002449C2" w:rsidRDefault="00123961">
            <w:pPr>
              <w:spacing w:after="120" w:line="240" w:lineRule="auto"/>
              <w:jc w:val="both"/>
              <w:rPr>
                <w:rFonts w:ascii="Times New Roman" w:hAnsi="Times New Roman"/>
                <w:sz w:val="24"/>
                <w:szCs w:val="24"/>
                <w:lang w:eastAsia="en-US"/>
              </w:rPr>
            </w:pPr>
            <w:r>
              <w:rPr>
                <w:rFonts w:ascii="Times New Roman" w:eastAsia="Arial" w:hAnsi="Times New Roman"/>
                <w:sz w:val="24"/>
                <w:szCs w:val="24"/>
                <w:lang w:eastAsia="en-US"/>
              </w:rPr>
              <w:t>б) закупка у единственного поставщика (исполнителя, подрядчика) в целях предотвращения чрезвычайной ситуации или ликвидации ее последствий;</w:t>
            </w:r>
          </w:p>
          <w:p w14:paraId="3C40DEDA" w14:textId="77777777" w:rsidR="002449C2" w:rsidRDefault="00123961">
            <w:pPr>
              <w:spacing w:after="120" w:line="240" w:lineRule="auto"/>
              <w:jc w:val="both"/>
              <w:rPr>
                <w:rFonts w:ascii="Times New Roman" w:hAnsi="Times New Roman"/>
                <w:sz w:val="24"/>
                <w:szCs w:val="24"/>
                <w:lang w:eastAsia="en-US"/>
              </w:rPr>
            </w:pPr>
            <w:r>
              <w:rPr>
                <w:rFonts w:ascii="Times New Roman" w:eastAsia="Arial" w:hAnsi="Times New Roman"/>
                <w:sz w:val="24"/>
                <w:szCs w:val="24"/>
                <w:lang w:eastAsia="en-US"/>
              </w:rPr>
              <w:t>в) иные основания, предусмотренные в Едином стандарте закупок.</w:t>
            </w:r>
          </w:p>
        </w:tc>
      </w:tr>
    </w:tbl>
    <w:p w14:paraId="0DD1307C" w14:textId="77777777" w:rsidR="002449C2" w:rsidRDefault="002449C2">
      <w:pPr>
        <w:shd w:val="clear" w:color="auto" w:fill="FFFFFF"/>
        <w:spacing w:after="120" w:line="240" w:lineRule="auto"/>
        <w:jc w:val="center"/>
        <w:rPr>
          <w:rFonts w:ascii="Times New Roman" w:hAnsi="Times New Roman"/>
          <w:sz w:val="26"/>
          <w:szCs w:val="26"/>
          <w:lang w:eastAsia="en-US"/>
        </w:rPr>
      </w:pPr>
    </w:p>
    <w:p w14:paraId="2D3DB886" w14:textId="77777777" w:rsidR="002449C2" w:rsidRDefault="00123961">
      <w:pPr>
        <w:numPr>
          <w:ilvl w:val="0"/>
          <w:numId w:val="7"/>
        </w:numPr>
        <w:shd w:val="clear" w:color="auto" w:fill="FFFFFF"/>
        <w:spacing w:after="120" w:line="240" w:lineRule="auto"/>
        <w:ind w:hanging="578"/>
        <w:contextualSpacing/>
        <w:rPr>
          <w:rFonts w:ascii="Times New Roman" w:hAnsi="Times New Roman"/>
          <w:sz w:val="26"/>
          <w:szCs w:val="26"/>
          <w:lang w:eastAsia="en-US"/>
        </w:rPr>
      </w:pPr>
      <w:r>
        <w:rPr>
          <w:rFonts w:ascii="Times New Roman" w:eastAsia="Times New Roman" w:hAnsi="Times New Roman"/>
          <w:sz w:val="26"/>
          <w:szCs w:val="26"/>
          <w:lang w:eastAsia="ru-RU"/>
        </w:rPr>
        <w:t xml:space="preserve">929 </w:t>
      </w:r>
      <w:r>
        <w:rPr>
          <w:rFonts w:ascii="Times New Roman" w:hAnsi="Times New Roman"/>
          <w:sz w:val="26"/>
          <w:szCs w:val="26"/>
          <w:lang w:eastAsia="en-US"/>
        </w:rPr>
        <w:t>шт. закупочных процедур</w:t>
      </w:r>
    </w:p>
    <w:p w14:paraId="33DCBE5A" w14:textId="77777777" w:rsidR="002449C2" w:rsidRDefault="00123961">
      <w:pPr>
        <w:numPr>
          <w:ilvl w:val="0"/>
          <w:numId w:val="7"/>
        </w:numPr>
        <w:shd w:val="clear" w:color="auto" w:fill="FFFFFF"/>
        <w:spacing w:after="120" w:line="240" w:lineRule="auto"/>
        <w:ind w:hanging="578"/>
        <w:contextualSpacing/>
        <w:rPr>
          <w:rFonts w:ascii="Times New Roman" w:hAnsi="Times New Roman"/>
          <w:sz w:val="26"/>
          <w:szCs w:val="26"/>
          <w:lang w:eastAsia="en-US"/>
        </w:rPr>
      </w:pPr>
      <w:r>
        <w:rPr>
          <w:rFonts w:ascii="Times New Roman" w:eastAsia="Times New Roman" w:hAnsi="Times New Roman"/>
          <w:sz w:val="26"/>
          <w:szCs w:val="26"/>
          <w:lang w:eastAsia="ru-RU"/>
        </w:rPr>
        <w:t xml:space="preserve">39,5 </w:t>
      </w:r>
      <w:r>
        <w:rPr>
          <w:rFonts w:ascii="Times New Roman" w:hAnsi="Times New Roman"/>
          <w:sz w:val="26"/>
          <w:szCs w:val="26"/>
          <w:lang w:eastAsia="en-US"/>
        </w:rPr>
        <w:t>млрд руб.</w:t>
      </w:r>
    </w:p>
    <w:p w14:paraId="367F5C16" w14:textId="77777777" w:rsidR="002449C2" w:rsidRDefault="002449C2">
      <w:pPr>
        <w:shd w:val="clear" w:color="auto" w:fill="FFFFFF"/>
        <w:spacing w:after="120" w:line="240" w:lineRule="auto"/>
        <w:ind w:left="1429"/>
        <w:contextualSpacing/>
        <w:rPr>
          <w:rFonts w:ascii="Times New Roman" w:hAnsi="Times New Roman"/>
          <w:sz w:val="26"/>
          <w:szCs w:val="26"/>
          <w:lang w:eastAsia="en-US"/>
        </w:rPr>
      </w:pPr>
    </w:p>
    <w:p w14:paraId="4EFC8637" w14:textId="77777777" w:rsidR="002449C2" w:rsidRDefault="00123961">
      <w:pPr>
        <w:shd w:val="clear" w:color="auto" w:fill="FFFFFF"/>
        <w:spacing w:after="12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Общество уделяет большое внимание повышению информационной открытости и доступа участников к закупкам, в том числе путем проведения закупок преимущественно в электронной форме. Доля конкурентных закупок с использованием ЭТП–99,88%. Поставщики и подрядчики, зарегистрированные за пределами Российской Федерации, отсутствуют.</w:t>
      </w:r>
    </w:p>
    <w:p w14:paraId="48B5DE19" w14:textId="77777777" w:rsidR="002449C2" w:rsidRDefault="002449C2">
      <w:pPr>
        <w:shd w:val="clear" w:color="auto" w:fill="FFFFFF"/>
        <w:spacing w:after="120" w:line="240" w:lineRule="auto"/>
        <w:ind w:firstLine="709"/>
        <w:jc w:val="both"/>
        <w:rPr>
          <w:rFonts w:cs="Calibri"/>
          <w:sz w:val="26"/>
          <w:szCs w:val="26"/>
          <w:lang w:eastAsia="en-US"/>
        </w:rPr>
      </w:pPr>
    </w:p>
    <w:p w14:paraId="04163110" w14:textId="77777777" w:rsidR="002449C2" w:rsidRDefault="00123961">
      <w:pPr>
        <w:shd w:val="clear" w:color="auto" w:fill="FFFFFF"/>
        <w:spacing w:after="120" w:line="240" w:lineRule="auto"/>
        <w:ind w:firstLine="709"/>
        <w:jc w:val="both"/>
        <w:rPr>
          <w:rFonts w:cs="Calibri"/>
          <w:sz w:val="26"/>
          <w:szCs w:val="26"/>
          <w:lang w:eastAsia="en-US"/>
        </w:rPr>
      </w:pPr>
      <w:r>
        <w:rPr>
          <w:noProof/>
          <w:lang w:eastAsia="ru-RU"/>
        </w:rPr>
        <w:drawing>
          <wp:inline distT="0" distB="0" distL="0" distR="0" wp14:anchorId="1CEDE2F8" wp14:editId="6D28F758">
            <wp:extent cx="5316220" cy="2707005"/>
            <wp:effectExtent l="0" t="0" r="0" b="0"/>
            <wp:docPr id="82" name="_x005F_x0000_i4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_x005F_x0000_i4459"/>
                    <pic:cNvPicPr>
                      <a:picLocks noChangeAspect="1" noChangeArrowheads="1"/>
                    </pic:cNvPicPr>
                  </pic:nvPicPr>
                  <pic:blipFill>
                    <a:blip r:embed="rId111"/>
                    <a:stretch>
                      <a:fillRect/>
                    </a:stretch>
                  </pic:blipFill>
                  <pic:spPr bwMode="auto">
                    <a:xfrm>
                      <a:off x="0" y="0"/>
                      <a:ext cx="5316220" cy="2707005"/>
                    </a:xfrm>
                    <a:prstGeom prst="rect">
                      <a:avLst/>
                    </a:prstGeom>
                    <a:noFill/>
                  </pic:spPr>
                </pic:pic>
              </a:graphicData>
            </a:graphic>
          </wp:inline>
        </w:drawing>
      </w:r>
    </w:p>
    <w:p w14:paraId="6264ED54" w14:textId="77777777" w:rsidR="002449C2" w:rsidRDefault="002449C2">
      <w:pPr>
        <w:shd w:val="clear" w:color="auto" w:fill="FFFFFF"/>
        <w:spacing w:after="120" w:line="240" w:lineRule="auto"/>
        <w:rPr>
          <w:rFonts w:ascii="Cambria" w:hAnsi="Cambria"/>
        </w:rPr>
      </w:pPr>
    </w:p>
    <w:p w14:paraId="54F1AA66" w14:textId="77777777" w:rsidR="002449C2" w:rsidRDefault="002449C2">
      <w:pPr>
        <w:shd w:val="clear" w:color="auto" w:fill="FFFFFF"/>
        <w:spacing w:after="120" w:line="240" w:lineRule="auto"/>
        <w:rPr>
          <w:rFonts w:ascii="Cambria" w:hAnsi="Cambria"/>
        </w:rPr>
      </w:pPr>
    </w:p>
    <w:tbl>
      <w:tblPr>
        <w:tblW w:w="9356" w:type="dxa"/>
        <w:tblInd w:w="-34" w:type="dxa"/>
        <w:tblLayout w:type="fixed"/>
        <w:tblLook w:val="01E0" w:firstRow="1" w:lastRow="1" w:firstColumn="1" w:lastColumn="1" w:noHBand="0" w:noVBand="0"/>
      </w:tblPr>
      <w:tblGrid>
        <w:gridCol w:w="8080"/>
        <w:gridCol w:w="1276"/>
      </w:tblGrid>
      <w:tr w:rsidR="002449C2" w14:paraId="5AAB2BCC" w14:textId="77777777">
        <w:trPr>
          <w:trHeight w:val="418"/>
        </w:trPr>
        <w:tc>
          <w:tcPr>
            <w:tcW w:w="8079" w:type="dxa"/>
            <w:tcBorders>
              <w:top w:val="single" w:sz="4" w:space="0" w:color="000000"/>
              <w:left w:val="single" w:sz="4" w:space="0" w:color="000000"/>
              <w:bottom w:val="single" w:sz="4" w:space="0" w:color="000000"/>
              <w:right w:val="single" w:sz="4" w:space="0" w:color="000000"/>
            </w:tcBorders>
            <w:vAlign w:val="center"/>
          </w:tcPr>
          <w:p w14:paraId="5622E0B2" w14:textId="77777777" w:rsidR="002449C2" w:rsidRDefault="00123961">
            <w:pPr>
              <w:widowControl w:val="0"/>
              <w:shd w:val="clear" w:color="auto" w:fill="FFFFFF"/>
              <w:spacing w:after="0" w:line="240" w:lineRule="auto"/>
              <w:jc w:val="both"/>
              <w:rPr>
                <w:rFonts w:ascii="Times New Roman" w:hAnsi="Times New Roman"/>
                <w:b/>
                <w:sz w:val="20"/>
                <w:szCs w:val="20"/>
                <w:lang w:eastAsia="ar-SA"/>
              </w:rPr>
            </w:pPr>
            <w:r>
              <w:rPr>
                <w:rFonts w:ascii="Times New Roman" w:hAnsi="Times New Roman"/>
                <w:b/>
                <w:sz w:val="20"/>
                <w:szCs w:val="20"/>
                <w:lang w:eastAsia="ar-SA"/>
              </w:rPr>
              <w:t>Наименование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1312FE1C" w14:textId="77777777" w:rsidR="002449C2" w:rsidRDefault="00123961">
            <w:pPr>
              <w:widowControl w:val="0"/>
              <w:shd w:val="clear" w:color="auto" w:fill="FFFFFF"/>
              <w:spacing w:after="0" w:line="240" w:lineRule="auto"/>
              <w:jc w:val="center"/>
              <w:rPr>
                <w:rFonts w:ascii="Times New Roman" w:hAnsi="Times New Roman"/>
                <w:b/>
                <w:sz w:val="20"/>
                <w:szCs w:val="20"/>
                <w:lang w:eastAsia="ar-SA"/>
              </w:rPr>
            </w:pPr>
            <w:r>
              <w:rPr>
                <w:rFonts w:ascii="Times New Roman" w:hAnsi="Times New Roman"/>
                <w:b/>
                <w:sz w:val="20"/>
                <w:szCs w:val="20"/>
                <w:lang w:eastAsia="ar-SA"/>
              </w:rPr>
              <w:t>2024</w:t>
            </w:r>
          </w:p>
        </w:tc>
      </w:tr>
      <w:tr w:rsidR="002449C2" w14:paraId="1E096653" w14:textId="77777777">
        <w:trPr>
          <w:trHeight w:val="20"/>
        </w:trPr>
        <w:tc>
          <w:tcPr>
            <w:tcW w:w="8079" w:type="dxa"/>
            <w:tcBorders>
              <w:top w:val="single" w:sz="4" w:space="0" w:color="000000"/>
              <w:left w:val="single" w:sz="4" w:space="0" w:color="000000"/>
              <w:bottom w:val="single" w:sz="4" w:space="0" w:color="000000"/>
              <w:right w:val="single" w:sz="4" w:space="0" w:color="000000"/>
            </w:tcBorders>
            <w:vAlign w:val="center"/>
          </w:tcPr>
          <w:p w14:paraId="73BC10B7" w14:textId="77777777" w:rsidR="002449C2" w:rsidRDefault="00123961">
            <w:pPr>
              <w:widowControl w:val="0"/>
              <w:shd w:val="clear" w:color="auto" w:fill="FFFFFF"/>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Новое строительство и расширение электросетевых объектов,%</w:t>
            </w:r>
          </w:p>
        </w:tc>
        <w:tc>
          <w:tcPr>
            <w:tcW w:w="1276" w:type="dxa"/>
            <w:tcBorders>
              <w:top w:val="single" w:sz="4" w:space="0" w:color="000000"/>
              <w:left w:val="single" w:sz="4" w:space="0" w:color="000000"/>
              <w:bottom w:val="single" w:sz="4" w:space="0" w:color="000000"/>
              <w:right w:val="single" w:sz="4" w:space="0" w:color="000000"/>
            </w:tcBorders>
          </w:tcPr>
          <w:p w14:paraId="10DA33FF" w14:textId="77777777" w:rsidR="002449C2" w:rsidRDefault="00123961">
            <w:pPr>
              <w:jc w:val="center"/>
              <w:rPr>
                <w:rFonts w:ascii="Times New Roman" w:hAnsi="Times New Roman"/>
                <w:sz w:val="20"/>
                <w:szCs w:val="20"/>
              </w:rPr>
            </w:pPr>
            <w:r>
              <w:rPr>
                <w:rFonts w:ascii="Times New Roman" w:hAnsi="Times New Roman"/>
                <w:sz w:val="20"/>
                <w:szCs w:val="20"/>
              </w:rPr>
              <w:t>12,04</w:t>
            </w:r>
          </w:p>
        </w:tc>
      </w:tr>
      <w:tr w:rsidR="002449C2" w14:paraId="08B4FBF9" w14:textId="77777777">
        <w:trPr>
          <w:trHeight w:val="20"/>
        </w:trPr>
        <w:tc>
          <w:tcPr>
            <w:tcW w:w="8079" w:type="dxa"/>
            <w:tcBorders>
              <w:top w:val="single" w:sz="4" w:space="0" w:color="000000"/>
              <w:left w:val="single" w:sz="4" w:space="0" w:color="000000"/>
              <w:bottom w:val="single" w:sz="4" w:space="0" w:color="000000"/>
              <w:right w:val="single" w:sz="4" w:space="0" w:color="000000"/>
            </w:tcBorders>
            <w:vAlign w:val="center"/>
          </w:tcPr>
          <w:p w14:paraId="69A749D4" w14:textId="77777777" w:rsidR="002449C2" w:rsidRDefault="00123961">
            <w:pPr>
              <w:widowControl w:val="0"/>
              <w:shd w:val="clear" w:color="auto" w:fill="FFFFFF"/>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Реконструкция и техническое перевооружение электросетевых объектов, %</w:t>
            </w:r>
          </w:p>
        </w:tc>
        <w:tc>
          <w:tcPr>
            <w:tcW w:w="1276" w:type="dxa"/>
            <w:tcBorders>
              <w:top w:val="single" w:sz="4" w:space="0" w:color="000000"/>
              <w:left w:val="single" w:sz="4" w:space="0" w:color="000000"/>
              <w:bottom w:val="single" w:sz="4" w:space="0" w:color="000000"/>
              <w:right w:val="single" w:sz="4" w:space="0" w:color="000000"/>
            </w:tcBorders>
          </w:tcPr>
          <w:p w14:paraId="51C83563" w14:textId="77777777" w:rsidR="002449C2" w:rsidRDefault="00123961">
            <w:pPr>
              <w:jc w:val="center"/>
              <w:rPr>
                <w:rFonts w:ascii="Times New Roman" w:hAnsi="Times New Roman"/>
                <w:sz w:val="20"/>
                <w:szCs w:val="20"/>
              </w:rPr>
            </w:pPr>
            <w:r>
              <w:rPr>
                <w:rFonts w:ascii="Times New Roman" w:hAnsi="Times New Roman"/>
                <w:sz w:val="20"/>
                <w:szCs w:val="20"/>
              </w:rPr>
              <w:t>6,61</w:t>
            </w:r>
          </w:p>
        </w:tc>
      </w:tr>
      <w:tr w:rsidR="002449C2" w14:paraId="6B0B8DD5" w14:textId="77777777">
        <w:trPr>
          <w:trHeight w:val="20"/>
        </w:trPr>
        <w:tc>
          <w:tcPr>
            <w:tcW w:w="8079" w:type="dxa"/>
            <w:tcBorders>
              <w:top w:val="single" w:sz="4" w:space="0" w:color="000000"/>
              <w:left w:val="single" w:sz="4" w:space="0" w:color="000000"/>
              <w:bottom w:val="single" w:sz="4" w:space="0" w:color="000000"/>
              <w:right w:val="single" w:sz="4" w:space="0" w:color="000000"/>
            </w:tcBorders>
            <w:vAlign w:val="center"/>
          </w:tcPr>
          <w:p w14:paraId="22332D3E" w14:textId="77777777" w:rsidR="002449C2" w:rsidRDefault="00123961">
            <w:pPr>
              <w:widowControl w:val="0"/>
              <w:shd w:val="clear" w:color="auto" w:fill="FFFFFF"/>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Энергоремонтное (ремонтное) производство, техническое обслуживание, %</w:t>
            </w:r>
          </w:p>
        </w:tc>
        <w:tc>
          <w:tcPr>
            <w:tcW w:w="1276" w:type="dxa"/>
            <w:tcBorders>
              <w:top w:val="single" w:sz="4" w:space="0" w:color="000000"/>
              <w:left w:val="single" w:sz="4" w:space="0" w:color="000000"/>
              <w:bottom w:val="single" w:sz="4" w:space="0" w:color="000000"/>
              <w:right w:val="single" w:sz="4" w:space="0" w:color="000000"/>
            </w:tcBorders>
          </w:tcPr>
          <w:p w14:paraId="205B5654" w14:textId="77777777" w:rsidR="002449C2" w:rsidRDefault="00123961">
            <w:pPr>
              <w:jc w:val="center"/>
              <w:rPr>
                <w:rFonts w:ascii="Times New Roman" w:hAnsi="Times New Roman"/>
                <w:sz w:val="20"/>
                <w:szCs w:val="20"/>
              </w:rPr>
            </w:pPr>
            <w:r>
              <w:rPr>
                <w:rFonts w:ascii="Times New Roman" w:hAnsi="Times New Roman"/>
                <w:sz w:val="20"/>
                <w:szCs w:val="20"/>
              </w:rPr>
              <w:t>2,27</w:t>
            </w:r>
          </w:p>
        </w:tc>
      </w:tr>
      <w:tr w:rsidR="002449C2" w14:paraId="6F3FC360" w14:textId="77777777">
        <w:trPr>
          <w:trHeight w:val="20"/>
        </w:trPr>
        <w:tc>
          <w:tcPr>
            <w:tcW w:w="8079" w:type="dxa"/>
            <w:tcBorders>
              <w:top w:val="single" w:sz="4" w:space="0" w:color="000000"/>
              <w:left w:val="single" w:sz="4" w:space="0" w:color="000000"/>
              <w:bottom w:val="single" w:sz="4" w:space="0" w:color="000000"/>
              <w:right w:val="single" w:sz="4" w:space="0" w:color="000000"/>
            </w:tcBorders>
            <w:vAlign w:val="center"/>
          </w:tcPr>
          <w:p w14:paraId="354D22DC" w14:textId="77777777" w:rsidR="002449C2" w:rsidRDefault="00123961">
            <w:pPr>
              <w:widowControl w:val="0"/>
              <w:shd w:val="clear" w:color="auto" w:fill="FFFFFF"/>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ИТ закупки, %</w:t>
            </w:r>
          </w:p>
        </w:tc>
        <w:tc>
          <w:tcPr>
            <w:tcW w:w="1276" w:type="dxa"/>
            <w:tcBorders>
              <w:top w:val="single" w:sz="4" w:space="0" w:color="000000"/>
              <w:left w:val="single" w:sz="4" w:space="0" w:color="000000"/>
              <w:bottom w:val="single" w:sz="4" w:space="0" w:color="000000"/>
              <w:right w:val="single" w:sz="4" w:space="0" w:color="000000"/>
            </w:tcBorders>
          </w:tcPr>
          <w:p w14:paraId="6B3F1CC6" w14:textId="77777777" w:rsidR="002449C2" w:rsidRDefault="00123961">
            <w:pPr>
              <w:jc w:val="center"/>
              <w:rPr>
                <w:rFonts w:ascii="Times New Roman" w:hAnsi="Times New Roman"/>
                <w:sz w:val="20"/>
                <w:szCs w:val="20"/>
              </w:rPr>
            </w:pPr>
            <w:r>
              <w:rPr>
                <w:rFonts w:ascii="Times New Roman" w:hAnsi="Times New Roman"/>
                <w:sz w:val="20"/>
                <w:szCs w:val="20"/>
              </w:rPr>
              <w:t>1,14</w:t>
            </w:r>
          </w:p>
        </w:tc>
      </w:tr>
      <w:tr w:rsidR="002449C2" w14:paraId="6A49EFD3" w14:textId="77777777">
        <w:trPr>
          <w:trHeight w:val="20"/>
        </w:trPr>
        <w:tc>
          <w:tcPr>
            <w:tcW w:w="8079" w:type="dxa"/>
            <w:tcBorders>
              <w:top w:val="single" w:sz="4" w:space="0" w:color="000000"/>
              <w:left w:val="single" w:sz="4" w:space="0" w:color="000000"/>
              <w:bottom w:val="single" w:sz="4" w:space="0" w:color="000000"/>
              <w:right w:val="single" w:sz="4" w:space="0" w:color="000000"/>
            </w:tcBorders>
            <w:vAlign w:val="center"/>
          </w:tcPr>
          <w:p w14:paraId="7C3725FE" w14:textId="77777777" w:rsidR="002449C2" w:rsidRDefault="00123961">
            <w:pPr>
              <w:widowControl w:val="0"/>
              <w:shd w:val="clear" w:color="auto" w:fill="FFFFFF"/>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Прочие закупки (в том числе закупки НИОКР и Консультационные услуги, %</w:t>
            </w:r>
          </w:p>
        </w:tc>
        <w:tc>
          <w:tcPr>
            <w:tcW w:w="1276" w:type="dxa"/>
            <w:tcBorders>
              <w:top w:val="single" w:sz="4" w:space="0" w:color="000000"/>
              <w:left w:val="single" w:sz="4" w:space="0" w:color="000000"/>
              <w:bottom w:val="single" w:sz="4" w:space="0" w:color="000000"/>
              <w:right w:val="single" w:sz="4" w:space="0" w:color="000000"/>
            </w:tcBorders>
          </w:tcPr>
          <w:p w14:paraId="6AB985AB" w14:textId="77777777" w:rsidR="002449C2" w:rsidRDefault="00123961">
            <w:pPr>
              <w:jc w:val="center"/>
              <w:rPr>
                <w:rFonts w:ascii="Times New Roman" w:hAnsi="Times New Roman"/>
                <w:sz w:val="20"/>
                <w:szCs w:val="20"/>
              </w:rPr>
            </w:pPr>
            <w:r>
              <w:rPr>
                <w:rFonts w:ascii="Times New Roman" w:hAnsi="Times New Roman"/>
                <w:sz w:val="20"/>
                <w:szCs w:val="20"/>
              </w:rPr>
              <w:t>77,94</w:t>
            </w:r>
          </w:p>
        </w:tc>
      </w:tr>
    </w:tbl>
    <w:p w14:paraId="31825169" w14:textId="77777777" w:rsidR="002449C2" w:rsidRDefault="00123961">
      <w:pPr>
        <w:widowControl w:val="0"/>
        <w:shd w:val="clear" w:color="auto" w:fill="FFFFFF"/>
        <w:spacing w:before="120" w:after="120" w:line="240" w:lineRule="auto"/>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 xml:space="preserve">Открытость закупочных процедур </w:t>
      </w:r>
    </w:p>
    <w:tbl>
      <w:tblPr>
        <w:tblW w:w="9180" w:type="dxa"/>
        <w:tblLayout w:type="fixed"/>
        <w:tblLook w:val="04A0" w:firstRow="1" w:lastRow="0" w:firstColumn="1" w:lastColumn="0" w:noHBand="0" w:noVBand="1"/>
      </w:tblPr>
      <w:tblGrid>
        <w:gridCol w:w="4119"/>
        <w:gridCol w:w="951"/>
        <w:gridCol w:w="1275"/>
        <w:gridCol w:w="987"/>
        <w:gridCol w:w="1848"/>
      </w:tblGrid>
      <w:tr w:rsidR="002449C2" w14:paraId="7AC013C0" w14:textId="77777777">
        <w:trPr>
          <w:cantSplit/>
        </w:trPr>
        <w:tc>
          <w:tcPr>
            <w:tcW w:w="4119" w:type="dxa"/>
            <w:tcBorders>
              <w:top w:val="single" w:sz="4" w:space="0" w:color="000000"/>
              <w:left w:val="single" w:sz="4" w:space="0" w:color="000000"/>
              <w:bottom w:val="single" w:sz="4" w:space="0" w:color="000000"/>
              <w:right w:val="single" w:sz="4" w:space="0" w:color="000000"/>
            </w:tcBorders>
            <w:shd w:val="clear" w:color="auto" w:fill="FFFFFF"/>
          </w:tcPr>
          <w:p w14:paraId="6F7A083A" w14:textId="77777777" w:rsidR="002449C2" w:rsidRDefault="002449C2">
            <w:pPr>
              <w:shd w:val="clear" w:color="auto" w:fill="FFFFFF"/>
              <w:tabs>
                <w:tab w:val="left" w:pos="0"/>
                <w:tab w:val="left" w:pos="142"/>
              </w:tabs>
              <w:spacing w:after="0" w:line="240" w:lineRule="auto"/>
              <w:contextualSpacing/>
              <w:jc w:val="both"/>
              <w:rPr>
                <w:rFonts w:ascii="Times New Roman" w:eastAsia="Times New Roman" w:hAnsi="Times New Roman"/>
                <w:b/>
                <w:color w:val="000000"/>
                <w:sz w:val="20"/>
                <w:szCs w:val="20"/>
                <w:lang w:eastAsia="ru-RU"/>
              </w:rPr>
            </w:pPr>
          </w:p>
        </w:tc>
        <w:tc>
          <w:tcPr>
            <w:tcW w:w="951" w:type="dxa"/>
            <w:tcBorders>
              <w:top w:val="single" w:sz="4" w:space="0" w:color="000000"/>
              <w:left w:val="single" w:sz="4" w:space="0" w:color="000000"/>
              <w:bottom w:val="single" w:sz="4" w:space="0" w:color="000000"/>
              <w:right w:val="single" w:sz="4" w:space="0" w:color="000000"/>
            </w:tcBorders>
            <w:shd w:val="clear" w:color="auto" w:fill="FFFFFF"/>
          </w:tcPr>
          <w:p w14:paraId="379A862B" w14:textId="77777777" w:rsidR="002449C2" w:rsidRDefault="00123961">
            <w:pPr>
              <w:shd w:val="clear" w:color="auto" w:fill="FFFFFF"/>
              <w:spacing w:after="0" w:line="240" w:lineRule="auto"/>
              <w:jc w:val="both"/>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Ед.</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Pr>
          <w:p w14:paraId="3E19E514" w14:textId="77777777" w:rsidR="002449C2" w:rsidRDefault="00123961">
            <w:pPr>
              <w:shd w:val="clear" w:color="auto" w:fill="FFFFFF"/>
              <w:spacing w:after="0" w:line="240" w:lineRule="auto"/>
              <w:rPr>
                <w:rFonts w:ascii="Times New Roman" w:hAnsi="Times New Roman"/>
                <w:b/>
                <w:sz w:val="20"/>
                <w:szCs w:val="20"/>
              </w:rPr>
            </w:pPr>
            <w:r>
              <w:rPr>
                <w:rFonts w:ascii="Times New Roman" w:hAnsi="Times New Roman"/>
                <w:b/>
                <w:sz w:val="20"/>
                <w:szCs w:val="20"/>
              </w:rPr>
              <w:t>2023 год</w:t>
            </w:r>
          </w:p>
        </w:tc>
        <w:tc>
          <w:tcPr>
            <w:tcW w:w="987" w:type="dxa"/>
            <w:tcBorders>
              <w:top w:val="single" w:sz="4" w:space="0" w:color="000000"/>
              <w:left w:val="single" w:sz="4" w:space="0" w:color="000000"/>
              <w:bottom w:val="single" w:sz="4" w:space="0" w:color="000000"/>
              <w:right w:val="single" w:sz="4" w:space="0" w:color="000000"/>
            </w:tcBorders>
            <w:shd w:val="clear" w:color="auto" w:fill="FFFFFF"/>
          </w:tcPr>
          <w:p w14:paraId="027618B8" w14:textId="77777777" w:rsidR="002449C2" w:rsidRDefault="00123961">
            <w:pPr>
              <w:shd w:val="clear" w:color="auto" w:fill="FFFFFF"/>
              <w:spacing w:after="0" w:line="240" w:lineRule="auto"/>
              <w:rPr>
                <w:rFonts w:ascii="Times New Roman" w:hAnsi="Times New Roman"/>
                <w:b/>
                <w:sz w:val="20"/>
                <w:szCs w:val="20"/>
              </w:rPr>
            </w:pPr>
            <w:r>
              <w:rPr>
                <w:rFonts w:ascii="Times New Roman" w:hAnsi="Times New Roman"/>
                <w:b/>
                <w:sz w:val="20"/>
                <w:szCs w:val="20"/>
              </w:rPr>
              <w:t>2024 год</w:t>
            </w:r>
          </w:p>
        </w:tc>
        <w:tc>
          <w:tcPr>
            <w:tcW w:w="1848" w:type="dxa"/>
            <w:tcBorders>
              <w:top w:val="single" w:sz="4" w:space="0" w:color="000000"/>
              <w:left w:val="single" w:sz="4" w:space="0" w:color="000000"/>
              <w:bottom w:val="single" w:sz="4" w:space="0" w:color="000000"/>
              <w:right w:val="single" w:sz="4" w:space="0" w:color="000000"/>
            </w:tcBorders>
            <w:shd w:val="clear" w:color="auto" w:fill="FFFFFF"/>
          </w:tcPr>
          <w:p w14:paraId="079F0644" w14:textId="77777777" w:rsidR="002449C2" w:rsidRDefault="00123961">
            <w:pPr>
              <w:shd w:val="clear" w:color="auto" w:fill="FFFFFF"/>
              <w:spacing w:after="0" w:line="240" w:lineRule="auto"/>
              <w:rPr>
                <w:rFonts w:ascii="Times New Roman" w:hAnsi="Times New Roman"/>
                <w:b/>
                <w:sz w:val="20"/>
                <w:szCs w:val="20"/>
              </w:rPr>
            </w:pPr>
            <w:r>
              <w:rPr>
                <w:rFonts w:ascii="Times New Roman" w:hAnsi="Times New Roman"/>
                <w:b/>
                <w:sz w:val="20"/>
                <w:szCs w:val="20"/>
              </w:rPr>
              <w:t>Изменение 2024 / 2023</w:t>
            </w:r>
          </w:p>
        </w:tc>
      </w:tr>
      <w:tr w:rsidR="002449C2" w14:paraId="474F8535" w14:textId="77777777">
        <w:trPr>
          <w:cantSplit/>
        </w:trPr>
        <w:tc>
          <w:tcPr>
            <w:tcW w:w="4119" w:type="dxa"/>
            <w:tcBorders>
              <w:top w:val="single" w:sz="4" w:space="0" w:color="000000"/>
              <w:left w:val="single" w:sz="4" w:space="0" w:color="000000"/>
              <w:bottom w:val="single" w:sz="4" w:space="0" w:color="000000"/>
              <w:right w:val="single" w:sz="4" w:space="0" w:color="000000"/>
            </w:tcBorders>
            <w:shd w:val="clear" w:color="auto" w:fill="FFFFFF"/>
          </w:tcPr>
          <w:p w14:paraId="35C2B4A9" w14:textId="77777777" w:rsidR="002449C2" w:rsidRDefault="00123961">
            <w:pPr>
              <w:shd w:val="clear" w:color="auto" w:fill="FFFFFF"/>
              <w:tabs>
                <w:tab w:val="left" w:pos="0"/>
                <w:tab w:val="left" w:pos="142"/>
              </w:tabs>
              <w:spacing w:after="0" w:line="240" w:lineRule="auto"/>
              <w:ind w:left="22" w:hanging="22"/>
              <w:contextualSpacing/>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Доля открытых конкурентных закупочных процедур, а также процедур, проведенных с применением электронных средств коммерции (электронных торговых площадок) в общем объеме закупок;</w:t>
            </w:r>
          </w:p>
          <w:p w14:paraId="09999522" w14:textId="77777777" w:rsidR="002449C2" w:rsidRDefault="00123961">
            <w:pPr>
              <w:shd w:val="clear" w:color="auto" w:fill="FFFFFF"/>
              <w:tabs>
                <w:tab w:val="left" w:pos="0"/>
                <w:tab w:val="left" w:pos="142"/>
              </w:tabs>
              <w:spacing w:after="0" w:line="240" w:lineRule="auto"/>
              <w:ind w:left="22" w:hanging="22"/>
              <w:contextualSpacing/>
              <w:jc w:val="both"/>
              <w:rPr>
                <w:rFonts w:ascii="Times New Roman" w:eastAsia="Times New Roman" w:hAnsi="Times New Roman"/>
                <w:color w:val="000000"/>
                <w:sz w:val="20"/>
                <w:szCs w:val="20"/>
                <w:shd w:val="clear" w:color="auto" w:fill="FFFFFF"/>
                <w:lang w:eastAsia="ru-RU"/>
              </w:rPr>
            </w:pPr>
            <w:r>
              <w:rPr>
                <w:rFonts w:ascii="Times New Roman" w:eastAsia="Times New Roman" w:hAnsi="Times New Roman"/>
                <w:color w:val="000000"/>
                <w:sz w:val="20"/>
                <w:szCs w:val="20"/>
                <w:lang w:eastAsia="ru-RU"/>
              </w:rPr>
              <w:t>- объем достигнутой экономии</w:t>
            </w:r>
          </w:p>
        </w:tc>
        <w:tc>
          <w:tcPr>
            <w:tcW w:w="951" w:type="dxa"/>
            <w:tcBorders>
              <w:top w:val="single" w:sz="4" w:space="0" w:color="000000"/>
              <w:left w:val="single" w:sz="4" w:space="0" w:color="000000"/>
              <w:bottom w:val="single" w:sz="4" w:space="0" w:color="000000"/>
              <w:right w:val="single" w:sz="4" w:space="0" w:color="000000"/>
            </w:tcBorders>
            <w:shd w:val="clear" w:color="auto" w:fill="FFFFFF"/>
          </w:tcPr>
          <w:p w14:paraId="63FAF5BE" w14:textId="77777777" w:rsidR="002449C2" w:rsidRDefault="00123961">
            <w:pPr>
              <w:shd w:val="clear" w:color="auto" w:fill="FFFFFF"/>
              <w:spacing w:after="5" w:line="252" w:lineRule="auto"/>
              <w:ind w:left="426" w:right="-143" w:hanging="426"/>
              <w:jc w:val="both"/>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Pr>
          <w:p w14:paraId="2DB2634D" w14:textId="77777777" w:rsidR="002449C2" w:rsidRDefault="002449C2">
            <w:pPr>
              <w:widowControl w:val="0"/>
              <w:shd w:val="clear" w:color="auto" w:fill="FFFFFF"/>
              <w:spacing w:after="5" w:line="252" w:lineRule="auto"/>
              <w:ind w:left="426" w:right="-143" w:hanging="426"/>
              <w:jc w:val="right"/>
              <w:rPr>
                <w:rFonts w:ascii="Times New Roman" w:eastAsia="Times New Roman" w:hAnsi="Times New Roman"/>
                <w:bCs/>
                <w:color w:val="000000"/>
                <w:sz w:val="20"/>
                <w:szCs w:val="20"/>
                <w:lang w:eastAsia="ru-RU"/>
              </w:rPr>
            </w:pPr>
          </w:p>
          <w:p w14:paraId="2F983C51" w14:textId="77777777" w:rsidR="002449C2" w:rsidRDefault="002449C2">
            <w:pPr>
              <w:widowControl w:val="0"/>
              <w:shd w:val="clear" w:color="auto" w:fill="FFFFFF"/>
              <w:spacing w:after="5" w:line="252" w:lineRule="auto"/>
              <w:ind w:left="426" w:right="-143" w:hanging="426"/>
              <w:jc w:val="right"/>
              <w:rPr>
                <w:rFonts w:ascii="Times New Roman" w:eastAsia="Times New Roman" w:hAnsi="Times New Roman"/>
                <w:bCs/>
                <w:color w:val="000000"/>
                <w:sz w:val="20"/>
                <w:szCs w:val="20"/>
                <w:lang w:eastAsia="ru-RU"/>
              </w:rPr>
            </w:pPr>
          </w:p>
          <w:p w14:paraId="7E4EC3DE" w14:textId="77777777" w:rsidR="002449C2" w:rsidRDefault="00123961">
            <w:pPr>
              <w:shd w:val="clear" w:color="auto" w:fill="FFFFFF"/>
              <w:rPr>
                <w:rFonts w:ascii="Times New Roman" w:eastAsia="Times New Roman" w:hAnsi="Times New Roman"/>
                <w:sz w:val="20"/>
                <w:szCs w:val="20"/>
                <w:lang w:eastAsia="ru-RU"/>
              </w:rPr>
            </w:pPr>
            <w:r>
              <w:rPr>
                <w:rFonts w:ascii="Times New Roman" w:eastAsia="Times New Roman" w:hAnsi="Times New Roman"/>
                <w:sz w:val="20"/>
                <w:szCs w:val="20"/>
                <w:lang w:eastAsia="ru-RU"/>
              </w:rPr>
              <w:t>67,44</w:t>
            </w:r>
          </w:p>
          <w:p w14:paraId="2EBD10B0" w14:textId="77777777" w:rsidR="002449C2" w:rsidRDefault="00123961">
            <w:pPr>
              <w:shd w:val="clear" w:color="auto" w:fill="FFFFFF"/>
              <w:rPr>
                <w:rFonts w:ascii="Times New Roman" w:eastAsia="Times New Roman" w:hAnsi="Times New Roman"/>
                <w:sz w:val="20"/>
                <w:szCs w:val="20"/>
                <w:lang w:eastAsia="ru-RU"/>
              </w:rPr>
            </w:pPr>
            <w:r>
              <w:rPr>
                <w:rFonts w:ascii="Times New Roman" w:eastAsia="Times New Roman" w:hAnsi="Times New Roman"/>
                <w:sz w:val="20"/>
                <w:szCs w:val="20"/>
                <w:lang w:eastAsia="ru-RU"/>
              </w:rPr>
              <w:t>3,6</w:t>
            </w:r>
          </w:p>
        </w:tc>
        <w:tc>
          <w:tcPr>
            <w:tcW w:w="987" w:type="dxa"/>
            <w:tcBorders>
              <w:top w:val="single" w:sz="4" w:space="0" w:color="000000"/>
              <w:left w:val="single" w:sz="4" w:space="0" w:color="000000"/>
              <w:bottom w:val="single" w:sz="4" w:space="0" w:color="000000"/>
              <w:right w:val="single" w:sz="4" w:space="0" w:color="000000"/>
            </w:tcBorders>
            <w:shd w:val="clear" w:color="auto" w:fill="FFFFFF"/>
          </w:tcPr>
          <w:p w14:paraId="2635FF4A" w14:textId="77777777" w:rsidR="002449C2" w:rsidRDefault="002449C2">
            <w:pPr>
              <w:shd w:val="clear" w:color="auto" w:fill="FFFFFF"/>
              <w:rPr>
                <w:rFonts w:ascii="Times New Roman" w:eastAsia="Times New Roman" w:hAnsi="Times New Roman"/>
                <w:sz w:val="20"/>
                <w:szCs w:val="20"/>
                <w:lang w:eastAsia="ru-RU"/>
              </w:rPr>
            </w:pPr>
          </w:p>
          <w:p w14:paraId="008F7B13" w14:textId="77777777" w:rsidR="002449C2" w:rsidRDefault="00123961">
            <w:pPr>
              <w:shd w:val="clear" w:color="auto" w:fill="FFFFFF"/>
              <w:rPr>
                <w:rFonts w:ascii="Times New Roman" w:eastAsia="Times New Roman" w:hAnsi="Times New Roman"/>
                <w:sz w:val="20"/>
                <w:szCs w:val="20"/>
                <w:lang w:eastAsia="ru-RU"/>
              </w:rPr>
            </w:pPr>
            <w:r>
              <w:rPr>
                <w:rFonts w:ascii="Times New Roman" w:eastAsia="Times New Roman" w:hAnsi="Times New Roman"/>
                <w:sz w:val="20"/>
                <w:szCs w:val="20"/>
                <w:lang w:eastAsia="ru-RU"/>
              </w:rPr>
              <w:t>97,86</w:t>
            </w:r>
          </w:p>
          <w:p w14:paraId="1B713C6E" w14:textId="77777777" w:rsidR="002449C2" w:rsidRDefault="00123961">
            <w:pPr>
              <w:shd w:val="clear" w:color="auto" w:fill="FFFFFF"/>
              <w:rPr>
                <w:rFonts w:ascii="Times New Roman" w:eastAsia="Times New Roman" w:hAnsi="Times New Roman"/>
                <w:sz w:val="20"/>
                <w:szCs w:val="20"/>
                <w:lang w:eastAsia="ru-RU"/>
              </w:rPr>
            </w:pPr>
            <w:r>
              <w:rPr>
                <w:rFonts w:ascii="Times New Roman" w:eastAsia="Times New Roman" w:hAnsi="Times New Roman"/>
                <w:sz w:val="20"/>
                <w:szCs w:val="20"/>
                <w:lang w:eastAsia="ru-RU"/>
              </w:rPr>
              <w:t>2,14</w:t>
            </w:r>
          </w:p>
        </w:tc>
        <w:tc>
          <w:tcPr>
            <w:tcW w:w="1848" w:type="dxa"/>
            <w:tcBorders>
              <w:top w:val="single" w:sz="4" w:space="0" w:color="000000"/>
              <w:left w:val="single" w:sz="4" w:space="0" w:color="000000"/>
              <w:bottom w:val="single" w:sz="4" w:space="0" w:color="000000"/>
              <w:right w:val="single" w:sz="4" w:space="0" w:color="000000"/>
            </w:tcBorders>
            <w:shd w:val="clear" w:color="auto" w:fill="FFFFFF"/>
          </w:tcPr>
          <w:p w14:paraId="62280819" w14:textId="77777777" w:rsidR="002449C2" w:rsidRDefault="002449C2">
            <w:pPr>
              <w:shd w:val="clear" w:color="auto" w:fill="FFFFFF"/>
              <w:rPr>
                <w:rFonts w:ascii="Times New Roman" w:eastAsia="Times New Roman" w:hAnsi="Times New Roman"/>
                <w:sz w:val="20"/>
                <w:szCs w:val="20"/>
                <w:lang w:eastAsia="ru-RU"/>
              </w:rPr>
            </w:pPr>
          </w:p>
          <w:p w14:paraId="34CB9F01" w14:textId="77777777" w:rsidR="002449C2" w:rsidRDefault="00123961">
            <w:pPr>
              <w:shd w:val="clear" w:color="auto" w:fill="FFFFFF"/>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1,45</w:t>
            </w:r>
          </w:p>
          <w:p w14:paraId="029FCB86" w14:textId="77777777" w:rsidR="002449C2" w:rsidRDefault="00123961">
            <w:pPr>
              <w:shd w:val="clear" w:color="auto" w:fill="FFFFFF"/>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0,59</w:t>
            </w:r>
          </w:p>
        </w:tc>
      </w:tr>
      <w:tr w:rsidR="002449C2" w14:paraId="74CAF138" w14:textId="77777777">
        <w:trPr>
          <w:cantSplit/>
        </w:trPr>
        <w:tc>
          <w:tcPr>
            <w:tcW w:w="4119" w:type="dxa"/>
            <w:tcBorders>
              <w:top w:val="single" w:sz="4" w:space="0" w:color="000000"/>
              <w:left w:val="single" w:sz="4" w:space="0" w:color="000000"/>
              <w:bottom w:val="single" w:sz="4" w:space="0" w:color="000000"/>
              <w:right w:val="single" w:sz="4" w:space="0" w:color="000000"/>
            </w:tcBorders>
            <w:shd w:val="clear" w:color="auto" w:fill="FFFFFF"/>
          </w:tcPr>
          <w:p w14:paraId="50B61E91" w14:textId="77777777" w:rsidR="002449C2" w:rsidRDefault="00123961">
            <w:pPr>
              <w:widowControl w:val="0"/>
              <w:shd w:val="clear" w:color="auto" w:fill="FFFFFF"/>
              <w:spacing w:after="5" w:line="252" w:lineRule="auto"/>
              <w:ind w:left="22" w:hanging="22"/>
              <w:jc w:val="both"/>
              <w:rPr>
                <w:rFonts w:ascii="Times New Roman" w:eastAsia="Times New Roman" w:hAnsi="Times New Roman"/>
                <w:color w:val="000000"/>
                <w:sz w:val="20"/>
                <w:szCs w:val="20"/>
                <w:shd w:val="clear" w:color="auto" w:fill="FFFFFF"/>
                <w:lang w:eastAsia="ru-RU"/>
              </w:rPr>
            </w:pPr>
            <w:r>
              <w:rPr>
                <w:rFonts w:ascii="Times New Roman" w:eastAsia="Times New Roman" w:hAnsi="Times New Roman"/>
                <w:color w:val="000000"/>
                <w:sz w:val="20"/>
                <w:szCs w:val="20"/>
                <w:lang w:eastAsia="ru-RU"/>
              </w:rPr>
              <w:t>Доля  закупок у субъектов малого и среднего предпринимательства, а также закупок, в которых субъекты малого и среднего предпринимательства привлекаются в качестве субподрядных организаций</w:t>
            </w:r>
          </w:p>
        </w:tc>
        <w:tc>
          <w:tcPr>
            <w:tcW w:w="951" w:type="dxa"/>
            <w:tcBorders>
              <w:top w:val="single" w:sz="4" w:space="0" w:color="000000"/>
              <w:left w:val="single" w:sz="4" w:space="0" w:color="000000"/>
              <w:bottom w:val="single" w:sz="4" w:space="0" w:color="000000"/>
              <w:right w:val="single" w:sz="4" w:space="0" w:color="000000"/>
            </w:tcBorders>
            <w:shd w:val="clear" w:color="auto" w:fill="FFFFFF"/>
          </w:tcPr>
          <w:p w14:paraId="75BF891F" w14:textId="77777777" w:rsidR="002449C2" w:rsidRDefault="00123961">
            <w:pPr>
              <w:shd w:val="clear" w:color="auto" w:fill="FFFFFF"/>
              <w:spacing w:after="5" w:line="252" w:lineRule="auto"/>
              <w:ind w:left="426" w:right="-143" w:hanging="426"/>
              <w:jc w:val="both"/>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Pr>
          <w:p w14:paraId="4FFC7268" w14:textId="77777777" w:rsidR="002449C2" w:rsidRDefault="002449C2">
            <w:pPr>
              <w:shd w:val="clear" w:color="auto" w:fill="FFFFFF"/>
              <w:rPr>
                <w:rFonts w:ascii="Times New Roman" w:eastAsia="Times New Roman" w:hAnsi="Times New Roman"/>
                <w:sz w:val="20"/>
                <w:szCs w:val="20"/>
                <w:lang w:eastAsia="ru-RU"/>
              </w:rPr>
            </w:pPr>
          </w:p>
          <w:p w14:paraId="22BDDB45" w14:textId="77777777" w:rsidR="002449C2" w:rsidRDefault="00123961">
            <w:pPr>
              <w:shd w:val="clear" w:color="auto" w:fill="FFFFFF"/>
              <w:rPr>
                <w:rFonts w:ascii="Times New Roman" w:eastAsia="Times New Roman" w:hAnsi="Times New Roman"/>
                <w:sz w:val="20"/>
                <w:szCs w:val="20"/>
                <w:lang w:eastAsia="ru-RU"/>
              </w:rPr>
            </w:pPr>
            <w:r>
              <w:rPr>
                <w:rFonts w:ascii="Times New Roman" w:eastAsia="Times New Roman" w:hAnsi="Times New Roman"/>
                <w:sz w:val="20"/>
                <w:szCs w:val="20"/>
                <w:lang w:eastAsia="ru-RU"/>
              </w:rPr>
              <w:t>72,38</w:t>
            </w:r>
          </w:p>
        </w:tc>
        <w:tc>
          <w:tcPr>
            <w:tcW w:w="987" w:type="dxa"/>
            <w:tcBorders>
              <w:top w:val="single" w:sz="4" w:space="0" w:color="000000"/>
              <w:left w:val="single" w:sz="4" w:space="0" w:color="000000"/>
              <w:bottom w:val="single" w:sz="4" w:space="0" w:color="000000"/>
              <w:right w:val="single" w:sz="4" w:space="0" w:color="000000"/>
            </w:tcBorders>
            <w:shd w:val="clear" w:color="auto" w:fill="FFFFFF"/>
          </w:tcPr>
          <w:p w14:paraId="6891B796" w14:textId="77777777" w:rsidR="002449C2" w:rsidRDefault="002449C2">
            <w:pPr>
              <w:shd w:val="clear" w:color="auto" w:fill="FFFFFF"/>
              <w:rPr>
                <w:rFonts w:ascii="Times New Roman" w:eastAsia="Times New Roman" w:hAnsi="Times New Roman"/>
                <w:sz w:val="20"/>
                <w:szCs w:val="20"/>
                <w:lang w:eastAsia="ru-RU"/>
              </w:rPr>
            </w:pPr>
          </w:p>
          <w:p w14:paraId="393CE74F" w14:textId="77777777" w:rsidR="002449C2" w:rsidRDefault="00123961">
            <w:pPr>
              <w:shd w:val="clear" w:color="auto" w:fill="FFFFFF"/>
              <w:rPr>
                <w:rFonts w:ascii="Times New Roman" w:eastAsia="Times New Roman" w:hAnsi="Times New Roman"/>
                <w:sz w:val="20"/>
                <w:szCs w:val="20"/>
                <w:lang w:eastAsia="ru-RU"/>
              </w:rPr>
            </w:pPr>
            <w:r>
              <w:rPr>
                <w:rFonts w:ascii="Times New Roman" w:eastAsia="Times New Roman" w:hAnsi="Times New Roman"/>
                <w:sz w:val="20"/>
                <w:szCs w:val="20"/>
                <w:lang w:eastAsia="ru-RU"/>
              </w:rPr>
              <w:t>79,37%</w:t>
            </w:r>
          </w:p>
        </w:tc>
        <w:tc>
          <w:tcPr>
            <w:tcW w:w="1848" w:type="dxa"/>
            <w:tcBorders>
              <w:top w:val="single" w:sz="4" w:space="0" w:color="000000"/>
              <w:left w:val="single" w:sz="4" w:space="0" w:color="000000"/>
              <w:bottom w:val="single" w:sz="4" w:space="0" w:color="000000"/>
              <w:right w:val="single" w:sz="4" w:space="0" w:color="000000"/>
            </w:tcBorders>
            <w:shd w:val="clear" w:color="auto" w:fill="FFFFFF"/>
          </w:tcPr>
          <w:p w14:paraId="7082982A" w14:textId="77777777" w:rsidR="002449C2" w:rsidRDefault="002449C2">
            <w:pPr>
              <w:shd w:val="clear" w:color="auto" w:fill="FFFFFF"/>
              <w:rPr>
                <w:rFonts w:ascii="Times New Roman" w:eastAsia="Times New Roman" w:hAnsi="Times New Roman"/>
                <w:sz w:val="20"/>
                <w:szCs w:val="20"/>
                <w:lang w:eastAsia="ru-RU"/>
              </w:rPr>
            </w:pPr>
          </w:p>
          <w:p w14:paraId="5D14749F" w14:textId="77777777" w:rsidR="002449C2" w:rsidRDefault="00123961">
            <w:pPr>
              <w:shd w:val="clear" w:color="auto" w:fill="FFFFFF"/>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1,09</w:t>
            </w:r>
          </w:p>
        </w:tc>
      </w:tr>
    </w:tbl>
    <w:p w14:paraId="71CA5EA5" w14:textId="77777777" w:rsidR="002449C2" w:rsidRDefault="002449C2">
      <w:pPr>
        <w:shd w:val="clear" w:color="auto" w:fill="FFFFFF"/>
        <w:spacing w:after="120" w:line="240" w:lineRule="auto"/>
        <w:jc w:val="center"/>
        <w:rPr>
          <w:rFonts w:ascii="Cambria" w:hAnsi="Cambria"/>
          <w:b/>
          <w:sz w:val="26"/>
          <w:szCs w:val="26"/>
          <w:lang w:eastAsia="en-US"/>
        </w:rPr>
      </w:pPr>
    </w:p>
    <w:p w14:paraId="7B9DD92C" w14:textId="77777777" w:rsidR="002449C2" w:rsidRDefault="00123961">
      <w:pPr>
        <w:shd w:val="clear" w:color="auto" w:fill="FFFFFF"/>
        <w:spacing w:after="0" w:line="240" w:lineRule="auto"/>
        <w:ind w:firstLine="540"/>
        <w:jc w:val="both"/>
        <w:rPr>
          <w:rFonts w:ascii="Arial Narrow" w:eastAsia="Times New Roman" w:hAnsi="Arial Narrow"/>
          <w:b/>
          <w:sz w:val="24"/>
          <w:szCs w:val="24"/>
          <w:lang w:eastAsia="ru-RU"/>
        </w:rPr>
      </w:pPr>
      <w:r>
        <w:rPr>
          <w:noProof/>
          <w:lang w:eastAsia="ru-RU"/>
        </w:rPr>
        <w:drawing>
          <wp:inline distT="0" distB="0" distL="0" distR="0" wp14:anchorId="57A5CE19" wp14:editId="0EE07AEA">
            <wp:extent cx="5553075" cy="2714625"/>
            <wp:effectExtent l="0" t="0" r="0" b="0"/>
            <wp:docPr id="83"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71A1694A" w14:textId="77777777" w:rsidR="002449C2" w:rsidRDefault="002449C2">
      <w:pPr>
        <w:shd w:val="clear" w:color="auto" w:fill="FFFFFF"/>
        <w:spacing w:after="0" w:line="240" w:lineRule="auto"/>
        <w:ind w:firstLine="540"/>
        <w:jc w:val="both"/>
        <w:rPr>
          <w:rFonts w:ascii="Arial Narrow" w:eastAsia="Times New Roman" w:hAnsi="Arial Narrow"/>
          <w:b/>
          <w:sz w:val="24"/>
          <w:szCs w:val="24"/>
          <w:lang w:eastAsia="ru-RU"/>
        </w:rPr>
      </w:pPr>
    </w:p>
    <w:p w14:paraId="585122E8" w14:textId="6800A520" w:rsidR="002449C2" w:rsidRDefault="002449C2">
      <w:pPr>
        <w:shd w:val="clear" w:color="auto" w:fill="FFFFFF"/>
        <w:spacing w:after="0" w:line="240" w:lineRule="auto"/>
        <w:ind w:firstLine="540"/>
        <w:jc w:val="both"/>
        <w:rPr>
          <w:rFonts w:ascii="Arial Narrow" w:eastAsia="Times New Roman" w:hAnsi="Arial Narrow"/>
          <w:b/>
          <w:sz w:val="24"/>
          <w:szCs w:val="24"/>
          <w:lang w:eastAsia="ru-RU"/>
        </w:rPr>
      </w:pPr>
    </w:p>
    <w:p w14:paraId="7BCBA8AB" w14:textId="77777777" w:rsidR="00DC6B8C" w:rsidRDefault="00DC6B8C">
      <w:pPr>
        <w:shd w:val="clear" w:color="auto" w:fill="FFFFFF"/>
        <w:spacing w:after="0" w:line="240" w:lineRule="auto"/>
        <w:ind w:firstLine="540"/>
        <w:jc w:val="both"/>
        <w:rPr>
          <w:rFonts w:ascii="Arial Narrow" w:eastAsia="Times New Roman" w:hAnsi="Arial Narrow"/>
          <w:b/>
          <w:sz w:val="24"/>
          <w:szCs w:val="24"/>
          <w:lang w:eastAsia="ru-RU"/>
        </w:rPr>
      </w:pPr>
    </w:p>
    <w:tbl>
      <w:tblPr>
        <w:tblW w:w="8364" w:type="dxa"/>
        <w:tblInd w:w="675" w:type="dxa"/>
        <w:tblLayout w:type="fixed"/>
        <w:tblLook w:val="01E0" w:firstRow="1" w:lastRow="1" w:firstColumn="1" w:lastColumn="1" w:noHBand="0" w:noVBand="0"/>
      </w:tblPr>
      <w:tblGrid>
        <w:gridCol w:w="6805"/>
        <w:gridCol w:w="1559"/>
      </w:tblGrid>
      <w:tr w:rsidR="002449C2" w14:paraId="2EF3BDCB" w14:textId="77777777">
        <w:trPr>
          <w:trHeight w:val="418"/>
        </w:trPr>
        <w:tc>
          <w:tcPr>
            <w:tcW w:w="6804" w:type="dxa"/>
            <w:tcBorders>
              <w:top w:val="single" w:sz="4" w:space="0" w:color="000000"/>
              <w:left w:val="single" w:sz="4" w:space="0" w:color="000000"/>
              <w:bottom w:val="single" w:sz="4" w:space="0" w:color="000000"/>
              <w:right w:val="single" w:sz="4" w:space="0" w:color="000000"/>
            </w:tcBorders>
            <w:vAlign w:val="center"/>
          </w:tcPr>
          <w:p w14:paraId="3BB51531" w14:textId="77777777" w:rsidR="002449C2" w:rsidRDefault="00123961">
            <w:pPr>
              <w:shd w:val="clear" w:color="auto" w:fill="FFFFFF"/>
              <w:spacing w:after="0" w:line="240" w:lineRule="auto"/>
              <w:jc w:val="both"/>
              <w:rPr>
                <w:rFonts w:ascii="Times New Roman" w:hAnsi="Times New Roman"/>
                <w:b/>
                <w:sz w:val="20"/>
                <w:szCs w:val="20"/>
                <w:lang w:eastAsia="ar-SA"/>
              </w:rPr>
            </w:pPr>
            <w:r>
              <w:rPr>
                <w:rFonts w:ascii="Times New Roman" w:hAnsi="Times New Roman"/>
                <w:b/>
                <w:sz w:val="20"/>
                <w:szCs w:val="20"/>
                <w:lang w:eastAsia="ar-SA"/>
              </w:rPr>
              <w:t>Наименование</w:t>
            </w:r>
          </w:p>
        </w:tc>
        <w:tc>
          <w:tcPr>
            <w:tcW w:w="1559" w:type="dxa"/>
            <w:tcBorders>
              <w:top w:val="single" w:sz="4" w:space="0" w:color="000000"/>
              <w:left w:val="single" w:sz="4" w:space="0" w:color="000000"/>
              <w:bottom w:val="single" w:sz="4" w:space="0" w:color="000000"/>
              <w:right w:val="single" w:sz="4" w:space="0" w:color="000000"/>
            </w:tcBorders>
            <w:vAlign w:val="center"/>
          </w:tcPr>
          <w:p w14:paraId="2CFADCC2" w14:textId="77777777" w:rsidR="002449C2" w:rsidRDefault="00123961">
            <w:pPr>
              <w:shd w:val="clear" w:color="auto" w:fill="FFFFFF"/>
              <w:spacing w:after="0" w:line="240" w:lineRule="auto"/>
              <w:jc w:val="center"/>
              <w:rPr>
                <w:rFonts w:ascii="Times New Roman" w:hAnsi="Times New Roman"/>
                <w:b/>
                <w:sz w:val="20"/>
                <w:szCs w:val="20"/>
                <w:lang w:eastAsia="ar-SA"/>
              </w:rPr>
            </w:pPr>
            <w:r>
              <w:rPr>
                <w:rFonts w:ascii="Times New Roman" w:hAnsi="Times New Roman"/>
                <w:b/>
                <w:sz w:val="20"/>
                <w:szCs w:val="20"/>
                <w:lang w:eastAsia="ar-SA"/>
              </w:rPr>
              <w:t>2024</w:t>
            </w:r>
          </w:p>
        </w:tc>
      </w:tr>
      <w:tr w:rsidR="002449C2" w14:paraId="492BD567" w14:textId="77777777">
        <w:trPr>
          <w:trHeight w:val="418"/>
        </w:trPr>
        <w:tc>
          <w:tcPr>
            <w:tcW w:w="6804" w:type="dxa"/>
            <w:tcBorders>
              <w:top w:val="single" w:sz="4" w:space="0" w:color="000000"/>
              <w:left w:val="single" w:sz="4" w:space="0" w:color="000000"/>
              <w:bottom w:val="single" w:sz="4" w:space="0" w:color="000000"/>
              <w:right w:val="single" w:sz="4" w:space="0" w:color="000000"/>
            </w:tcBorders>
            <w:vAlign w:val="center"/>
          </w:tcPr>
          <w:p w14:paraId="57C4DAE1" w14:textId="77777777" w:rsidR="002449C2" w:rsidRDefault="00123961">
            <w:pPr>
              <w:widowControl w:val="0"/>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Конкурс,%</w:t>
            </w:r>
          </w:p>
        </w:tc>
        <w:tc>
          <w:tcPr>
            <w:tcW w:w="1559" w:type="dxa"/>
            <w:tcBorders>
              <w:top w:val="single" w:sz="4" w:space="0" w:color="000000"/>
              <w:left w:val="single" w:sz="4" w:space="0" w:color="000000"/>
              <w:bottom w:val="single" w:sz="4" w:space="0" w:color="000000"/>
              <w:right w:val="single" w:sz="4" w:space="0" w:color="000000"/>
            </w:tcBorders>
          </w:tcPr>
          <w:p w14:paraId="360DC42D" w14:textId="77777777" w:rsidR="002449C2" w:rsidRDefault="00123961">
            <w:pPr>
              <w:jc w:val="center"/>
              <w:rPr>
                <w:rFonts w:ascii="Times New Roman" w:hAnsi="Times New Roman"/>
                <w:sz w:val="20"/>
                <w:szCs w:val="20"/>
              </w:rPr>
            </w:pPr>
            <w:r>
              <w:rPr>
                <w:rFonts w:ascii="Times New Roman" w:hAnsi="Times New Roman"/>
                <w:sz w:val="20"/>
                <w:szCs w:val="20"/>
              </w:rPr>
              <w:t>31,36%</w:t>
            </w:r>
          </w:p>
        </w:tc>
      </w:tr>
      <w:tr w:rsidR="002449C2" w14:paraId="1CC8417B" w14:textId="77777777">
        <w:trPr>
          <w:trHeight w:val="20"/>
        </w:trPr>
        <w:tc>
          <w:tcPr>
            <w:tcW w:w="6804" w:type="dxa"/>
            <w:tcBorders>
              <w:top w:val="single" w:sz="4" w:space="0" w:color="000000"/>
              <w:left w:val="single" w:sz="4" w:space="0" w:color="000000"/>
              <w:bottom w:val="single" w:sz="4" w:space="0" w:color="000000"/>
              <w:right w:val="single" w:sz="4" w:space="0" w:color="000000"/>
            </w:tcBorders>
            <w:vAlign w:val="center"/>
          </w:tcPr>
          <w:p w14:paraId="31A6AF34" w14:textId="77777777" w:rsidR="002449C2" w:rsidRDefault="00123961">
            <w:pPr>
              <w:widowControl w:val="0"/>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Запрос предложений,%</w:t>
            </w:r>
          </w:p>
        </w:tc>
        <w:tc>
          <w:tcPr>
            <w:tcW w:w="1559" w:type="dxa"/>
            <w:tcBorders>
              <w:top w:val="single" w:sz="4" w:space="0" w:color="000000"/>
              <w:left w:val="single" w:sz="4" w:space="0" w:color="000000"/>
              <w:bottom w:val="single" w:sz="4" w:space="0" w:color="000000"/>
              <w:right w:val="single" w:sz="4" w:space="0" w:color="000000"/>
            </w:tcBorders>
          </w:tcPr>
          <w:p w14:paraId="629C2F1C" w14:textId="77777777" w:rsidR="002449C2" w:rsidRDefault="00123961">
            <w:pPr>
              <w:jc w:val="center"/>
              <w:rPr>
                <w:rFonts w:ascii="Times New Roman" w:hAnsi="Times New Roman"/>
                <w:sz w:val="20"/>
                <w:szCs w:val="20"/>
              </w:rPr>
            </w:pPr>
            <w:r>
              <w:rPr>
                <w:rFonts w:ascii="Times New Roman" w:hAnsi="Times New Roman"/>
                <w:sz w:val="20"/>
                <w:szCs w:val="20"/>
              </w:rPr>
              <w:t>1,18%</w:t>
            </w:r>
          </w:p>
        </w:tc>
      </w:tr>
      <w:tr w:rsidR="002449C2" w14:paraId="5EE94BEE" w14:textId="77777777">
        <w:trPr>
          <w:trHeight w:val="20"/>
        </w:trPr>
        <w:tc>
          <w:tcPr>
            <w:tcW w:w="6804" w:type="dxa"/>
            <w:tcBorders>
              <w:top w:val="single" w:sz="4" w:space="0" w:color="000000"/>
              <w:left w:val="single" w:sz="4" w:space="0" w:color="000000"/>
              <w:bottom w:val="single" w:sz="4" w:space="0" w:color="000000"/>
              <w:right w:val="single" w:sz="4" w:space="0" w:color="000000"/>
            </w:tcBorders>
            <w:vAlign w:val="center"/>
          </w:tcPr>
          <w:p w14:paraId="4984CC46" w14:textId="77777777" w:rsidR="002449C2" w:rsidRDefault="00123961">
            <w:pPr>
              <w:widowControl w:val="0"/>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Электронный магазин, %</w:t>
            </w:r>
          </w:p>
        </w:tc>
        <w:tc>
          <w:tcPr>
            <w:tcW w:w="1559" w:type="dxa"/>
            <w:tcBorders>
              <w:top w:val="single" w:sz="4" w:space="0" w:color="000000"/>
              <w:left w:val="single" w:sz="4" w:space="0" w:color="000000"/>
              <w:bottom w:val="single" w:sz="4" w:space="0" w:color="000000"/>
              <w:right w:val="single" w:sz="4" w:space="0" w:color="000000"/>
            </w:tcBorders>
          </w:tcPr>
          <w:p w14:paraId="069D62F0" w14:textId="77777777" w:rsidR="002449C2" w:rsidRDefault="00123961">
            <w:pPr>
              <w:jc w:val="center"/>
              <w:rPr>
                <w:rFonts w:ascii="Times New Roman" w:hAnsi="Times New Roman"/>
                <w:sz w:val="20"/>
                <w:szCs w:val="20"/>
              </w:rPr>
            </w:pPr>
            <w:r>
              <w:rPr>
                <w:rFonts w:ascii="Times New Roman" w:hAnsi="Times New Roman"/>
                <w:sz w:val="20"/>
                <w:szCs w:val="20"/>
              </w:rPr>
              <w:t>0,12%</w:t>
            </w:r>
          </w:p>
        </w:tc>
      </w:tr>
      <w:tr w:rsidR="002449C2" w14:paraId="3E68C697" w14:textId="77777777">
        <w:trPr>
          <w:trHeight w:val="20"/>
        </w:trPr>
        <w:tc>
          <w:tcPr>
            <w:tcW w:w="6804" w:type="dxa"/>
            <w:tcBorders>
              <w:top w:val="single" w:sz="4" w:space="0" w:color="000000"/>
              <w:left w:val="single" w:sz="4" w:space="0" w:color="000000"/>
              <w:bottom w:val="single" w:sz="4" w:space="0" w:color="000000"/>
              <w:right w:val="single" w:sz="4" w:space="0" w:color="000000"/>
            </w:tcBorders>
            <w:vAlign w:val="center"/>
          </w:tcPr>
          <w:p w14:paraId="3712D2E3" w14:textId="77777777" w:rsidR="002449C2" w:rsidRDefault="00123961">
            <w:pPr>
              <w:widowControl w:val="0"/>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Конкурентный предварительный отбор, %</w:t>
            </w:r>
          </w:p>
        </w:tc>
        <w:tc>
          <w:tcPr>
            <w:tcW w:w="1559" w:type="dxa"/>
            <w:tcBorders>
              <w:top w:val="single" w:sz="4" w:space="0" w:color="000000"/>
              <w:left w:val="single" w:sz="4" w:space="0" w:color="000000"/>
              <w:bottom w:val="single" w:sz="4" w:space="0" w:color="000000"/>
              <w:right w:val="single" w:sz="4" w:space="0" w:color="000000"/>
            </w:tcBorders>
          </w:tcPr>
          <w:p w14:paraId="683117BE" w14:textId="77777777" w:rsidR="002449C2" w:rsidRDefault="00123961">
            <w:pPr>
              <w:jc w:val="center"/>
              <w:rPr>
                <w:rFonts w:ascii="Times New Roman" w:hAnsi="Times New Roman"/>
                <w:sz w:val="20"/>
                <w:szCs w:val="20"/>
              </w:rPr>
            </w:pPr>
            <w:r>
              <w:rPr>
                <w:rFonts w:ascii="Times New Roman" w:hAnsi="Times New Roman"/>
                <w:sz w:val="20"/>
                <w:szCs w:val="20"/>
              </w:rPr>
              <w:t>0%</w:t>
            </w:r>
          </w:p>
        </w:tc>
      </w:tr>
      <w:tr w:rsidR="002449C2" w14:paraId="3F93ABD4" w14:textId="77777777">
        <w:trPr>
          <w:trHeight w:val="20"/>
        </w:trPr>
        <w:tc>
          <w:tcPr>
            <w:tcW w:w="6804" w:type="dxa"/>
            <w:tcBorders>
              <w:top w:val="single" w:sz="4" w:space="0" w:color="000000"/>
              <w:left w:val="single" w:sz="4" w:space="0" w:color="000000"/>
              <w:bottom w:val="single" w:sz="4" w:space="0" w:color="000000"/>
              <w:right w:val="single" w:sz="4" w:space="0" w:color="000000"/>
            </w:tcBorders>
            <w:vAlign w:val="center"/>
          </w:tcPr>
          <w:p w14:paraId="54975E47" w14:textId="77777777" w:rsidR="002449C2" w:rsidRDefault="00123961">
            <w:pPr>
              <w:widowControl w:val="0"/>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Аукцион,%</w:t>
            </w:r>
          </w:p>
        </w:tc>
        <w:tc>
          <w:tcPr>
            <w:tcW w:w="1559" w:type="dxa"/>
            <w:tcBorders>
              <w:top w:val="single" w:sz="4" w:space="0" w:color="000000"/>
              <w:left w:val="single" w:sz="4" w:space="0" w:color="000000"/>
              <w:bottom w:val="single" w:sz="4" w:space="0" w:color="000000"/>
              <w:right w:val="single" w:sz="4" w:space="0" w:color="000000"/>
            </w:tcBorders>
          </w:tcPr>
          <w:p w14:paraId="4E08B850" w14:textId="77777777" w:rsidR="002449C2" w:rsidRDefault="00123961">
            <w:pPr>
              <w:jc w:val="center"/>
              <w:rPr>
                <w:rFonts w:ascii="Times New Roman" w:hAnsi="Times New Roman"/>
                <w:sz w:val="20"/>
                <w:szCs w:val="20"/>
              </w:rPr>
            </w:pPr>
            <w:r>
              <w:rPr>
                <w:rFonts w:ascii="Times New Roman" w:hAnsi="Times New Roman"/>
                <w:sz w:val="20"/>
                <w:szCs w:val="20"/>
              </w:rPr>
              <w:t>64,14%</w:t>
            </w:r>
          </w:p>
        </w:tc>
      </w:tr>
      <w:tr w:rsidR="002449C2" w14:paraId="69E045CC" w14:textId="77777777">
        <w:trPr>
          <w:trHeight w:val="20"/>
        </w:trPr>
        <w:tc>
          <w:tcPr>
            <w:tcW w:w="6804" w:type="dxa"/>
            <w:tcBorders>
              <w:top w:val="single" w:sz="4" w:space="0" w:color="000000"/>
              <w:left w:val="single" w:sz="4" w:space="0" w:color="000000"/>
              <w:bottom w:val="single" w:sz="4" w:space="0" w:color="000000"/>
              <w:right w:val="single" w:sz="4" w:space="0" w:color="000000"/>
            </w:tcBorders>
            <w:vAlign w:val="center"/>
          </w:tcPr>
          <w:p w14:paraId="1F33CAE5" w14:textId="77777777" w:rsidR="002449C2" w:rsidRDefault="00123961">
            <w:pPr>
              <w:widowControl w:val="0"/>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Единственный поставщик,%</w:t>
            </w:r>
          </w:p>
        </w:tc>
        <w:tc>
          <w:tcPr>
            <w:tcW w:w="1559" w:type="dxa"/>
            <w:tcBorders>
              <w:top w:val="single" w:sz="4" w:space="0" w:color="000000"/>
              <w:left w:val="single" w:sz="4" w:space="0" w:color="000000"/>
              <w:bottom w:val="single" w:sz="4" w:space="0" w:color="000000"/>
              <w:right w:val="single" w:sz="4" w:space="0" w:color="000000"/>
            </w:tcBorders>
          </w:tcPr>
          <w:p w14:paraId="20FB75BB" w14:textId="77777777" w:rsidR="002449C2" w:rsidRDefault="00123961">
            <w:pPr>
              <w:jc w:val="center"/>
              <w:rPr>
                <w:rFonts w:ascii="Times New Roman" w:hAnsi="Times New Roman"/>
                <w:sz w:val="20"/>
                <w:szCs w:val="20"/>
              </w:rPr>
            </w:pPr>
            <w:r>
              <w:rPr>
                <w:rFonts w:ascii="Times New Roman" w:hAnsi="Times New Roman"/>
                <w:sz w:val="20"/>
                <w:szCs w:val="20"/>
              </w:rPr>
              <w:t>3,20%</w:t>
            </w:r>
          </w:p>
        </w:tc>
      </w:tr>
    </w:tbl>
    <w:p w14:paraId="45F988C6" w14:textId="77777777" w:rsidR="00DC6B8C" w:rsidRDefault="00DC6B8C">
      <w:pPr>
        <w:widowControl w:val="0"/>
        <w:shd w:val="clear" w:color="auto" w:fill="FFFFFF"/>
        <w:spacing w:before="120" w:after="120" w:line="240" w:lineRule="auto"/>
        <w:jc w:val="center"/>
        <w:rPr>
          <w:rFonts w:ascii="Times New Roman" w:eastAsia="Times New Roman" w:hAnsi="Times New Roman"/>
          <w:b/>
          <w:sz w:val="26"/>
          <w:szCs w:val="26"/>
          <w:lang w:eastAsia="ru-RU"/>
        </w:rPr>
      </w:pPr>
    </w:p>
    <w:p w14:paraId="6DF8D5DA" w14:textId="6332E3A9" w:rsidR="00DC6B8C" w:rsidRDefault="00DC6B8C">
      <w:pPr>
        <w:spacing w:after="0" w:line="240" w:lineRule="auto"/>
        <w:rPr>
          <w:rFonts w:ascii="Times New Roman" w:eastAsia="Times New Roman" w:hAnsi="Times New Roman"/>
          <w:b/>
          <w:sz w:val="26"/>
          <w:szCs w:val="26"/>
          <w:lang w:eastAsia="ru-RU"/>
        </w:rPr>
      </w:pPr>
    </w:p>
    <w:p w14:paraId="5BE28C28" w14:textId="1100FD0F" w:rsidR="002449C2" w:rsidRDefault="00123961">
      <w:pPr>
        <w:widowControl w:val="0"/>
        <w:shd w:val="clear" w:color="auto" w:fill="FFFFFF"/>
        <w:spacing w:before="120" w:after="120" w:line="240" w:lineRule="auto"/>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Объем достигнутой экономии</w:t>
      </w:r>
    </w:p>
    <w:p w14:paraId="1D27CDB3"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Экономический эффект по итогам проведения закупочных процедур за период составил 404,2 млн руб. с учетом НДС или 1,01% от плановой объявленной стоимости конкурентных закупок. </w:t>
      </w:r>
    </w:p>
    <w:p w14:paraId="1B0B0679"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 В соответствии с Постановлением Правительства Российской Федерации от 11.12.2014 №1352 были проведены закупки и заключены договора с поставщиками, которые относятся к субъектам малого и среднего предприни</w:t>
      </w:r>
      <w:r w:rsidR="00EC7CB2">
        <w:rPr>
          <w:rFonts w:ascii="Times New Roman" w:eastAsia="Times New Roman" w:hAnsi="Times New Roman"/>
          <w:sz w:val="26"/>
          <w:szCs w:val="26"/>
          <w:lang w:eastAsia="ru-RU"/>
        </w:rPr>
        <w:t>мательства на сумму 8 592,9 млн</w:t>
      </w:r>
      <w:r>
        <w:rPr>
          <w:rFonts w:ascii="Times New Roman" w:eastAsia="Times New Roman" w:hAnsi="Times New Roman"/>
          <w:sz w:val="26"/>
          <w:szCs w:val="26"/>
          <w:lang w:eastAsia="ru-RU"/>
        </w:rPr>
        <w:t xml:space="preserve"> руб. с учетом НДС, что составляет 79,37 % от общего объема проведенных закупочных процедур, из них специальных закупок (в которых участниками закупок могли быть только субъекты малого и среднего предпринимательства) – на сумму 5 258,1 мл руб. с учетом НДС, что составляет 48,57 % от общего объема проведенных закупочных процедур. </w:t>
      </w:r>
    </w:p>
    <w:p w14:paraId="11041D83"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соответствии с требованиями постановления Правительства Российской Федерации квоты закупок конкретными заказчиками у субъектов МСП утверждены на уровне 20% (по специальным закупкам - 25%). </w:t>
      </w:r>
    </w:p>
    <w:p w14:paraId="65ECDDFD" w14:textId="77777777" w:rsidR="002449C2" w:rsidRDefault="00123961">
      <w:pPr>
        <w:shd w:val="clear" w:color="auto" w:fill="FFFFFF"/>
        <w:spacing w:after="0" w:line="240" w:lineRule="auto"/>
        <w:ind w:firstLine="709"/>
        <w:jc w:val="both"/>
        <w:rPr>
          <w:rFonts w:ascii="Times New Roman" w:eastAsia="Times New Roman" w:hAnsi="Times New Roman"/>
          <w:spacing w:val="20"/>
          <w:sz w:val="26"/>
          <w:szCs w:val="26"/>
          <w:lang w:eastAsia="ru-RU"/>
        </w:rPr>
      </w:pPr>
      <w:r>
        <w:rPr>
          <w:rFonts w:ascii="Times New Roman" w:eastAsia="Times New Roman" w:hAnsi="Times New Roman"/>
          <w:spacing w:val="20"/>
          <w:sz w:val="26"/>
          <w:szCs w:val="26"/>
          <w:lang w:eastAsia="ru-RU"/>
        </w:rPr>
        <w:t>Общество регулярно перевыполняет план закупок у субъектов МСП.</w:t>
      </w:r>
    </w:p>
    <w:p w14:paraId="4B0D23FA" w14:textId="77777777" w:rsidR="002449C2" w:rsidRDefault="002449C2">
      <w:pPr>
        <w:shd w:val="clear" w:color="auto" w:fill="FFFFFF"/>
        <w:spacing w:after="0" w:line="240" w:lineRule="auto"/>
        <w:ind w:firstLine="709"/>
        <w:jc w:val="both"/>
        <w:rPr>
          <w:rFonts w:ascii="Times New Roman" w:eastAsia="Times New Roman" w:hAnsi="Times New Roman"/>
          <w:spacing w:val="20"/>
          <w:sz w:val="26"/>
          <w:szCs w:val="26"/>
          <w:lang w:eastAsia="ru-RU"/>
        </w:rPr>
      </w:pPr>
    </w:p>
    <w:tbl>
      <w:tblPr>
        <w:tblW w:w="9408" w:type="dxa"/>
        <w:tblLayout w:type="fixed"/>
        <w:tblLook w:val="04A0" w:firstRow="1" w:lastRow="0" w:firstColumn="1" w:lastColumn="0" w:noHBand="0" w:noVBand="1"/>
      </w:tblPr>
      <w:tblGrid>
        <w:gridCol w:w="4657"/>
        <w:gridCol w:w="4751"/>
      </w:tblGrid>
      <w:tr w:rsidR="002449C2" w14:paraId="000D9A36" w14:textId="77777777">
        <w:trPr>
          <w:trHeight w:val="3084"/>
        </w:trPr>
        <w:tc>
          <w:tcPr>
            <w:tcW w:w="4657" w:type="dxa"/>
            <w:tcBorders>
              <w:top w:val="single" w:sz="12" w:space="0" w:color="FFFFFF"/>
              <w:left w:val="single" w:sz="12" w:space="0" w:color="FFFFFF"/>
              <w:bottom w:val="single" w:sz="12" w:space="0" w:color="FFFFFF"/>
              <w:right w:val="single" w:sz="12" w:space="0" w:color="FFFFFF"/>
            </w:tcBorders>
            <w:shd w:val="clear" w:color="auto" w:fill="auto"/>
          </w:tcPr>
          <w:p w14:paraId="522A0B54" w14:textId="77777777" w:rsidR="002449C2" w:rsidRDefault="00123961">
            <w:pPr>
              <w:spacing w:after="120"/>
              <w:rPr>
                <w:rFonts w:ascii="Times New Roman" w:hAnsi="Times New Roman"/>
                <w:sz w:val="24"/>
                <w:szCs w:val="24"/>
              </w:rPr>
            </w:pPr>
            <w:r>
              <w:rPr>
                <w:noProof/>
                <w:lang w:eastAsia="ru-RU"/>
              </w:rPr>
              <w:drawing>
                <wp:inline distT="0" distB="0" distL="0" distR="0" wp14:anchorId="54D810B7" wp14:editId="00060EAE">
                  <wp:extent cx="2686050" cy="1704975"/>
                  <wp:effectExtent l="0" t="0" r="0" b="0"/>
                  <wp:docPr id="84"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tc>
        <w:tc>
          <w:tcPr>
            <w:tcW w:w="4750" w:type="dxa"/>
            <w:tcBorders>
              <w:top w:val="single" w:sz="12" w:space="0" w:color="FFFFFF"/>
              <w:left w:val="single" w:sz="12" w:space="0" w:color="FFFFFF"/>
              <w:bottom w:val="single" w:sz="12" w:space="0" w:color="FFFFFF"/>
              <w:right w:val="single" w:sz="12" w:space="0" w:color="FFFFFF"/>
            </w:tcBorders>
            <w:shd w:val="clear" w:color="auto" w:fill="auto"/>
          </w:tcPr>
          <w:p w14:paraId="320189BB" w14:textId="77777777" w:rsidR="002449C2" w:rsidRDefault="00123961">
            <w:pPr>
              <w:spacing w:after="120"/>
              <w:rPr>
                <w:rFonts w:ascii="Times New Roman" w:hAnsi="Times New Roman"/>
                <w:sz w:val="24"/>
                <w:szCs w:val="24"/>
              </w:rPr>
            </w:pPr>
            <w:r>
              <w:rPr>
                <w:noProof/>
                <w:lang w:eastAsia="ru-RU"/>
              </w:rPr>
              <w:drawing>
                <wp:inline distT="0" distB="0" distL="0" distR="0" wp14:anchorId="036DE6A8" wp14:editId="2A366C69">
                  <wp:extent cx="2867025" cy="1704975"/>
                  <wp:effectExtent l="0" t="0" r="0" b="0"/>
                  <wp:docPr id="85" name="Диаграмма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tc>
      </w:tr>
    </w:tbl>
    <w:p w14:paraId="24E1C3D7" w14:textId="77777777" w:rsidR="002449C2" w:rsidRDefault="00123961">
      <w:pPr>
        <w:tabs>
          <w:tab w:val="left" w:pos="142"/>
          <w:tab w:val="left" w:pos="1276"/>
        </w:tabs>
        <w:spacing w:after="0" w:line="240" w:lineRule="auto"/>
        <w:jc w:val="both"/>
        <w:rPr>
          <w:rFonts w:ascii="Times New Roman" w:hAnsi="Times New Roman"/>
          <w:sz w:val="24"/>
          <w:szCs w:val="24"/>
        </w:rPr>
      </w:pPr>
      <w:r>
        <w:rPr>
          <w:rFonts w:ascii="Times New Roman" w:hAnsi="Times New Roman"/>
          <w:sz w:val="24"/>
          <w:szCs w:val="24"/>
        </w:rPr>
        <w:t xml:space="preserve">   </w:t>
      </w:r>
      <w:r>
        <w:rPr>
          <w:noProof/>
          <w:lang w:eastAsia="ru-RU"/>
        </w:rPr>
        <w:drawing>
          <wp:inline distT="0" distB="0" distL="0" distR="0" wp14:anchorId="04E9D42E" wp14:editId="197D966B">
            <wp:extent cx="2514600" cy="1733550"/>
            <wp:effectExtent l="0" t="0" r="0" b="0"/>
            <wp:docPr id="86" name="Диаграмма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r>
        <w:rPr>
          <w:rFonts w:ascii="Times New Roman" w:hAnsi="Times New Roman"/>
          <w:sz w:val="24"/>
          <w:szCs w:val="24"/>
        </w:rPr>
        <w:t xml:space="preserve">           </w:t>
      </w:r>
      <w:r>
        <w:rPr>
          <w:noProof/>
          <w:lang w:eastAsia="ru-RU"/>
        </w:rPr>
        <w:drawing>
          <wp:inline distT="0" distB="0" distL="0" distR="0" wp14:anchorId="02005912" wp14:editId="6265C4FA">
            <wp:extent cx="2514600" cy="1733550"/>
            <wp:effectExtent l="0" t="0" r="0" b="0"/>
            <wp:docPr id="87" name="Диаграмма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r>
        <w:rPr>
          <w:rFonts w:ascii="Times New Roman" w:hAnsi="Times New Roman"/>
          <w:sz w:val="24"/>
          <w:szCs w:val="24"/>
        </w:rPr>
        <w:t xml:space="preserve"> </w:t>
      </w:r>
    </w:p>
    <w:p w14:paraId="0422C7C2" w14:textId="77777777" w:rsidR="002449C2" w:rsidRDefault="002449C2">
      <w:pPr>
        <w:tabs>
          <w:tab w:val="left" w:pos="142"/>
          <w:tab w:val="left" w:pos="1276"/>
        </w:tabs>
        <w:spacing w:after="0" w:line="240" w:lineRule="auto"/>
        <w:jc w:val="both"/>
        <w:rPr>
          <w:rFonts w:ascii="Times New Roman" w:eastAsia="Times New Roman" w:hAnsi="Times New Roman"/>
          <w:spacing w:val="20"/>
          <w:sz w:val="26"/>
          <w:szCs w:val="26"/>
          <w:lang w:eastAsia="ru-RU"/>
        </w:rPr>
      </w:pPr>
    </w:p>
    <w:p w14:paraId="45560484" w14:textId="77777777" w:rsidR="002449C2" w:rsidRDefault="00123961">
      <w:pPr>
        <w:widowControl w:val="0"/>
        <w:shd w:val="clear" w:color="auto" w:fill="FFFFFF"/>
        <w:spacing w:before="120" w:after="120" w:line="240" w:lineRule="auto"/>
        <w:jc w:val="center"/>
        <w:rPr>
          <w:rFonts w:ascii="Times New Roman" w:eastAsia="Times New Roman" w:hAnsi="Times New Roman"/>
          <w:b/>
          <w:sz w:val="26"/>
          <w:szCs w:val="26"/>
          <w:lang w:eastAsia="ru-RU"/>
        </w:rPr>
      </w:pPr>
      <w:bookmarkStart w:id="138" w:name="_Toc164093739"/>
      <w:r>
        <w:rPr>
          <w:rFonts w:ascii="Times New Roman" w:eastAsia="Times New Roman" w:hAnsi="Times New Roman"/>
          <w:b/>
          <w:sz w:val="26"/>
          <w:szCs w:val="26"/>
          <w:lang w:eastAsia="ru-RU"/>
        </w:rPr>
        <w:t>Мероприятия, направленные на совершенствование закупочной деятельности</w:t>
      </w:r>
      <w:bookmarkEnd w:id="138"/>
    </w:p>
    <w:p w14:paraId="0FF807C9" w14:textId="77777777" w:rsidR="002449C2" w:rsidRDefault="00123961">
      <w:pPr>
        <w:spacing w:line="240" w:lineRule="auto"/>
        <w:ind w:firstLine="709"/>
        <w:jc w:val="both"/>
        <w:rPr>
          <w:rFonts w:ascii="Times New Roman" w:hAnsi="Times New Roman"/>
          <w:sz w:val="26"/>
          <w:szCs w:val="26"/>
        </w:rPr>
      </w:pPr>
      <w:r>
        <w:rPr>
          <w:rFonts w:ascii="Times New Roman" w:hAnsi="Times New Roman"/>
          <w:sz w:val="26"/>
          <w:szCs w:val="26"/>
        </w:rPr>
        <w:t xml:space="preserve">Закупочная деятельность направлена на приобретение товаров, работ, услуг на открытой, конкурентной основе у поставщиков, предлагающих оптимальное соотношение цены и качества. </w:t>
      </w:r>
    </w:p>
    <w:p w14:paraId="394F569A" w14:textId="77777777" w:rsidR="002449C2" w:rsidRDefault="00123961">
      <w:pPr>
        <w:spacing w:line="240" w:lineRule="auto"/>
        <w:ind w:firstLine="709"/>
        <w:jc w:val="both"/>
        <w:rPr>
          <w:rFonts w:ascii="Times New Roman" w:hAnsi="Times New Roman"/>
          <w:sz w:val="26"/>
          <w:szCs w:val="26"/>
        </w:rPr>
      </w:pPr>
      <w:r>
        <w:rPr>
          <w:rFonts w:ascii="Times New Roman" w:hAnsi="Times New Roman"/>
          <w:sz w:val="26"/>
          <w:szCs w:val="26"/>
        </w:rPr>
        <w:t>С целью повышения эффективности закупочной деятельности в Обществе реализуется Программа повышения операционной эффективности и сокращения расходов ПАО «Россети Юг» на 2023-2027 годы (утверждена решением Совета директоров Общества 11.01.2023, протокол от 13.01.2023 №510/2023), в рамках которой определены такие мероприятия, как Повышение доли открытых конкурентных закупок и снижение доли закупок способом «у единственного поставщика».</w:t>
      </w:r>
    </w:p>
    <w:p w14:paraId="33BA2EB5" w14:textId="77777777" w:rsidR="002449C2" w:rsidRDefault="00123961">
      <w:pPr>
        <w:spacing w:line="240" w:lineRule="auto"/>
        <w:ind w:firstLine="709"/>
        <w:jc w:val="both"/>
        <w:rPr>
          <w:rFonts w:ascii="Times New Roman" w:hAnsi="Times New Roman"/>
          <w:sz w:val="26"/>
          <w:szCs w:val="26"/>
        </w:rPr>
      </w:pPr>
      <w:r>
        <w:rPr>
          <w:rFonts w:ascii="Times New Roman" w:hAnsi="Times New Roman"/>
          <w:sz w:val="26"/>
          <w:szCs w:val="26"/>
        </w:rPr>
        <w:t>В целях реализации государственной политики по развитию малого и среднего предпринимательства приказом Общества от 14.03.2018 №172 утверждена Программа партнерства между ПАО «Россети Юг» и субъектами малого и среднего предпринимательства, устанавливающая комплекс мероприятий, направленных на формирование и поддержку класса надежных, квалифицированных и ответственных поставщиков (подрядчиков, исполнителей) из числа субъектов малого и среднего предпринимательства. Программа партнерства устанавливает требования к субъектам малого и среднего предпринимательства, правилам и условиям присоединения к Программе.</w:t>
      </w:r>
    </w:p>
    <w:p w14:paraId="089EAAA7" w14:textId="77777777" w:rsidR="002449C2" w:rsidRDefault="00123961">
      <w:pPr>
        <w:spacing w:line="240" w:lineRule="auto"/>
        <w:ind w:firstLine="709"/>
        <w:jc w:val="both"/>
        <w:rPr>
          <w:rFonts w:ascii="Times New Roman" w:hAnsi="Times New Roman"/>
          <w:sz w:val="26"/>
          <w:szCs w:val="26"/>
        </w:rPr>
      </w:pPr>
      <w:r>
        <w:rPr>
          <w:rFonts w:ascii="Times New Roman" w:hAnsi="Times New Roman"/>
          <w:sz w:val="26"/>
          <w:szCs w:val="26"/>
        </w:rPr>
        <w:t>По итогам 2024 года к Программе партнерства всего присоединилось 39 организаций относящихся к категории субъектов малого и среднего предпринимательства.</w:t>
      </w:r>
    </w:p>
    <w:p w14:paraId="4A05746D" w14:textId="77777777" w:rsidR="002449C2" w:rsidRDefault="00123961">
      <w:pPr>
        <w:shd w:val="clear" w:color="auto" w:fill="FFFFFF"/>
        <w:spacing w:after="120" w:line="240" w:lineRule="auto"/>
        <w:ind w:firstLine="708"/>
        <w:jc w:val="both"/>
        <w:rPr>
          <w:rFonts w:ascii="Times New Roman" w:hAnsi="Times New Roman"/>
          <w:sz w:val="26"/>
          <w:szCs w:val="26"/>
          <w:lang w:eastAsia="en-US"/>
        </w:rPr>
      </w:pPr>
      <w:r>
        <w:rPr>
          <w:rFonts w:ascii="Times New Roman" w:hAnsi="Times New Roman"/>
          <w:sz w:val="26"/>
          <w:szCs w:val="26"/>
          <w:lang w:eastAsia="en-US"/>
        </w:rPr>
        <w:t xml:space="preserve">Дополнительными инструментами взаимодействия с поставщиками являются портал Единой информационной системы в сфере закупок и раздел «Поставщикам» корпоративного сайта ПАО «Россети Юг» </w:t>
      </w:r>
      <w:hyperlink r:id="rId117">
        <w:r>
          <w:rPr>
            <w:rStyle w:val="ab"/>
            <w:rFonts w:ascii="Times New Roman" w:hAnsi="Times New Roman"/>
            <w:sz w:val="26"/>
            <w:szCs w:val="26"/>
            <w:lang w:eastAsia="en-US"/>
          </w:rPr>
          <w:t>www.</w:t>
        </w:r>
        <w:r>
          <w:rPr>
            <w:rStyle w:val="ab"/>
            <w:rFonts w:ascii="Times New Roman" w:hAnsi="Times New Roman"/>
            <w:sz w:val="26"/>
            <w:szCs w:val="26"/>
            <w:lang w:val="en-US" w:eastAsia="en-US"/>
          </w:rPr>
          <w:t>rosseti</w:t>
        </w:r>
        <w:r>
          <w:rPr>
            <w:rStyle w:val="ab"/>
            <w:rFonts w:ascii="Times New Roman" w:hAnsi="Times New Roman"/>
            <w:sz w:val="26"/>
            <w:szCs w:val="26"/>
            <w:lang w:eastAsia="en-US"/>
          </w:rPr>
          <w:t>-yug.ru</w:t>
        </w:r>
      </w:hyperlink>
      <w:r>
        <w:rPr>
          <w:rFonts w:ascii="Times New Roman" w:hAnsi="Times New Roman"/>
          <w:sz w:val="26"/>
          <w:szCs w:val="26"/>
          <w:lang w:eastAsia="en-US"/>
        </w:rPr>
        <w:t xml:space="preserve">. На данных интернет площадках Обществом публикуется актуальный план закупок (планируемые к объявлению, проводимые и завершенные закупки) с возможностью автоматического перехода на сайт </w:t>
      </w:r>
      <w:r>
        <w:rPr>
          <w:rStyle w:val="ab"/>
          <w:rFonts w:ascii="Times New Roman" w:hAnsi="Times New Roman"/>
          <w:sz w:val="26"/>
          <w:szCs w:val="26"/>
          <w:lang w:eastAsia="en-US"/>
        </w:rPr>
        <w:t>www.zakupki.gov.ru</w:t>
      </w:r>
      <w:r>
        <w:rPr>
          <w:rFonts w:ascii="Times New Roman" w:hAnsi="Times New Roman"/>
          <w:sz w:val="26"/>
          <w:szCs w:val="26"/>
          <w:lang w:eastAsia="en-US"/>
        </w:rPr>
        <w:t xml:space="preserve"> для оперативного доступа к актуальной информации.</w:t>
      </w:r>
    </w:p>
    <w:p w14:paraId="4E50566F" w14:textId="77777777" w:rsidR="002449C2" w:rsidRDefault="00123961">
      <w:pPr>
        <w:keepNext/>
        <w:pBdr>
          <w:bottom w:val="single" w:sz="4" w:space="1" w:color="622423"/>
        </w:pBdr>
        <w:shd w:val="clear" w:color="auto" w:fill="FFFFFF"/>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139" w:name="_Toc33542784"/>
      <w:bookmarkStart w:id="140" w:name="_Toc195174956"/>
      <w:bookmarkStart w:id="141" w:name="_Toc196143049"/>
      <w:r>
        <w:rPr>
          <w:rFonts w:ascii="Times New Roman" w:eastAsia="Times New Roman" w:hAnsi="Times New Roman"/>
          <w:caps/>
          <w:color w:val="632423"/>
          <w:spacing w:val="15"/>
          <w:sz w:val="24"/>
          <w:szCs w:val="24"/>
          <w:lang w:eastAsia="en-US" w:bidi="en-US"/>
        </w:rPr>
        <w:t>Антикоррупционная политика и обеспечение безопасности экономической деятельности</w:t>
      </w:r>
      <w:bookmarkEnd w:id="139"/>
      <w:bookmarkEnd w:id="140"/>
      <w:bookmarkEnd w:id="141"/>
      <w:r>
        <w:rPr>
          <w:rFonts w:ascii="Times New Roman" w:eastAsia="Times New Roman" w:hAnsi="Times New Roman"/>
          <w:caps/>
          <w:color w:val="632423"/>
          <w:spacing w:val="15"/>
          <w:sz w:val="24"/>
          <w:szCs w:val="24"/>
          <w:lang w:eastAsia="en-US" w:bidi="en-US"/>
        </w:rPr>
        <w:t xml:space="preserve"> </w:t>
      </w:r>
    </w:p>
    <w:p w14:paraId="7B10BC2F" w14:textId="77777777" w:rsidR="002449C2" w:rsidRDefault="002449C2">
      <w:pPr>
        <w:shd w:val="clear" w:color="auto" w:fill="FFFFFF"/>
        <w:spacing w:after="0" w:line="240" w:lineRule="auto"/>
        <w:ind w:firstLine="709"/>
        <w:jc w:val="both"/>
        <w:rPr>
          <w:rFonts w:ascii="Times New Roman" w:hAnsi="Times New Roman"/>
          <w:sz w:val="26"/>
          <w:szCs w:val="26"/>
        </w:rPr>
      </w:pPr>
    </w:p>
    <w:p w14:paraId="4C104B70" w14:textId="77777777" w:rsidR="002449C2" w:rsidRDefault="00123961">
      <w:pPr>
        <w:shd w:val="clear" w:color="auto" w:fill="FFFFFF"/>
        <w:tabs>
          <w:tab w:val="left" w:pos="1134"/>
        </w:tabs>
        <w:spacing w:after="0" w:line="240" w:lineRule="auto"/>
        <w:ind w:firstLine="567"/>
        <w:jc w:val="both"/>
        <w:rPr>
          <w:rFonts w:ascii="Times New Roman" w:hAnsi="Times New Roman"/>
          <w:color w:val="0070C0"/>
          <w:sz w:val="26"/>
          <w:szCs w:val="26"/>
        </w:rPr>
      </w:pPr>
      <w:r>
        <w:rPr>
          <w:rFonts w:ascii="Times New Roman" w:hAnsi="Times New Roman"/>
          <w:color w:val="0070C0"/>
          <w:sz w:val="26"/>
          <w:szCs w:val="26"/>
        </w:rPr>
        <w:t>Система реализации Антикоррупционной политики в Обществе</w:t>
      </w:r>
    </w:p>
    <w:p w14:paraId="282AE4FA"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В 2024 году в Обществе действовала Антикоррупционная политика ПАО «Россети Юг», утвержденная решением Совета директоров Общества 02.08.2023 (протокол от 03.08.2023 № 537/2023), (далее - Антикоррупционная политика), соответствующая всем действующим требованиям Российского законодательства в области профилактики и противодействия коррупции.</w:t>
      </w:r>
    </w:p>
    <w:p w14:paraId="109F03C5"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Цель Антикоррупционной политики - единый подход к выполнению требований статьи 13.3. Закона о противодействии коррупции и иных нормативных правовых актов Российской Федерации в области противодействия коррупции, разработка и принятие мер по предупреждению и противодействию коррупции: выявление и последующее устранение причин коррупции (профилактика коррупции); выявление, предупреждение и пресечение коррупционных и иных правонарушений; минимизация и (или) ликвидация последствий коррупционных и иных правонарушений, снижение рисков привлечения Общества к ответственности, например, по статье 19.28 Кодекса Российской Федерации об административных правонарушениях (далее – КоАП), работников Общества – по статье 290 Уголовного кодекса Российской Федерации (далее – УК РФ) «Получение взятки», 291 УК РФ «Дача взятки», 291.1 УК РФ «Посредничество во взяточничестве», а также иной ответственности, предусмотренной законодательством Российской Федерации за коррупционные правонарушения.</w:t>
      </w:r>
    </w:p>
    <w:p w14:paraId="3F6051D7"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Основные задачи Антикоррупционной политики:</w:t>
      </w:r>
    </w:p>
    <w:p w14:paraId="6D308490"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определение ключевых направлений по выполнению требований статьи 13.3. Закона о противодействии коррупции и иных нормативных правовых актов Российской Федерации в области противодействия коррупции;</w:t>
      </w:r>
    </w:p>
    <w:p w14:paraId="795A71E2"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разработка и внедрение мероприятий по выполнению Национального плана противодействия коррупции, утвержденного соответствующим Указом Президента Российской Федерации, а также методических рекомендаций Минтруда России в области противодействия коррупции;</w:t>
      </w:r>
    </w:p>
    <w:p w14:paraId="1DCFE8C2"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xml:space="preserve">- формирование у работников Общества ответственности за свои действия и поведение; </w:t>
      </w:r>
    </w:p>
    <w:p w14:paraId="4C21257B"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xml:space="preserve"> - формирование у членов органов управления и контроля Общества, работников Общества, партнеров и контрагентов ясного понимания позиции Общества о неприятии коррупции в любых формах и проявлениях;</w:t>
      </w:r>
    </w:p>
    <w:p w14:paraId="2EA7B2B5"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минимизация рисков вовлечения работников Общества в деятельность, которая связана с коррупционными правонарушениями.</w:t>
      </w:r>
    </w:p>
    <w:p w14:paraId="727F871E"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Ключевые принципы Антикоррупционной политики:</w:t>
      </w:r>
    </w:p>
    <w:p w14:paraId="216F8109"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xml:space="preserve">- соответствие Антикоррупционной политики действующему законодательству в области противодействия коррупции и общепринятым нормам; </w:t>
      </w:r>
    </w:p>
    <w:p w14:paraId="4DB608EA"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xml:space="preserve">- соблюдение законных прав и интересов заинтересованных лиц, работников Общества, защита деловой репутации Общества, партнеров, и иных заинтересованных лиц, режима конфиденциальности при осуществлении антикоррупционных мероприятий; </w:t>
      </w:r>
    </w:p>
    <w:p w14:paraId="5B80E042"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xml:space="preserve">- личный пример руководства при формировании культуры нетерпимости к коррупции и создании внутриорганизационной системы предупреждения (профилактики) и противодействия коррупции; </w:t>
      </w:r>
    </w:p>
    <w:p w14:paraId="7A28295A"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xml:space="preserve">- ответственность и неотвратимость наказания для работников Общества вне зависимости от занимаемой должности, стажа работы и иных условий, в случае совершения ими коррупционных правонарушений; </w:t>
      </w:r>
    </w:p>
    <w:p w14:paraId="71C758AE"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постоянный контроль и регулярный мониторинг эффективности внедренных антикоррупционных процедур.</w:t>
      </w:r>
    </w:p>
    <w:p w14:paraId="07A1F623"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В целях координации деятельности в области Антикоррупционной политики в отчетном периоде были разработаны и актуализированы следующие нормативные документы:</w:t>
      </w:r>
    </w:p>
    <w:p w14:paraId="6B6C57FB"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разработан и утвержден План противодействия коррупции на 2024 год (приказ от 16.01.2024 № 20);</w:t>
      </w:r>
    </w:p>
    <w:p w14:paraId="36782C06"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xml:space="preserve">- актуализировано Положение об урегулировании конфликта интересов в ПАО «Россети Юг», Положение о комиссии ПАО «Россети Юг» по соблюдению норм корпоративной этики и урегулированию конфликта интересов (приказ от 05.12.2024 № 729). </w:t>
      </w:r>
    </w:p>
    <w:p w14:paraId="3B3DB520"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Принятые в целях профилактики и противодействия коррупции документы доводятся до сведения работников в обязательном порядке.</w:t>
      </w:r>
    </w:p>
    <w:p w14:paraId="495A6963" w14:textId="77777777" w:rsidR="002449C2" w:rsidRDefault="00123961">
      <w:pPr>
        <w:tabs>
          <w:tab w:val="left" w:pos="1134"/>
        </w:tabs>
        <w:spacing w:after="0" w:line="240" w:lineRule="auto"/>
        <w:ind w:firstLine="567"/>
        <w:jc w:val="both"/>
        <w:rPr>
          <w:rFonts w:ascii="Times New Roman" w:hAnsi="Times New Roman"/>
          <w:color w:val="0070C0"/>
          <w:sz w:val="26"/>
          <w:szCs w:val="26"/>
        </w:rPr>
      </w:pPr>
      <w:r>
        <w:rPr>
          <w:rFonts w:ascii="Times New Roman" w:hAnsi="Times New Roman"/>
          <w:sz w:val="26"/>
          <w:szCs w:val="26"/>
        </w:rPr>
        <w:t>Общество обеспечивает публичность своих антикоррупционных мер, размещает на официальном сайте документы и информацию по вопросам противодействия коррупции, в том числе, Антикоррупционную политику и Кодекс корпоративной этики и должностного поведения работников Общества по адресу</w:t>
      </w:r>
      <w:r>
        <w:rPr>
          <w:rFonts w:ascii="Times New Roman" w:hAnsi="Times New Roman"/>
          <w:color w:val="0070C0"/>
          <w:sz w:val="26"/>
          <w:szCs w:val="26"/>
        </w:rPr>
        <w:t xml:space="preserve">: </w:t>
      </w:r>
      <w:hyperlink r:id="rId118">
        <w:r>
          <w:rPr>
            <w:rFonts w:ascii="Times New Roman" w:hAnsi="Times New Roman"/>
            <w:color w:val="0070C0"/>
            <w:sz w:val="26"/>
            <w:szCs w:val="26"/>
          </w:rPr>
          <w:t>https://rosseti-yug.ru/o-kompanii/protivodeystvie-korruptsii/</w:t>
        </w:r>
      </w:hyperlink>
      <w:r>
        <w:rPr>
          <w:rFonts w:ascii="Times New Roman" w:hAnsi="Times New Roman"/>
          <w:color w:val="0070C0"/>
          <w:sz w:val="26"/>
          <w:szCs w:val="26"/>
        </w:rPr>
        <w:t xml:space="preserve">. </w:t>
      </w:r>
    </w:p>
    <w:p w14:paraId="2C89CFDC" w14:textId="3EF671F4" w:rsidR="00DC6B8C" w:rsidRDefault="00DC6B8C">
      <w:pPr>
        <w:spacing w:after="0" w:line="240" w:lineRule="auto"/>
        <w:rPr>
          <w:rFonts w:ascii="Times New Roman" w:eastAsia="Times New Roman" w:hAnsi="Times New Roman"/>
          <w:sz w:val="26"/>
          <w:szCs w:val="26"/>
          <w:lang w:eastAsia="ru-RU"/>
        </w:rPr>
      </w:pPr>
      <w:r>
        <w:rPr>
          <w:rFonts w:ascii="Times New Roman" w:eastAsia="Times New Roman" w:hAnsi="Times New Roman"/>
          <w:sz w:val="26"/>
          <w:szCs w:val="26"/>
          <w:lang w:eastAsia="ru-RU"/>
        </w:rPr>
        <w:br w:type="page"/>
      </w:r>
    </w:p>
    <w:p w14:paraId="0F7E7323" w14:textId="77777777" w:rsidR="002449C2" w:rsidRDefault="002449C2">
      <w:pPr>
        <w:spacing w:after="0"/>
        <w:ind w:firstLine="709"/>
        <w:jc w:val="both"/>
        <w:rPr>
          <w:rFonts w:ascii="Times New Roman" w:eastAsia="Times New Roman" w:hAnsi="Times New Roman"/>
          <w:sz w:val="26"/>
          <w:szCs w:val="26"/>
          <w:lang w:eastAsia="ru-RU"/>
        </w:rPr>
      </w:pPr>
    </w:p>
    <w:p w14:paraId="3DF7FD0B" w14:textId="77777777" w:rsidR="002449C2" w:rsidRDefault="00123961">
      <w:pPr>
        <w:tabs>
          <w:tab w:val="left" w:pos="1134"/>
        </w:tabs>
        <w:spacing w:after="0" w:line="240" w:lineRule="auto"/>
        <w:ind w:firstLine="709"/>
        <w:jc w:val="both"/>
        <w:rPr>
          <w:rFonts w:ascii="Times New Roman" w:hAnsi="Times New Roman"/>
          <w:color w:val="0070C0"/>
          <w:sz w:val="26"/>
          <w:szCs w:val="26"/>
        </w:rPr>
      </w:pPr>
      <w:r>
        <w:rPr>
          <w:rFonts w:ascii="Times New Roman" w:hAnsi="Times New Roman"/>
          <w:color w:val="0070C0"/>
          <w:sz w:val="26"/>
          <w:szCs w:val="26"/>
        </w:rPr>
        <w:t>Основные направления Антикоррупционной политики.</w:t>
      </w:r>
    </w:p>
    <w:p w14:paraId="6DB36BD4" w14:textId="77777777" w:rsidR="002449C2" w:rsidRDefault="00123961">
      <w:pPr>
        <w:spacing w:after="0" w:line="240" w:lineRule="auto"/>
        <w:ind w:firstLine="709"/>
        <w:jc w:val="both"/>
        <w:rPr>
          <w:rFonts w:ascii="Times New Roman" w:hAnsi="Times New Roman"/>
          <w:sz w:val="26"/>
          <w:szCs w:val="26"/>
        </w:rPr>
      </w:pPr>
      <w:r>
        <w:rPr>
          <w:rFonts w:ascii="Times New Roman" w:hAnsi="Times New Roman"/>
          <w:sz w:val="26"/>
          <w:szCs w:val="26"/>
        </w:rPr>
        <w:t xml:space="preserve">С целью обеспечения единого подхода к разработке и внедрению мер, направленных на предупреждение и противодействие коррупции в Обществе организуется процесс управления коррупционными рисками. </w:t>
      </w:r>
    </w:p>
    <w:p w14:paraId="173CA63E" w14:textId="77777777" w:rsidR="002449C2" w:rsidRDefault="00123961">
      <w:pPr>
        <w:tabs>
          <w:tab w:val="left" w:pos="1134"/>
        </w:tabs>
        <w:spacing w:after="0" w:line="240" w:lineRule="auto"/>
        <w:ind w:firstLine="709"/>
        <w:jc w:val="both"/>
        <w:rPr>
          <w:rFonts w:ascii="Times New Roman" w:hAnsi="Times New Roman"/>
          <w:sz w:val="26"/>
          <w:szCs w:val="26"/>
        </w:rPr>
      </w:pPr>
      <w:r>
        <w:rPr>
          <w:rFonts w:ascii="Times New Roman" w:hAnsi="Times New Roman"/>
          <w:sz w:val="26"/>
          <w:szCs w:val="26"/>
        </w:rPr>
        <w:t xml:space="preserve">В Обществе утверждена Методика оценки и мониторинга рисков (приказ от 15.01.2024 №15), в рамках которой осуществляется оценка и мониторинг риска «Совершение преступления коррупционной направленности работниками Общества». Ежеквартально осуществляется актуализация Паспорта риска «Совершение преступления коррупционной направленности работниками Общества», а также осуществляется работа по мониторингу оценки рисков, актуализации Паспортов рисков, формированию отчета об исполнении Плана мероприятий по управлению рисками. </w:t>
      </w:r>
    </w:p>
    <w:p w14:paraId="0CC266AD" w14:textId="77777777" w:rsidR="002449C2" w:rsidRDefault="00123961">
      <w:pPr>
        <w:tabs>
          <w:tab w:val="left" w:pos="1134"/>
        </w:tabs>
        <w:spacing w:after="0" w:line="240" w:lineRule="auto"/>
        <w:ind w:firstLine="709"/>
        <w:jc w:val="both"/>
        <w:rPr>
          <w:rFonts w:ascii="Times New Roman" w:hAnsi="Times New Roman"/>
          <w:sz w:val="26"/>
          <w:szCs w:val="26"/>
        </w:rPr>
      </w:pPr>
      <w:r>
        <w:rPr>
          <w:rFonts w:ascii="Times New Roman" w:hAnsi="Times New Roman"/>
          <w:sz w:val="26"/>
          <w:szCs w:val="26"/>
        </w:rPr>
        <w:t>По итогам 2024 года все запланированные мероприятия исполнены в установленные сроки.</w:t>
      </w:r>
    </w:p>
    <w:p w14:paraId="18E9BFA2" w14:textId="77777777" w:rsidR="002449C2" w:rsidRDefault="00123961">
      <w:pPr>
        <w:tabs>
          <w:tab w:val="left" w:pos="1134"/>
        </w:tabs>
        <w:spacing w:after="0" w:line="240" w:lineRule="auto"/>
        <w:ind w:firstLine="709"/>
        <w:jc w:val="both"/>
        <w:rPr>
          <w:rFonts w:ascii="Times New Roman" w:hAnsi="Times New Roman"/>
          <w:sz w:val="26"/>
          <w:szCs w:val="26"/>
        </w:rPr>
      </w:pPr>
      <w:r>
        <w:rPr>
          <w:rFonts w:ascii="Times New Roman" w:hAnsi="Times New Roman"/>
          <w:sz w:val="26"/>
          <w:szCs w:val="26"/>
        </w:rPr>
        <w:t>В соответствии с требованиями Антикоррупционной политики, протокольными решениями совместного совещания руководителей подразделений безопасности, внутреннего контроля и управления рисками, а также внутреннего аудита, в 2024 году проведены проверки финансово-хозяйственной деятельности в филиалах ПАО «Россети Юг», ревизионные проверки ДЗО ПАО «Россети Юг», ЧУ ДПО «Межрегиональный энергетический институт Юга», АНО «Южный межрегиональный центр квалификации электроэнергетики».</w:t>
      </w:r>
    </w:p>
    <w:p w14:paraId="5A6979F3" w14:textId="77777777" w:rsidR="002449C2" w:rsidRDefault="00123961">
      <w:pPr>
        <w:tabs>
          <w:tab w:val="left" w:pos="1134"/>
        </w:tabs>
        <w:spacing w:after="0" w:line="240" w:lineRule="auto"/>
        <w:ind w:firstLine="709"/>
        <w:jc w:val="both"/>
        <w:rPr>
          <w:rFonts w:ascii="Times New Roman" w:hAnsi="Times New Roman"/>
          <w:sz w:val="26"/>
          <w:szCs w:val="26"/>
        </w:rPr>
      </w:pPr>
      <w:r>
        <w:rPr>
          <w:rFonts w:ascii="Times New Roman" w:hAnsi="Times New Roman"/>
          <w:sz w:val="26"/>
          <w:szCs w:val="26"/>
        </w:rPr>
        <w:t xml:space="preserve">В результате проведенных проверочных мероприятий выявленные нарушения и недостатки отражены в Актах и доведены объектам проверок. В целях устранения выявленных нарушений и недостатков объектами проверок разрабатываются планы корректирующих мероприятий, в которых закреплены ответственные за контроль хода исполнения, а также ответственные исполнители и сроки исполнения по каждому пункту. </w:t>
      </w:r>
    </w:p>
    <w:p w14:paraId="1B783FCA" w14:textId="77777777" w:rsidR="002449C2" w:rsidRDefault="002449C2">
      <w:pPr>
        <w:spacing w:after="0" w:line="240" w:lineRule="auto"/>
        <w:ind w:firstLine="709"/>
        <w:jc w:val="both"/>
        <w:rPr>
          <w:rFonts w:ascii="Times New Roman" w:eastAsia="Times New Roman" w:hAnsi="Times New Roman"/>
          <w:sz w:val="28"/>
          <w:szCs w:val="28"/>
          <w:lang w:eastAsia="ru-RU"/>
        </w:rPr>
      </w:pPr>
    </w:p>
    <w:tbl>
      <w:tblPr>
        <w:tblW w:w="8504" w:type="dxa"/>
        <w:jc w:val="center"/>
        <w:tblLayout w:type="fixed"/>
        <w:tblLook w:val="04A0" w:firstRow="1" w:lastRow="0" w:firstColumn="1" w:lastColumn="0" w:noHBand="0" w:noVBand="1"/>
      </w:tblPr>
      <w:tblGrid>
        <w:gridCol w:w="5258"/>
        <w:gridCol w:w="693"/>
        <w:gridCol w:w="852"/>
        <w:gridCol w:w="848"/>
        <w:gridCol w:w="853"/>
      </w:tblGrid>
      <w:tr w:rsidR="002449C2" w14:paraId="6E642A11" w14:textId="77777777">
        <w:trPr>
          <w:cantSplit/>
          <w:trHeight w:val="58"/>
          <w:jc w:val="center"/>
        </w:trPr>
        <w:tc>
          <w:tcPr>
            <w:tcW w:w="5258" w:type="dxa"/>
            <w:tcBorders>
              <w:top w:val="single" w:sz="4" w:space="0" w:color="000000"/>
              <w:left w:val="single" w:sz="4" w:space="0" w:color="000000"/>
              <w:bottom w:val="single" w:sz="4" w:space="0" w:color="000000"/>
              <w:right w:val="single" w:sz="4" w:space="0" w:color="000000"/>
            </w:tcBorders>
            <w:vAlign w:val="center"/>
          </w:tcPr>
          <w:p w14:paraId="6F33DA0F" w14:textId="77777777" w:rsidR="002449C2" w:rsidRDefault="00123961">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Показатели</w:t>
            </w:r>
          </w:p>
        </w:tc>
        <w:tc>
          <w:tcPr>
            <w:tcW w:w="693" w:type="dxa"/>
            <w:tcBorders>
              <w:top w:val="single" w:sz="4" w:space="0" w:color="000000"/>
              <w:left w:val="single" w:sz="4" w:space="0" w:color="000000"/>
              <w:bottom w:val="single" w:sz="4" w:space="0" w:color="000000"/>
              <w:right w:val="single" w:sz="4" w:space="0" w:color="000000"/>
            </w:tcBorders>
            <w:vAlign w:val="center"/>
          </w:tcPr>
          <w:p w14:paraId="33415BB3" w14:textId="77777777" w:rsidR="002449C2" w:rsidRDefault="00123961">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Единицы измерения</w:t>
            </w:r>
          </w:p>
        </w:tc>
        <w:tc>
          <w:tcPr>
            <w:tcW w:w="852" w:type="dxa"/>
            <w:tcBorders>
              <w:top w:val="single" w:sz="4" w:space="0" w:color="000000"/>
              <w:left w:val="single" w:sz="4" w:space="0" w:color="000000"/>
              <w:bottom w:val="single" w:sz="4" w:space="0" w:color="000000"/>
              <w:right w:val="single" w:sz="4" w:space="0" w:color="000000"/>
            </w:tcBorders>
          </w:tcPr>
          <w:p w14:paraId="6D67AB61" w14:textId="77777777" w:rsidR="002449C2" w:rsidRDefault="00123961">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2022 год</w:t>
            </w:r>
          </w:p>
        </w:tc>
        <w:tc>
          <w:tcPr>
            <w:tcW w:w="848" w:type="dxa"/>
            <w:tcBorders>
              <w:top w:val="single" w:sz="4" w:space="0" w:color="000000"/>
              <w:left w:val="single" w:sz="4" w:space="0" w:color="000000"/>
              <w:bottom w:val="single" w:sz="4" w:space="0" w:color="000000"/>
              <w:right w:val="single" w:sz="4" w:space="0" w:color="000000"/>
            </w:tcBorders>
          </w:tcPr>
          <w:p w14:paraId="3D26A1C6" w14:textId="77777777" w:rsidR="002449C2" w:rsidRDefault="00123961">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2023 год</w:t>
            </w:r>
          </w:p>
        </w:tc>
        <w:tc>
          <w:tcPr>
            <w:tcW w:w="853" w:type="dxa"/>
            <w:tcBorders>
              <w:top w:val="single" w:sz="4" w:space="0" w:color="000000"/>
              <w:left w:val="single" w:sz="4" w:space="0" w:color="000000"/>
              <w:bottom w:val="single" w:sz="4" w:space="0" w:color="000000"/>
              <w:right w:val="single" w:sz="4" w:space="0" w:color="000000"/>
            </w:tcBorders>
          </w:tcPr>
          <w:p w14:paraId="0E18F463" w14:textId="77777777" w:rsidR="002449C2" w:rsidRDefault="00123961">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2024 год</w:t>
            </w:r>
          </w:p>
        </w:tc>
      </w:tr>
      <w:tr w:rsidR="002449C2" w14:paraId="6F7B915E" w14:textId="77777777">
        <w:trPr>
          <w:cantSplit/>
          <w:trHeight w:val="58"/>
          <w:jc w:val="center"/>
        </w:trPr>
        <w:tc>
          <w:tcPr>
            <w:tcW w:w="5258" w:type="dxa"/>
            <w:tcBorders>
              <w:top w:val="single" w:sz="4" w:space="0" w:color="000000"/>
              <w:left w:val="single" w:sz="4" w:space="0" w:color="000000"/>
              <w:bottom w:val="single" w:sz="4" w:space="0" w:color="000000"/>
              <w:right w:val="single" w:sz="4" w:space="0" w:color="000000"/>
            </w:tcBorders>
          </w:tcPr>
          <w:p w14:paraId="13AEBF8C" w14:textId="77777777" w:rsidR="002449C2" w:rsidRDefault="00123961">
            <w:pPr>
              <w:tabs>
                <w:tab w:val="left" w:pos="9356"/>
              </w:tabs>
              <w:spacing w:after="5" w:line="252"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Количество проверочных мероприятий, проведенных с участием ПБ филиалов в сфере финансово-хозяйственной деятельности по выявлению, предотвращению и возмещению (погашению) ущерба.</w:t>
            </w:r>
          </w:p>
        </w:tc>
        <w:tc>
          <w:tcPr>
            <w:tcW w:w="693" w:type="dxa"/>
            <w:tcBorders>
              <w:top w:val="single" w:sz="4" w:space="0" w:color="000000"/>
              <w:left w:val="single" w:sz="4" w:space="0" w:color="000000"/>
              <w:bottom w:val="single" w:sz="4" w:space="0" w:color="000000"/>
              <w:right w:val="single" w:sz="4" w:space="0" w:color="000000"/>
            </w:tcBorders>
          </w:tcPr>
          <w:p w14:paraId="31F70A98" w14:textId="77777777" w:rsidR="002449C2" w:rsidRDefault="002449C2">
            <w:pPr>
              <w:widowControl w:val="0"/>
              <w:spacing w:after="5" w:line="252" w:lineRule="auto"/>
              <w:ind w:left="426" w:right="-143" w:hanging="426"/>
              <w:rPr>
                <w:rFonts w:ascii="Times New Roman" w:eastAsia="Times New Roman" w:hAnsi="Times New Roman"/>
                <w:bCs/>
                <w:color w:val="000000"/>
                <w:sz w:val="20"/>
                <w:szCs w:val="20"/>
                <w:lang w:eastAsia="ru-RU"/>
              </w:rPr>
            </w:pPr>
          </w:p>
          <w:p w14:paraId="6D5E2D8D" w14:textId="77777777" w:rsidR="002449C2" w:rsidRDefault="002449C2">
            <w:pPr>
              <w:widowControl w:val="0"/>
              <w:spacing w:after="5" w:line="252" w:lineRule="auto"/>
              <w:ind w:left="426" w:right="-143" w:hanging="426"/>
              <w:rPr>
                <w:rFonts w:ascii="Times New Roman" w:eastAsia="Times New Roman" w:hAnsi="Times New Roman"/>
                <w:bCs/>
                <w:color w:val="000000"/>
                <w:sz w:val="20"/>
                <w:szCs w:val="20"/>
                <w:lang w:eastAsia="ru-RU"/>
              </w:rPr>
            </w:pPr>
          </w:p>
          <w:p w14:paraId="51066D3D" w14:textId="77777777" w:rsidR="002449C2" w:rsidRDefault="002449C2">
            <w:pPr>
              <w:widowControl w:val="0"/>
              <w:spacing w:after="5" w:line="252" w:lineRule="auto"/>
              <w:ind w:left="426" w:right="-143" w:hanging="426"/>
              <w:rPr>
                <w:rFonts w:ascii="Times New Roman" w:eastAsia="Times New Roman" w:hAnsi="Times New Roman"/>
                <w:bCs/>
                <w:color w:val="000000"/>
                <w:sz w:val="20"/>
                <w:szCs w:val="20"/>
                <w:lang w:eastAsia="ru-RU"/>
              </w:rPr>
            </w:pPr>
          </w:p>
          <w:p w14:paraId="7E99901A" w14:textId="77777777" w:rsidR="002449C2" w:rsidRDefault="00123961">
            <w:pPr>
              <w:widowControl w:val="0"/>
              <w:spacing w:after="5" w:line="252" w:lineRule="auto"/>
              <w:ind w:left="426" w:right="-143" w:hanging="426"/>
              <w:rPr>
                <w:rFonts w:ascii="Times New Roman" w:eastAsia="Times New Roman" w:hAnsi="Times New Roman"/>
                <w:bCs/>
                <w:color w:val="000000"/>
                <w:sz w:val="20"/>
                <w:szCs w:val="20"/>
                <w:lang w:eastAsia="en-US"/>
              </w:rPr>
            </w:pPr>
            <w:r>
              <w:rPr>
                <w:rFonts w:ascii="Times New Roman" w:eastAsia="Times New Roman" w:hAnsi="Times New Roman"/>
                <w:bCs/>
                <w:color w:val="000000"/>
                <w:sz w:val="20"/>
                <w:szCs w:val="20"/>
                <w:lang w:eastAsia="ru-RU"/>
              </w:rPr>
              <w:t>шт.</w:t>
            </w:r>
          </w:p>
        </w:tc>
        <w:tc>
          <w:tcPr>
            <w:tcW w:w="852" w:type="dxa"/>
            <w:tcBorders>
              <w:top w:val="single" w:sz="4" w:space="0" w:color="000000"/>
              <w:left w:val="single" w:sz="4" w:space="0" w:color="000000"/>
              <w:bottom w:val="single" w:sz="4" w:space="0" w:color="000000"/>
              <w:right w:val="single" w:sz="4" w:space="0" w:color="000000"/>
            </w:tcBorders>
          </w:tcPr>
          <w:p w14:paraId="643A3891" w14:textId="77777777" w:rsidR="002449C2" w:rsidRDefault="002449C2">
            <w:pPr>
              <w:widowControl w:val="0"/>
              <w:spacing w:after="5" w:line="252" w:lineRule="auto"/>
              <w:ind w:left="426" w:right="-143" w:hanging="426"/>
              <w:jc w:val="center"/>
              <w:rPr>
                <w:rFonts w:ascii="Times New Roman" w:eastAsia="Times New Roman" w:hAnsi="Times New Roman"/>
                <w:color w:val="000000"/>
                <w:sz w:val="20"/>
                <w:szCs w:val="20"/>
                <w:lang w:eastAsia="ru-RU"/>
              </w:rPr>
            </w:pPr>
          </w:p>
          <w:p w14:paraId="28990E16" w14:textId="77777777" w:rsidR="002449C2" w:rsidRDefault="002449C2">
            <w:pPr>
              <w:jc w:val="center"/>
              <w:rPr>
                <w:rFonts w:ascii="Times New Roman" w:eastAsia="Times New Roman" w:hAnsi="Times New Roman"/>
                <w:sz w:val="20"/>
                <w:szCs w:val="20"/>
                <w:lang w:eastAsia="ru-RU"/>
              </w:rPr>
            </w:pPr>
          </w:p>
          <w:p w14:paraId="12BE1BB1" w14:textId="77777777" w:rsidR="002449C2" w:rsidRDefault="00123961">
            <w:pPr>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643</w:t>
            </w:r>
          </w:p>
        </w:tc>
        <w:tc>
          <w:tcPr>
            <w:tcW w:w="848" w:type="dxa"/>
            <w:tcBorders>
              <w:top w:val="single" w:sz="4" w:space="0" w:color="000000"/>
              <w:left w:val="single" w:sz="4" w:space="0" w:color="000000"/>
              <w:bottom w:val="single" w:sz="4" w:space="0" w:color="000000"/>
              <w:right w:val="single" w:sz="4" w:space="0" w:color="000000"/>
            </w:tcBorders>
          </w:tcPr>
          <w:p w14:paraId="22390389" w14:textId="77777777" w:rsidR="002449C2" w:rsidRDefault="002449C2">
            <w:pPr>
              <w:widowControl w:val="0"/>
              <w:spacing w:after="5" w:line="252" w:lineRule="auto"/>
              <w:ind w:left="426" w:right="-143" w:hanging="426"/>
              <w:jc w:val="center"/>
              <w:rPr>
                <w:rFonts w:ascii="Times New Roman" w:eastAsia="Times New Roman" w:hAnsi="Times New Roman"/>
                <w:bCs/>
                <w:color w:val="000000"/>
                <w:sz w:val="20"/>
                <w:szCs w:val="20"/>
                <w:lang w:eastAsia="ru-RU"/>
              </w:rPr>
            </w:pPr>
          </w:p>
          <w:p w14:paraId="00495506" w14:textId="77777777" w:rsidR="002449C2" w:rsidRDefault="002449C2">
            <w:pPr>
              <w:jc w:val="center"/>
              <w:rPr>
                <w:rFonts w:ascii="Times New Roman" w:eastAsia="Times New Roman" w:hAnsi="Times New Roman"/>
                <w:sz w:val="20"/>
                <w:szCs w:val="20"/>
                <w:lang w:eastAsia="ru-RU"/>
              </w:rPr>
            </w:pPr>
          </w:p>
          <w:p w14:paraId="184F67C7" w14:textId="77777777" w:rsidR="002449C2" w:rsidRDefault="00123961">
            <w:pPr>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675</w:t>
            </w:r>
          </w:p>
        </w:tc>
        <w:tc>
          <w:tcPr>
            <w:tcW w:w="853" w:type="dxa"/>
            <w:tcBorders>
              <w:top w:val="single" w:sz="4" w:space="0" w:color="000000"/>
              <w:left w:val="single" w:sz="4" w:space="0" w:color="000000"/>
              <w:bottom w:val="single" w:sz="4" w:space="0" w:color="000000"/>
              <w:right w:val="single" w:sz="4" w:space="0" w:color="000000"/>
            </w:tcBorders>
          </w:tcPr>
          <w:p w14:paraId="394CF14C" w14:textId="77777777" w:rsidR="002449C2" w:rsidRDefault="002449C2">
            <w:pPr>
              <w:widowControl w:val="0"/>
              <w:spacing w:after="5" w:line="252" w:lineRule="auto"/>
              <w:ind w:left="426" w:right="-143" w:hanging="426"/>
              <w:jc w:val="center"/>
              <w:rPr>
                <w:rFonts w:ascii="Times New Roman" w:eastAsia="Times New Roman" w:hAnsi="Times New Roman"/>
                <w:bCs/>
                <w:color w:val="000000"/>
                <w:sz w:val="20"/>
                <w:szCs w:val="20"/>
                <w:lang w:eastAsia="ru-RU"/>
              </w:rPr>
            </w:pPr>
          </w:p>
          <w:p w14:paraId="57D1B4B3" w14:textId="77777777" w:rsidR="002449C2" w:rsidRDefault="002449C2">
            <w:pPr>
              <w:jc w:val="center"/>
              <w:rPr>
                <w:rFonts w:ascii="Times New Roman" w:eastAsia="Times New Roman" w:hAnsi="Times New Roman"/>
                <w:sz w:val="20"/>
                <w:szCs w:val="20"/>
                <w:lang w:eastAsia="ru-RU"/>
              </w:rPr>
            </w:pPr>
          </w:p>
          <w:p w14:paraId="230E1D02" w14:textId="77777777" w:rsidR="002449C2" w:rsidRDefault="00123961">
            <w:pPr>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785</w:t>
            </w:r>
          </w:p>
        </w:tc>
      </w:tr>
      <w:tr w:rsidR="002449C2" w14:paraId="5C139E6A" w14:textId="77777777">
        <w:trPr>
          <w:cantSplit/>
          <w:trHeight w:val="58"/>
          <w:jc w:val="center"/>
        </w:trPr>
        <w:tc>
          <w:tcPr>
            <w:tcW w:w="5258" w:type="dxa"/>
            <w:tcBorders>
              <w:top w:val="single" w:sz="4" w:space="0" w:color="000000"/>
              <w:left w:val="single" w:sz="4" w:space="0" w:color="000000"/>
              <w:bottom w:val="single" w:sz="4" w:space="0" w:color="000000"/>
              <w:right w:val="single" w:sz="4" w:space="0" w:color="000000"/>
            </w:tcBorders>
          </w:tcPr>
          <w:p w14:paraId="7284B377" w14:textId="77777777" w:rsidR="002449C2" w:rsidRDefault="00123961">
            <w:pPr>
              <w:tabs>
                <w:tab w:val="left" w:pos="9356"/>
              </w:tabs>
              <w:spacing w:after="5" w:line="252"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Антикоррупционный контроль этапов закупочной деятельности (рассмотрение аналитических записок, вопросов, выносимых на заседания Центрального закупочного органа (Центральной конкурсной комиссии), проведение антикоррупционной экспертизы проектов договоров, проверка участников закупок на возможную аффилированность с работниками Общества</w:t>
            </w:r>
          </w:p>
        </w:tc>
        <w:tc>
          <w:tcPr>
            <w:tcW w:w="693" w:type="dxa"/>
            <w:tcBorders>
              <w:top w:val="single" w:sz="4" w:space="0" w:color="000000"/>
              <w:left w:val="single" w:sz="4" w:space="0" w:color="000000"/>
              <w:bottom w:val="single" w:sz="4" w:space="0" w:color="000000"/>
              <w:right w:val="single" w:sz="4" w:space="0" w:color="000000"/>
            </w:tcBorders>
          </w:tcPr>
          <w:p w14:paraId="67E5C0DB" w14:textId="77777777" w:rsidR="002449C2" w:rsidRDefault="002449C2">
            <w:pPr>
              <w:widowControl w:val="0"/>
              <w:spacing w:after="5" w:line="252" w:lineRule="auto"/>
              <w:ind w:left="426" w:right="-143" w:hanging="426"/>
              <w:rPr>
                <w:rFonts w:ascii="Times New Roman" w:eastAsia="Times New Roman" w:hAnsi="Times New Roman"/>
                <w:bCs/>
                <w:color w:val="000000"/>
                <w:sz w:val="20"/>
                <w:szCs w:val="20"/>
                <w:lang w:eastAsia="ru-RU"/>
              </w:rPr>
            </w:pPr>
          </w:p>
          <w:p w14:paraId="74248FA9" w14:textId="77777777" w:rsidR="002449C2" w:rsidRDefault="002449C2">
            <w:pPr>
              <w:widowControl w:val="0"/>
              <w:spacing w:after="5" w:line="252" w:lineRule="auto"/>
              <w:ind w:left="426" w:right="-143" w:hanging="426"/>
              <w:rPr>
                <w:rFonts w:ascii="Times New Roman" w:eastAsia="Times New Roman" w:hAnsi="Times New Roman"/>
                <w:bCs/>
                <w:color w:val="000000"/>
                <w:sz w:val="20"/>
                <w:szCs w:val="20"/>
                <w:lang w:eastAsia="ru-RU"/>
              </w:rPr>
            </w:pPr>
          </w:p>
          <w:p w14:paraId="39A83B22" w14:textId="77777777" w:rsidR="002449C2" w:rsidRDefault="002449C2">
            <w:pPr>
              <w:widowControl w:val="0"/>
              <w:spacing w:after="5" w:line="252" w:lineRule="auto"/>
              <w:ind w:left="426" w:right="-143" w:hanging="426"/>
              <w:rPr>
                <w:rFonts w:ascii="Times New Roman" w:eastAsia="Times New Roman" w:hAnsi="Times New Roman"/>
                <w:bCs/>
                <w:color w:val="000000"/>
                <w:sz w:val="20"/>
                <w:szCs w:val="20"/>
                <w:lang w:eastAsia="ru-RU"/>
              </w:rPr>
            </w:pPr>
          </w:p>
          <w:p w14:paraId="05F16132" w14:textId="77777777" w:rsidR="002449C2" w:rsidRDefault="002449C2">
            <w:pPr>
              <w:widowControl w:val="0"/>
              <w:spacing w:after="5" w:line="252" w:lineRule="auto"/>
              <w:ind w:left="426" w:right="-143" w:hanging="426"/>
              <w:rPr>
                <w:rFonts w:ascii="Times New Roman" w:eastAsia="Times New Roman" w:hAnsi="Times New Roman"/>
                <w:bCs/>
                <w:color w:val="000000"/>
                <w:sz w:val="20"/>
                <w:szCs w:val="20"/>
                <w:lang w:eastAsia="ru-RU"/>
              </w:rPr>
            </w:pPr>
          </w:p>
          <w:p w14:paraId="182A667A" w14:textId="77777777" w:rsidR="002449C2" w:rsidRDefault="00123961">
            <w:pPr>
              <w:widowControl w:val="0"/>
              <w:spacing w:after="5" w:line="252" w:lineRule="auto"/>
              <w:ind w:left="426" w:right="-143" w:hanging="426"/>
              <w:rPr>
                <w:rFonts w:ascii="Times New Roman" w:eastAsia="Times New Roman" w:hAnsi="Times New Roman"/>
                <w:bCs/>
                <w:color w:val="000000"/>
                <w:sz w:val="20"/>
                <w:szCs w:val="20"/>
                <w:lang w:eastAsia="en-US"/>
              </w:rPr>
            </w:pPr>
            <w:r>
              <w:rPr>
                <w:rFonts w:ascii="Times New Roman" w:eastAsia="Times New Roman" w:hAnsi="Times New Roman"/>
                <w:bCs/>
                <w:color w:val="000000"/>
                <w:sz w:val="20"/>
                <w:szCs w:val="20"/>
                <w:lang w:eastAsia="ru-RU"/>
              </w:rPr>
              <w:t>шт.</w:t>
            </w:r>
          </w:p>
        </w:tc>
        <w:tc>
          <w:tcPr>
            <w:tcW w:w="852" w:type="dxa"/>
            <w:tcBorders>
              <w:top w:val="single" w:sz="4" w:space="0" w:color="000000"/>
              <w:left w:val="single" w:sz="4" w:space="0" w:color="000000"/>
              <w:bottom w:val="single" w:sz="4" w:space="0" w:color="000000"/>
              <w:right w:val="single" w:sz="4" w:space="0" w:color="000000"/>
            </w:tcBorders>
          </w:tcPr>
          <w:p w14:paraId="2DAA0959" w14:textId="77777777" w:rsidR="002449C2" w:rsidRDefault="002449C2">
            <w:pPr>
              <w:widowControl w:val="0"/>
              <w:spacing w:after="5" w:line="252" w:lineRule="auto"/>
              <w:ind w:left="426" w:right="-143" w:hanging="426"/>
              <w:jc w:val="center"/>
              <w:rPr>
                <w:rFonts w:ascii="Times New Roman" w:eastAsia="Times New Roman" w:hAnsi="Times New Roman"/>
                <w:color w:val="000000"/>
                <w:sz w:val="20"/>
                <w:szCs w:val="20"/>
                <w:lang w:eastAsia="ru-RU"/>
              </w:rPr>
            </w:pPr>
          </w:p>
          <w:p w14:paraId="6F35698E" w14:textId="77777777" w:rsidR="002449C2" w:rsidRDefault="002449C2">
            <w:pPr>
              <w:widowControl w:val="0"/>
              <w:spacing w:after="5" w:line="252" w:lineRule="auto"/>
              <w:ind w:left="426" w:right="-143" w:hanging="426"/>
              <w:jc w:val="center"/>
              <w:rPr>
                <w:rFonts w:ascii="Times New Roman" w:eastAsia="Times New Roman" w:hAnsi="Times New Roman"/>
                <w:color w:val="000000"/>
                <w:sz w:val="20"/>
                <w:szCs w:val="20"/>
                <w:lang w:eastAsia="ru-RU"/>
              </w:rPr>
            </w:pPr>
          </w:p>
          <w:p w14:paraId="6F1F5EB3" w14:textId="77777777" w:rsidR="002449C2" w:rsidRDefault="002449C2">
            <w:pPr>
              <w:widowControl w:val="0"/>
              <w:spacing w:after="5" w:line="252" w:lineRule="auto"/>
              <w:ind w:left="426" w:right="-143" w:hanging="426"/>
              <w:jc w:val="center"/>
              <w:rPr>
                <w:rFonts w:ascii="Times New Roman" w:eastAsia="Times New Roman" w:hAnsi="Times New Roman"/>
                <w:color w:val="000000"/>
                <w:sz w:val="20"/>
                <w:szCs w:val="20"/>
                <w:lang w:eastAsia="ru-RU"/>
              </w:rPr>
            </w:pPr>
          </w:p>
          <w:p w14:paraId="2180EB72" w14:textId="77777777" w:rsidR="002449C2" w:rsidRDefault="002449C2">
            <w:pPr>
              <w:widowControl w:val="0"/>
              <w:spacing w:after="5" w:line="252" w:lineRule="auto"/>
              <w:ind w:left="426" w:right="-143" w:hanging="426"/>
              <w:jc w:val="center"/>
              <w:rPr>
                <w:rFonts w:ascii="Times New Roman" w:eastAsia="Times New Roman" w:hAnsi="Times New Roman"/>
                <w:color w:val="000000"/>
                <w:sz w:val="20"/>
                <w:szCs w:val="20"/>
                <w:lang w:eastAsia="ru-RU"/>
              </w:rPr>
            </w:pPr>
          </w:p>
          <w:p w14:paraId="69D535F9" w14:textId="77777777" w:rsidR="002449C2" w:rsidRDefault="00123961">
            <w:pPr>
              <w:widowControl w:val="0"/>
              <w:spacing w:after="5" w:line="252" w:lineRule="auto"/>
              <w:ind w:left="426" w:right="-143" w:hanging="426"/>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4789</w:t>
            </w:r>
          </w:p>
        </w:tc>
        <w:tc>
          <w:tcPr>
            <w:tcW w:w="848" w:type="dxa"/>
            <w:tcBorders>
              <w:top w:val="single" w:sz="4" w:space="0" w:color="000000"/>
              <w:left w:val="single" w:sz="4" w:space="0" w:color="000000"/>
              <w:bottom w:val="single" w:sz="4" w:space="0" w:color="000000"/>
              <w:right w:val="single" w:sz="4" w:space="0" w:color="000000"/>
            </w:tcBorders>
          </w:tcPr>
          <w:p w14:paraId="33848F30" w14:textId="77777777" w:rsidR="002449C2" w:rsidRDefault="002449C2">
            <w:pPr>
              <w:widowControl w:val="0"/>
              <w:spacing w:after="5" w:line="252" w:lineRule="auto"/>
              <w:ind w:left="426" w:right="-143" w:hanging="426"/>
              <w:jc w:val="center"/>
              <w:rPr>
                <w:rFonts w:ascii="Times New Roman" w:eastAsia="Times New Roman" w:hAnsi="Times New Roman"/>
                <w:bCs/>
                <w:color w:val="000000"/>
                <w:sz w:val="20"/>
                <w:szCs w:val="20"/>
                <w:lang w:eastAsia="ru-RU"/>
              </w:rPr>
            </w:pPr>
          </w:p>
          <w:p w14:paraId="7F75F655" w14:textId="77777777" w:rsidR="002449C2" w:rsidRDefault="002449C2">
            <w:pPr>
              <w:widowControl w:val="0"/>
              <w:spacing w:after="5" w:line="252" w:lineRule="auto"/>
              <w:ind w:left="426" w:right="-143" w:hanging="426"/>
              <w:jc w:val="center"/>
              <w:rPr>
                <w:rFonts w:ascii="Times New Roman" w:eastAsia="Times New Roman" w:hAnsi="Times New Roman"/>
                <w:bCs/>
                <w:color w:val="000000"/>
                <w:sz w:val="20"/>
                <w:szCs w:val="20"/>
                <w:lang w:eastAsia="ru-RU"/>
              </w:rPr>
            </w:pPr>
          </w:p>
          <w:p w14:paraId="6B78092C" w14:textId="77777777" w:rsidR="002449C2" w:rsidRDefault="002449C2">
            <w:pPr>
              <w:widowControl w:val="0"/>
              <w:spacing w:after="5" w:line="252" w:lineRule="auto"/>
              <w:ind w:left="426" w:right="-143" w:hanging="426"/>
              <w:jc w:val="center"/>
              <w:rPr>
                <w:rFonts w:ascii="Times New Roman" w:eastAsia="Times New Roman" w:hAnsi="Times New Roman"/>
                <w:bCs/>
                <w:color w:val="000000"/>
                <w:sz w:val="20"/>
                <w:szCs w:val="20"/>
                <w:lang w:eastAsia="ru-RU"/>
              </w:rPr>
            </w:pPr>
          </w:p>
          <w:p w14:paraId="7704C535" w14:textId="77777777" w:rsidR="002449C2" w:rsidRDefault="002449C2">
            <w:pPr>
              <w:widowControl w:val="0"/>
              <w:spacing w:after="5" w:line="252" w:lineRule="auto"/>
              <w:ind w:left="426" w:right="-143" w:hanging="426"/>
              <w:jc w:val="center"/>
              <w:rPr>
                <w:rFonts w:ascii="Times New Roman" w:eastAsia="Times New Roman" w:hAnsi="Times New Roman"/>
                <w:bCs/>
                <w:color w:val="000000"/>
                <w:sz w:val="20"/>
                <w:szCs w:val="20"/>
                <w:lang w:eastAsia="ru-RU"/>
              </w:rPr>
            </w:pPr>
          </w:p>
          <w:p w14:paraId="0D0E7592" w14:textId="77777777" w:rsidR="002449C2" w:rsidRDefault="0012396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4592</w:t>
            </w:r>
          </w:p>
        </w:tc>
        <w:tc>
          <w:tcPr>
            <w:tcW w:w="853" w:type="dxa"/>
            <w:tcBorders>
              <w:top w:val="single" w:sz="4" w:space="0" w:color="000000"/>
              <w:left w:val="single" w:sz="4" w:space="0" w:color="000000"/>
              <w:bottom w:val="single" w:sz="4" w:space="0" w:color="000000"/>
              <w:right w:val="single" w:sz="4" w:space="0" w:color="000000"/>
            </w:tcBorders>
          </w:tcPr>
          <w:p w14:paraId="7EC12A7E" w14:textId="77777777" w:rsidR="002449C2" w:rsidRDefault="002449C2">
            <w:pPr>
              <w:widowControl w:val="0"/>
              <w:spacing w:after="5" w:line="252" w:lineRule="auto"/>
              <w:ind w:left="426" w:right="-143" w:hanging="426"/>
              <w:jc w:val="center"/>
              <w:rPr>
                <w:rFonts w:ascii="Times New Roman" w:eastAsia="Times New Roman" w:hAnsi="Times New Roman"/>
                <w:bCs/>
                <w:color w:val="000000"/>
                <w:sz w:val="20"/>
                <w:szCs w:val="20"/>
                <w:lang w:eastAsia="ru-RU"/>
              </w:rPr>
            </w:pPr>
          </w:p>
          <w:p w14:paraId="5388166A" w14:textId="77777777" w:rsidR="002449C2" w:rsidRDefault="002449C2">
            <w:pPr>
              <w:widowControl w:val="0"/>
              <w:spacing w:after="5" w:line="252" w:lineRule="auto"/>
              <w:ind w:left="426" w:right="-143" w:hanging="426"/>
              <w:jc w:val="center"/>
              <w:rPr>
                <w:rFonts w:ascii="Times New Roman" w:eastAsia="Times New Roman" w:hAnsi="Times New Roman"/>
                <w:bCs/>
                <w:color w:val="000000"/>
                <w:sz w:val="20"/>
                <w:szCs w:val="20"/>
                <w:lang w:eastAsia="ru-RU"/>
              </w:rPr>
            </w:pPr>
          </w:p>
          <w:p w14:paraId="26D0B70D" w14:textId="77777777" w:rsidR="002449C2" w:rsidRDefault="002449C2">
            <w:pPr>
              <w:widowControl w:val="0"/>
              <w:spacing w:after="5" w:line="252" w:lineRule="auto"/>
              <w:ind w:left="426" w:right="-143" w:hanging="426"/>
              <w:jc w:val="center"/>
              <w:rPr>
                <w:rFonts w:ascii="Times New Roman" w:eastAsia="Times New Roman" w:hAnsi="Times New Roman"/>
                <w:bCs/>
                <w:color w:val="000000"/>
                <w:sz w:val="20"/>
                <w:szCs w:val="20"/>
                <w:lang w:eastAsia="ru-RU"/>
              </w:rPr>
            </w:pPr>
          </w:p>
          <w:p w14:paraId="300B3FB2" w14:textId="77777777" w:rsidR="002449C2" w:rsidRDefault="002449C2">
            <w:pPr>
              <w:widowControl w:val="0"/>
              <w:spacing w:after="5" w:line="252" w:lineRule="auto"/>
              <w:ind w:left="426" w:right="-143" w:hanging="426"/>
              <w:jc w:val="center"/>
              <w:rPr>
                <w:rFonts w:ascii="Times New Roman" w:eastAsia="Times New Roman" w:hAnsi="Times New Roman"/>
                <w:bCs/>
                <w:color w:val="000000"/>
                <w:sz w:val="20"/>
                <w:szCs w:val="20"/>
                <w:lang w:eastAsia="ru-RU"/>
              </w:rPr>
            </w:pPr>
          </w:p>
          <w:p w14:paraId="3A975E90" w14:textId="77777777" w:rsidR="002449C2" w:rsidRDefault="00123961">
            <w:pPr>
              <w:widowControl w:val="0"/>
              <w:spacing w:after="5" w:line="252" w:lineRule="auto"/>
              <w:ind w:left="426" w:right="-143" w:hanging="426"/>
              <w:jc w:val="center"/>
              <w:rPr>
                <w:rFonts w:ascii="Times New Roman" w:eastAsia="Times New Roman" w:hAnsi="Times New Roman"/>
                <w:bCs/>
                <w:color w:val="000000"/>
                <w:sz w:val="20"/>
                <w:szCs w:val="20"/>
                <w:lang w:eastAsia="ru-RU"/>
              </w:rPr>
            </w:pPr>
            <w:r>
              <w:rPr>
                <w:rFonts w:ascii="Times New Roman" w:eastAsia="Times New Roman" w:hAnsi="Times New Roman"/>
                <w:bCs/>
                <w:color w:val="000000"/>
                <w:sz w:val="20"/>
                <w:szCs w:val="20"/>
                <w:lang w:eastAsia="ru-RU"/>
              </w:rPr>
              <w:t>4720</w:t>
            </w:r>
          </w:p>
        </w:tc>
      </w:tr>
      <w:tr w:rsidR="002449C2" w14:paraId="004D8165" w14:textId="77777777">
        <w:trPr>
          <w:cantSplit/>
          <w:trHeight w:val="58"/>
          <w:jc w:val="center"/>
        </w:trPr>
        <w:tc>
          <w:tcPr>
            <w:tcW w:w="5258" w:type="dxa"/>
            <w:tcBorders>
              <w:top w:val="single" w:sz="4" w:space="0" w:color="000000"/>
              <w:left w:val="single" w:sz="4" w:space="0" w:color="000000"/>
              <w:bottom w:val="single" w:sz="4" w:space="0" w:color="000000"/>
              <w:right w:val="single" w:sz="4" w:space="0" w:color="000000"/>
            </w:tcBorders>
          </w:tcPr>
          <w:p w14:paraId="77B13C1E" w14:textId="77777777" w:rsidR="002449C2" w:rsidRDefault="00123961">
            <w:pPr>
              <w:tabs>
                <w:tab w:val="left" w:pos="9356"/>
              </w:tabs>
              <w:spacing w:after="5" w:line="252"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Рассмотрено обращений, поступивших на «горячую линию», </w:t>
            </w:r>
            <w:r>
              <w:rPr>
                <w:rFonts w:ascii="Times New Roman" w:hAnsi="Times New Roman"/>
                <w:color w:val="000000"/>
                <w:sz w:val="20"/>
                <w:szCs w:val="20"/>
                <w:lang w:eastAsia="en-US"/>
              </w:rPr>
              <w:t>о возможных фактах коррупции и мошенничества</w:t>
            </w:r>
            <w:r>
              <w:rPr>
                <w:rFonts w:ascii="Times New Roman" w:eastAsia="Times New Roman" w:hAnsi="Times New Roman"/>
                <w:color w:val="000000"/>
                <w:sz w:val="20"/>
                <w:szCs w:val="20"/>
                <w:lang w:eastAsia="ru-RU"/>
              </w:rPr>
              <w:t>.</w:t>
            </w:r>
          </w:p>
          <w:p w14:paraId="655C5584" w14:textId="77777777" w:rsidR="002449C2" w:rsidRDefault="002449C2">
            <w:pPr>
              <w:tabs>
                <w:tab w:val="left" w:pos="9356"/>
              </w:tabs>
              <w:spacing w:after="5" w:line="252" w:lineRule="auto"/>
              <w:jc w:val="both"/>
              <w:rPr>
                <w:rFonts w:ascii="Times New Roman" w:eastAsia="Times New Roman" w:hAnsi="Times New Roman"/>
                <w:color w:val="000000"/>
                <w:sz w:val="20"/>
                <w:szCs w:val="20"/>
                <w:lang w:eastAsia="ru-RU"/>
              </w:rPr>
            </w:pPr>
          </w:p>
        </w:tc>
        <w:tc>
          <w:tcPr>
            <w:tcW w:w="693" w:type="dxa"/>
            <w:tcBorders>
              <w:top w:val="single" w:sz="4" w:space="0" w:color="000000"/>
              <w:left w:val="single" w:sz="4" w:space="0" w:color="000000"/>
              <w:bottom w:val="single" w:sz="4" w:space="0" w:color="000000"/>
              <w:right w:val="single" w:sz="4" w:space="0" w:color="000000"/>
            </w:tcBorders>
          </w:tcPr>
          <w:p w14:paraId="2249844B" w14:textId="77777777" w:rsidR="002449C2" w:rsidRDefault="002449C2">
            <w:pPr>
              <w:widowControl w:val="0"/>
              <w:spacing w:after="5" w:line="252" w:lineRule="auto"/>
              <w:ind w:left="426" w:right="-143" w:hanging="426"/>
              <w:rPr>
                <w:rFonts w:ascii="Times New Roman" w:eastAsia="Times New Roman" w:hAnsi="Times New Roman"/>
                <w:bCs/>
                <w:color w:val="000000"/>
                <w:sz w:val="20"/>
                <w:szCs w:val="20"/>
                <w:lang w:eastAsia="ru-RU"/>
              </w:rPr>
            </w:pPr>
          </w:p>
          <w:p w14:paraId="7964F4D4" w14:textId="77777777" w:rsidR="002449C2" w:rsidRDefault="00123961">
            <w:pPr>
              <w:widowControl w:val="0"/>
              <w:spacing w:after="5" w:line="252" w:lineRule="auto"/>
              <w:ind w:left="426" w:right="-143" w:hanging="426"/>
              <w:rPr>
                <w:rFonts w:ascii="Times New Roman" w:eastAsia="Times New Roman" w:hAnsi="Times New Roman"/>
                <w:bCs/>
                <w:color w:val="000000"/>
                <w:sz w:val="20"/>
                <w:szCs w:val="20"/>
                <w:lang w:eastAsia="en-US"/>
              </w:rPr>
            </w:pPr>
            <w:r>
              <w:rPr>
                <w:rFonts w:ascii="Times New Roman" w:eastAsia="Times New Roman" w:hAnsi="Times New Roman"/>
                <w:bCs/>
                <w:color w:val="000000"/>
                <w:sz w:val="20"/>
                <w:szCs w:val="20"/>
                <w:lang w:eastAsia="ru-RU"/>
              </w:rPr>
              <w:t>шт.</w:t>
            </w:r>
          </w:p>
        </w:tc>
        <w:tc>
          <w:tcPr>
            <w:tcW w:w="852" w:type="dxa"/>
            <w:tcBorders>
              <w:top w:val="single" w:sz="4" w:space="0" w:color="000000"/>
              <w:left w:val="single" w:sz="4" w:space="0" w:color="000000"/>
              <w:bottom w:val="single" w:sz="4" w:space="0" w:color="000000"/>
              <w:right w:val="single" w:sz="4" w:space="0" w:color="000000"/>
            </w:tcBorders>
          </w:tcPr>
          <w:p w14:paraId="31116313" w14:textId="77777777" w:rsidR="002449C2" w:rsidRDefault="002449C2">
            <w:pPr>
              <w:widowControl w:val="0"/>
              <w:spacing w:after="5" w:line="252" w:lineRule="auto"/>
              <w:ind w:left="426" w:right="-143" w:hanging="426"/>
              <w:jc w:val="center"/>
              <w:rPr>
                <w:rFonts w:ascii="Times New Roman" w:eastAsia="Times New Roman" w:hAnsi="Times New Roman"/>
                <w:color w:val="000000"/>
                <w:sz w:val="20"/>
                <w:szCs w:val="20"/>
                <w:lang w:eastAsia="ru-RU"/>
              </w:rPr>
            </w:pPr>
          </w:p>
          <w:p w14:paraId="0312A5B3" w14:textId="77777777" w:rsidR="002449C2" w:rsidRDefault="00123961">
            <w:pPr>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w:t>
            </w:r>
          </w:p>
        </w:tc>
        <w:tc>
          <w:tcPr>
            <w:tcW w:w="848" w:type="dxa"/>
            <w:tcBorders>
              <w:top w:val="single" w:sz="4" w:space="0" w:color="000000"/>
              <w:left w:val="single" w:sz="4" w:space="0" w:color="000000"/>
              <w:bottom w:val="single" w:sz="4" w:space="0" w:color="000000"/>
              <w:right w:val="single" w:sz="4" w:space="0" w:color="000000"/>
            </w:tcBorders>
          </w:tcPr>
          <w:p w14:paraId="7D6B76AD" w14:textId="77777777" w:rsidR="002449C2" w:rsidRDefault="002449C2">
            <w:pPr>
              <w:widowControl w:val="0"/>
              <w:spacing w:after="5" w:line="252" w:lineRule="auto"/>
              <w:ind w:left="426" w:right="-143" w:hanging="426"/>
              <w:jc w:val="center"/>
              <w:rPr>
                <w:rFonts w:ascii="Times New Roman" w:eastAsia="Times New Roman" w:hAnsi="Times New Roman"/>
                <w:bCs/>
                <w:color w:val="000000"/>
                <w:sz w:val="20"/>
                <w:szCs w:val="20"/>
                <w:lang w:eastAsia="ru-RU"/>
              </w:rPr>
            </w:pPr>
          </w:p>
          <w:p w14:paraId="1EB4C2F6" w14:textId="77777777" w:rsidR="002449C2" w:rsidRDefault="00123961">
            <w:pPr>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853" w:type="dxa"/>
            <w:tcBorders>
              <w:top w:val="single" w:sz="4" w:space="0" w:color="000000"/>
              <w:left w:val="single" w:sz="4" w:space="0" w:color="000000"/>
              <w:bottom w:val="single" w:sz="4" w:space="0" w:color="000000"/>
              <w:right w:val="single" w:sz="4" w:space="0" w:color="000000"/>
            </w:tcBorders>
          </w:tcPr>
          <w:p w14:paraId="17A8285E" w14:textId="77777777" w:rsidR="002449C2" w:rsidRDefault="002449C2">
            <w:pPr>
              <w:widowControl w:val="0"/>
              <w:spacing w:after="5" w:line="252" w:lineRule="auto"/>
              <w:ind w:left="426" w:right="-143" w:hanging="426"/>
              <w:jc w:val="center"/>
              <w:rPr>
                <w:rFonts w:ascii="Times New Roman" w:eastAsia="Times New Roman" w:hAnsi="Times New Roman"/>
                <w:bCs/>
                <w:color w:val="000000"/>
                <w:sz w:val="20"/>
                <w:szCs w:val="20"/>
                <w:lang w:eastAsia="ru-RU"/>
              </w:rPr>
            </w:pPr>
          </w:p>
          <w:p w14:paraId="29215F30" w14:textId="77777777" w:rsidR="002449C2" w:rsidRDefault="00123961">
            <w:pPr>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w:t>
            </w:r>
          </w:p>
        </w:tc>
      </w:tr>
      <w:tr w:rsidR="002449C2" w14:paraId="4AE9EF23" w14:textId="77777777">
        <w:trPr>
          <w:cantSplit/>
          <w:trHeight w:val="58"/>
          <w:jc w:val="center"/>
        </w:trPr>
        <w:tc>
          <w:tcPr>
            <w:tcW w:w="5258" w:type="dxa"/>
            <w:tcBorders>
              <w:top w:val="single" w:sz="4" w:space="0" w:color="000000"/>
              <w:left w:val="single" w:sz="4" w:space="0" w:color="000000"/>
              <w:bottom w:val="single" w:sz="4" w:space="0" w:color="000000"/>
              <w:right w:val="single" w:sz="4" w:space="0" w:color="000000"/>
            </w:tcBorders>
          </w:tcPr>
          <w:p w14:paraId="3869A1B6" w14:textId="77777777" w:rsidR="002449C2" w:rsidRDefault="00123961">
            <w:pPr>
              <w:tabs>
                <w:tab w:val="left" w:pos="9356"/>
              </w:tabs>
              <w:spacing w:after="5" w:line="252"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Предотвращенный материальный ущерб по результатам проведенной работы</w:t>
            </w:r>
          </w:p>
        </w:tc>
        <w:tc>
          <w:tcPr>
            <w:tcW w:w="693" w:type="dxa"/>
            <w:tcBorders>
              <w:top w:val="single" w:sz="4" w:space="0" w:color="000000"/>
              <w:left w:val="single" w:sz="4" w:space="0" w:color="000000"/>
              <w:bottom w:val="single" w:sz="4" w:space="0" w:color="000000"/>
              <w:right w:val="single" w:sz="4" w:space="0" w:color="000000"/>
            </w:tcBorders>
          </w:tcPr>
          <w:p w14:paraId="476D886D" w14:textId="77777777" w:rsidR="002449C2" w:rsidRDefault="00123961">
            <w:pPr>
              <w:widowControl w:val="0"/>
              <w:spacing w:after="5" w:line="252" w:lineRule="auto"/>
              <w:ind w:left="113" w:hanging="113"/>
              <w:rPr>
                <w:rFonts w:ascii="Times New Roman" w:eastAsia="Times New Roman" w:hAnsi="Times New Roman"/>
                <w:bCs/>
                <w:color w:val="000000"/>
                <w:sz w:val="20"/>
                <w:szCs w:val="20"/>
                <w:lang w:eastAsia="en-US"/>
              </w:rPr>
            </w:pPr>
            <w:r>
              <w:rPr>
                <w:rFonts w:ascii="Times New Roman" w:eastAsia="Times New Roman" w:hAnsi="Times New Roman"/>
                <w:bCs/>
                <w:color w:val="000000"/>
                <w:sz w:val="20"/>
                <w:szCs w:val="20"/>
                <w:lang w:eastAsia="en-US"/>
              </w:rPr>
              <w:t>млн</w:t>
            </w:r>
          </w:p>
          <w:p w14:paraId="5017A67F" w14:textId="77777777" w:rsidR="002449C2" w:rsidRDefault="00123961">
            <w:pPr>
              <w:widowControl w:val="0"/>
              <w:spacing w:after="5" w:line="252" w:lineRule="auto"/>
              <w:ind w:left="113" w:hanging="113"/>
              <w:rPr>
                <w:rFonts w:ascii="Times New Roman" w:eastAsia="Times New Roman" w:hAnsi="Times New Roman"/>
                <w:bCs/>
                <w:color w:val="000000"/>
                <w:sz w:val="20"/>
                <w:szCs w:val="20"/>
                <w:lang w:eastAsia="en-US"/>
              </w:rPr>
            </w:pPr>
            <w:r>
              <w:rPr>
                <w:rFonts w:ascii="Times New Roman" w:eastAsia="Times New Roman" w:hAnsi="Times New Roman"/>
                <w:bCs/>
                <w:color w:val="000000"/>
                <w:sz w:val="20"/>
                <w:szCs w:val="20"/>
                <w:lang w:eastAsia="en-US"/>
              </w:rPr>
              <w:t>руб.</w:t>
            </w:r>
          </w:p>
        </w:tc>
        <w:tc>
          <w:tcPr>
            <w:tcW w:w="852" w:type="dxa"/>
            <w:tcBorders>
              <w:top w:val="single" w:sz="4" w:space="0" w:color="000000"/>
              <w:left w:val="single" w:sz="4" w:space="0" w:color="000000"/>
              <w:bottom w:val="single" w:sz="4" w:space="0" w:color="000000"/>
              <w:right w:val="single" w:sz="4" w:space="0" w:color="000000"/>
            </w:tcBorders>
          </w:tcPr>
          <w:p w14:paraId="365B3B5E" w14:textId="77777777" w:rsidR="002449C2" w:rsidRDefault="002449C2">
            <w:pPr>
              <w:widowControl w:val="0"/>
              <w:spacing w:after="5" w:line="252" w:lineRule="auto"/>
              <w:ind w:left="426" w:right="-143" w:hanging="426"/>
              <w:jc w:val="center"/>
              <w:rPr>
                <w:rFonts w:ascii="Times New Roman" w:eastAsia="Times New Roman" w:hAnsi="Times New Roman"/>
                <w:color w:val="000000"/>
                <w:sz w:val="20"/>
                <w:szCs w:val="20"/>
                <w:lang w:eastAsia="ru-RU"/>
              </w:rPr>
            </w:pPr>
          </w:p>
          <w:p w14:paraId="650147D5" w14:textId="77777777" w:rsidR="002449C2" w:rsidRDefault="00123961">
            <w:pPr>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428,31</w:t>
            </w:r>
          </w:p>
        </w:tc>
        <w:tc>
          <w:tcPr>
            <w:tcW w:w="848" w:type="dxa"/>
            <w:tcBorders>
              <w:top w:val="single" w:sz="4" w:space="0" w:color="000000"/>
              <w:left w:val="single" w:sz="4" w:space="0" w:color="000000"/>
              <w:bottom w:val="single" w:sz="4" w:space="0" w:color="000000"/>
              <w:right w:val="single" w:sz="4" w:space="0" w:color="000000"/>
            </w:tcBorders>
          </w:tcPr>
          <w:p w14:paraId="7D2DA98A" w14:textId="77777777" w:rsidR="002449C2" w:rsidRDefault="002449C2">
            <w:pPr>
              <w:widowControl w:val="0"/>
              <w:spacing w:after="5" w:line="252" w:lineRule="auto"/>
              <w:ind w:left="426" w:right="-143" w:hanging="426"/>
              <w:jc w:val="center"/>
              <w:rPr>
                <w:rFonts w:ascii="Times New Roman" w:eastAsia="Times New Roman" w:hAnsi="Times New Roman"/>
                <w:bCs/>
                <w:color w:val="000000"/>
                <w:sz w:val="20"/>
                <w:szCs w:val="20"/>
                <w:lang w:eastAsia="ru-RU"/>
              </w:rPr>
            </w:pPr>
          </w:p>
          <w:p w14:paraId="5BCE1A4D" w14:textId="77777777" w:rsidR="002449C2" w:rsidRDefault="00123961">
            <w:pPr>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301,24</w:t>
            </w:r>
          </w:p>
        </w:tc>
        <w:tc>
          <w:tcPr>
            <w:tcW w:w="853" w:type="dxa"/>
            <w:tcBorders>
              <w:top w:val="single" w:sz="4" w:space="0" w:color="000000"/>
              <w:left w:val="single" w:sz="4" w:space="0" w:color="000000"/>
              <w:bottom w:val="single" w:sz="4" w:space="0" w:color="000000"/>
              <w:right w:val="single" w:sz="4" w:space="0" w:color="000000"/>
            </w:tcBorders>
          </w:tcPr>
          <w:p w14:paraId="0CD3EFE4" w14:textId="77777777" w:rsidR="002449C2" w:rsidRDefault="002449C2">
            <w:pPr>
              <w:widowControl w:val="0"/>
              <w:spacing w:after="5" w:line="252" w:lineRule="auto"/>
              <w:ind w:left="426" w:right="-143" w:hanging="426"/>
              <w:jc w:val="center"/>
              <w:rPr>
                <w:rFonts w:ascii="Times New Roman" w:eastAsia="Times New Roman" w:hAnsi="Times New Roman"/>
                <w:bCs/>
                <w:color w:val="000000"/>
                <w:sz w:val="20"/>
                <w:szCs w:val="20"/>
                <w:lang w:eastAsia="ru-RU"/>
              </w:rPr>
            </w:pPr>
          </w:p>
          <w:p w14:paraId="39A6B13B" w14:textId="77777777" w:rsidR="002449C2" w:rsidRDefault="00BA58C7">
            <w:pPr>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165,7</w:t>
            </w:r>
          </w:p>
        </w:tc>
      </w:tr>
      <w:tr w:rsidR="002449C2" w14:paraId="3E2E4C9E" w14:textId="77777777">
        <w:trPr>
          <w:cantSplit/>
          <w:trHeight w:val="58"/>
          <w:jc w:val="center"/>
        </w:trPr>
        <w:tc>
          <w:tcPr>
            <w:tcW w:w="5258" w:type="dxa"/>
            <w:tcBorders>
              <w:top w:val="single" w:sz="4" w:space="0" w:color="000000"/>
              <w:left w:val="single" w:sz="4" w:space="0" w:color="000000"/>
              <w:bottom w:val="single" w:sz="4" w:space="0" w:color="000000"/>
              <w:right w:val="single" w:sz="4" w:space="0" w:color="000000"/>
            </w:tcBorders>
          </w:tcPr>
          <w:p w14:paraId="0B87EF3B" w14:textId="77777777" w:rsidR="002449C2" w:rsidRDefault="00123961">
            <w:pPr>
              <w:tabs>
                <w:tab w:val="left" w:pos="9356"/>
              </w:tabs>
              <w:spacing w:after="5" w:line="252"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Доля работников службы безопасности (в процентах), прошедших подготовку по вопросам политики Общества в области прав человека или конкретных процедур и их применения в области безопасности</w:t>
            </w:r>
          </w:p>
        </w:tc>
        <w:tc>
          <w:tcPr>
            <w:tcW w:w="693" w:type="dxa"/>
            <w:tcBorders>
              <w:top w:val="single" w:sz="4" w:space="0" w:color="000000"/>
              <w:left w:val="single" w:sz="4" w:space="0" w:color="000000"/>
              <w:bottom w:val="single" w:sz="4" w:space="0" w:color="000000"/>
              <w:right w:val="single" w:sz="4" w:space="0" w:color="000000"/>
            </w:tcBorders>
          </w:tcPr>
          <w:p w14:paraId="78F151EB" w14:textId="77777777" w:rsidR="002449C2" w:rsidRDefault="002449C2">
            <w:pPr>
              <w:widowControl w:val="0"/>
              <w:spacing w:after="5" w:line="252" w:lineRule="auto"/>
              <w:ind w:left="113" w:hanging="113"/>
              <w:rPr>
                <w:rFonts w:ascii="Times New Roman" w:eastAsia="Times New Roman" w:hAnsi="Times New Roman"/>
                <w:bCs/>
                <w:color w:val="000000"/>
                <w:sz w:val="20"/>
                <w:szCs w:val="20"/>
                <w:lang w:eastAsia="en-US"/>
              </w:rPr>
            </w:pPr>
          </w:p>
          <w:p w14:paraId="5CE09A02" w14:textId="77777777" w:rsidR="002449C2" w:rsidRDefault="00123961">
            <w:pPr>
              <w:widowControl w:val="0"/>
              <w:spacing w:after="5" w:line="252" w:lineRule="auto"/>
              <w:ind w:left="113" w:hanging="113"/>
              <w:rPr>
                <w:rFonts w:ascii="Times New Roman" w:eastAsia="Times New Roman" w:hAnsi="Times New Roman"/>
                <w:bCs/>
                <w:color w:val="000000"/>
                <w:sz w:val="20"/>
                <w:szCs w:val="20"/>
                <w:lang w:eastAsia="en-US"/>
              </w:rPr>
            </w:pPr>
            <w:r>
              <w:rPr>
                <w:rFonts w:ascii="Times New Roman" w:eastAsia="Times New Roman" w:hAnsi="Times New Roman"/>
                <w:bCs/>
                <w:color w:val="000000"/>
                <w:sz w:val="20"/>
                <w:szCs w:val="20"/>
                <w:lang w:eastAsia="en-US"/>
              </w:rPr>
              <w:t>%</w:t>
            </w:r>
          </w:p>
        </w:tc>
        <w:tc>
          <w:tcPr>
            <w:tcW w:w="852" w:type="dxa"/>
            <w:tcBorders>
              <w:top w:val="single" w:sz="4" w:space="0" w:color="000000"/>
              <w:left w:val="single" w:sz="4" w:space="0" w:color="000000"/>
              <w:bottom w:val="single" w:sz="4" w:space="0" w:color="000000"/>
              <w:right w:val="single" w:sz="4" w:space="0" w:color="000000"/>
            </w:tcBorders>
          </w:tcPr>
          <w:p w14:paraId="2F811F76" w14:textId="77777777" w:rsidR="002449C2" w:rsidRDefault="002449C2">
            <w:pPr>
              <w:widowControl w:val="0"/>
              <w:spacing w:after="5" w:line="252" w:lineRule="auto"/>
              <w:ind w:left="426" w:right="-143" w:hanging="426"/>
              <w:jc w:val="center"/>
              <w:rPr>
                <w:rFonts w:ascii="Times New Roman" w:eastAsia="Times New Roman" w:hAnsi="Times New Roman"/>
                <w:color w:val="000000"/>
                <w:sz w:val="20"/>
                <w:szCs w:val="20"/>
                <w:lang w:eastAsia="ru-RU"/>
              </w:rPr>
            </w:pPr>
          </w:p>
          <w:p w14:paraId="07A0B874" w14:textId="77777777" w:rsidR="002449C2" w:rsidRDefault="00123961">
            <w:pPr>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w:t>
            </w:r>
          </w:p>
        </w:tc>
        <w:tc>
          <w:tcPr>
            <w:tcW w:w="848" w:type="dxa"/>
            <w:tcBorders>
              <w:top w:val="single" w:sz="4" w:space="0" w:color="000000"/>
              <w:left w:val="single" w:sz="4" w:space="0" w:color="000000"/>
              <w:bottom w:val="single" w:sz="4" w:space="0" w:color="000000"/>
              <w:right w:val="single" w:sz="4" w:space="0" w:color="000000"/>
            </w:tcBorders>
          </w:tcPr>
          <w:p w14:paraId="3BD0F1AA" w14:textId="77777777" w:rsidR="002449C2" w:rsidRDefault="002449C2">
            <w:pPr>
              <w:widowControl w:val="0"/>
              <w:spacing w:after="5" w:line="252" w:lineRule="auto"/>
              <w:ind w:left="426" w:right="-143" w:hanging="426"/>
              <w:jc w:val="center"/>
              <w:rPr>
                <w:rFonts w:ascii="Times New Roman" w:eastAsia="Times New Roman" w:hAnsi="Times New Roman"/>
                <w:bCs/>
                <w:color w:val="000000"/>
                <w:sz w:val="20"/>
                <w:szCs w:val="20"/>
                <w:lang w:eastAsia="ru-RU"/>
              </w:rPr>
            </w:pPr>
          </w:p>
          <w:p w14:paraId="59D3D116" w14:textId="77777777" w:rsidR="002449C2" w:rsidRDefault="00123961">
            <w:pPr>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w:t>
            </w:r>
          </w:p>
        </w:tc>
        <w:tc>
          <w:tcPr>
            <w:tcW w:w="853" w:type="dxa"/>
            <w:tcBorders>
              <w:top w:val="single" w:sz="4" w:space="0" w:color="000000"/>
              <w:left w:val="single" w:sz="4" w:space="0" w:color="000000"/>
              <w:bottom w:val="single" w:sz="4" w:space="0" w:color="000000"/>
              <w:right w:val="single" w:sz="4" w:space="0" w:color="000000"/>
            </w:tcBorders>
          </w:tcPr>
          <w:p w14:paraId="2E091A07" w14:textId="77777777" w:rsidR="002449C2" w:rsidRDefault="002449C2">
            <w:pPr>
              <w:widowControl w:val="0"/>
              <w:spacing w:after="5" w:line="252" w:lineRule="auto"/>
              <w:ind w:left="426" w:right="-143" w:hanging="426"/>
              <w:jc w:val="center"/>
              <w:rPr>
                <w:rFonts w:ascii="Times New Roman" w:eastAsia="Times New Roman" w:hAnsi="Times New Roman"/>
                <w:bCs/>
                <w:color w:val="000000"/>
                <w:sz w:val="20"/>
                <w:szCs w:val="20"/>
                <w:lang w:eastAsia="ru-RU"/>
              </w:rPr>
            </w:pPr>
          </w:p>
          <w:p w14:paraId="2E383AA3" w14:textId="77777777" w:rsidR="002449C2" w:rsidRDefault="00123961">
            <w:pPr>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w:t>
            </w:r>
          </w:p>
        </w:tc>
      </w:tr>
    </w:tbl>
    <w:p w14:paraId="113E153B" w14:textId="77777777" w:rsidR="002449C2" w:rsidRDefault="002449C2">
      <w:pPr>
        <w:tabs>
          <w:tab w:val="left" w:pos="1134"/>
        </w:tabs>
        <w:spacing w:after="0" w:line="240" w:lineRule="auto"/>
        <w:ind w:firstLine="709"/>
        <w:jc w:val="both"/>
        <w:rPr>
          <w:rFonts w:ascii="Times New Roman" w:hAnsi="Times New Roman"/>
          <w:color w:val="0070C0"/>
          <w:sz w:val="26"/>
          <w:szCs w:val="26"/>
        </w:rPr>
      </w:pPr>
    </w:p>
    <w:p w14:paraId="15C12505" w14:textId="77777777" w:rsidR="002449C2" w:rsidRDefault="00123961">
      <w:pPr>
        <w:tabs>
          <w:tab w:val="left" w:pos="1134"/>
        </w:tabs>
        <w:spacing w:after="0" w:line="240" w:lineRule="auto"/>
        <w:ind w:firstLine="709"/>
        <w:jc w:val="both"/>
        <w:rPr>
          <w:rFonts w:ascii="Times New Roman" w:hAnsi="Times New Roman"/>
          <w:sz w:val="26"/>
          <w:szCs w:val="26"/>
        </w:rPr>
      </w:pPr>
      <w:r>
        <w:rPr>
          <w:rFonts w:ascii="Times New Roman" w:hAnsi="Times New Roman"/>
          <w:color w:val="0070C0"/>
          <w:sz w:val="26"/>
          <w:szCs w:val="26"/>
        </w:rPr>
        <w:t>Рассмотрение и разрешение информации о возможных фактах коррупции.</w:t>
      </w:r>
    </w:p>
    <w:p w14:paraId="2DB5E737" w14:textId="77777777" w:rsidR="002449C2" w:rsidRDefault="00123961">
      <w:pPr>
        <w:tabs>
          <w:tab w:val="left" w:pos="1134"/>
        </w:tabs>
        <w:spacing w:after="0" w:line="240" w:lineRule="auto"/>
        <w:ind w:firstLine="709"/>
        <w:jc w:val="both"/>
        <w:rPr>
          <w:rFonts w:ascii="Times New Roman" w:hAnsi="Times New Roman"/>
          <w:sz w:val="26"/>
          <w:szCs w:val="26"/>
        </w:rPr>
      </w:pPr>
      <w:r>
        <w:rPr>
          <w:rFonts w:ascii="Times New Roman" w:hAnsi="Times New Roman"/>
          <w:sz w:val="26"/>
          <w:szCs w:val="26"/>
        </w:rPr>
        <w:t>С целью определения единого механизма по организации приема, рассмотрения и разрешения обращений работников ПАО «Россети Юг», контрагентов и иных физических и юридических лиц о возможных фактах коррупции в Обществе действует Порядок приема и рассмотрения обращений заявителей (работников, контрагентов ПАО «Россети Юг», иных физических и юридических лиц) о возможных фактах коррупции (далее также Порядок).</w:t>
      </w:r>
    </w:p>
    <w:p w14:paraId="3673FDE0" w14:textId="77777777" w:rsidR="002449C2" w:rsidRDefault="00123961">
      <w:pPr>
        <w:tabs>
          <w:tab w:val="left" w:pos="1134"/>
        </w:tabs>
        <w:spacing w:after="0" w:line="240" w:lineRule="auto"/>
        <w:ind w:firstLine="709"/>
        <w:jc w:val="both"/>
        <w:rPr>
          <w:rFonts w:ascii="Times New Roman" w:hAnsi="Times New Roman"/>
          <w:sz w:val="26"/>
          <w:szCs w:val="26"/>
        </w:rPr>
      </w:pPr>
      <w:r>
        <w:rPr>
          <w:rFonts w:ascii="Times New Roman" w:hAnsi="Times New Roman"/>
          <w:sz w:val="26"/>
          <w:szCs w:val="26"/>
        </w:rPr>
        <w:t>В Обществе предусмотрены следующие способы направления обращений:</w:t>
      </w:r>
    </w:p>
    <w:p w14:paraId="1ADF4C80" w14:textId="77777777" w:rsidR="002449C2" w:rsidRDefault="00123961">
      <w:pPr>
        <w:tabs>
          <w:tab w:val="left" w:pos="1134"/>
        </w:tabs>
        <w:spacing w:after="0" w:line="240" w:lineRule="auto"/>
        <w:jc w:val="both"/>
        <w:rPr>
          <w:rFonts w:ascii="Times New Roman" w:hAnsi="Times New Roman"/>
          <w:sz w:val="26"/>
          <w:szCs w:val="26"/>
        </w:rPr>
      </w:pPr>
      <w:r>
        <w:rPr>
          <w:noProof/>
          <w:lang w:eastAsia="ru-RU"/>
        </w:rPr>
        <w:drawing>
          <wp:inline distT="0" distB="0" distL="0" distR="0" wp14:anchorId="7542A8ED" wp14:editId="1957717A">
            <wp:extent cx="5334635" cy="403860"/>
            <wp:effectExtent l="0" t="0" r="0" b="0"/>
            <wp:docPr id="88" name="_x005F_x0000_s4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_x005F_x0000_s4380"/>
                    <pic:cNvPicPr>
                      <a:picLocks noChangeAspect="1" noChangeArrowheads="1"/>
                    </pic:cNvPicPr>
                  </pic:nvPicPr>
                  <pic:blipFill>
                    <a:blip r:embed="rId119"/>
                    <a:stretch>
                      <a:fillRect/>
                    </a:stretch>
                  </pic:blipFill>
                  <pic:spPr bwMode="auto">
                    <a:xfrm>
                      <a:off x="0" y="0"/>
                      <a:ext cx="5334635" cy="403860"/>
                    </a:xfrm>
                    <a:prstGeom prst="rect">
                      <a:avLst/>
                    </a:prstGeom>
                    <a:noFill/>
                  </pic:spPr>
                </pic:pic>
              </a:graphicData>
            </a:graphic>
          </wp:inline>
        </w:drawing>
      </w:r>
    </w:p>
    <w:p w14:paraId="038680FA" w14:textId="77777777" w:rsidR="002449C2" w:rsidRDefault="00123961">
      <w:pPr>
        <w:tabs>
          <w:tab w:val="left" w:pos="1134"/>
        </w:tabs>
        <w:spacing w:after="0" w:line="240" w:lineRule="auto"/>
        <w:jc w:val="both"/>
        <w:rPr>
          <w:rFonts w:ascii="Times New Roman" w:hAnsi="Times New Roman"/>
          <w:sz w:val="26"/>
          <w:szCs w:val="26"/>
        </w:rPr>
      </w:pPr>
      <w:r>
        <w:rPr>
          <w:noProof/>
          <w:lang w:eastAsia="ru-RU"/>
        </w:rPr>
        <w:drawing>
          <wp:inline distT="0" distB="0" distL="0" distR="0" wp14:anchorId="4AA92605" wp14:editId="56245958">
            <wp:extent cx="5547995" cy="403860"/>
            <wp:effectExtent l="0" t="0" r="0" b="0"/>
            <wp:docPr id="89" name="_x005F_x0000_s4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_x005F_x0000_s4379"/>
                    <pic:cNvPicPr>
                      <a:picLocks noChangeAspect="1" noChangeArrowheads="1"/>
                    </pic:cNvPicPr>
                  </pic:nvPicPr>
                  <pic:blipFill>
                    <a:blip r:embed="rId120"/>
                    <a:stretch>
                      <a:fillRect/>
                    </a:stretch>
                  </pic:blipFill>
                  <pic:spPr bwMode="auto">
                    <a:xfrm>
                      <a:off x="0" y="0"/>
                      <a:ext cx="5547995" cy="403860"/>
                    </a:xfrm>
                    <a:prstGeom prst="rect">
                      <a:avLst/>
                    </a:prstGeom>
                    <a:noFill/>
                  </pic:spPr>
                </pic:pic>
              </a:graphicData>
            </a:graphic>
          </wp:inline>
        </w:drawing>
      </w:r>
    </w:p>
    <w:p w14:paraId="5A0EAC51" w14:textId="77777777" w:rsidR="002449C2" w:rsidRDefault="00123961">
      <w:pPr>
        <w:tabs>
          <w:tab w:val="left" w:pos="1134"/>
        </w:tabs>
        <w:spacing w:after="0" w:line="240" w:lineRule="auto"/>
        <w:jc w:val="both"/>
        <w:rPr>
          <w:rFonts w:ascii="Times New Roman" w:hAnsi="Times New Roman"/>
          <w:sz w:val="26"/>
          <w:szCs w:val="26"/>
        </w:rPr>
      </w:pPr>
      <w:r>
        <w:rPr>
          <w:noProof/>
          <w:lang w:eastAsia="ru-RU"/>
        </w:rPr>
        <w:drawing>
          <wp:inline distT="0" distB="0" distL="0" distR="0" wp14:anchorId="4B846267" wp14:editId="30BFF6AA">
            <wp:extent cx="5753735" cy="403860"/>
            <wp:effectExtent l="0" t="0" r="0" b="0"/>
            <wp:docPr id="90" name="_x005F_x0000_s4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_x005F_x0000_s4378"/>
                    <pic:cNvPicPr>
                      <a:picLocks noChangeAspect="1" noChangeArrowheads="1"/>
                    </pic:cNvPicPr>
                  </pic:nvPicPr>
                  <pic:blipFill>
                    <a:blip r:embed="rId121"/>
                    <a:stretch>
                      <a:fillRect/>
                    </a:stretch>
                  </pic:blipFill>
                  <pic:spPr bwMode="auto">
                    <a:xfrm>
                      <a:off x="0" y="0"/>
                      <a:ext cx="5753735" cy="403860"/>
                    </a:xfrm>
                    <a:prstGeom prst="rect">
                      <a:avLst/>
                    </a:prstGeom>
                    <a:noFill/>
                  </pic:spPr>
                </pic:pic>
              </a:graphicData>
            </a:graphic>
          </wp:inline>
        </w:drawing>
      </w:r>
    </w:p>
    <w:p w14:paraId="7FF593C9" w14:textId="77777777" w:rsidR="002449C2" w:rsidRDefault="00123961">
      <w:pPr>
        <w:tabs>
          <w:tab w:val="left" w:pos="1134"/>
        </w:tabs>
        <w:spacing w:after="0" w:line="240" w:lineRule="auto"/>
        <w:jc w:val="both"/>
        <w:rPr>
          <w:rFonts w:ascii="Times New Roman" w:hAnsi="Times New Roman"/>
          <w:sz w:val="26"/>
          <w:szCs w:val="26"/>
        </w:rPr>
      </w:pPr>
      <w:r>
        <w:rPr>
          <w:noProof/>
          <w:lang w:eastAsia="ru-RU"/>
        </w:rPr>
        <w:drawing>
          <wp:inline distT="0" distB="0" distL="0" distR="0" wp14:anchorId="4F66AB27" wp14:editId="30C0D761">
            <wp:extent cx="5890895" cy="403860"/>
            <wp:effectExtent l="0" t="0" r="0" b="0"/>
            <wp:docPr id="91" name="_x005F_x0000_s4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_x005F_x0000_s4377"/>
                    <pic:cNvPicPr>
                      <a:picLocks noChangeAspect="1" noChangeArrowheads="1"/>
                    </pic:cNvPicPr>
                  </pic:nvPicPr>
                  <pic:blipFill>
                    <a:blip r:embed="rId122"/>
                    <a:stretch>
                      <a:fillRect/>
                    </a:stretch>
                  </pic:blipFill>
                  <pic:spPr bwMode="auto">
                    <a:xfrm>
                      <a:off x="0" y="0"/>
                      <a:ext cx="5890895" cy="403860"/>
                    </a:xfrm>
                    <a:prstGeom prst="rect">
                      <a:avLst/>
                    </a:prstGeom>
                    <a:noFill/>
                  </pic:spPr>
                </pic:pic>
              </a:graphicData>
            </a:graphic>
          </wp:inline>
        </w:drawing>
      </w:r>
    </w:p>
    <w:p w14:paraId="0B338999" w14:textId="77777777" w:rsidR="002449C2" w:rsidRDefault="00123961">
      <w:pPr>
        <w:tabs>
          <w:tab w:val="left" w:pos="1134"/>
        </w:tabs>
        <w:spacing w:after="0" w:line="240" w:lineRule="auto"/>
        <w:ind w:firstLine="709"/>
        <w:jc w:val="both"/>
        <w:rPr>
          <w:rFonts w:ascii="Times New Roman" w:hAnsi="Times New Roman"/>
          <w:sz w:val="26"/>
          <w:szCs w:val="26"/>
        </w:rPr>
      </w:pPr>
      <w:r>
        <w:rPr>
          <w:rFonts w:ascii="Times New Roman" w:hAnsi="Times New Roman"/>
          <w:sz w:val="26"/>
          <w:szCs w:val="26"/>
        </w:rPr>
        <w:t>На корпоративном сайте компании функционирует раздел «Противодействие коррупции», содержащий актуальную информацию о направлениях деятельности в области противодействия коррупции, телефоны «Горячей линии» и иные способы направления обращений о возможных фактах коррупции.</w:t>
      </w:r>
    </w:p>
    <w:p w14:paraId="5332648F" w14:textId="77777777" w:rsidR="002449C2" w:rsidRDefault="00123961">
      <w:pPr>
        <w:tabs>
          <w:tab w:val="left" w:pos="1134"/>
        </w:tabs>
        <w:spacing w:after="0" w:line="240" w:lineRule="auto"/>
        <w:ind w:firstLine="709"/>
        <w:jc w:val="both"/>
        <w:rPr>
          <w:rFonts w:ascii="Times New Roman" w:hAnsi="Times New Roman"/>
          <w:sz w:val="26"/>
          <w:szCs w:val="26"/>
        </w:rPr>
      </w:pPr>
      <w:r>
        <w:rPr>
          <w:rFonts w:ascii="Times New Roman" w:hAnsi="Times New Roman"/>
          <w:sz w:val="26"/>
          <w:szCs w:val="26"/>
        </w:rPr>
        <w:t xml:space="preserve">В Обществе осуществляется прием, регистрация и учет поступивших обращений, обеспечивается конфиденциальность и сохранность данных, полученных от заявителя, а также предусмотрена персональная ответственность в соответствии с законодательством Российской Федерации за разглашение полученных сведений. </w:t>
      </w:r>
    </w:p>
    <w:p w14:paraId="4F48A1B5" w14:textId="77777777" w:rsidR="002449C2" w:rsidRDefault="00123961">
      <w:pPr>
        <w:tabs>
          <w:tab w:val="left" w:pos="1134"/>
        </w:tabs>
        <w:spacing w:after="0" w:line="240" w:lineRule="auto"/>
        <w:ind w:firstLine="709"/>
        <w:jc w:val="both"/>
        <w:rPr>
          <w:rFonts w:ascii="Times New Roman" w:hAnsi="Times New Roman"/>
          <w:sz w:val="26"/>
          <w:szCs w:val="26"/>
        </w:rPr>
      </w:pPr>
      <w:r>
        <w:rPr>
          <w:rFonts w:ascii="Times New Roman" w:hAnsi="Times New Roman"/>
          <w:bCs/>
          <w:sz w:val="26"/>
          <w:szCs w:val="26"/>
        </w:rPr>
        <w:t xml:space="preserve">В 2024 году поступило 1 обращение о возможных фактах коррупции. Обращение рассмотрено в установленные сроки, в соответствии с действующим Порядком.   </w:t>
      </w:r>
      <w:r>
        <w:rPr>
          <w:rFonts w:ascii="Times New Roman" w:hAnsi="Times New Roman"/>
          <w:sz w:val="26"/>
          <w:szCs w:val="26"/>
        </w:rPr>
        <w:t>В результате проведенной работы признаки коррупционных действий со стороны работников Общества не подтверждены, признаки конфликта интересов не выявлены.</w:t>
      </w:r>
    </w:p>
    <w:p w14:paraId="30707BD7" w14:textId="77777777" w:rsidR="002449C2" w:rsidRDefault="00123961">
      <w:pPr>
        <w:tabs>
          <w:tab w:val="left" w:pos="1134"/>
        </w:tabs>
        <w:spacing w:after="0" w:line="240" w:lineRule="auto"/>
        <w:ind w:firstLine="709"/>
        <w:jc w:val="both"/>
        <w:rPr>
          <w:rFonts w:ascii="Times New Roman" w:hAnsi="Times New Roman"/>
          <w:color w:val="0070C0"/>
          <w:sz w:val="26"/>
          <w:szCs w:val="26"/>
        </w:rPr>
      </w:pPr>
      <w:r>
        <w:rPr>
          <w:rFonts w:ascii="Times New Roman" w:hAnsi="Times New Roman"/>
          <w:color w:val="0070C0"/>
          <w:sz w:val="26"/>
          <w:szCs w:val="26"/>
        </w:rPr>
        <w:t>Мероприятия по предотвращению и урегулированию конфликта интересов.</w:t>
      </w:r>
    </w:p>
    <w:p w14:paraId="664BADD6" w14:textId="77777777" w:rsidR="002449C2" w:rsidRDefault="00123961">
      <w:pPr>
        <w:tabs>
          <w:tab w:val="left" w:pos="1134"/>
        </w:tabs>
        <w:spacing w:after="0" w:line="240" w:lineRule="auto"/>
        <w:ind w:firstLine="709"/>
        <w:jc w:val="both"/>
        <w:rPr>
          <w:rFonts w:ascii="Times New Roman" w:hAnsi="Times New Roman"/>
          <w:sz w:val="26"/>
          <w:szCs w:val="26"/>
        </w:rPr>
      </w:pPr>
      <w:r>
        <w:rPr>
          <w:rFonts w:ascii="Times New Roman" w:hAnsi="Times New Roman"/>
          <w:sz w:val="26"/>
          <w:szCs w:val="26"/>
        </w:rPr>
        <w:t>С целью ограничения влияния частных интересов, личной заинтересованности работников на реализуемые ими трудовые функции, принимаемые деловые решения, Общество осуществляет меры по выявлению, предотвращению и урегулированию конфликта интересов.</w:t>
      </w:r>
    </w:p>
    <w:p w14:paraId="0058D691" w14:textId="77777777" w:rsidR="002449C2" w:rsidRDefault="00123961">
      <w:pPr>
        <w:tabs>
          <w:tab w:val="left" w:pos="1134"/>
        </w:tabs>
        <w:spacing w:after="0" w:line="240" w:lineRule="auto"/>
        <w:ind w:firstLine="709"/>
        <w:jc w:val="both"/>
        <w:rPr>
          <w:rFonts w:ascii="Times New Roman" w:hAnsi="Times New Roman"/>
          <w:sz w:val="26"/>
          <w:szCs w:val="26"/>
        </w:rPr>
      </w:pPr>
      <w:r>
        <w:rPr>
          <w:rFonts w:ascii="Times New Roman" w:hAnsi="Times New Roman"/>
          <w:sz w:val="26"/>
          <w:szCs w:val="26"/>
        </w:rPr>
        <w:t>В соответствии с Положением об урегулировании конфликта интересов в ПАО «Россети Юг» в Обществе устанавливается трёхуровневая система раскрытия сведений о наличии конфликта интересов:</w:t>
      </w:r>
    </w:p>
    <w:p w14:paraId="6B2C3AC3" w14:textId="77777777" w:rsidR="002449C2" w:rsidRDefault="00123961">
      <w:pPr>
        <w:tabs>
          <w:tab w:val="left" w:pos="1134"/>
        </w:tabs>
        <w:spacing w:after="0" w:line="240" w:lineRule="auto"/>
        <w:ind w:firstLine="709"/>
        <w:jc w:val="both"/>
        <w:rPr>
          <w:rFonts w:ascii="Times New Roman" w:hAnsi="Times New Roman"/>
          <w:sz w:val="26"/>
          <w:szCs w:val="26"/>
        </w:rPr>
      </w:pPr>
      <w:r>
        <w:rPr>
          <w:rFonts w:ascii="Times New Roman" w:hAnsi="Times New Roman"/>
          <w:sz w:val="26"/>
          <w:szCs w:val="26"/>
        </w:rPr>
        <w:t xml:space="preserve">- первоначальное раскрытие сведений о наличии конфликта интересов при приеме на работу/переводе на другую должность; </w:t>
      </w:r>
    </w:p>
    <w:p w14:paraId="1AD72CA0" w14:textId="77777777" w:rsidR="002449C2" w:rsidRDefault="00123961">
      <w:pPr>
        <w:tabs>
          <w:tab w:val="left" w:pos="1134"/>
        </w:tabs>
        <w:spacing w:after="0" w:line="240" w:lineRule="auto"/>
        <w:ind w:firstLine="709"/>
        <w:jc w:val="both"/>
        <w:rPr>
          <w:rFonts w:ascii="Times New Roman" w:hAnsi="Times New Roman"/>
          <w:sz w:val="26"/>
          <w:szCs w:val="26"/>
        </w:rPr>
      </w:pPr>
      <w:r>
        <w:rPr>
          <w:rFonts w:ascii="Times New Roman" w:hAnsi="Times New Roman"/>
          <w:sz w:val="26"/>
          <w:szCs w:val="26"/>
        </w:rPr>
        <w:t>- ежегодное раскрытие сведений о наличии конфликта интересов по состоянию на 31 декабря соответствующего года;</w:t>
      </w:r>
    </w:p>
    <w:p w14:paraId="4BD7B9A3" w14:textId="77777777" w:rsidR="002449C2" w:rsidRDefault="00123961">
      <w:pPr>
        <w:tabs>
          <w:tab w:val="left" w:pos="1134"/>
        </w:tabs>
        <w:spacing w:after="0" w:line="240" w:lineRule="auto"/>
        <w:ind w:firstLine="709"/>
        <w:jc w:val="both"/>
        <w:rPr>
          <w:rFonts w:ascii="Times New Roman" w:hAnsi="Times New Roman"/>
          <w:sz w:val="26"/>
          <w:szCs w:val="26"/>
        </w:rPr>
      </w:pPr>
      <w:r>
        <w:rPr>
          <w:rFonts w:ascii="Times New Roman" w:hAnsi="Times New Roman"/>
          <w:sz w:val="26"/>
          <w:szCs w:val="26"/>
        </w:rPr>
        <w:t>- уведомления от работников о возникновении личной заинтересованности при исполнении должностных обязанностей, которая приводит или может привести к конфликту интересов.</w:t>
      </w:r>
    </w:p>
    <w:p w14:paraId="2DF96EF1" w14:textId="77777777" w:rsidR="002449C2" w:rsidRDefault="00123961">
      <w:pPr>
        <w:spacing w:after="0" w:line="240" w:lineRule="auto"/>
        <w:ind w:firstLine="709"/>
        <w:jc w:val="both"/>
        <w:rPr>
          <w:rFonts w:ascii="Times New Roman" w:hAnsi="Times New Roman"/>
          <w:sz w:val="26"/>
          <w:szCs w:val="26"/>
        </w:rPr>
      </w:pPr>
      <w:r>
        <w:rPr>
          <w:rFonts w:ascii="Times New Roman" w:hAnsi="Times New Roman"/>
          <w:sz w:val="26"/>
          <w:szCs w:val="26"/>
        </w:rPr>
        <w:t>Первоначальное раскрытие сведений о наличии конфликта интересов обеспечивает проверку задекларированных сведений и подготовку соответствующего заключения о проведении проверки кандидата, претендующего на замещение должности, что позволяет предотвратить возникновение новых, ранее не учтенных предконфликтных ситуаций в Обществе.</w:t>
      </w:r>
    </w:p>
    <w:p w14:paraId="5521ED64" w14:textId="77777777" w:rsidR="002449C2" w:rsidRDefault="00123961">
      <w:pPr>
        <w:spacing w:after="0" w:line="240" w:lineRule="auto"/>
        <w:ind w:firstLine="709"/>
        <w:jc w:val="both"/>
        <w:rPr>
          <w:rFonts w:ascii="Times New Roman" w:hAnsi="Times New Roman"/>
          <w:sz w:val="26"/>
          <w:szCs w:val="26"/>
        </w:rPr>
      </w:pPr>
      <w:r>
        <w:rPr>
          <w:rFonts w:ascii="Times New Roman" w:hAnsi="Times New Roman"/>
          <w:sz w:val="26"/>
          <w:szCs w:val="26"/>
        </w:rPr>
        <w:t>В соответствии с п. 6.2.2. Положения об урегулировании конфликта интересов за 2024 год проведены проверки предоставленных кандидатами материалов, подготовлено 738 заключений по наличию/отсутствию конфликта интересов кандидатов на занятие вакантных должностей (при приеме на работу/ переводе) в Общество. По фактам возможного конфликта интересов и предконфликтной ситуации работников Общества, проведено 37 дополнительных проверок при подготовке заключений по наличию/отсутствию конфликта интересов кандидатов на занятие вакантных должностей, запрошены дополнительные сведения в отношении кандидатов и лиц, состоящих с ними в близком родстве или свойстве. Ситуаций, требующих урегулирования не установлено.</w:t>
      </w:r>
    </w:p>
    <w:p w14:paraId="119CE701" w14:textId="77777777" w:rsidR="002449C2" w:rsidRDefault="00123961">
      <w:pPr>
        <w:spacing w:after="0" w:line="240" w:lineRule="auto"/>
        <w:ind w:firstLine="709"/>
        <w:jc w:val="both"/>
        <w:rPr>
          <w:rFonts w:ascii="Times New Roman" w:hAnsi="Times New Roman"/>
          <w:sz w:val="26"/>
          <w:szCs w:val="26"/>
        </w:rPr>
      </w:pPr>
      <w:r>
        <w:rPr>
          <w:rFonts w:ascii="Times New Roman" w:hAnsi="Times New Roman"/>
          <w:sz w:val="26"/>
          <w:szCs w:val="26"/>
        </w:rPr>
        <w:t>Ежегодное раскрытие сведений по состоянию на 31 декабря отчетного года позволяет выявить предконфликтные ситуации или «инциденты». Под инцидентами понимаются сведения, свидетельствующие о возможном сокрытии информации, способствующие возникновению личной заинтересованности работника.</w:t>
      </w:r>
    </w:p>
    <w:p w14:paraId="4B56C464" w14:textId="77777777" w:rsidR="002449C2" w:rsidRDefault="00123961">
      <w:pPr>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В соответствии с Антикоррупционной политикой, Положением, в Обществе проведены мероприятия по ежегодному декларированию конфликта интересов работников ПАО «Россети Юг» и ДЗО ПАО «Россети Юг» с использованием подсистемы электронного декларирования автоматизированной системы анализа и сбора информации о бенефициарах (далее - АС АСИБ).</w:t>
      </w:r>
    </w:p>
    <w:p w14:paraId="5AB8FE8D" w14:textId="77777777" w:rsidR="002449C2" w:rsidRDefault="00123961">
      <w:pPr>
        <w:spacing w:after="0" w:line="240" w:lineRule="auto"/>
        <w:ind w:firstLine="708"/>
        <w:jc w:val="both"/>
        <w:rPr>
          <w:rFonts w:ascii="Times New Roman" w:hAnsi="Times New Roman"/>
          <w:sz w:val="26"/>
          <w:szCs w:val="26"/>
          <w:lang w:eastAsia="en-US"/>
        </w:rPr>
      </w:pPr>
      <w:r>
        <w:rPr>
          <w:rFonts w:ascii="Times New Roman" w:hAnsi="Times New Roman"/>
          <w:sz w:val="26"/>
          <w:szCs w:val="26"/>
          <w:lang w:eastAsia="en-US"/>
        </w:rPr>
        <w:t xml:space="preserve">Количество лиц, подлежащих ежегодному декларированию, по состоянию на 31.12.2023 составило 2 166 в ПАО «Россети Юг» и ДЗО ПАО «Россети Юг». </w:t>
      </w:r>
    </w:p>
    <w:p w14:paraId="060A5958" w14:textId="77777777" w:rsidR="002449C2" w:rsidRDefault="002449C2">
      <w:pPr>
        <w:spacing w:after="0" w:line="240" w:lineRule="auto"/>
        <w:ind w:firstLine="708"/>
        <w:jc w:val="both"/>
        <w:rPr>
          <w:rFonts w:ascii="Times New Roman" w:hAnsi="Times New Roman"/>
          <w:sz w:val="26"/>
          <w:szCs w:val="26"/>
          <w:lang w:eastAsia="en-US"/>
        </w:rPr>
      </w:pPr>
    </w:p>
    <w:p w14:paraId="56122A95" w14:textId="77777777" w:rsidR="002449C2" w:rsidRDefault="00123961">
      <w:pPr>
        <w:spacing w:after="0" w:line="240" w:lineRule="auto"/>
        <w:ind w:firstLine="708"/>
        <w:jc w:val="both"/>
        <w:rPr>
          <w:rFonts w:ascii="Times New Roman" w:hAnsi="Times New Roman"/>
          <w:sz w:val="26"/>
          <w:szCs w:val="26"/>
          <w:lang w:eastAsia="en-US"/>
        </w:rPr>
      </w:pPr>
      <w:r>
        <w:rPr>
          <w:noProof/>
          <w:lang w:eastAsia="ru-RU"/>
        </w:rPr>
        <w:drawing>
          <wp:inline distT="0" distB="0" distL="0" distR="0" wp14:anchorId="71136067" wp14:editId="0F664A27">
            <wp:extent cx="5897880" cy="2339340"/>
            <wp:effectExtent l="0" t="0" r="0" b="0"/>
            <wp:docPr id="92" name="_x005F_x0000_i4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_x005F_x0000_i4469"/>
                    <pic:cNvPicPr>
                      <a:picLocks noChangeAspect="1" noChangeArrowheads="1"/>
                    </pic:cNvPicPr>
                  </pic:nvPicPr>
                  <pic:blipFill>
                    <a:blip r:embed="rId123">
                      <a:extLst>
                        <a:ext uri="{96DAC541-7B7A-43D3-8B79-37D633B846F1}">
                          <asvg:svgBlip xmlns:asvg="http://schemas.microsoft.com/office/drawing/2016/SVG/main" xmlns:w10="urn:schemas-microsoft-com:office:word" xmlns:w="http://schemas.openxmlformats.org/wordprocessingml/2006/main" xmlns:v="urn:schemas-microsoft-com:vml" xmlns:o="urn:schemas-microsoft-com:office:office" xmlns="" r:embed="rId124"/>
                        </a:ext>
                      </a:extLst>
                    </a:blip>
                    <a:stretch>
                      <a:fillRect/>
                    </a:stretch>
                  </pic:blipFill>
                  <pic:spPr bwMode="auto">
                    <a:xfrm>
                      <a:off x="0" y="0"/>
                      <a:ext cx="5897880" cy="2339340"/>
                    </a:xfrm>
                    <a:prstGeom prst="rect">
                      <a:avLst/>
                    </a:prstGeom>
                    <a:noFill/>
                  </pic:spPr>
                </pic:pic>
              </a:graphicData>
            </a:graphic>
          </wp:inline>
        </w:drawing>
      </w:r>
    </w:p>
    <w:p w14:paraId="11F87704" w14:textId="77777777" w:rsidR="002449C2" w:rsidRDefault="00123961">
      <w:pPr>
        <w:spacing w:after="0" w:line="240" w:lineRule="auto"/>
        <w:jc w:val="both"/>
        <w:rPr>
          <w:rFonts w:ascii="Times New Roman" w:hAnsi="Times New Roman"/>
          <w:sz w:val="26"/>
          <w:szCs w:val="26"/>
          <w:lang w:eastAsia="en-US"/>
        </w:rPr>
      </w:pPr>
      <w:r>
        <w:rPr>
          <w:rFonts w:ascii="Times New Roman" w:hAnsi="Times New Roman"/>
          <w:sz w:val="26"/>
          <w:szCs w:val="26"/>
          <w:lang w:eastAsia="en-US"/>
        </w:rPr>
        <w:tab/>
        <w:t>Результаты ежегодного декларирования рассмотрены и утверждены на заседании Комиссии ПАО «Россети Юг» по соблюдению норм корпоративной этики и урегулированию конфликта интересов (протокол от 11.04.2024 № 16), а также на заседании Центральной комиссии ПАО «Россети» по соблюдению норм корпоративной этики и урегулированию конфликта интересов (протокол от 21.05.2024 № 2024/1), замечания отсутствуют.</w:t>
      </w:r>
    </w:p>
    <w:p w14:paraId="03FA829D" w14:textId="77777777" w:rsidR="002449C2" w:rsidRDefault="00123961">
      <w:pPr>
        <w:spacing w:after="0" w:line="240" w:lineRule="auto"/>
        <w:ind w:firstLine="708"/>
        <w:jc w:val="both"/>
        <w:rPr>
          <w:rFonts w:ascii="Times New Roman" w:hAnsi="Times New Roman"/>
          <w:sz w:val="26"/>
          <w:szCs w:val="26"/>
          <w:lang w:eastAsia="en-US"/>
        </w:rPr>
      </w:pPr>
      <w:r>
        <w:rPr>
          <w:rFonts w:ascii="Times New Roman" w:hAnsi="Times New Roman"/>
          <w:sz w:val="26"/>
          <w:szCs w:val="26"/>
          <w:lang w:eastAsia="en-US"/>
        </w:rPr>
        <w:t>В 2024 году поступило 4 уведомления о возникновении личной заинтересованности при исполнении должностных обязанностей, которая приводит или может привести к конфликту интересов. Личная заинтересованность связана с заключением договоров технологического присоединения.</w:t>
      </w:r>
    </w:p>
    <w:p w14:paraId="3C717051" w14:textId="77777777" w:rsidR="002449C2" w:rsidRDefault="00123961">
      <w:pPr>
        <w:spacing w:after="0" w:line="240" w:lineRule="auto"/>
        <w:ind w:firstLine="708"/>
        <w:jc w:val="both"/>
        <w:rPr>
          <w:rFonts w:ascii="Times New Roman" w:hAnsi="Times New Roman"/>
          <w:sz w:val="26"/>
          <w:szCs w:val="26"/>
          <w:lang w:eastAsia="en-US"/>
        </w:rPr>
      </w:pPr>
      <w:r>
        <w:rPr>
          <w:rFonts w:ascii="Times New Roman" w:hAnsi="Times New Roman"/>
          <w:sz w:val="26"/>
          <w:szCs w:val="26"/>
          <w:lang w:eastAsia="en-US"/>
        </w:rPr>
        <w:t>В целях исключения случаев возникновения личной заинтересованности по каждому уведомлению проведена оценка изложенных фактов. Изучены дополнительные материалы и документы. Ситуации поставлены на контроль.</w:t>
      </w:r>
    </w:p>
    <w:p w14:paraId="66EE9E80"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color w:val="0070C0"/>
          <w:sz w:val="26"/>
          <w:szCs w:val="26"/>
        </w:rPr>
        <w:t>Принятие мер по предупреждению и профилактике коррупции при</w:t>
      </w:r>
      <w:r>
        <w:rPr>
          <w:rFonts w:ascii="Times New Roman" w:hAnsi="Times New Roman"/>
          <w:sz w:val="26"/>
          <w:szCs w:val="26"/>
        </w:rPr>
        <w:t xml:space="preserve"> </w:t>
      </w:r>
      <w:r>
        <w:rPr>
          <w:rFonts w:ascii="Times New Roman" w:hAnsi="Times New Roman"/>
          <w:color w:val="0070C0"/>
          <w:sz w:val="26"/>
          <w:szCs w:val="26"/>
        </w:rPr>
        <w:t>взаимодействии с партнерами и контрагентами.</w:t>
      </w:r>
    </w:p>
    <w:p w14:paraId="6B4394DA"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xml:space="preserve">В соответствии с требованиями Антикоррупционной политики, Единого стандарта закупок ПАО «Россети» (Положения о закупке), Регламента взаимодействия структурных подразделений, при проведении регламентированных закупок товаров, работ, услуг в Обществе реализуется комплекс мер по профилактике и противодействию коррупции. </w:t>
      </w:r>
    </w:p>
    <w:p w14:paraId="1AB24ECE"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xml:space="preserve">Основными мероприятиями осуществления проверок является обоснованность и эффективность расходования денежных средств Общества (при формировании начальной (максимальной) цены закупки) на стадии формирования технического задания, а также контроль подготовки отчетов об оценке, соответствия участников и их коммерческих предложений требованиям технических заданий, конкурсной (закупочной) документации. </w:t>
      </w:r>
    </w:p>
    <w:p w14:paraId="458605FC"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xml:space="preserve">В целях уменьшения репутационных рисков, снижения количества жалоб и обращений потенциальных контрагентов в Федеральную антимонопольную службу, осуществляется контроль за правомерностью отклонения участников закупок. </w:t>
      </w:r>
    </w:p>
    <w:p w14:paraId="41A06386"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Особое внимание уделяется внеплановым закупкам, закупкам у «единственного поставщика», проверка осуществляется на предмет альтернативности закупаемых товаров (работ, услуг).</w:t>
      </w:r>
    </w:p>
    <w:p w14:paraId="4116D064"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xml:space="preserve">При проведении закупочных процедур по итогам 2024 года прошли проверку и согласование 646 Технических заданий на предмет: </w:t>
      </w:r>
    </w:p>
    <w:p w14:paraId="23455576"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наличия закупочной процедуры в Плане закупок;</w:t>
      </w:r>
    </w:p>
    <w:p w14:paraId="35EC4E22"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соответствия типовой форме Технического задания;</w:t>
      </w:r>
    </w:p>
    <w:p w14:paraId="457E4605"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корректности ценообразования (наличия расчета предельной стоимости лота, мониторинга рынка и обоснованности начальной максимальной цены закупки);</w:t>
      </w:r>
    </w:p>
    <w:p w14:paraId="1850F53A"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возникновения возможных фактов согласованных действий, аффилированности участников закупочных процедур.</w:t>
      </w:r>
    </w:p>
    <w:p w14:paraId="74DC6984"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В результате проведенных проверочных мероприятий 56 Технических заданий или 8,67 % от общего количества возращены на доработку инициатору, по причинам отсутствия обоснования проведения закупочных процедур, нарушения предусмотренного порядка ценообразования, несоответствия утвержденным типовым формам.</w:t>
      </w:r>
    </w:p>
    <w:p w14:paraId="46C8D6AD"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По итогам 2024 года прошли проверку и согласование 1 347 Отчетов об оценке и аналитических записок на предмет:</w:t>
      </w:r>
    </w:p>
    <w:p w14:paraId="21E09014"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наличия полного пакета документов в соответствии с Антикоррупционным стандартом закупочной деятельности;</w:t>
      </w:r>
    </w:p>
    <w:p w14:paraId="3F0411F4"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соответствия требованиям конкурсной документации и техническим заданиям;</w:t>
      </w:r>
    </w:p>
    <w:p w14:paraId="1A318A72"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наличия фактов согласованных действий, аффилированности участников закупочных процедур;</w:t>
      </w:r>
    </w:p>
    <w:p w14:paraId="7998F1DB"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В результате проведенных проверочных мероприятий 156 отчетов об оценке и аналитических записок или 11,6 % от общего количества закупок не согласованы, возвращены на доработку инициатору.</w:t>
      </w:r>
    </w:p>
    <w:p w14:paraId="7B835278" w14:textId="77777777" w:rsidR="002449C2" w:rsidRDefault="00123961">
      <w:pPr>
        <w:tabs>
          <w:tab w:val="left" w:pos="1134"/>
        </w:tabs>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Несогласованные отчеты об оценке и аналитические записки возвращаются на доработку, инициатор устраняет выявленные замечания, либо выносит вопрос на Закупочную Комиссию о необходимости признания закупочной процедуры несостоявшейся и проведении ее повторно. После устранения замечаний все материалы проходят повторное согласование.</w:t>
      </w:r>
    </w:p>
    <w:p w14:paraId="77FFC5CB" w14:textId="77777777" w:rsidR="002449C2" w:rsidRDefault="00123961">
      <w:pPr>
        <w:tabs>
          <w:tab w:val="left" w:pos="1134"/>
        </w:tabs>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В результате проведенной работы по итогам 2024 года снижена начальная (максимальная) цена при проведении закупочных процедур на 99,6 млн рублей, включая переторжки и преддоговорные переговоры.</w:t>
      </w:r>
    </w:p>
    <w:p w14:paraId="2A53F4DC" w14:textId="77777777" w:rsidR="002449C2" w:rsidRDefault="00123961">
      <w:pPr>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 xml:space="preserve">В соответствии с Положением об организации договорной работы в Обществе за 2024 год прошли проверку и согласование не менее 2 730 договоров и дополнительных соглашений на предмет наличия Антикоррупционной оговорки, корректного раскрытия информации о цепочке собственников контрагента (включая конечных бенефициаров), выявления конфликта интересов, предконфликтной ситуации и иных злоупотреблений, связанных с занимаемыми в Обществе должностями. </w:t>
      </w:r>
    </w:p>
    <w:p w14:paraId="71E555FD" w14:textId="77777777" w:rsidR="002449C2" w:rsidRDefault="00123961">
      <w:pPr>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Имеющие замечания договора и дополнительные соглашения, отклоняются на доработку для устранения нарушений. После устранения замечаний все договора проходят повторное согласование.</w:t>
      </w:r>
    </w:p>
    <w:p w14:paraId="0620C25A" w14:textId="77777777" w:rsidR="002449C2" w:rsidRDefault="00123961">
      <w:pPr>
        <w:spacing w:after="0" w:line="240" w:lineRule="auto"/>
        <w:ind w:firstLine="709"/>
        <w:jc w:val="both"/>
        <w:rPr>
          <w:rFonts w:ascii="Times New Roman" w:hAnsi="Times New Roman"/>
          <w:bCs/>
          <w:iCs/>
          <w:sz w:val="26"/>
          <w:szCs w:val="26"/>
          <w:lang w:eastAsia="en-US"/>
        </w:rPr>
      </w:pPr>
      <w:r>
        <w:rPr>
          <w:rFonts w:ascii="Times New Roman" w:hAnsi="Times New Roman"/>
          <w:bCs/>
          <w:iCs/>
          <w:sz w:val="26"/>
          <w:szCs w:val="26"/>
          <w:lang w:eastAsia="en-US"/>
        </w:rPr>
        <w:t xml:space="preserve">В целях обеспечения прозрачности финансово-хозяйственной деятельности, в т.ч. исключения конфликта интересов и иных злоупотреблений, связанных с занимаемой должностью, в рамках проверки участников закупки/контрагентов Общества, проводится работа по раскрытию структуры собственников контрагентов, включая бенефициаров, в том числе конечных. </w:t>
      </w:r>
    </w:p>
    <w:p w14:paraId="31CC987D" w14:textId="77777777" w:rsidR="002449C2" w:rsidRDefault="00123961">
      <w:pPr>
        <w:tabs>
          <w:tab w:val="left" w:pos="1134"/>
        </w:tabs>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В 2024 году проверено, в том числе на достоверность и полноту информации о собственниках контрагентов, и загружено в автоматизированную систему - «Анализ и сбор информации о бенефициарах» 25 221 доходных и расходных договоров, из которых договоров с раскрытием цепочки собственников контрагентов – 2 730 шт., учтено бенефициаров – 1934 шт.</w:t>
      </w:r>
    </w:p>
    <w:p w14:paraId="1102CA2E" w14:textId="77777777" w:rsidR="002449C2" w:rsidRDefault="00123961">
      <w:pPr>
        <w:tabs>
          <w:tab w:val="left" w:pos="1134"/>
        </w:tabs>
        <w:spacing w:after="0" w:line="240" w:lineRule="auto"/>
        <w:ind w:firstLine="567"/>
        <w:jc w:val="both"/>
        <w:rPr>
          <w:rFonts w:ascii="Times New Roman" w:hAnsi="Times New Roman"/>
          <w:color w:val="0070C0"/>
          <w:sz w:val="26"/>
          <w:szCs w:val="26"/>
        </w:rPr>
      </w:pPr>
      <w:r>
        <w:rPr>
          <w:rFonts w:ascii="Times New Roman" w:hAnsi="Times New Roman"/>
          <w:color w:val="0070C0"/>
          <w:sz w:val="26"/>
          <w:szCs w:val="26"/>
        </w:rPr>
        <w:t>Участие Общества в рабочих группах и коллективных инициативах по противодействию и профилактике коррупции.</w:t>
      </w:r>
    </w:p>
    <w:p w14:paraId="3313073A"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В рамках реализации проекта «Развитие АС АСИБ», а также в соответствии с Положением о рабочей группе по совершенствованию методологического обеспечения в области противодействия коррупции в 2024 году Обществом принято участие в организации единого подхода к осуществлению работы по раскрытию информации о структуре собственников контрагентов, по предупреждению и выявлению конфликта интересов и иных злоупотреблений, связанных с занимаемыми в ПАО «Россети», ДО ПАО «Россети» и их дочерних и зависимых обществах должностями.</w:t>
      </w:r>
    </w:p>
    <w:p w14:paraId="7C08FE9A"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В целях повышения эффективности просветительских, образовательных и иных мероприятий по профилактике коррупции, на основании п. 6.5 Антикоррупционной политики в Обществе на регулярной основе проводится обновление нормативно-правовой базы, консультирование и обучение работников.</w:t>
      </w:r>
    </w:p>
    <w:p w14:paraId="001C658A"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В 2024 году осуществлены выезды в филиалы ПАО «Россети Юг» - «Калмэнерго», «Астраханьэнерго», «Волгоградэнерго», «Ростовэнерго». Проведены рабочие встречи с подразделениями безопасности и кадровыми службами, доведена информация об организации единого подхода к осуществлению мероприятий, предусмотренных Антикоррупционной политикой.</w:t>
      </w:r>
    </w:p>
    <w:p w14:paraId="5C7021E4"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xml:space="preserve">В целях исполнения приказа ПАО «Россети» от 15.02.2023 № 66 «О проведении анонимного анкетирования» и поручений, выданных письмом ПАО «Россети» от 16.10.2024 №МВ/275/645 в Обществе организована работа по проведению ежегодного анкетирования. Работникам были предложены вопросы, касающиеся этики, осведомленности о личной ответственности и общем вкладе каждого работника в противодействие коррупции, а также выявления недостатков в работе по профилактике коррупции. </w:t>
      </w:r>
    </w:p>
    <w:p w14:paraId="54D121F6"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По результатам проведенного анкетирования установлено, что большинство работников Общества знакомы с антикоррупционным законодательством, руководствуются нормами Антикоррупционной политики, Кодексом корпоративной этики и должностного поведения и считают, что проводимые в Обществе процедуры и мероприятия в области предупреждения коррупции являются действенными.</w:t>
      </w:r>
    </w:p>
    <w:p w14:paraId="7610C570" w14:textId="77777777" w:rsidR="002449C2" w:rsidRDefault="00123961">
      <w:pPr>
        <w:tabs>
          <w:tab w:val="left" w:pos="1134"/>
        </w:tabs>
        <w:spacing w:after="0" w:line="240" w:lineRule="auto"/>
        <w:ind w:firstLine="567"/>
        <w:jc w:val="both"/>
        <w:rPr>
          <w:rFonts w:ascii="Times New Roman" w:hAnsi="Times New Roman"/>
          <w:color w:val="0070C0"/>
          <w:sz w:val="26"/>
          <w:szCs w:val="26"/>
        </w:rPr>
      </w:pPr>
      <w:r>
        <w:rPr>
          <w:rFonts w:ascii="Times New Roman" w:hAnsi="Times New Roman"/>
          <w:color w:val="0070C0"/>
          <w:sz w:val="26"/>
          <w:szCs w:val="26"/>
        </w:rPr>
        <w:t>Задачи Общества на 2025 год и среднесрочную перспективу в области реализации Антикоррупционной политики.</w:t>
      </w:r>
    </w:p>
    <w:p w14:paraId="7C73492D"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В 2025 году Обществом запланированы следующие ключевые задачи в области реализации Антикоррупционной политики:</w:t>
      </w:r>
    </w:p>
    <w:p w14:paraId="6DCB4E56"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организация проведения мероприятий, направленных на реализацию Антикоррупционной политики в соответствии с Планом противодействия коррупции;</w:t>
      </w:r>
    </w:p>
    <w:p w14:paraId="2B893759"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организация проведения мероприятий по ежегодному декларированию конфликта интересов работников Общества. Подготовка и вынесение отчета о проведении декларационных мероприятий по конфликту интересов на рассмотрение Комиссии по соблюдению норм корпоративной этики и урегулированию конфликта интересов;</w:t>
      </w:r>
    </w:p>
    <w:p w14:paraId="4A1D1FC8"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организация самооценки эффективности антикоррупционных мер в Обществе при взаимодействии с представителями Торгово-промышленной палаты Российской Федерации по вопросам участия в Антикоррупционной хартии российского бизнеса путем подачи декларации о соответствии требований Антикоррупционной хартии российского бизнеса в ТПП Российской Федерации;</w:t>
      </w:r>
    </w:p>
    <w:p w14:paraId="5A591C50"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усиление контроля за соблюдением работниками требований антикоррупционного законодательства и требований Антикоррупционной политики ПАО «Россети Юг»;</w:t>
      </w:r>
    </w:p>
    <w:p w14:paraId="27A00F0B"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xml:space="preserve">-  ежемесячная организация сбора, анализа, проверка информации в отношении всей цепочки собственников контрагентов, включая бенефициаров (в том числе, конечных), а также сведений о составе исполнительных органов, направление сводной отчетности в ПАО «Россети»; </w:t>
      </w:r>
    </w:p>
    <w:p w14:paraId="426DD4A4"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 совершенствование работы по формированию культуры «нулевой толерантности» коррупции в Обществе и при взаимодействии с партнерами и контрагентами</w:t>
      </w:r>
    </w:p>
    <w:p w14:paraId="0A836189" w14:textId="77777777" w:rsidR="002449C2" w:rsidRDefault="00123961">
      <w:pPr>
        <w:tabs>
          <w:tab w:val="left" w:pos="1134"/>
        </w:tabs>
        <w:spacing w:after="0" w:line="240" w:lineRule="auto"/>
        <w:ind w:firstLine="567"/>
        <w:jc w:val="both"/>
        <w:rPr>
          <w:rFonts w:ascii="Times New Roman" w:hAnsi="Times New Roman"/>
          <w:sz w:val="26"/>
          <w:szCs w:val="26"/>
        </w:rPr>
      </w:pPr>
      <w:r>
        <w:rPr>
          <w:rFonts w:ascii="Times New Roman" w:hAnsi="Times New Roman"/>
          <w:sz w:val="26"/>
          <w:szCs w:val="26"/>
        </w:rPr>
        <w:t>Основная цель реализуемых Обществом антикоррупционных мероприятий – формирование среды, которая сводила бы к минимуму коррупционные проявления. От успешности решения этой задачи напрямую зависит деловая репутация компании, ее восприятие партнерами и, как следствие - результаты финансово - экономической деятельности.</w:t>
      </w:r>
    </w:p>
    <w:p w14:paraId="6D4182F5" w14:textId="77777777" w:rsidR="002449C2" w:rsidRDefault="00123961">
      <w:pPr>
        <w:keepNext/>
        <w:pBdr>
          <w:bottom w:val="single" w:sz="4" w:space="1" w:color="622423"/>
        </w:pBdr>
        <w:shd w:val="clear" w:color="auto" w:fill="FFFFFF"/>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142" w:name="_Toc536544543"/>
      <w:bookmarkStart w:id="143" w:name="_Toc195174957"/>
      <w:bookmarkStart w:id="144" w:name="_Toc196143050"/>
      <w:r>
        <w:rPr>
          <w:rFonts w:ascii="Times New Roman" w:eastAsia="Times New Roman" w:hAnsi="Times New Roman"/>
          <w:caps/>
          <w:color w:val="632423"/>
          <w:spacing w:val="15"/>
          <w:sz w:val="24"/>
          <w:szCs w:val="24"/>
          <w:lang w:eastAsia="en-US" w:bidi="en-US"/>
        </w:rPr>
        <w:t>Раскрытие информации</w:t>
      </w:r>
      <w:bookmarkEnd w:id="142"/>
      <w:bookmarkEnd w:id="143"/>
      <w:bookmarkEnd w:id="144"/>
    </w:p>
    <w:p w14:paraId="0549E812" w14:textId="77777777" w:rsidR="002449C2" w:rsidRDefault="00123961">
      <w:pPr>
        <w:widowControl w:val="0"/>
        <w:shd w:val="clear" w:color="auto" w:fill="FFFFFF"/>
        <w:spacing w:before="120" w:after="120" w:line="240" w:lineRule="auto"/>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 xml:space="preserve">Коммуникации со СМИ, в социальных сетях и блогосфере </w:t>
      </w:r>
    </w:p>
    <w:p w14:paraId="7F589FC6" w14:textId="77777777" w:rsidR="002449C2" w:rsidRDefault="00123961">
      <w:pPr>
        <w:shd w:val="clear" w:color="auto" w:fill="FFFFFF"/>
        <w:tabs>
          <w:tab w:val="left" w:pos="142"/>
        </w:tabs>
        <w:spacing w:after="0" w:line="240" w:lineRule="auto"/>
        <w:ind w:firstLine="567"/>
        <w:jc w:val="both"/>
        <w:rPr>
          <w:rFonts w:ascii="Times New Roman" w:hAnsi="Times New Roman"/>
          <w:bCs/>
          <w:sz w:val="26"/>
          <w:szCs w:val="26"/>
          <w:lang w:eastAsia="en-US"/>
        </w:rPr>
      </w:pPr>
      <w:r>
        <w:rPr>
          <w:rFonts w:ascii="Times New Roman" w:hAnsi="Times New Roman"/>
          <w:bCs/>
          <w:sz w:val="26"/>
          <w:szCs w:val="26"/>
          <w:lang w:eastAsia="en-US"/>
        </w:rPr>
        <w:t xml:space="preserve">ПАО «Россети Юг» реализует информационную политику в рамках выстраивания стратегии долгосрочных коммуникаций и принципов Единой коммуникационной политики ПАО «Россети», уделяя пристальное внимание деловой репутации во внешней среде. Ключевые задачи, которые решало Общество в части взаимодействия с общественностью, заключались в обеспечении открытости, объективном и своевременном информировании акционеров и широкой общественности о деятельности компании, текущих изменениях и перспективах развития. </w:t>
      </w:r>
    </w:p>
    <w:p w14:paraId="05F679B3" w14:textId="77777777" w:rsidR="002449C2" w:rsidRDefault="00123961">
      <w:pPr>
        <w:widowControl w:val="0"/>
        <w:shd w:val="clear" w:color="auto" w:fill="FFFFFF"/>
        <w:spacing w:before="120" w:after="120" w:line="240" w:lineRule="auto"/>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Ключевые результаты деятельности</w:t>
      </w:r>
    </w:p>
    <w:p w14:paraId="5BA78AC9" w14:textId="77777777" w:rsidR="002449C2" w:rsidRDefault="00123961">
      <w:pPr>
        <w:shd w:val="clear" w:color="auto" w:fill="FFFFFF"/>
        <w:tabs>
          <w:tab w:val="left" w:pos="142"/>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xml:space="preserve">В 2024 году Компанией подготовлены и опубликованы 512 пресс-релизов. Общее количество упоминаний в региональных СМИ составило 19 882. Средний индекс цитирования – 39. По отношению к 2023 году цитирование выросло на </w:t>
      </w:r>
      <w:r>
        <w:rPr>
          <w:rFonts w:ascii="Times New Roman" w:hAnsi="Times New Roman"/>
          <w:sz w:val="26"/>
          <w:szCs w:val="26"/>
          <w:lang w:eastAsia="en-US"/>
        </w:rPr>
        <w:br w:type="textWrapping" w:clear="all"/>
        <w:t>23,3 %.</w:t>
      </w:r>
    </w:p>
    <w:p w14:paraId="45843B27" w14:textId="77777777" w:rsidR="002449C2" w:rsidRDefault="00123961">
      <w:pPr>
        <w:shd w:val="clear" w:color="auto" w:fill="FFFFFF"/>
        <w:tabs>
          <w:tab w:val="left" w:pos="142"/>
        </w:tabs>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 xml:space="preserve">В соответствии с Индексом оценки эффективности PR-деятельности SPI (SCAN Performance Indicators) </w:t>
      </w:r>
      <w:r>
        <w:rPr>
          <w:rFonts w:ascii="Times New Roman" w:hAnsi="Times New Roman"/>
          <w:b/>
          <w:sz w:val="26"/>
          <w:szCs w:val="26"/>
          <w:lang w:eastAsia="en-US"/>
        </w:rPr>
        <w:t>индекс заметности</w:t>
      </w:r>
      <w:r>
        <w:rPr>
          <w:rFonts w:ascii="Times New Roman" w:hAnsi="Times New Roman"/>
          <w:sz w:val="26"/>
          <w:szCs w:val="26"/>
          <w:lang w:eastAsia="en-US"/>
        </w:rPr>
        <w:t xml:space="preserve"> компании ПАО «Россети Юг» за отчетный период составляет </w:t>
      </w:r>
      <w:r>
        <w:rPr>
          <w:rFonts w:ascii="Times New Roman" w:hAnsi="Times New Roman"/>
          <w:b/>
          <w:sz w:val="26"/>
          <w:szCs w:val="26"/>
          <w:lang w:eastAsia="en-US"/>
        </w:rPr>
        <w:t>4 563 389 пунктов</w:t>
      </w:r>
      <w:r>
        <w:rPr>
          <w:rFonts w:ascii="Times New Roman" w:hAnsi="Times New Roman"/>
          <w:sz w:val="26"/>
          <w:szCs w:val="26"/>
          <w:lang w:eastAsia="en-US"/>
        </w:rPr>
        <w:t>.  Наблюдается динамика увеличения индекса заметности по сравнению с 2023 годом почти в два раза.</w:t>
      </w:r>
      <w:r>
        <w:rPr>
          <w:rFonts w:ascii="Times New Roman" w:hAnsi="Times New Roman"/>
          <w:b/>
          <w:sz w:val="26"/>
          <w:szCs w:val="26"/>
          <w:lang w:eastAsia="en-US"/>
        </w:rPr>
        <w:t xml:space="preserve"> Индекс прямой речи </w:t>
      </w:r>
      <w:r>
        <w:rPr>
          <w:rFonts w:ascii="Times New Roman" w:hAnsi="Times New Roman"/>
          <w:sz w:val="26"/>
          <w:szCs w:val="26"/>
          <w:lang w:eastAsia="en-US"/>
        </w:rPr>
        <w:t xml:space="preserve">составляет </w:t>
      </w:r>
      <w:r>
        <w:rPr>
          <w:rFonts w:ascii="Times New Roman" w:hAnsi="Times New Roman"/>
          <w:b/>
          <w:sz w:val="26"/>
          <w:szCs w:val="26"/>
          <w:lang w:eastAsia="en-US"/>
        </w:rPr>
        <w:t>27 %</w:t>
      </w:r>
      <w:r>
        <w:rPr>
          <w:rFonts w:ascii="Times New Roman" w:hAnsi="Times New Roman"/>
          <w:sz w:val="26"/>
          <w:szCs w:val="26"/>
          <w:lang w:eastAsia="en-US"/>
        </w:rPr>
        <w:t xml:space="preserve">. </w:t>
      </w:r>
      <w:r>
        <w:rPr>
          <w:rFonts w:ascii="Times New Roman" w:hAnsi="Times New Roman"/>
          <w:b/>
          <w:sz w:val="26"/>
          <w:szCs w:val="26"/>
          <w:lang w:eastAsia="en-US"/>
        </w:rPr>
        <w:t>Охват</w:t>
      </w:r>
      <w:r>
        <w:rPr>
          <w:rFonts w:ascii="Times New Roman" w:hAnsi="Times New Roman"/>
          <w:sz w:val="26"/>
          <w:szCs w:val="26"/>
          <w:lang w:eastAsia="en-US"/>
        </w:rPr>
        <w:t xml:space="preserve"> за указанный период – почти </w:t>
      </w:r>
      <w:r>
        <w:rPr>
          <w:rFonts w:ascii="Times New Roman" w:hAnsi="Times New Roman"/>
          <w:b/>
          <w:bCs/>
          <w:sz w:val="26"/>
          <w:szCs w:val="26"/>
          <w:lang w:eastAsia="en-US"/>
        </w:rPr>
        <w:t xml:space="preserve">84 млн человек. </w:t>
      </w:r>
    </w:p>
    <w:p w14:paraId="7CDE23DA" w14:textId="77777777" w:rsidR="002449C2" w:rsidRDefault="00123961">
      <w:pPr>
        <w:shd w:val="clear" w:color="auto" w:fill="FFFFFF"/>
        <w:tabs>
          <w:tab w:val="left" w:pos="142"/>
        </w:tabs>
        <w:spacing w:after="0" w:line="240" w:lineRule="auto"/>
        <w:ind w:firstLine="709"/>
        <w:jc w:val="both"/>
        <w:rPr>
          <w:rFonts w:ascii="Times New Roman" w:hAnsi="Times New Roman"/>
          <w:sz w:val="26"/>
          <w:szCs w:val="26"/>
          <w:lang w:eastAsia="en-US"/>
        </w:rPr>
      </w:pPr>
      <w:r>
        <w:rPr>
          <w:rFonts w:ascii="Times New Roman" w:hAnsi="Times New Roman"/>
          <w:b/>
          <w:sz w:val="26"/>
          <w:szCs w:val="26"/>
          <w:lang w:eastAsia="en-US"/>
        </w:rPr>
        <w:t>Индекс репутационного риска</w:t>
      </w:r>
      <w:r>
        <w:rPr>
          <w:rFonts w:ascii="Times New Roman" w:hAnsi="Times New Roman"/>
          <w:sz w:val="26"/>
          <w:szCs w:val="26"/>
          <w:lang w:eastAsia="en-US"/>
        </w:rPr>
        <w:t xml:space="preserve"> составляет </w:t>
      </w:r>
      <w:r>
        <w:rPr>
          <w:rFonts w:ascii="Times New Roman" w:hAnsi="Times New Roman"/>
          <w:b/>
          <w:sz w:val="26"/>
          <w:szCs w:val="26"/>
          <w:lang w:eastAsia="en-US"/>
        </w:rPr>
        <w:t>30 пунктов</w:t>
      </w:r>
      <w:r>
        <w:rPr>
          <w:rFonts w:ascii="Times New Roman" w:hAnsi="Times New Roman"/>
          <w:sz w:val="26"/>
          <w:szCs w:val="26"/>
          <w:lang w:eastAsia="en-US"/>
        </w:rPr>
        <w:t xml:space="preserve"> и находится </w:t>
      </w:r>
      <w:r>
        <w:rPr>
          <w:rFonts w:ascii="Times New Roman" w:hAnsi="Times New Roman"/>
          <w:b/>
          <w:sz w:val="26"/>
          <w:szCs w:val="26"/>
          <w:lang w:eastAsia="en-US"/>
        </w:rPr>
        <w:t>в зоне «умеренного» риска</w:t>
      </w:r>
      <w:r>
        <w:rPr>
          <w:rFonts w:ascii="Times New Roman" w:hAnsi="Times New Roman"/>
          <w:sz w:val="26"/>
          <w:szCs w:val="26"/>
          <w:lang w:eastAsia="en-US"/>
        </w:rPr>
        <w:t>. Существенное влияние на индекс оказало освещение в СМИ судебных процессов.</w:t>
      </w:r>
    </w:p>
    <w:p w14:paraId="7112567B" w14:textId="77777777" w:rsidR="002449C2" w:rsidRDefault="00123961">
      <w:pPr>
        <w:shd w:val="clear" w:color="auto" w:fill="FFFFFF"/>
        <w:tabs>
          <w:tab w:val="left" w:pos="142"/>
        </w:tabs>
        <w:spacing w:after="0" w:line="240" w:lineRule="auto"/>
        <w:ind w:firstLine="709"/>
        <w:jc w:val="both"/>
        <w:rPr>
          <w:rFonts w:ascii="Times New Roman" w:hAnsi="Times New Roman"/>
          <w:sz w:val="26"/>
          <w:szCs w:val="26"/>
          <w:lang w:eastAsia="en-US"/>
        </w:rPr>
      </w:pPr>
      <w:r>
        <w:rPr>
          <w:rFonts w:ascii="Times New Roman" w:hAnsi="Times New Roman"/>
          <w:b/>
          <w:sz w:val="26"/>
          <w:szCs w:val="26"/>
          <w:lang w:eastAsia="en-US"/>
        </w:rPr>
        <w:t>Приоритетными темами</w:t>
      </w:r>
      <w:r>
        <w:rPr>
          <w:rFonts w:ascii="Times New Roman" w:hAnsi="Times New Roman"/>
          <w:sz w:val="26"/>
          <w:szCs w:val="26"/>
          <w:lang w:eastAsia="en-US"/>
        </w:rPr>
        <w:t xml:space="preserve"> при взаимодействии со СМИ в рамках реализации информационной политики Компании в отчетном периоде стали: поступление в сеть «зелёной» энергии, обеспечение надежного электроснабжения потребителей в осенне-зимний и летний периоды, вопросы подключения к электросетям социально значимых объектов.</w:t>
      </w:r>
    </w:p>
    <w:p w14:paraId="678CA94A" w14:textId="77777777" w:rsidR="002449C2" w:rsidRDefault="00123961">
      <w:pPr>
        <w:shd w:val="clear" w:color="auto" w:fill="FFFFFF"/>
        <w:tabs>
          <w:tab w:val="left" w:pos="142"/>
        </w:tabs>
        <w:spacing w:after="0" w:line="240" w:lineRule="auto"/>
        <w:ind w:firstLine="567"/>
        <w:jc w:val="both"/>
        <w:rPr>
          <w:rFonts w:ascii="Times New Roman" w:hAnsi="Times New Roman"/>
          <w:sz w:val="26"/>
          <w:szCs w:val="26"/>
          <w:lang w:eastAsia="en-US"/>
        </w:rPr>
      </w:pPr>
      <w:r>
        <w:rPr>
          <w:rFonts w:ascii="Times New Roman" w:hAnsi="Times New Roman"/>
          <w:b/>
          <w:sz w:val="26"/>
          <w:szCs w:val="26"/>
          <w:lang w:eastAsia="en-US"/>
        </w:rPr>
        <w:t>Активность в социальных сетях</w:t>
      </w:r>
      <w:r>
        <w:rPr>
          <w:rFonts w:ascii="Times New Roman" w:hAnsi="Times New Roman"/>
          <w:sz w:val="26"/>
          <w:szCs w:val="26"/>
          <w:lang w:eastAsia="en-US"/>
        </w:rPr>
        <w:t xml:space="preserve"> в 2024 году сохранилась на прежнем уровне</w:t>
      </w:r>
      <w:r>
        <w:rPr>
          <w:rFonts w:ascii="Times New Roman" w:hAnsi="Times New Roman"/>
          <w:b/>
          <w:sz w:val="26"/>
          <w:szCs w:val="26"/>
          <w:lang w:eastAsia="en-US"/>
        </w:rPr>
        <w:t>.</w:t>
      </w:r>
      <w:r>
        <w:rPr>
          <w:rFonts w:ascii="Times New Roman" w:hAnsi="Times New Roman"/>
          <w:sz w:val="26"/>
          <w:szCs w:val="26"/>
          <w:lang w:eastAsia="en-US"/>
        </w:rPr>
        <w:t xml:space="preserve"> Доля позитивных упоминаний превышает долю негативных (12 % и 5 % соответственно). На официальных страницах Общества в соцсетях было подготовлено и размещено более </w:t>
      </w:r>
      <w:r>
        <w:rPr>
          <w:rFonts w:ascii="Times New Roman" w:hAnsi="Times New Roman"/>
          <w:b/>
          <w:sz w:val="26"/>
          <w:szCs w:val="26"/>
          <w:lang w:eastAsia="en-US"/>
        </w:rPr>
        <w:t xml:space="preserve">3 000 постов </w:t>
      </w:r>
      <w:r>
        <w:rPr>
          <w:rFonts w:ascii="Times New Roman" w:hAnsi="Times New Roman"/>
          <w:sz w:val="26"/>
          <w:szCs w:val="26"/>
          <w:lang w:eastAsia="en-US"/>
        </w:rPr>
        <w:t xml:space="preserve">с общим охватом </w:t>
      </w:r>
      <w:r>
        <w:rPr>
          <w:rFonts w:ascii="Times New Roman" w:hAnsi="Times New Roman"/>
          <w:b/>
          <w:sz w:val="26"/>
          <w:szCs w:val="26"/>
          <w:lang w:eastAsia="en-US"/>
        </w:rPr>
        <w:t>8,9</w:t>
      </w:r>
      <w:r>
        <w:rPr>
          <w:rFonts w:ascii="Times New Roman" w:hAnsi="Times New Roman"/>
          <w:sz w:val="26"/>
          <w:szCs w:val="26"/>
          <w:lang w:eastAsia="en-US"/>
        </w:rPr>
        <w:t xml:space="preserve"> млн человек.</w:t>
      </w:r>
    </w:p>
    <w:p w14:paraId="1A47586C" w14:textId="77777777" w:rsidR="002449C2" w:rsidRDefault="00123961">
      <w:pPr>
        <w:shd w:val="clear" w:color="auto" w:fill="FFFFFF"/>
        <w:tabs>
          <w:tab w:val="left" w:pos="142"/>
        </w:tabs>
        <w:spacing w:after="0" w:line="240" w:lineRule="auto"/>
        <w:rPr>
          <w:rFonts w:ascii="Times New Roman" w:hAnsi="Times New Roman"/>
          <w:b/>
          <w:sz w:val="28"/>
          <w:szCs w:val="28"/>
          <w:lang w:eastAsia="en-US"/>
        </w:rPr>
      </w:pPr>
      <w:r>
        <w:rPr>
          <w:noProof/>
          <w:lang w:eastAsia="ru-RU"/>
        </w:rPr>
        <w:drawing>
          <wp:inline distT="0" distB="0" distL="0" distR="0" wp14:anchorId="62378206" wp14:editId="06840171">
            <wp:extent cx="4518660" cy="3671570"/>
            <wp:effectExtent l="0" t="0" r="0" b="0"/>
            <wp:docPr id="93" name="_x005F_x0000_i4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_x005F_x0000_i4470"/>
                    <pic:cNvPicPr>
                      <a:picLocks noChangeAspect="1" noChangeArrowheads="1"/>
                    </pic:cNvPicPr>
                  </pic:nvPicPr>
                  <pic:blipFill>
                    <a:blip r:embed="rId125"/>
                    <a:stretch>
                      <a:fillRect/>
                    </a:stretch>
                  </pic:blipFill>
                  <pic:spPr bwMode="auto">
                    <a:xfrm>
                      <a:off x="0" y="0"/>
                      <a:ext cx="4518660" cy="3671570"/>
                    </a:xfrm>
                    <a:prstGeom prst="rect">
                      <a:avLst/>
                    </a:prstGeom>
                    <a:noFill/>
                  </pic:spPr>
                </pic:pic>
              </a:graphicData>
            </a:graphic>
          </wp:inline>
        </w:drawing>
      </w:r>
    </w:p>
    <w:p w14:paraId="3E17E739" w14:textId="77777777" w:rsidR="002449C2" w:rsidRDefault="002449C2">
      <w:pPr>
        <w:shd w:val="clear" w:color="auto" w:fill="FFFFFF"/>
        <w:tabs>
          <w:tab w:val="left" w:pos="142"/>
        </w:tabs>
        <w:spacing w:after="0" w:line="240" w:lineRule="auto"/>
        <w:jc w:val="both"/>
        <w:rPr>
          <w:rFonts w:ascii="Times New Roman" w:hAnsi="Times New Roman"/>
          <w:b/>
          <w:sz w:val="28"/>
          <w:szCs w:val="28"/>
          <w:lang w:eastAsia="en-US"/>
        </w:rPr>
      </w:pPr>
    </w:p>
    <w:p w14:paraId="360E5431" w14:textId="14E391C7" w:rsidR="00DC6B8C" w:rsidRDefault="00DC6B8C">
      <w:pPr>
        <w:spacing w:after="0" w:line="240" w:lineRule="auto"/>
        <w:rPr>
          <w:rFonts w:ascii="Times New Roman" w:hAnsi="Times New Roman"/>
          <w:b/>
          <w:sz w:val="28"/>
          <w:szCs w:val="28"/>
          <w:lang w:eastAsia="en-US"/>
        </w:rPr>
      </w:pPr>
      <w:r>
        <w:rPr>
          <w:rFonts w:ascii="Times New Roman" w:hAnsi="Times New Roman"/>
          <w:b/>
          <w:sz w:val="28"/>
          <w:szCs w:val="28"/>
          <w:lang w:eastAsia="en-US"/>
        </w:rPr>
        <w:br w:type="page"/>
      </w:r>
    </w:p>
    <w:p w14:paraId="795C2F9E" w14:textId="77777777" w:rsidR="002449C2" w:rsidRDefault="002449C2">
      <w:pPr>
        <w:shd w:val="clear" w:color="auto" w:fill="FFFFFF"/>
        <w:tabs>
          <w:tab w:val="left" w:pos="142"/>
        </w:tabs>
        <w:spacing w:after="0" w:line="240" w:lineRule="auto"/>
        <w:jc w:val="both"/>
        <w:rPr>
          <w:rFonts w:ascii="Times New Roman" w:hAnsi="Times New Roman"/>
          <w:b/>
          <w:sz w:val="28"/>
          <w:szCs w:val="28"/>
          <w:lang w:eastAsia="en-US"/>
        </w:rPr>
      </w:pPr>
    </w:p>
    <w:p w14:paraId="5EC0B783" w14:textId="77777777" w:rsidR="002449C2" w:rsidRDefault="00123961">
      <w:pPr>
        <w:widowControl w:val="0"/>
        <w:shd w:val="clear" w:color="auto" w:fill="FFFFFF"/>
        <w:spacing w:before="120" w:after="120" w:line="240" w:lineRule="auto"/>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 xml:space="preserve">Тональность сообщений </w:t>
      </w:r>
    </w:p>
    <w:p w14:paraId="224D0305" w14:textId="77777777" w:rsidR="002449C2" w:rsidRDefault="00123961">
      <w:pPr>
        <w:shd w:val="clear" w:color="auto" w:fill="FFFFFF"/>
        <w:tabs>
          <w:tab w:val="left" w:pos="142"/>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xml:space="preserve">Доля позитивных сообщений в СМИ составила 12 %, что в разы выше негативных. </w:t>
      </w:r>
    </w:p>
    <w:p w14:paraId="7F7995E7" w14:textId="77777777" w:rsidR="002449C2" w:rsidRDefault="00123961">
      <w:pPr>
        <w:shd w:val="clear" w:color="auto" w:fill="FFFFFF"/>
        <w:tabs>
          <w:tab w:val="left" w:pos="142"/>
        </w:tabs>
        <w:spacing w:after="0" w:line="240" w:lineRule="auto"/>
        <w:ind w:firstLine="567"/>
        <w:rPr>
          <w:rFonts w:ascii="Cambria" w:hAnsi="Cambria"/>
          <w:sz w:val="26"/>
          <w:szCs w:val="26"/>
          <w:lang w:eastAsia="en-US"/>
        </w:rPr>
      </w:pPr>
      <w:r>
        <w:rPr>
          <w:noProof/>
          <w:lang w:eastAsia="ru-RU"/>
        </w:rPr>
        <w:drawing>
          <wp:inline distT="0" distB="0" distL="0" distR="0" wp14:anchorId="1137F6B0" wp14:editId="2AFF7EFA">
            <wp:extent cx="3940810" cy="3371850"/>
            <wp:effectExtent l="0" t="0" r="0" b="0"/>
            <wp:docPr id="94" name="_x005F_x0000_i4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_x005F_x0000_i4471"/>
                    <pic:cNvPicPr>
                      <a:picLocks noChangeAspect="1" noChangeArrowheads="1"/>
                    </pic:cNvPicPr>
                  </pic:nvPicPr>
                  <pic:blipFill>
                    <a:blip r:embed="rId126"/>
                    <a:stretch>
                      <a:fillRect/>
                    </a:stretch>
                  </pic:blipFill>
                  <pic:spPr bwMode="auto">
                    <a:xfrm>
                      <a:off x="0" y="0"/>
                      <a:ext cx="3940810" cy="3371850"/>
                    </a:xfrm>
                    <a:prstGeom prst="rect">
                      <a:avLst/>
                    </a:prstGeom>
                    <a:noFill/>
                  </pic:spPr>
                </pic:pic>
              </a:graphicData>
            </a:graphic>
          </wp:inline>
        </w:drawing>
      </w:r>
    </w:p>
    <w:p w14:paraId="7678BCDF" w14:textId="77777777" w:rsidR="002449C2" w:rsidRDefault="002449C2">
      <w:pPr>
        <w:shd w:val="clear" w:color="auto" w:fill="FFFFFF"/>
        <w:tabs>
          <w:tab w:val="left" w:pos="142"/>
        </w:tabs>
        <w:spacing w:after="0" w:line="240" w:lineRule="auto"/>
        <w:ind w:firstLine="567"/>
        <w:jc w:val="both"/>
        <w:rPr>
          <w:lang w:eastAsia="en-US"/>
        </w:rPr>
      </w:pPr>
    </w:p>
    <w:p w14:paraId="10F29DE4" w14:textId="77777777" w:rsidR="002449C2" w:rsidRDefault="00123961">
      <w:pPr>
        <w:shd w:val="clear" w:color="auto" w:fill="FFFFFF"/>
        <w:tabs>
          <w:tab w:val="left" w:pos="142"/>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На формирование негатива повлияли такие темы, как плановые перерывы электроснабжения и технологические нарушения, сообщения о хищении электроэнергии, новости о судебных взысканиях, индексируемые системой как негативные даже если эта информация инициируется самим Обществом.</w:t>
      </w:r>
    </w:p>
    <w:p w14:paraId="469FF670" w14:textId="77777777" w:rsidR="002449C2" w:rsidRDefault="00123961">
      <w:pPr>
        <w:widowControl w:val="0"/>
        <w:shd w:val="clear" w:color="auto" w:fill="FFFFFF"/>
        <w:spacing w:before="120" w:after="120" w:line="240" w:lineRule="auto"/>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Конгрессно-выставочная деятельность</w:t>
      </w:r>
    </w:p>
    <w:p w14:paraId="01BE12E3" w14:textId="77777777" w:rsidR="002449C2" w:rsidRDefault="00123961">
      <w:pPr>
        <w:shd w:val="clear" w:color="auto" w:fill="FFFFFF"/>
        <w:tabs>
          <w:tab w:val="left" w:pos="142"/>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xml:space="preserve">За отчетный период сотрудники компании приняли участие в 19 конгрессно-выставочных мероприятиях федерального и регионального уровней. Генеральный директор и менеджмент компании участвовали в ключевых отраслевых форумах и конференциях: </w:t>
      </w:r>
    </w:p>
    <w:p w14:paraId="73E74D07" w14:textId="77777777" w:rsidR="002449C2" w:rsidRDefault="00123961">
      <w:pPr>
        <w:shd w:val="clear" w:color="auto" w:fill="FFFFFF"/>
        <w:tabs>
          <w:tab w:val="left" w:pos="142"/>
        </w:tabs>
        <w:spacing w:after="0" w:line="240" w:lineRule="auto"/>
        <w:ind w:firstLine="567"/>
        <w:jc w:val="both"/>
        <w:rPr>
          <w:rFonts w:ascii="Times New Roman" w:hAnsi="Times New Roman"/>
          <w:color w:val="000000"/>
          <w:sz w:val="26"/>
          <w:szCs w:val="26"/>
          <w:lang w:eastAsia="en-US"/>
        </w:rPr>
      </w:pPr>
      <w:r>
        <w:rPr>
          <w:rFonts w:ascii="Times New Roman" w:hAnsi="Times New Roman"/>
          <w:color w:val="000000"/>
          <w:sz w:val="26"/>
          <w:szCs w:val="26"/>
          <w:lang w:eastAsia="en-US"/>
        </w:rPr>
        <w:t>– Международная выставка-форум «Россия» (январь 2024 года, г. Москва);</w:t>
      </w:r>
    </w:p>
    <w:p w14:paraId="0B82F917" w14:textId="77777777" w:rsidR="002449C2" w:rsidRDefault="00123961">
      <w:pPr>
        <w:shd w:val="clear" w:color="auto" w:fill="FFFFFF"/>
        <w:tabs>
          <w:tab w:val="left" w:pos="142"/>
        </w:tabs>
        <w:spacing w:after="0" w:line="240" w:lineRule="auto"/>
        <w:ind w:firstLine="567"/>
        <w:jc w:val="both"/>
        <w:rPr>
          <w:rFonts w:ascii="Times New Roman" w:hAnsi="Times New Roman"/>
          <w:sz w:val="26"/>
          <w:szCs w:val="26"/>
          <w:lang w:eastAsia="en-US"/>
        </w:rPr>
      </w:pPr>
      <w:r>
        <w:rPr>
          <w:rFonts w:ascii="Times New Roman" w:hAnsi="Times New Roman"/>
          <w:color w:val="000000"/>
          <w:sz w:val="26"/>
          <w:szCs w:val="26"/>
          <w:lang w:eastAsia="en-US"/>
        </w:rPr>
        <w:t>– Всемирный Фестиваль молодёжи (март 2024 года, г. Сочи);</w:t>
      </w:r>
    </w:p>
    <w:p w14:paraId="3A9A8EFE" w14:textId="77777777" w:rsidR="002449C2" w:rsidRDefault="00123961">
      <w:pPr>
        <w:shd w:val="clear" w:color="auto" w:fill="FFFFFF"/>
        <w:tabs>
          <w:tab w:val="left" w:pos="142"/>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xml:space="preserve">– Петербургский международный экономический форум «ПМЭФ 2024» (июнь 2024 года, г. Санкт-Петербург); </w:t>
      </w:r>
    </w:p>
    <w:p w14:paraId="566C837C" w14:textId="77777777" w:rsidR="002449C2" w:rsidRDefault="00123961">
      <w:pPr>
        <w:shd w:val="clear" w:color="auto" w:fill="FFFFFF"/>
        <w:tabs>
          <w:tab w:val="left" w:pos="142"/>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Международный форум «Российская энергетическая неделя 2024»</w:t>
      </w:r>
      <w:r>
        <w:rPr>
          <w:sz w:val="26"/>
          <w:szCs w:val="26"/>
          <w:lang w:eastAsia="en-US"/>
        </w:rPr>
        <w:t xml:space="preserve"> </w:t>
      </w:r>
      <w:r>
        <w:rPr>
          <w:rFonts w:ascii="Times New Roman" w:hAnsi="Times New Roman"/>
          <w:sz w:val="26"/>
          <w:szCs w:val="26"/>
          <w:lang w:eastAsia="en-US"/>
        </w:rPr>
        <w:t>(сентябрь 2024 года, г. Москва);</w:t>
      </w:r>
    </w:p>
    <w:p w14:paraId="1BFD0464" w14:textId="77777777" w:rsidR="002449C2" w:rsidRDefault="00123961">
      <w:pPr>
        <w:shd w:val="clear" w:color="auto" w:fill="FFFFFF"/>
        <w:tabs>
          <w:tab w:val="left" w:pos="142"/>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Всероссийская неделя охраны труда 2024 (сентябрь 2024 года, г. Сочи).</w:t>
      </w:r>
    </w:p>
    <w:p w14:paraId="549E29B9" w14:textId="77777777" w:rsidR="002449C2" w:rsidRDefault="00123961">
      <w:pPr>
        <w:shd w:val="clear" w:color="auto" w:fill="FFFFFF"/>
        <w:tabs>
          <w:tab w:val="left" w:pos="142"/>
        </w:tabs>
        <w:spacing w:after="0" w:line="240" w:lineRule="auto"/>
        <w:ind w:right="-1" w:firstLine="709"/>
        <w:jc w:val="both"/>
        <w:rPr>
          <w:rFonts w:ascii="Times New Roman" w:hAnsi="Times New Roman"/>
          <w:sz w:val="26"/>
          <w:szCs w:val="26"/>
          <w:lang w:eastAsia="en-US"/>
        </w:rPr>
      </w:pPr>
      <w:r>
        <w:rPr>
          <w:rFonts w:ascii="Times New Roman" w:hAnsi="Times New Roman"/>
          <w:sz w:val="26"/>
          <w:szCs w:val="26"/>
          <w:lang w:eastAsia="en-US"/>
        </w:rPr>
        <w:t>В течении отчетного периода высшее руководство компании «Россети Юг» провело ряд встреч с главами регионов присутствия:</w:t>
      </w:r>
    </w:p>
    <w:p w14:paraId="52B37D4A" w14:textId="77777777" w:rsidR="002449C2" w:rsidRDefault="00123961">
      <w:pPr>
        <w:shd w:val="clear" w:color="auto" w:fill="FFFFFF"/>
        <w:tabs>
          <w:tab w:val="left" w:pos="142"/>
        </w:tabs>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02.02.2024 – в г. Новочеркасске Ростовской области губернатор В.Ю. Голубев провел совещание по обеспечению надежного и безопасного электроснабжения Ростовской области. В нём принял участие генеральный директор «Россети Юг» Б.Б. Эбзеев, рассказав о реализации мероприятий, направленных на повышение качества подачи электроэнергии потребителям филиала «Ростовэнерго», планах на 2024 год.</w:t>
      </w:r>
    </w:p>
    <w:p w14:paraId="4ADA6CFA" w14:textId="77777777" w:rsidR="002449C2" w:rsidRDefault="00123961">
      <w:pPr>
        <w:shd w:val="clear" w:color="auto" w:fill="FFFFFF"/>
        <w:tabs>
          <w:tab w:val="left" w:pos="142"/>
        </w:tabs>
        <w:spacing w:after="0" w:line="240" w:lineRule="auto"/>
        <w:ind w:right="-1" w:firstLine="709"/>
        <w:jc w:val="both"/>
        <w:rPr>
          <w:rFonts w:ascii="Times New Roman" w:hAnsi="Times New Roman"/>
          <w:sz w:val="26"/>
          <w:szCs w:val="26"/>
          <w:lang w:eastAsia="en-US"/>
        </w:rPr>
      </w:pPr>
      <w:r>
        <w:rPr>
          <w:rFonts w:ascii="Times New Roman" w:hAnsi="Times New Roman"/>
          <w:sz w:val="26"/>
          <w:szCs w:val="26"/>
          <w:lang w:eastAsia="en-US"/>
        </w:rPr>
        <w:t xml:space="preserve">24.04.2024 – губернатор Астраханской области И.Ю. Бабушкин и генеральный директор компании «Россети Юг» Б.Б. Эбзеев в рамках рабочей встречи в Москве обсудили ход реализации программы повышения надежности электроснабжения в регионе и проект «Чистое небо» в Астрахани. </w:t>
      </w:r>
    </w:p>
    <w:p w14:paraId="38939EA5" w14:textId="77777777" w:rsidR="002449C2" w:rsidRDefault="00123961">
      <w:pPr>
        <w:shd w:val="clear" w:color="auto" w:fill="FFFFFF"/>
        <w:tabs>
          <w:tab w:val="left" w:pos="142"/>
        </w:tabs>
        <w:spacing w:after="0" w:line="240" w:lineRule="auto"/>
        <w:ind w:right="-1" w:firstLine="709"/>
        <w:jc w:val="both"/>
        <w:rPr>
          <w:rFonts w:ascii="Times New Roman" w:hAnsi="Times New Roman"/>
          <w:sz w:val="26"/>
          <w:szCs w:val="26"/>
          <w:lang w:eastAsia="en-US"/>
        </w:rPr>
      </w:pPr>
      <w:r>
        <w:rPr>
          <w:rFonts w:ascii="Times New Roman" w:hAnsi="Times New Roman"/>
          <w:sz w:val="26"/>
          <w:szCs w:val="26"/>
          <w:lang w:eastAsia="en-US"/>
        </w:rPr>
        <w:t xml:space="preserve">02.11.2024 – рабочая поездка в ДНР Заместителя Министра энергетики Российской Федерации Е.П. Грабчака, Заместителя Генерального директора – главного инженера </w:t>
      </w:r>
      <w:r>
        <w:rPr>
          <w:rFonts w:ascii="Times New Roman" w:hAnsi="Times New Roman"/>
          <w:sz w:val="26"/>
          <w:szCs w:val="26"/>
          <w:lang w:eastAsia="en-US"/>
        </w:rPr>
        <w:br/>
        <w:t>ПАО «Россети» Е.В. Ляпунова и генерального директора компании «Россети Юг» Б.Б. Эбзеева для передачи партии гуманитарно-технической помощи бойцам мотострелковой дивизии.</w:t>
      </w:r>
    </w:p>
    <w:p w14:paraId="1239E208" w14:textId="77777777" w:rsidR="002449C2" w:rsidRDefault="00123961">
      <w:pPr>
        <w:shd w:val="clear" w:color="auto" w:fill="FFFFFF"/>
        <w:tabs>
          <w:tab w:val="left" w:pos="142"/>
        </w:tabs>
        <w:spacing w:after="0" w:line="240" w:lineRule="auto"/>
        <w:ind w:right="-1" w:firstLine="709"/>
        <w:jc w:val="both"/>
        <w:rPr>
          <w:rFonts w:ascii="Times New Roman" w:hAnsi="Times New Roman"/>
          <w:sz w:val="26"/>
          <w:szCs w:val="26"/>
          <w:lang w:eastAsia="en-US"/>
        </w:rPr>
      </w:pPr>
      <w:r>
        <w:rPr>
          <w:rFonts w:ascii="Times New Roman" w:hAnsi="Times New Roman"/>
          <w:sz w:val="26"/>
          <w:szCs w:val="26"/>
          <w:lang w:eastAsia="en-US"/>
        </w:rPr>
        <w:t>28.11.2024 – генеральный директор компании «Россети Юг» Б.Б. Эбзеев принял участие в расширенном заседании Правительства Ростовской области. Совещание состоялось под руководством временно исполняющего обязанности губернатора региона Ю.Б. Слюсаря с участием глав муниципальных образований. Б.Б. Эбзеев рассказал о выполнении инвестиционной программы и подготовке электросетевого комплекса филиала «Россети Юг» – «Ростовэнерго» к осеннее-зимнему периоду 2024-2025 годов.</w:t>
      </w:r>
    </w:p>
    <w:p w14:paraId="51A10853" w14:textId="77777777" w:rsidR="002449C2" w:rsidRDefault="002449C2">
      <w:pPr>
        <w:widowControl w:val="0"/>
        <w:shd w:val="clear" w:color="auto" w:fill="FFFFFF"/>
        <w:spacing w:before="120" w:after="120" w:line="240" w:lineRule="auto"/>
        <w:jc w:val="center"/>
        <w:rPr>
          <w:rFonts w:ascii="Times New Roman" w:eastAsia="Times New Roman" w:hAnsi="Times New Roman"/>
          <w:b/>
          <w:bCs/>
          <w:sz w:val="26"/>
          <w:szCs w:val="26"/>
          <w:lang w:eastAsia="ru-RU"/>
        </w:rPr>
      </w:pPr>
    </w:p>
    <w:p w14:paraId="29C93391" w14:textId="77777777" w:rsidR="002449C2" w:rsidRDefault="00123961">
      <w:pPr>
        <w:widowControl w:val="0"/>
        <w:shd w:val="clear" w:color="auto" w:fill="FFFFFF"/>
        <w:spacing w:before="120" w:after="120" w:line="240" w:lineRule="auto"/>
        <w:jc w:val="center"/>
        <w:rPr>
          <w:rFonts w:ascii="Times New Roman" w:eastAsia="Times New Roman" w:hAnsi="Times New Roman"/>
          <w:b/>
          <w:bCs/>
          <w:sz w:val="26"/>
          <w:szCs w:val="26"/>
          <w:lang w:eastAsia="ru-RU"/>
        </w:rPr>
      </w:pPr>
      <w:r>
        <w:rPr>
          <w:rFonts w:ascii="Times New Roman" w:eastAsia="Times New Roman" w:hAnsi="Times New Roman"/>
          <w:b/>
          <w:sz w:val="26"/>
          <w:szCs w:val="26"/>
          <w:lang w:eastAsia="ru-RU"/>
        </w:rPr>
        <w:t xml:space="preserve">Основные формы и каналы раскрытия информации </w:t>
      </w:r>
    </w:p>
    <w:p w14:paraId="26CC0C3B" w14:textId="77777777" w:rsidR="002449C2" w:rsidRDefault="00123961">
      <w:pPr>
        <w:shd w:val="clear" w:color="auto" w:fill="FFFFFF"/>
        <w:tabs>
          <w:tab w:val="left" w:pos="142"/>
        </w:tabs>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 xml:space="preserve">Корпоративный сайт является отражением деятельности компании. Основной задачей сайта является предоставление потребителям расширенной и хорошо структурированной информации о компании. Наиболее актуальными разделами являются: «Пресс-центр», «Персонал», «Потребителям», «О компании», «Акционеру инвестору», «Раскрытие информации». </w:t>
      </w:r>
    </w:p>
    <w:p w14:paraId="7CFE0301" w14:textId="77777777" w:rsidR="002449C2" w:rsidRDefault="00123961">
      <w:pPr>
        <w:shd w:val="clear" w:color="auto" w:fill="FFFFFF"/>
        <w:tabs>
          <w:tab w:val="left" w:pos="142"/>
        </w:tabs>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 xml:space="preserve">Корпоративный сайт находится в постоянном развитии. Регулярно повышается эффективность работы по раскрытию информации Обществом на корпоративном сайте. За отчетный период добавились новые подразделы в пресс-центр: «Трудовой сезон – 2024», «Спартакиада энергетиков», «День защитника Отечества», «Женское лицо энергетики». </w:t>
      </w:r>
    </w:p>
    <w:p w14:paraId="37C639D2" w14:textId="77777777" w:rsidR="002449C2" w:rsidRDefault="00123961">
      <w:pPr>
        <w:shd w:val="clear" w:color="auto" w:fill="FFFFFF"/>
        <w:tabs>
          <w:tab w:val="left" w:pos="142"/>
        </w:tabs>
        <w:spacing w:after="0" w:line="240" w:lineRule="auto"/>
        <w:ind w:firstLine="709"/>
        <w:jc w:val="both"/>
        <w:rPr>
          <w:rFonts w:ascii="Times New Roman" w:hAnsi="Times New Roman"/>
          <w:sz w:val="26"/>
          <w:szCs w:val="26"/>
          <w:lang w:eastAsia="en-US"/>
        </w:rPr>
      </w:pPr>
      <w:r>
        <w:rPr>
          <w:rFonts w:ascii="Times New Roman" w:hAnsi="Times New Roman"/>
          <w:sz w:val="26"/>
          <w:szCs w:val="26"/>
          <w:lang w:eastAsia="en-US"/>
        </w:rPr>
        <w:t xml:space="preserve">Сведения о деятельности, предусмотренные действующим ФЗ «Об акционерных обществах», Стандартами раскрытия информации субъектами оптового и розничных рынков электрической энергии (утв. постановлением Правительства Российской Федерации от 21.01.2004 № 24) и другими нормативными актами размещаются на официальной странице ПАО «Россети Юг» в интернете, а также в Центре раскрытия корпоративной информации «Интерфакс». </w:t>
      </w:r>
    </w:p>
    <w:p w14:paraId="4AA4FBE3" w14:textId="77777777" w:rsidR="002449C2" w:rsidRDefault="00123961">
      <w:pPr>
        <w:shd w:val="clear" w:color="auto" w:fill="FFFFFF"/>
        <w:tabs>
          <w:tab w:val="left" w:pos="142"/>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Сведения о текущей и перспективной деятельности компании с целью широкого информирования общественности публикуются на официальном сайте и распространяются через средства массовой информации и иные медиаресурсы. Формы передачи различаются – от рассылки новостных пресс-релизов до размещения объявлений (например, о проведении плановых работ и отключении электроснабжения). Таким же образом информируются органы государственной власти.</w:t>
      </w:r>
    </w:p>
    <w:p w14:paraId="214F364B" w14:textId="5283AE20" w:rsidR="002449C2" w:rsidRDefault="00123961">
      <w:pPr>
        <w:shd w:val="clear" w:color="auto" w:fill="FFFFFF"/>
        <w:tabs>
          <w:tab w:val="left" w:pos="142"/>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xml:space="preserve">Еще одним каналом связи с общественностью являются социальные сети. Для привлечения внимания пользователей здесь информация размещается с визуальным контентом. Основными коммуникационными площадками для взаимодействия с потребителями являются официальные страницы компании в Телеграм-канале, Вконтакте, Одноклассниках. </w:t>
      </w:r>
      <w:r>
        <w:br w:type="page"/>
      </w:r>
    </w:p>
    <w:p w14:paraId="76E29696" w14:textId="77777777" w:rsidR="002449C2" w:rsidRDefault="00123961">
      <w:pPr>
        <w:keepNext/>
        <w:keepLines/>
        <w:shd w:val="clear" w:color="auto" w:fill="FFFFFF"/>
        <w:spacing w:after="120" w:line="240" w:lineRule="auto"/>
        <w:ind w:left="360"/>
        <w:outlineLvl w:val="0"/>
        <w:rPr>
          <w:rFonts w:ascii="Times New Roman" w:eastAsia="Times New Roman" w:hAnsi="Times New Roman"/>
          <w:bCs/>
          <w:color w:val="0066CC"/>
          <w:sz w:val="36"/>
          <w:szCs w:val="28"/>
          <w:lang w:eastAsia="ru-RU"/>
        </w:rPr>
      </w:pPr>
      <w:bookmarkStart w:id="145" w:name="_Toc33542785"/>
      <w:bookmarkStart w:id="146" w:name="_Toc195174958"/>
      <w:bookmarkStart w:id="147" w:name="_Toc196143051"/>
      <w:r>
        <w:rPr>
          <w:rFonts w:ascii="Times New Roman" w:eastAsia="Times New Roman" w:hAnsi="Times New Roman"/>
          <w:bCs/>
          <w:color w:val="0066CC"/>
          <w:sz w:val="36"/>
          <w:szCs w:val="28"/>
          <w:lang w:eastAsia="ru-RU"/>
        </w:rPr>
        <w:t>ОТЧЕТ О КОРПОРАТИВНОМ УПРАВЛЕНИИ</w:t>
      </w:r>
      <w:bookmarkEnd w:id="145"/>
      <w:bookmarkEnd w:id="146"/>
      <w:bookmarkEnd w:id="147"/>
    </w:p>
    <w:p w14:paraId="6DB7F34C" w14:textId="77777777" w:rsidR="002449C2" w:rsidRDefault="00123961">
      <w:pPr>
        <w:widowControl w:val="0"/>
        <w:shd w:val="clear" w:color="auto" w:fill="FFFFFF"/>
        <w:spacing w:before="120" w:after="120" w:line="240" w:lineRule="auto"/>
        <w:ind w:firstLine="567"/>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Контролирующий акционер ПАО «Россети Юг»</w:t>
      </w:r>
    </w:p>
    <w:p w14:paraId="44FD9FB9" w14:textId="77777777" w:rsidR="002449C2" w:rsidRDefault="00123961">
      <w:pPr>
        <w:shd w:val="clear" w:color="auto" w:fill="FFFFFF"/>
        <w:spacing w:after="18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6"/>
          <w:szCs w:val="26"/>
          <w:lang w:eastAsia="ru-RU"/>
        </w:rPr>
        <w:t>Наш контролирующий акционер -</w:t>
      </w:r>
      <w:r>
        <w:rPr>
          <w:rFonts w:ascii="Times New Roman" w:eastAsia="Times New Roman" w:hAnsi="Times New Roman"/>
          <w:b/>
          <w:sz w:val="26"/>
          <w:szCs w:val="26"/>
          <w:lang w:eastAsia="ru-RU"/>
        </w:rPr>
        <w:t xml:space="preserve"> </w:t>
      </w:r>
      <w:r>
        <w:rPr>
          <w:rFonts w:ascii="Times New Roman" w:eastAsia="Times New Roman" w:hAnsi="Times New Roman"/>
          <w:sz w:val="26"/>
          <w:szCs w:val="26"/>
          <w:lang w:eastAsia="ru-RU"/>
        </w:rPr>
        <w:t>Публичное акционерное общество «Федеральная сетевая компания – Россети» (ПАО «Россети»), с долей государства 76,9936 % от размещенных акций</w:t>
      </w:r>
      <w:r>
        <w:rPr>
          <w:rFonts w:ascii="Times New Roman" w:eastAsia="Times New Roman" w:hAnsi="Times New Roman"/>
          <w:sz w:val="24"/>
          <w:szCs w:val="24"/>
          <w:lang w:eastAsia="ru-RU"/>
        </w:rPr>
        <w:t>.</w:t>
      </w:r>
    </w:p>
    <w:p w14:paraId="50E55273" w14:textId="77777777" w:rsidR="002449C2" w:rsidRDefault="00123961">
      <w:pPr>
        <w:shd w:val="clear" w:color="auto" w:fill="FFFFFF"/>
        <w:spacing w:after="18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его меморандуме указаны цель владения, ключевые задачи в отношении активов, а также принципы корпоративного управления, которым ПАО «Россети» следует в рамках управления компаниями группы. </w:t>
      </w:r>
    </w:p>
    <w:p w14:paraId="0898E23E" w14:textId="77777777" w:rsidR="002449C2" w:rsidRDefault="00123961">
      <w:pPr>
        <w:shd w:val="clear" w:color="auto" w:fill="FFFFFF"/>
        <w:spacing w:after="18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Меморандум размещен на сайте ПАО «Россети Юг» по адресу: </w:t>
      </w:r>
      <w:hyperlink r:id="rId127">
        <w:r>
          <w:rPr>
            <w:rStyle w:val="ab"/>
            <w:rFonts w:ascii="Times New Roman" w:eastAsia="Times New Roman" w:hAnsi="Times New Roman"/>
            <w:sz w:val="26"/>
            <w:szCs w:val="26"/>
            <w:lang w:eastAsia="ru-RU"/>
          </w:rPr>
          <w:t>https://rosseti-yug.ru/aktsioneru-investoru/</w:t>
        </w:r>
      </w:hyperlink>
    </w:p>
    <w:p w14:paraId="6C2C1D8B"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148" w:name="_Toc505174428"/>
      <w:bookmarkStart w:id="149" w:name="_Toc536544545"/>
      <w:bookmarkStart w:id="150" w:name="_Toc33542786"/>
      <w:bookmarkStart w:id="151" w:name="_Toc505186239"/>
      <w:bookmarkStart w:id="152" w:name="_Toc195174959"/>
      <w:bookmarkStart w:id="153" w:name="_Toc196143052"/>
      <w:r>
        <w:rPr>
          <w:rFonts w:ascii="Times New Roman" w:eastAsia="Times New Roman" w:hAnsi="Times New Roman"/>
          <w:caps/>
          <w:color w:val="632423"/>
          <w:spacing w:val="15"/>
          <w:sz w:val="24"/>
          <w:szCs w:val="24"/>
          <w:lang w:eastAsia="en-US" w:bidi="en-US"/>
        </w:rPr>
        <w:t>Основы корпоративного управлени</w:t>
      </w:r>
      <w:bookmarkEnd w:id="148"/>
      <w:bookmarkEnd w:id="149"/>
      <w:bookmarkEnd w:id="150"/>
      <w:bookmarkEnd w:id="151"/>
      <w:r>
        <w:rPr>
          <w:rFonts w:ascii="Times New Roman" w:eastAsia="Times New Roman" w:hAnsi="Times New Roman"/>
          <w:caps/>
          <w:color w:val="632423"/>
          <w:spacing w:val="15"/>
          <w:sz w:val="24"/>
          <w:szCs w:val="24"/>
          <w:lang w:eastAsia="en-US" w:bidi="en-US"/>
        </w:rPr>
        <w:t>Я</w:t>
      </w:r>
      <w:bookmarkEnd w:id="152"/>
      <w:bookmarkEnd w:id="153"/>
    </w:p>
    <w:p w14:paraId="73764019" w14:textId="77777777" w:rsidR="002449C2" w:rsidRDefault="00123961">
      <w:pPr>
        <w:widowControl w:val="0"/>
        <w:shd w:val="clear" w:color="auto" w:fill="FFFFFF"/>
        <w:spacing w:before="120" w:after="120" w:line="240" w:lineRule="auto"/>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Система корпоративного управления</w:t>
      </w:r>
    </w:p>
    <w:p w14:paraId="1A8600C9"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bCs/>
          <w:sz w:val="26"/>
          <w:szCs w:val="26"/>
          <w:lang w:eastAsia="en-US"/>
        </w:rPr>
      </w:pPr>
      <w:r>
        <w:rPr>
          <w:rFonts w:ascii="Times New Roman" w:eastAsia="Times New Roman" w:hAnsi="Times New Roman"/>
          <w:bCs/>
          <w:sz w:val="26"/>
          <w:szCs w:val="26"/>
          <w:lang w:eastAsia="en-US"/>
        </w:rPr>
        <w:t>Корпоративное управление представляет собой систему взаимоотношений между исполнительными органами Общества, его Советом директоров, акционерами и другими заинтересованными сторонами.</w:t>
      </w:r>
    </w:p>
    <w:p w14:paraId="21D8E2AF"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bCs/>
          <w:sz w:val="26"/>
          <w:szCs w:val="26"/>
          <w:lang w:eastAsia="en-US"/>
        </w:rPr>
      </w:pPr>
      <w:r>
        <w:rPr>
          <w:rFonts w:ascii="Times New Roman" w:eastAsia="Times New Roman" w:hAnsi="Times New Roman"/>
          <w:bCs/>
          <w:sz w:val="26"/>
          <w:szCs w:val="26"/>
          <w:lang w:eastAsia="en-US"/>
        </w:rPr>
        <w:t xml:space="preserve">Корпоративное управление в Обществе осуществляется в соответствии с законодательством Российской Федерации, Уставом Общества, внутренними документами, регулирующими деятельность органов управления и контроля Общества, Положением об информационной политике Общества, Положением об инсайдерской информации, а также иными внутренними документами Общества. </w:t>
      </w:r>
    </w:p>
    <w:p w14:paraId="187D07E0"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bCs/>
          <w:sz w:val="26"/>
          <w:szCs w:val="26"/>
          <w:lang w:eastAsia="en-US"/>
        </w:rPr>
      </w:pPr>
      <w:r>
        <w:rPr>
          <w:rFonts w:ascii="Times New Roman" w:eastAsia="Times New Roman" w:hAnsi="Times New Roman"/>
          <w:bCs/>
          <w:sz w:val="26"/>
          <w:szCs w:val="26"/>
          <w:lang w:eastAsia="en-US"/>
        </w:rPr>
        <w:t xml:space="preserve">Внутренние документы, регламентирующие корпоративное управление Общества, опубликованы на сайте Общества: </w:t>
      </w:r>
      <w:hyperlink r:id="rId128">
        <w:r>
          <w:rPr>
            <w:rStyle w:val="ab"/>
            <w:rFonts w:ascii="Times New Roman" w:eastAsia="Times New Roman" w:hAnsi="Times New Roman"/>
            <w:bCs/>
            <w:sz w:val="26"/>
            <w:szCs w:val="26"/>
            <w:lang w:eastAsia="en-US"/>
          </w:rPr>
          <w:t>https://rosseti-yug.ru/korporativnoe-upravlenie/vnutrennie-polozheniya/</w:t>
        </w:r>
      </w:hyperlink>
    </w:p>
    <w:p w14:paraId="0FA3EDFA" w14:textId="77777777" w:rsidR="002449C2" w:rsidRDefault="002449C2">
      <w:pPr>
        <w:widowControl w:val="0"/>
        <w:shd w:val="clear" w:color="auto" w:fill="FFFFFF"/>
        <w:spacing w:after="0" w:line="240" w:lineRule="auto"/>
        <w:ind w:firstLine="567"/>
        <w:jc w:val="both"/>
        <w:rPr>
          <w:rFonts w:ascii="Cambria" w:eastAsia="Times New Roman" w:hAnsi="Cambria"/>
          <w:b/>
          <w:sz w:val="26"/>
          <w:szCs w:val="26"/>
          <w:lang w:eastAsia="ru-RU"/>
        </w:rPr>
      </w:pPr>
    </w:p>
    <w:p w14:paraId="1EED3BE1" w14:textId="77777777" w:rsidR="002449C2" w:rsidRDefault="00123961">
      <w:pPr>
        <w:widowControl w:val="0"/>
        <w:shd w:val="clear" w:color="auto" w:fill="FFFFFF"/>
        <w:spacing w:after="0" w:line="240" w:lineRule="auto"/>
        <w:ind w:firstLine="567"/>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Принципы корпоративного управления</w:t>
      </w:r>
    </w:p>
    <w:p w14:paraId="0E1EF916" w14:textId="77777777" w:rsidR="002449C2" w:rsidRDefault="00123961">
      <w:pPr>
        <w:widowControl w:val="0"/>
        <w:numPr>
          <w:ilvl w:val="0"/>
          <w:numId w:val="20"/>
        </w:numPr>
        <w:shd w:val="clear" w:color="auto" w:fill="FFFFFF"/>
        <w:tabs>
          <w:tab w:val="left" w:pos="142"/>
          <w:tab w:val="left" w:pos="851"/>
        </w:tabs>
        <w:spacing w:after="0" w:line="240" w:lineRule="auto"/>
        <w:ind w:hanging="11"/>
        <w:contextualSpacing/>
        <w:jc w:val="both"/>
        <w:rPr>
          <w:rFonts w:ascii="Times New Roman" w:eastAsia="Times New Roman" w:hAnsi="Times New Roman"/>
          <w:bCs/>
          <w:sz w:val="26"/>
          <w:szCs w:val="26"/>
          <w:lang w:eastAsia="en-US"/>
        </w:rPr>
      </w:pPr>
      <w:r>
        <w:rPr>
          <w:rFonts w:ascii="Times New Roman" w:eastAsia="Times New Roman" w:hAnsi="Times New Roman"/>
          <w:bCs/>
          <w:sz w:val="26"/>
          <w:szCs w:val="26"/>
          <w:lang w:eastAsia="en-US"/>
        </w:rPr>
        <w:t>равное и справедливое отношение ко всем акционерам:</w:t>
      </w:r>
    </w:p>
    <w:p w14:paraId="55468C5E" w14:textId="77777777" w:rsidR="002449C2" w:rsidRDefault="00123961">
      <w:pPr>
        <w:widowControl w:val="0"/>
        <w:shd w:val="clear" w:color="auto" w:fill="FFFFFF"/>
        <w:tabs>
          <w:tab w:val="left" w:pos="142"/>
          <w:tab w:val="left" w:pos="851"/>
        </w:tabs>
        <w:spacing w:after="0" w:line="240" w:lineRule="auto"/>
        <w:ind w:firstLine="567"/>
        <w:contextualSpacing/>
        <w:jc w:val="both"/>
        <w:rPr>
          <w:rFonts w:ascii="Times New Roman" w:eastAsia="Times New Roman" w:hAnsi="Times New Roman"/>
          <w:bCs/>
          <w:i/>
          <w:sz w:val="26"/>
          <w:szCs w:val="26"/>
          <w:lang w:eastAsia="en-US"/>
        </w:rPr>
      </w:pPr>
      <w:r>
        <w:rPr>
          <w:rFonts w:ascii="Times New Roman" w:eastAsia="Times New Roman" w:hAnsi="Times New Roman"/>
          <w:i/>
          <w:sz w:val="26"/>
          <w:szCs w:val="26"/>
          <w:lang w:eastAsia="en-US"/>
        </w:rPr>
        <w:t>Общество обязуется обеспечивать равное и справедливое отношение ко всем акционерам, защищать их права и предоставляет всем акционерам возможность получения эффективной защиты в случае нарушения их прав.</w:t>
      </w:r>
    </w:p>
    <w:p w14:paraId="0E83E804" w14:textId="77777777" w:rsidR="002449C2" w:rsidRDefault="00123961">
      <w:pPr>
        <w:widowControl w:val="0"/>
        <w:numPr>
          <w:ilvl w:val="0"/>
          <w:numId w:val="20"/>
        </w:numPr>
        <w:shd w:val="clear" w:color="auto" w:fill="FFFFFF"/>
        <w:tabs>
          <w:tab w:val="left" w:pos="142"/>
          <w:tab w:val="left" w:pos="851"/>
        </w:tabs>
        <w:spacing w:after="0" w:line="240" w:lineRule="auto"/>
        <w:ind w:left="0" w:firstLine="709"/>
        <w:contextualSpacing/>
        <w:jc w:val="both"/>
        <w:rPr>
          <w:rFonts w:ascii="Times New Roman" w:eastAsia="Times New Roman" w:hAnsi="Times New Roman"/>
          <w:bCs/>
          <w:sz w:val="26"/>
          <w:szCs w:val="26"/>
          <w:lang w:eastAsia="en-US"/>
        </w:rPr>
      </w:pPr>
      <w:r>
        <w:rPr>
          <w:rFonts w:ascii="Times New Roman" w:eastAsia="Times New Roman" w:hAnsi="Times New Roman"/>
          <w:bCs/>
          <w:sz w:val="26"/>
          <w:szCs w:val="26"/>
          <w:lang w:eastAsia="en-US"/>
        </w:rPr>
        <w:t>ответственность и подотчетность Совета директоров перед акционерами Общества:</w:t>
      </w:r>
    </w:p>
    <w:p w14:paraId="75688A36" w14:textId="77777777" w:rsidR="002449C2" w:rsidRDefault="00123961">
      <w:pPr>
        <w:widowControl w:val="0"/>
        <w:shd w:val="clear" w:color="auto" w:fill="FFFFFF"/>
        <w:tabs>
          <w:tab w:val="left" w:pos="142"/>
          <w:tab w:val="left" w:pos="851"/>
        </w:tabs>
        <w:spacing w:after="0" w:line="240" w:lineRule="auto"/>
        <w:ind w:firstLine="567"/>
        <w:contextualSpacing/>
        <w:jc w:val="both"/>
        <w:rPr>
          <w:rFonts w:ascii="Times New Roman" w:eastAsia="Times New Roman" w:hAnsi="Times New Roman"/>
          <w:bCs/>
          <w:i/>
          <w:sz w:val="26"/>
          <w:szCs w:val="26"/>
          <w:lang w:eastAsia="en-US"/>
        </w:rPr>
      </w:pPr>
      <w:r>
        <w:rPr>
          <w:rFonts w:ascii="Times New Roman" w:eastAsia="Times New Roman" w:hAnsi="Times New Roman"/>
          <w:bCs/>
          <w:i/>
          <w:sz w:val="26"/>
          <w:szCs w:val="26"/>
          <w:lang w:eastAsia="en-US"/>
        </w:rPr>
        <w:t xml:space="preserve">Согласно законодательству Российской Федерации, </w:t>
      </w:r>
      <w:r w:rsidR="00940572">
        <w:rPr>
          <w:rFonts w:ascii="Times New Roman" w:eastAsia="Times New Roman" w:hAnsi="Times New Roman"/>
          <w:bCs/>
          <w:i/>
          <w:sz w:val="26"/>
          <w:szCs w:val="26"/>
          <w:lang w:eastAsia="en-US"/>
        </w:rPr>
        <w:t>У</w:t>
      </w:r>
      <w:r>
        <w:rPr>
          <w:rFonts w:ascii="Times New Roman" w:eastAsia="Times New Roman" w:hAnsi="Times New Roman"/>
          <w:bCs/>
          <w:i/>
          <w:sz w:val="26"/>
          <w:szCs w:val="26"/>
          <w:lang w:eastAsia="en-US"/>
        </w:rPr>
        <w:t>Кодексу корпоративного управления Банка России Совет директоров Общества подотчетен Общему собранию акционеров Общества.</w:t>
      </w:r>
    </w:p>
    <w:p w14:paraId="468B32A0" w14:textId="77777777" w:rsidR="002449C2" w:rsidRDefault="00123961">
      <w:pPr>
        <w:widowControl w:val="0"/>
        <w:numPr>
          <w:ilvl w:val="0"/>
          <w:numId w:val="20"/>
        </w:numPr>
        <w:shd w:val="clear" w:color="auto" w:fill="FFFFFF"/>
        <w:tabs>
          <w:tab w:val="left" w:pos="142"/>
          <w:tab w:val="left" w:pos="851"/>
        </w:tabs>
        <w:spacing w:after="0" w:line="240" w:lineRule="auto"/>
        <w:ind w:hanging="11"/>
        <w:contextualSpacing/>
        <w:jc w:val="both"/>
        <w:rPr>
          <w:rFonts w:ascii="Times New Roman" w:eastAsia="Times New Roman" w:hAnsi="Times New Roman"/>
          <w:bCs/>
          <w:sz w:val="26"/>
          <w:szCs w:val="26"/>
          <w:lang w:eastAsia="en-US"/>
        </w:rPr>
      </w:pPr>
      <w:r>
        <w:rPr>
          <w:rFonts w:ascii="Times New Roman" w:eastAsia="Times New Roman" w:hAnsi="Times New Roman"/>
          <w:bCs/>
          <w:sz w:val="26"/>
          <w:szCs w:val="26"/>
          <w:lang w:eastAsia="en-US"/>
        </w:rPr>
        <w:t>прозрачность и открытость информации об Обществе:</w:t>
      </w:r>
    </w:p>
    <w:p w14:paraId="65220B73" w14:textId="77777777" w:rsidR="002449C2" w:rsidRDefault="00123961">
      <w:pPr>
        <w:widowControl w:val="0"/>
        <w:shd w:val="clear" w:color="auto" w:fill="FFFFFF"/>
        <w:tabs>
          <w:tab w:val="left" w:pos="142"/>
          <w:tab w:val="left" w:pos="851"/>
        </w:tabs>
        <w:spacing w:after="0" w:line="240" w:lineRule="auto"/>
        <w:ind w:firstLine="567"/>
        <w:contextualSpacing/>
        <w:jc w:val="both"/>
        <w:rPr>
          <w:rFonts w:ascii="Times New Roman" w:eastAsia="Times New Roman" w:hAnsi="Times New Roman"/>
          <w:bCs/>
          <w:i/>
          <w:sz w:val="26"/>
          <w:szCs w:val="26"/>
          <w:lang w:eastAsia="en-US"/>
        </w:rPr>
      </w:pPr>
      <w:r>
        <w:rPr>
          <w:rFonts w:ascii="Times New Roman" w:eastAsia="Times New Roman" w:hAnsi="Times New Roman"/>
          <w:bCs/>
          <w:i/>
          <w:sz w:val="26"/>
          <w:szCs w:val="26"/>
          <w:lang w:eastAsia="en-US"/>
        </w:rPr>
        <w:t>Общество обеспечивает своевременное раскрытие полной и достоверной информации обо всех существенных фактах, касающихся его деятельности, в том числе о его финансовом положении, результатах деятельности (в том числе социальной и экологической), структуре собственности и управления Обществом, а также свободный доступ к такой информации акционерам и иным заинтересованным лицам посредством реализации Информационной политики, утвержденной Советом директоров Общества.</w:t>
      </w:r>
    </w:p>
    <w:p w14:paraId="661E271F" w14:textId="77777777" w:rsidR="002449C2" w:rsidRDefault="00123961">
      <w:pPr>
        <w:widowControl w:val="0"/>
        <w:numPr>
          <w:ilvl w:val="0"/>
          <w:numId w:val="20"/>
        </w:numPr>
        <w:shd w:val="clear" w:color="auto" w:fill="FFFFFF"/>
        <w:tabs>
          <w:tab w:val="left" w:pos="142"/>
          <w:tab w:val="left" w:pos="851"/>
        </w:tabs>
        <w:spacing w:after="0" w:line="240" w:lineRule="auto"/>
        <w:ind w:left="0" w:firstLine="709"/>
        <w:contextualSpacing/>
        <w:jc w:val="both"/>
        <w:rPr>
          <w:rFonts w:ascii="Times New Roman" w:eastAsia="Times New Roman" w:hAnsi="Times New Roman"/>
          <w:bCs/>
          <w:sz w:val="26"/>
          <w:szCs w:val="26"/>
          <w:lang w:eastAsia="en-US"/>
        </w:rPr>
      </w:pPr>
      <w:r>
        <w:rPr>
          <w:rFonts w:ascii="Times New Roman" w:eastAsia="Times New Roman" w:hAnsi="Times New Roman"/>
          <w:bCs/>
          <w:sz w:val="26"/>
          <w:szCs w:val="26"/>
          <w:lang w:eastAsia="en-US"/>
        </w:rPr>
        <w:t>эффективная система управления рисками и внутреннего контроля:</w:t>
      </w:r>
    </w:p>
    <w:p w14:paraId="2DCFC321" w14:textId="77777777" w:rsidR="002449C2" w:rsidRDefault="00123961">
      <w:pPr>
        <w:widowControl w:val="0"/>
        <w:shd w:val="clear" w:color="auto" w:fill="FFFFFF"/>
        <w:tabs>
          <w:tab w:val="left" w:pos="142"/>
          <w:tab w:val="left" w:pos="851"/>
        </w:tabs>
        <w:spacing w:after="0" w:line="259" w:lineRule="auto"/>
        <w:ind w:firstLine="567"/>
        <w:contextualSpacing/>
        <w:jc w:val="both"/>
        <w:rPr>
          <w:rFonts w:ascii="Times New Roman" w:eastAsia="Times New Roman" w:hAnsi="Times New Roman"/>
          <w:bCs/>
          <w:i/>
          <w:sz w:val="26"/>
          <w:szCs w:val="26"/>
          <w:lang w:eastAsia="en-US"/>
        </w:rPr>
      </w:pPr>
      <w:r>
        <w:rPr>
          <w:rFonts w:ascii="Times New Roman" w:eastAsia="Times New Roman" w:hAnsi="Times New Roman"/>
          <w:bCs/>
          <w:i/>
          <w:sz w:val="26"/>
          <w:szCs w:val="26"/>
          <w:lang w:eastAsia="en-US"/>
        </w:rPr>
        <w:t>В Обществе действует система управления рисками, целью которой является обеспечение разумной уверенности в достижении поставленных перед Обществом целей, определенных стратегией развития электросетевого комплекса Российской Федерации, программными документами развития и Уставом Общества, а также обеспечение роста стоимости Общества, при соблюдении баланса интересов всех заинтересованных сторон. Общество регулярно выявляет, оценивает риски и осуществляет их мониторинг, реализует мероприятия по снижению вероятности и потенциальных последствий реализации рисков, а также информирует об этом акционеров и иных заинтересованных лиц.</w:t>
      </w:r>
    </w:p>
    <w:p w14:paraId="167D8DED" w14:textId="77777777" w:rsidR="002449C2" w:rsidRDefault="00123961">
      <w:pPr>
        <w:widowControl w:val="0"/>
        <w:tabs>
          <w:tab w:val="left" w:pos="0"/>
        </w:tabs>
        <w:spacing w:after="0" w:line="240" w:lineRule="auto"/>
        <w:ind w:firstLine="567"/>
        <w:jc w:val="both"/>
        <w:rPr>
          <w:rFonts w:ascii="Times New Roman" w:eastAsia="Times New Roman" w:hAnsi="Times New Roman"/>
          <w:i/>
          <w:color w:val="000000"/>
          <w:sz w:val="26"/>
          <w:szCs w:val="26"/>
          <w:lang w:eastAsia="ru-RU"/>
        </w:rPr>
      </w:pPr>
      <w:r>
        <w:rPr>
          <w:rFonts w:ascii="Times New Roman" w:eastAsia="Times New Roman" w:hAnsi="Times New Roman"/>
          <w:i/>
          <w:color w:val="000000"/>
          <w:sz w:val="26"/>
          <w:szCs w:val="26"/>
          <w:lang w:eastAsia="ru-RU"/>
        </w:rPr>
        <w:t xml:space="preserve">Общество действует добросовестно и придерживается этических ценностей. Совет директоров Общества независим от менеджмента и осуществляет контроль за развитием и функционированием системы внутреннего контроля. Общество устанавливает ответственность органов управления и работников за выполнение ими своих обязанностей в сфере внутреннего контроля в процессе достижения целей.  </w:t>
      </w:r>
    </w:p>
    <w:p w14:paraId="69BA74C4" w14:textId="77777777" w:rsidR="002449C2" w:rsidRDefault="00123961">
      <w:pPr>
        <w:widowControl w:val="0"/>
        <w:numPr>
          <w:ilvl w:val="0"/>
          <w:numId w:val="20"/>
        </w:numPr>
        <w:shd w:val="clear" w:color="auto" w:fill="FFFFFF"/>
        <w:tabs>
          <w:tab w:val="left" w:pos="142"/>
          <w:tab w:val="left" w:pos="851"/>
        </w:tabs>
        <w:spacing w:after="0" w:line="240" w:lineRule="auto"/>
        <w:ind w:left="0" w:firstLine="709"/>
        <w:contextualSpacing/>
        <w:jc w:val="both"/>
        <w:rPr>
          <w:rFonts w:ascii="Times New Roman" w:eastAsia="Times New Roman" w:hAnsi="Times New Roman"/>
          <w:bCs/>
          <w:sz w:val="26"/>
          <w:szCs w:val="26"/>
          <w:lang w:eastAsia="en-US"/>
        </w:rPr>
      </w:pPr>
      <w:r>
        <w:rPr>
          <w:rFonts w:ascii="Times New Roman" w:eastAsia="Times New Roman" w:hAnsi="Times New Roman"/>
          <w:bCs/>
          <w:sz w:val="26"/>
          <w:szCs w:val="26"/>
          <w:lang w:eastAsia="en-US"/>
        </w:rPr>
        <w:t>ответственность Компании перед акционерами, потребителями, сотрудниками, партнерами, обществом и государством:</w:t>
      </w:r>
    </w:p>
    <w:p w14:paraId="311E81D5" w14:textId="77777777" w:rsidR="002449C2" w:rsidRDefault="00123961">
      <w:pPr>
        <w:widowControl w:val="0"/>
        <w:shd w:val="clear" w:color="auto" w:fill="FFFFFF"/>
        <w:tabs>
          <w:tab w:val="left" w:pos="142"/>
          <w:tab w:val="left" w:pos="851"/>
        </w:tabs>
        <w:spacing w:after="0" w:line="240" w:lineRule="auto"/>
        <w:ind w:firstLine="567"/>
        <w:contextualSpacing/>
        <w:jc w:val="both"/>
        <w:rPr>
          <w:rFonts w:ascii="Times New Roman" w:eastAsia="Times New Roman" w:hAnsi="Times New Roman"/>
          <w:bCs/>
          <w:i/>
          <w:sz w:val="26"/>
          <w:szCs w:val="26"/>
          <w:lang w:eastAsia="en-US"/>
        </w:rPr>
      </w:pPr>
      <w:r>
        <w:rPr>
          <w:rFonts w:ascii="Times New Roman" w:eastAsia="Times New Roman" w:hAnsi="Times New Roman"/>
          <w:bCs/>
          <w:i/>
          <w:sz w:val="26"/>
          <w:szCs w:val="26"/>
          <w:lang w:eastAsia="en-US"/>
        </w:rPr>
        <w:t>Общество признает и обеспечивает предусмотренные законодательством Российской Федерации права акционеров и всех заинтересованных сторон.</w:t>
      </w:r>
    </w:p>
    <w:p w14:paraId="7A67A12A" w14:textId="77777777" w:rsidR="002449C2" w:rsidRDefault="00123961">
      <w:pPr>
        <w:widowControl w:val="0"/>
        <w:numPr>
          <w:ilvl w:val="0"/>
          <w:numId w:val="21"/>
        </w:numPr>
        <w:shd w:val="clear" w:color="auto" w:fill="FFFFFF"/>
        <w:tabs>
          <w:tab w:val="left" w:pos="142"/>
          <w:tab w:val="left" w:pos="851"/>
        </w:tabs>
        <w:spacing w:after="0" w:line="240" w:lineRule="auto"/>
        <w:ind w:left="0" w:firstLine="567"/>
        <w:contextualSpacing/>
        <w:jc w:val="both"/>
        <w:rPr>
          <w:rFonts w:ascii="Times New Roman" w:eastAsia="Times New Roman" w:hAnsi="Times New Roman"/>
          <w:bCs/>
          <w:sz w:val="26"/>
          <w:szCs w:val="26"/>
          <w:lang w:eastAsia="en-US"/>
        </w:rPr>
      </w:pPr>
      <w:r>
        <w:rPr>
          <w:rFonts w:ascii="Times New Roman" w:eastAsia="Times New Roman" w:hAnsi="Times New Roman"/>
          <w:bCs/>
          <w:sz w:val="26"/>
          <w:szCs w:val="26"/>
          <w:lang w:eastAsia="en-US"/>
        </w:rPr>
        <w:t>устойчивое развитие и реализация стратегических программ и проектов:</w:t>
      </w:r>
    </w:p>
    <w:p w14:paraId="749ED1D3" w14:textId="77777777" w:rsidR="002449C2" w:rsidRDefault="00123961">
      <w:pPr>
        <w:widowControl w:val="0"/>
        <w:spacing w:after="0" w:line="240" w:lineRule="auto"/>
        <w:ind w:firstLine="567"/>
        <w:jc w:val="both"/>
        <w:rPr>
          <w:rFonts w:ascii="Times New Roman" w:eastAsia="Times New Roman" w:hAnsi="Times New Roman"/>
          <w:i/>
          <w:color w:val="000000"/>
          <w:sz w:val="26"/>
          <w:szCs w:val="26"/>
        </w:rPr>
      </w:pPr>
      <w:r>
        <w:rPr>
          <w:rFonts w:ascii="Times New Roman" w:eastAsia="Times New Roman" w:hAnsi="Times New Roman"/>
          <w:i/>
          <w:color w:val="000000"/>
          <w:sz w:val="26"/>
          <w:szCs w:val="26"/>
        </w:rPr>
        <w:t>Достижение Обществом стратегических целей основывается на принципах устойчивого развития и направлено на соблюдение прав и интересов как акционеров Общества, так и других заинтересованных сторон.</w:t>
      </w:r>
    </w:p>
    <w:p w14:paraId="0BE47860" w14:textId="77777777" w:rsidR="002449C2" w:rsidRDefault="00123961">
      <w:pPr>
        <w:widowControl w:val="0"/>
        <w:spacing w:after="0" w:line="240" w:lineRule="auto"/>
        <w:ind w:firstLine="567"/>
        <w:jc w:val="both"/>
        <w:rPr>
          <w:rFonts w:ascii="Times New Roman" w:eastAsia="Times New Roman" w:hAnsi="Times New Roman"/>
          <w:i/>
          <w:color w:val="000000"/>
          <w:sz w:val="26"/>
          <w:szCs w:val="26"/>
        </w:rPr>
      </w:pPr>
      <w:r>
        <w:rPr>
          <w:rFonts w:ascii="Times New Roman" w:eastAsia="Times New Roman" w:hAnsi="Times New Roman"/>
          <w:i/>
          <w:color w:val="000000"/>
          <w:sz w:val="26"/>
          <w:szCs w:val="26"/>
        </w:rPr>
        <w:t xml:space="preserve">Ключевыми целями Общества в области устойчивого развития являются: </w:t>
      </w:r>
    </w:p>
    <w:p w14:paraId="56EAC3EE" w14:textId="77777777" w:rsidR="002449C2" w:rsidRDefault="00123961">
      <w:pPr>
        <w:widowControl w:val="0"/>
        <w:spacing w:after="0" w:line="240" w:lineRule="auto"/>
        <w:ind w:firstLine="567"/>
        <w:jc w:val="both"/>
        <w:rPr>
          <w:rFonts w:ascii="Times New Roman" w:eastAsia="Times New Roman" w:hAnsi="Times New Roman"/>
          <w:i/>
          <w:color w:val="000000"/>
          <w:sz w:val="26"/>
          <w:szCs w:val="26"/>
        </w:rPr>
      </w:pPr>
      <w:r>
        <w:rPr>
          <w:rFonts w:ascii="Times New Roman" w:eastAsia="Times New Roman" w:hAnsi="Times New Roman"/>
          <w:i/>
          <w:color w:val="000000"/>
          <w:sz w:val="26"/>
          <w:szCs w:val="26"/>
        </w:rPr>
        <w:t xml:space="preserve">-обеспечение надежного, качественного и доступного энергоснабжения для комфортной жизни людей и роста экономики страны; </w:t>
      </w:r>
    </w:p>
    <w:p w14:paraId="076B5F20" w14:textId="77777777" w:rsidR="002449C2" w:rsidRDefault="00123961">
      <w:pPr>
        <w:widowControl w:val="0"/>
        <w:spacing w:after="0" w:line="240" w:lineRule="auto"/>
        <w:ind w:firstLine="567"/>
        <w:jc w:val="both"/>
        <w:rPr>
          <w:rFonts w:ascii="Times New Roman" w:eastAsia="Times New Roman" w:hAnsi="Times New Roman"/>
          <w:i/>
          <w:color w:val="000000"/>
          <w:sz w:val="26"/>
          <w:szCs w:val="26"/>
        </w:rPr>
      </w:pPr>
      <w:r>
        <w:rPr>
          <w:rFonts w:ascii="Times New Roman" w:eastAsia="Times New Roman" w:hAnsi="Times New Roman"/>
          <w:i/>
          <w:color w:val="000000"/>
          <w:sz w:val="26"/>
          <w:szCs w:val="26"/>
        </w:rPr>
        <w:t xml:space="preserve">-технологическое и инновационное развитие; </w:t>
      </w:r>
    </w:p>
    <w:p w14:paraId="3D2D040D" w14:textId="77777777" w:rsidR="002449C2" w:rsidRDefault="00123961">
      <w:pPr>
        <w:widowControl w:val="0"/>
        <w:spacing w:after="0" w:line="240" w:lineRule="auto"/>
        <w:ind w:firstLine="567"/>
        <w:jc w:val="both"/>
        <w:rPr>
          <w:rFonts w:ascii="Times New Roman" w:eastAsia="Times New Roman" w:hAnsi="Times New Roman"/>
          <w:i/>
          <w:color w:val="000000"/>
          <w:sz w:val="26"/>
          <w:szCs w:val="26"/>
        </w:rPr>
      </w:pPr>
      <w:r>
        <w:rPr>
          <w:rFonts w:ascii="Times New Roman" w:eastAsia="Times New Roman" w:hAnsi="Times New Roman"/>
          <w:i/>
          <w:color w:val="000000"/>
          <w:sz w:val="26"/>
          <w:szCs w:val="26"/>
        </w:rPr>
        <w:t>-обеспечение и поддержание высокого уровня социальной стабильности и ответственности перед обществом и его гражданами,</w:t>
      </w:r>
    </w:p>
    <w:p w14:paraId="03012DC2" w14:textId="77777777" w:rsidR="002449C2" w:rsidRDefault="00123961">
      <w:pPr>
        <w:widowControl w:val="0"/>
        <w:spacing w:after="0" w:line="240" w:lineRule="auto"/>
        <w:ind w:firstLine="567"/>
        <w:jc w:val="both"/>
        <w:rPr>
          <w:rFonts w:ascii="Times New Roman" w:eastAsia="Times New Roman" w:hAnsi="Times New Roman"/>
          <w:i/>
          <w:color w:val="000000"/>
          <w:sz w:val="26"/>
          <w:szCs w:val="26"/>
        </w:rPr>
      </w:pPr>
      <w:r>
        <w:rPr>
          <w:rFonts w:ascii="Times New Roman" w:eastAsia="Times New Roman" w:hAnsi="Times New Roman"/>
          <w:i/>
          <w:color w:val="000000"/>
          <w:sz w:val="26"/>
          <w:szCs w:val="26"/>
        </w:rPr>
        <w:t>-безопасность труда, охрана здоровья работников, повышение уровня культуры производства,</w:t>
      </w:r>
    </w:p>
    <w:p w14:paraId="5F452672" w14:textId="77777777" w:rsidR="002449C2" w:rsidRDefault="00123961">
      <w:pPr>
        <w:widowControl w:val="0"/>
        <w:spacing w:after="0" w:line="240" w:lineRule="auto"/>
        <w:ind w:firstLine="567"/>
        <w:jc w:val="both"/>
        <w:rPr>
          <w:rFonts w:ascii="Times New Roman" w:eastAsia="Times New Roman" w:hAnsi="Times New Roman"/>
          <w:i/>
          <w:color w:val="000000"/>
          <w:sz w:val="26"/>
          <w:szCs w:val="26"/>
        </w:rPr>
        <w:sectPr w:rsidR="002449C2">
          <w:footerReference w:type="even" r:id="rId129"/>
          <w:footerReference w:type="default" r:id="rId130"/>
          <w:footerReference w:type="first" r:id="rId131"/>
          <w:pgSz w:w="11906" w:h="16838"/>
          <w:pgMar w:top="1135" w:right="707" w:bottom="851" w:left="1701" w:header="0" w:footer="454" w:gutter="0"/>
          <w:cols w:space="720"/>
          <w:formProt w:val="0"/>
          <w:titlePg/>
          <w:docGrid w:linePitch="360"/>
        </w:sectPr>
      </w:pPr>
      <w:r>
        <w:rPr>
          <w:rFonts w:ascii="Times New Roman" w:eastAsia="Times New Roman" w:hAnsi="Times New Roman"/>
          <w:i/>
          <w:color w:val="000000"/>
          <w:sz w:val="26"/>
          <w:szCs w:val="26"/>
        </w:rPr>
        <w:t>-охрана окружающей среды и реализация экологической политики.</w:t>
      </w:r>
    </w:p>
    <w:p w14:paraId="7AE0BB61" w14:textId="77777777" w:rsidR="002449C2" w:rsidRDefault="00123961">
      <w:pPr>
        <w:widowControl w:val="0"/>
        <w:shd w:val="clear" w:color="auto" w:fill="FFFFFF"/>
        <w:tabs>
          <w:tab w:val="left" w:pos="142"/>
        </w:tabs>
        <w:spacing w:after="0" w:line="240" w:lineRule="auto"/>
        <w:ind w:firstLine="567"/>
        <w:rPr>
          <w:lang w:eastAsia="ru-RU"/>
        </w:rPr>
        <w:sectPr w:rsidR="002449C2">
          <w:footerReference w:type="even" r:id="rId132"/>
          <w:footerReference w:type="default" r:id="rId133"/>
          <w:footerReference w:type="first" r:id="rId134"/>
          <w:pgSz w:w="16838" w:h="11906" w:orient="landscape"/>
          <w:pgMar w:top="1701" w:right="1134" w:bottom="709" w:left="851" w:header="0" w:footer="454" w:gutter="0"/>
          <w:cols w:space="720"/>
          <w:formProt w:val="0"/>
          <w:titlePg/>
          <w:docGrid w:linePitch="360"/>
        </w:sectPr>
      </w:pPr>
      <w:r>
        <w:rPr>
          <w:noProof/>
          <w:lang w:eastAsia="ru-RU"/>
        </w:rPr>
        <w:drawing>
          <wp:inline distT="0" distB="0" distL="0" distR="0" wp14:anchorId="26B709C6" wp14:editId="56FEB94F">
            <wp:extent cx="8870950" cy="4989830"/>
            <wp:effectExtent l="0" t="0" r="0" b="0"/>
            <wp:docPr id="95" name="_x005F_x0000_i4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_x005F_x0000_i4472"/>
                    <pic:cNvPicPr>
                      <a:picLocks noChangeAspect="1" noChangeArrowheads="1"/>
                    </pic:cNvPicPr>
                  </pic:nvPicPr>
                  <pic:blipFill>
                    <a:blip r:embed="rId135"/>
                    <a:stretch>
                      <a:fillRect/>
                    </a:stretch>
                  </pic:blipFill>
                  <pic:spPr bwMode="auto">
                    <a:xfrm>
                      <a:off x="0" y="0"/>
                      <a:ext cx="8870950" cy="4989830"/>
                    </a:xfrm>
                    <a:prstGeom prst="rect">
                      <a:avLst/>
                    </a:prstGeom>
                    <a:noFill/>
                  </pic:spPr>
                </pic:pic>
              </a:graphicData>
            </a:graphic>
          </wp:inline>
        </w:drawing>
      </w:r>
    </w:p>
    <w:p w14:paraId="1A817286" w14:textId="77777777" w:rsidR="002449C2" w:rsidRDefault="00123961">
      <w:pPr>
        <w:keepNext/>
        <w:keepLines/>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154" w:name="_Toc101275472"/>
      <w:bookmarkStart w:id="155" w:name="_Toc195174960"/>
      <w:bookmarkStart w:id="156" w:name="_Toc196143053"/>
      <w:r>
        <w:rPr>
          <w:rFonts w:ascii="Times New Roman" w:eastAsia="Times New Roman" w:hAnsi="Times New Roman"/>
          <w:color w:val="385623"/>
          <w:sz w:val="28"/>
          <w:szCs w:val="28"/>
          <w:lang w:eastAsia="en-US" w:bidi="en-US"/>
        </w:rPr>
        <w:t>Развитие корпоративного управления</w:t>
      </w:r>
      <w:bookmarkEnd w:id="154"/>
      <w:bookmarkEnd w:id="155"/>
      <w:bookmarkEnd w:id="156"/>
    </w:p>
    <w:p w14:paraId="731342F0" w14:textId="77777777" w:rsidR="002449C2" w:rsidRDefault="002449C2">
      <w:pPr>
        <w:widowControl w:val="0"/>
        <w:shd w:val="clear" w:color="auto" w:fill="FFFFFF"/>
        <w:spacing w:after="0" w:line="240" w:lineRule="auto"/>
        <w:ind w:firstLine="567"/>
        <w:contextualSpacing/>
        <w:jc w:val="both"/>
        <w:rPr>
          <w:rFonts w:ascii="Times New Roman" w:eastAsia="Times New Roman" w:hAnsi="Times New Roman"/>
          <w:sz w:val="26"/>
          <w:szCs w:val="26"/>
          <w:lang w:eastAsia="en-US"/>
        </w:rPr>
      </w:pPr>
    </w:p>
    <w:p w14:paraId="44FBDD3C"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В 2024 году мы сосредоточились на совершенствовании практики корпоративного управления и поддержании диалога с ключевыми заинтересованными сторонами. </w:t>
      </w:r>
    </w:p>
    <w:tbl>
      <w:tblPr>
        <w:tblW w:w="9637" w:type="dxa"/>
        <w:tblLayout w:type="fixed"/>
        <w:tblLook w:val="04A0" w:firstRow="1" w:lastRow="0" w:firstColumn="1" w:lastColumn="0" w:noHBand="0" w:noVBand="1"/>
      </w:tblPr>
      <w:tblGrid>
        <w:gridCol w:w="4194"/>
        <w:gridCol w:w="5443"/>
      </w:tblGrid>
      <w:tr w:rsidR="002449C2" w14:paraId="0E779FCB" w14:textId="77777777">
        <w:trPr>
          <w:trHeight w:val="2442"/>
        </w:trPr>
        <w:tc>
          <w:tcPr>
            <w:tcW w:w="4194" w:type="dxa"/>
          </w:tcPr>
          <w:p w14:paraId="0D631DF1" w14:textId="77777777" w:rsidR="002449C2" w:rsidRDefault="00123961">
            <w:pPr>
              <w:widowControl w:val="0"/>
              <w:spacing w:after="0" w:line="240" w:lineRule="auto"/>
              <w:contextualSpacing/>
              <w:jc w:val="both"/>
              <w:rPr>
                <w:rFonts w:ascii="Times New Roman" w:eastAsia="Times New Roman" w:hAnsi="Times New Roman"/>
                <w:sz w:val="26"/>
                <w:szCs w:val="26"/>
                <w:lang w:eastAsia="en-US"/>
              </w:rPr>
            </w:pPr>
            <w:r>
              <w:rPr>
                <w:noProof/>
                <w:lang w:eastAsia="ru-RU"/>
              </w:rPr>
              <w:drawing>
                <wp:inline distT="0" distB="0" distL="0" distR="0" wp14:anchorId="0517F760" wp14:editId="0379D207">
                  <wp:extent cx="2529840" cy="1786255"/>
                  <wp:effectExtent l="0" t="0" r="0" b="0"/>
                  <wp:docPr id="96" name="_x005F_x0000_s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_x005F_x0000_s4363"/>
                          <pic:cNvPicPr>
                            <a:picLocks noChangeAspect="1" noChangeArrowheads="1"/>
                          </pic:cNvPicPr>
                        </pic:nvPicPr>
                        <pic:blipFill>
                          <a:blip r:embed="rId136"/>
                          <a:stretch>
                            <a:fillRect/>
                          </a:stretch>
                        </pic:blipFill>
                        <pic:spPr bwMode="auto">
                          <a:xfrm>
                            <a:off x="0" y="0"/>
                            <a:ext cx="2529840" cy="1786255"/>
                          </a:xfrm>
                          <a:prstGeom prst="rect">
                            <a:avLst/>
                          </a:prstGeom>
                          <a:noFill/>
                        </pic:spPr>
                      </pic:pic>
                    </a:graphicData>
                  </a:graphic>
                </wp:inline>
              </w:drawing>
            </w:r>
          </w:p>
        </w:tc>
        <w:tc>
          <w:tcPr>
            <w:tcW w:w="5442" w:type="dxa"/>
          </w:tcPr>
          <w:p w14:paraId="2E80638B"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Из числа запланированных на 2024 год мероприятий по совершенствованию корпоративного управления обеспечено поддержание рейтинга корпоративного управления на высоком уровне (НРКУ 7), а также высокий уровень дисциплины по исполнению решений органов управления.</w:t>
            </w:r>
          </w:p>
        </w:tc>
      </w:tr>
    </w:tbl>
    <w:p w14:paraId="1E39EF7D" w14:textId="77777777" w:rsidR="002449C2" w:rsidRDefault="002449C2">
      <w:pPr>
        <w:widowControl w:val="0"/>
        <w:shd w:val="clear" w:color="auto" w:fill="FFFFFF"/>
        <w:spacing w:after="0" w:line="240" w:lineRule="auto"/>
        <w:ind w:firstLine="567"/>
        <w:contextualSpacing/>
        <w:jc w:val="both"/>
        <w:rPr>
          <w:rFonts w:ascii="Times New Roman" w:eastAsia="Times New Roman" w:hAnsi="Times New Roman"/>
          <w:sz w:val="26"/>
          <w:szCs w:val="26"/>
          <w:lang w:eastAsia="en-US"/>
        </w:rPr>
      </w:pPr>
    </w:p>
    <w:p w14:paraId="2FA53F7D"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Меры по совершенствованию корпоративного управления в 2024 году: </w:t>
      </w:r>
    </w:p>
    <w:p w14:paraId="71817746" w14:textId="77777777" w:rsidR="002449C2" w:rsidRDefault="002449C2">
      <w:pPr>
        <w:widowControl w:val="0"/>
        <w:shd w:val="clear" w:color="auto" w:fill="FFFFFF"/>
        <w:spacing w:after="0" w:line="240" w:lineRule="auto"/>
        <w:ind w:firstLine="567"/>
        <w:contextualSpacing/>
        <w:jc w:val="both"/>
        <w:rPr>
          <w:rFonts w:ascii="Times New Roman" w:eastAsia="Times New Roman" w:hAnsi="Times New Roman"/>
          <w:sz w:val="26"/>
          <w:szCs w:val="26"/>
          <w:lang w:eastAsia="en-US"/>
        </w:rPr>
      </w:pPr>
    </w:p>
    <w:p w14:paraId="0EC9A29B" w14:textId="77777777" w:rsidR="002449C2" w:rsidRDefault="00123961">
      <w:pPr>
        <w:widowControl w:val="0"/>
        <w:numPr>
          <w:ilvl w:val="0"/>
          <w:numId w:val="22"/>
        </w:numPr>
        <w:shd w:val="clear" w:color="auto" w:fill="FFFFFF"/>
        <w:tabs>
          <w:tab w:val="left" w:pos="142"/>
          <w:tab w:val="left" w:pos="1134"/>
        </w:tabs>
        <w:spacing w:after="0" w:line="240" w:lineRule="auto"/>
        <w:ind w:left="0" w:firstLine="567"/>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поддержание на высоком уровне рейтинга корпоративного управления;</w:t>
      </w:r>
    </w:p>
    <w:p w14:paraId="686FD69E" w14:textId="77777777" w:rsidR="002449C2" w:rsidRDefault="00123961">
      <w:pPr>
        <w:widowControl w:val="0"/>
        <w:numPr>
          <w:ilvl w:val="0"/>
          <w:numId w:val="22"/>
        </w:numPr>
        <w:shd w:val="clear" w:color="auto" w:fill="FFFFFF"/>
        <w:tabs>
          <w:tab w:val="left" w:pos="142"/>
          <w:tab w:val="left" w:pos="1134"/>
        </w:tabs>
        <w:spacing w:after="0" w:line="240" w:lineRule="auto"/>
        <w:ind w:left="0" w:firstLine="567"/>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актуализация внутренних документов Общества в области корпоративного управления в целом, а также документов, регулирующих организацию деятельности органов управления; </w:t>
      </w:r>
    </w:p>
    <w:p w14:paraId="25896216" w14:textId="77777777" w:rsidR="002449C2" w:rsidRDefault="00123961">
      <w:pPr>
        <w:widowControl w:val="0"/>
        <w:numPr>
          <w:ilvl w:val="0"/>
          <w:numId w:val="22"/>
        </w:numPr>
        <w:shd w:val="clear" w:color="auto" w:fill="FFFFFF"/>
        <w:tabs>
          <w:tab w:val="left" w:pos="142"/>
          <w:tab w:val="left" w:pos="1134"/>
        </w:tabs>
        <w:spacing w:after="0" w:line="240" w:lineRule="auto"/>
        <w:ind w:left="0" w:firstLine="567"/>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контроль за надлежащим исполнением решений органов управления; </w:t>
      </w:r>
    </w:p>
    <w:p w14:paraId="2284B50B" w14:textId="77777777" w:rsidR="002449C2" w:rsidRDefault="00123961">
      <w:pPr>
        <w:widowControl w:val="0"/>
        <w:numPr>
          <w:ilvl w:val="0"/>
          <w:numId w:val="22"/>
        </w:numPr>
        <w:shd w:val="clear" w:color="auto" w:fill="FFFFFF"/>
        <w:tabs>
          <w:tab w:val="left" w:pos="142"/>
          <w:tab w:val="left" w:pos="1134"/>
        </w:tabs>
        <w:spacing w:after="0" w:line="240" w:lineRule="auto"/>
        <w:ind w:left="0" w:firstLine="567"/>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раскрытие нефинансовой отчетности в форме интегрированного отчета. </w:t>
      </w:r>
    </w:p>
    <w:p w14:paraId="32FEDBDC" w14:textId="77777777" w:rsidR="002449C2" w:rsidRDefault="00123961">
      <w:pPr>
        <w:widowControl w:val="0"/>
        <w:shd w:val="clear" w:color="auto" w:fill="FFFFFF"/>
        <w:spacing w:before="120" w:after="120" w:line="240" w:lineRule="auto"/>
        <w:ind w:firstLine="567"/>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Самооценка эффективности работы Совета директоров и Комитетов</w:t>
      </w:r>
    </w:p>
    <w:p w14:paraId="7645458F" w14:textId="77777777" w:rsidR="002449C2" w:rsidRDefault="00123961">
      <w:pPr>
        <w:widowControl w:val="0"/>
        <w:shd w:val="clear" w:color="auto" w:fill="FFFFFF"/>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en-US"/>
        </w:rPr>
        <w:t xml:space="preserve">В 2024 году мы провели очередную самооценку эффективности деятельности Совета директоров Общества и его Комитетов на основе Методики, утвержденной Советом директоров 17.03.2020 (протокол от 18.03.2020 №364/2020), разработанной в соответствии с законодательством Российской Федерации, Уставом Общества и Кодексом корпоративного управления Банка России. </w:t>
      </w:r>
      <w:r>
        <w:rPr>
          <w:rFonts w:ascii="Times New Roman" w:eastAsia="Times New Roman" w:hAnsi="Times New Roman"/>
          <w:sz w:val="26"/>
          <w:szCs w:val="26"/>
          <w:lang w:eastAsia="ru-RU"/>
        </w:rPr>
        <w:t xml:space="preserve">Общая оценка работы Совета директоров ПАО «Россети Юг» в 2023-2024 корпоративном году составила «4,7» баллов, что означает «скорее соответствует» рекомендациям, содержащимся в международных и российских стандартах передовой практики корпоративного управления. </w:t>
      </w:r>
    </w:p>
    <w:p w14:paraId="5A8A7975" w14:textId="77777777" w:rsidR="002449C2" w:rsidRDefault="00123961">
      <w:pPr>
        <w:widowControl w:val="0"/>
        <w:shd w:val="clear" w:color="auto" w:fill="FFFFFF"/>
        <w:spacing w:before="120" w:after="120" w:line="240" w:lineRule="auto"/>
        <w:ind w:firstLine="567"/>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Подготовка нефинансовой отчетности</w:t>
      </w:r>
    </w:p>
    <w:p w14:paraId="0D6256BF" w14:textId="77777777" w:rsidR="002449C2" w:rsidRDefault="00123961">
      <w:pPr>
        <w:spacing w:after="0" w:line="240" w:lineRule="auto"/>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ab/>
        <w:t>В прошедшем году Обществом подготовлен интегрированный Годовой отчет за 2023 год, который прошел общественное заверение в Совете «Российского союза промышленников и предпринимателей» по нефинансовой отчетности.</w:t>
      </w:r>
    </w:p>
    <w:p w14:paraId="62FBC9D7" w14:textId="77777777" w:rsidR="002449C2" w:rsidRDefault="00123961">
      <w:pPr>
        <w:widowControl w:val="0"/>
        <w:shd w:val="clear" w:color="auto" w:fill="FFFFFF"/>
        <w:spacing w:before="120" w:after="120" w:line="240" w:lineRule="auto"/>
        <w:ind w:firstLine="567"/>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Планы по поддержанию и совершенствованию модели и практики корпоративного управления на 2025 год и среднесрочную перспективу</w:t>
      </w:r>
    </w:p>
    <w:p w14:paraId="707B2EB2" w14:textId="77777777" w:rsidR="002449C2" w:rsidRDefault="00123961">
      <w:pPr>
        <w:widowControl w:val="0"/>
        <w:numPr>
          <w:ilvl w:val="0"/>
          <w:numId w:val="23"/>
        </w:numPr>
        <w:shd w:val="clear" w:color="auto" w:fill="FFFFFF"/>
        <w:tabs>
          <w:tab w:val="left" w:pos="142"/>
          <w:tab w:val="left" w:pos="1134"/>
        </w:tabs>
        <w:spacing w:after="0" w:line="240" w:lineRule="auto"/>
        <w:ind w:left="0" w:firstLine="567"/>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соблюдение норм и принципов корпоративного управления, закрепленных в действующих внутренних документах Общества;</w:t>
      </w:r>
    </w:p>
    <w:p w14:paraId="40BB4A97" w14:textId="77777777" w:rsidR="002449C2" w:rsidRDefault="00123961">
      <w:pPr>
        <w:widowControl w:val="0"/>
        <w:numPr>
          <w:ilvl w:val="0"/>
          <w:numId w:val="23"/>
        </w:numPr>
        <w:shd w:val="clear" w:color="auto" w:fill="FFFFFF"/>
        <w:tabs>
          <w:tab w:val="left" w:pos="142"/>
          <w:tab w:val="left" w:pos="1134"/>
        </w:tabs>
        <w:spacing w:after="0" w:line="240" w:lineRule="auto"/>
        <w:ind w:left="0" w:firstLine="567"/>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принятие собственного Кодекса корпоративного управления;</w:t>
      </w:r>
    </w:p>
    <w:p w14:paraId="6C295A4B" w14:textId="77777777" w:rsidR="002449C2" w:rsidRDefault="00123961">
      <w:pPr>
        <w:widowControl w:val="0"/>
        <w:numPr>
          <w:ilvl w:val="0"/>
          <w:numId w:val="23"/>
        </w:numPr>
        <w:shd w:val="clear" w:color="auto" w:fill="FFFFFF"/>
        <w:tabs>
          <w:tab w:val="left" w:pos="142"/>
          <w:tab w:val="left" w:pos="1134"/>
        </w:tabs>
        <w:spacing w:after="0" w:line="240" w:lineRule="auto"/>
        <w:ind w:left="0" w:firstLine="567"/>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обеспечение эффективного функционирования деятельности органов управления Компании, контроль исполнения принятых ими решений; </w:t>
      </w:r>
    </w:p>
    <w:p w14:paraId="0979EE7A" w14:textId="77777777" w:rsidR="002449C2" w:rsidRDefault="00123961">
      <w:pPr>
        <w:widowControl w:val="0"/>
        <w:numPr>
          <w:ilvl w:val="0"/>
          <w:numId w:val="23"/>
        </w:numPr>
        <w:shd w:val="clear" w:color="auto" w:fill="FFFFFF"/>
        <w:tabs>
          <w:tab w:val="left" w:pos="142"/>
          <w:tab w:val="left" w:pos="1134"/>
        </w:tabs>
        <w:spacing w:after="0" w:line="240" w:lineRule="auto"/>
        <w:ind w:left="0" w:firstLine="567"/>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поддержание рейтинга корпоративного управления на уровне «Развитая практика корпоративного управления»; </w:t>
      </w:r>
    </w:p>
    <w:p w14:paraId="25BE8248" w14:textId="77777777" w:rsidR="002449C2" w:rsidRDefault="00123961">
      <w:pPr>
        <w:widowControl w:val="0"/>
        <w:numPr>
          <w:ilvl w:val="0"/>
          <w:numId w:val="23"/>
        </w:numPr>
        <w:shd w:val="clear" w:color="auto" w:fill="FFFFFF"/>
        <w:tabs>
          <w:tab w:val="left" w:pos="142"/>
          <w:tab w:val="left" w:pos="1134"/>
        </w:tabs>
        <w:spacing w:after="0" w:line="240" w:lineRule="auto"/>
        <w:ind w:left="0" w:firstLine="567"/>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реализация планов мероприятий по итогам оценки корпоративного управления Общества.</w:t>
      </w:r>
    </w:p>
    <w:p w14:paraId="04F23343" w14:textId="464170C2" w:rsidR="00416B15" w:rsidRDefault="00416B15" w:rsidP="00416B15">
      <w:pPr>
        <w:widowControl w:val="0"/>
        <w:shd w:val="clear" w:color="auto" w:fill="FFFFFF"/>
        <w:tabs>
          <w:tab w:val="left" w:pos="142"/>
        </w:tabs>
        <w:spacing w:after="0" w:line="240" w:lineRule="auto"/>
        <w:ind w:firstLine="567"/>
        <w:jc w:val="both"/>
        <w:rPr>
          <w:rFonts w:ascii="Times New Roman" w:eastAsia="Times New Roman" w:hAnsi="Times New Roman"/>
          <w:bCs/>
          <w:sz w:val="26"/>
          <w:szCs w:val="26"/>
          <w:lang w:eastAsia="en-US"/>
        </w:rPr>
      </w:pPr>
      <w:r>
        <w:rPr>
          <w:rFonts w:ascii="Times New Roman" w:eastAsia="Times New Roman" w:hAnsi="Times New Roman"/>
          <w:sz w:val="26"/>
          <w:szCs w:val="26"/>
          <w:lang w:eastAsia="en-US"/>
        </w:rPr>
        <w:t>В 2025 году Общество продолжит анализ лучших практик корпоративного управления и оценит целесообразность их внедрения</w:t>
      </w:r>
      <w:r w:rsidR="00A31EAF">
        <w:rPr>
          <w:rFonts w:ascii="Times New Roman" w:eastAsia="Times New Roman" w:hAnsi="Times New Roman"/>
          <w:sz w:val="26"/>
          <w:szCs w:val="26"/>
          <w:lang w:eastAsia="en-US"/>
        </w:rPr>
        <w:t>.</w:t>
      </w:r>
    </w:p>
    <w:p w14:paraId="3A1681FE" w14:textId="514D8A31" w:rsidR="002449C2" w:rsidRDefault="00123961">
      <w:pPr>
        <w:keepNext/>
        <w:keepLines/>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157" w:name="_Toc195174961"/>
      <w:bookmarkStart w:id="158" w:name="_Toc101275473"/>
      <w:bookmarkStart w:id="159" w:name="_Toc196143054"/>
      <w:r>
        <w:rPr>
          <w:rFonts w:ascii="Times New Roman" w:eastAsia="Times New Roman" w:hAnsi="Times New Roman"/>
          <w:color w:val="385623"/>
          <w:sz w:val="28"/>
          <w:szCs w:val="28"/>
          <w:lang w:eastAsia="en-US" w:bidi="en-US"/>
        </w:rPr>
        <w:t>Оценки уровня корпоративного управления</w:t>
      </w:r>
      <w:bookmarkEnd w:id="157"/>
      <w:bookmarkEnd w:id="158"/>
      <w:bookmarkEnd w:id="159"/>
    </w:p>
    <w:p w14:paraId="0C85C132" w14:textId="77777777" w:rsidR="002449C2" w:rsidRDefault="00123961">
      <w:pPr>
        <w:widowControl w:val="0"/>
        <w:shd w:val="clear" w:color="auto" w:fill="FFFFFF"/>
        <w:spacing w:after="0" w:line="240" w:lineRule="auto"/>
        <w:ind w:left="-28" w:right="-28" w:firstLine="595"/>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Ежегодно Внутренний аудит Общества проводит оценку корпоративного управления ПАО «Россети Юг».</w:t>
      </w:r>
    </w:p>
    <w:p w14:paraId="02515F6E" w14:textId="77777777" w:rsidR="002449C2" w:rsidRDefault="00123961">
      <w:pPr>
        <w:widowControl w:val="0"/>
        <w:shd w:val="clear" w:color="auto" w:fill="FFFFFF"/>
        <w:spacing w:after="0" w:line="240" w:lineRule="auto"/>
        <w:ind w:left="-28" w:right="-28" w:firstLine="595"/>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Целями оценки корпоративного управления являются:</w:t>
      </w:r>
    </w:p>
    <w:p w14:paraId="06C69E49" w14:textId="77777777" w:rsidR="002449C2" w:rsidRDefault="00123961">
      <w:pPr>
        <w:widowControl w:val="0"/>
        <w:numPr>
          <w:ilvl w:val="0"/>
          <w:numId w:val="29"/>
        </w:numPr>
        <w:shd w:val="clear" w:color="auto" w:fill="FFFFFF"/>
        <w:tabs>
          <w:tab w:val="left" w:pos="993"/>
        </w:tabs>
        <w:spacing w:after="0" w:line="240" w:lineRule="auto"/>
        <w:ind w:left="0" w:right="-28" w:firstLine="567"/>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предоставление Совету директоров Общества, Комитету по аудиту Совета директоров Общества, единоличному исполнительному органу, Правлению Общества объективной и независимой информации о состоянии корпоративного управления в Обществе;</w:t>
      </w:r>
    </w:p>
    <w:p w14:paraId="0CB30727" w14:textId="77777777" w:rsidR="002449C2" w:rsidRDefault="00123961">
      <w:pPr>
        <w:widowControl w:val="0"/>
        <w:numPr>
          <w:ilvl w:val="0"/>
          <w:numId w:val="29"/>
        </w:numPr>
        <w:shd w:val="clear" w:color="auto" w:fill="FFFFFF"/>
        <w:tabs>
          <w:tab w:val="left" w:pos="993"/>
        </w:tabs>
        <w:spacing w:after="0" w:line="240" w:lineRule="auto"/>
        <w:ind w:left="0" w:right="-28" w:firstLine="567"/>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выработка рекомендаций, направленных на повышение уровня корпоративного управления в Обществе.</w:t>
      </w:r>
    </w:p>
    <w:p w14:paraId="4B262937" w14:textId="77777777" w:rsidR="002449C2" w:rsidRDefault="00123961">
      <w:pPr>
        <w:widowControl w:val="0"/>
        <w:shd w:val="clear" w:color="auto" w:fill="FFFFFF"/>
        <w:spacing w:after="0" w:line="240" w:lineRule="auto"/>
        <w:ind w:left="-28" w:right="-28" w:firstLine="595"/>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Критерием оценки корпоративного управления является соответствие корпоративного управления принципам и рекомендациям, заложенным в Кодексе корпоративного управления и/или в Правилах листинга, и/или лучших корпоративных практик.</w:t>
      </w:r>
    </w:p>
    <w:p w14:paraId="12080D8F" w14:textId="77777777" w:rsidR="002449C2" w:rsidRDefault="00123961">
      <w:pPr>
        <w:widowControl w:val="0"/>
        <w:shd w:val="clear" w:color="auto" w:fill="FFFFFF"/>
        <w:spacing w:after="0" w:line="240" w:lineRule="auto"/>
        <w:ind w:left="-28" w:right="-28" w:firstLine="595"/>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Оценка корпоративного управления включает следующие основные направления:</w:t>
      </w:r>
    </w:p>
    <w:p w14:paraId="59FCED15" w14:textId="77777777" w:rsidR="002449C2" w:rsidRDefault="00123961">
      <w:pPr>
        <w:widowControl w:val="0"/>
        <w:numPr>
          <w:ilvl w:val="0"/>
          <w:numId w:val="30"/>
        </w:numPr>
        <w:shd w:val="clear" w:color="auto" w:fill="FFFFFF"/>
        <w:tabs>
          <w:tab w:val="left" w:pos="993"/>
        </w:tabs>
        <w:spacing w:after="0" w:line="240" w:lineRule="auto"/>
        <w:ind w:left="0" w:right="-28" w:firstLine="567"/>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проверку соблюдения этических принципов и корпоративных ценностей Общества;</w:t>
      </w:r>
    </w:p>
    <w:p w14:paraId="57201911" w14:textId="77777777" w:rsidR="002449C2" w:rsidRDefault="00123961">
      <w:pPr>
        <w:widowControl w:val="0"/>
        <w:numPr>
          <w:ilvl w:val="0"/>
          <w:numId w:val="30"/>
        </w:numPr>
        <w:shd w:val="clear" w:color="auto" w:fill="FFFFFF"/>
        <w:tabs>
          <w:tab w:val="left" w:pos="993"/>
        </w:tabs>
        <w:spacing w:after="0" w:line="240" w:lineRule="auto"/>
        <w:ind w:left="0" w:right="-28" w:firstLine="567"/>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проверку порядка постановки целей Общества и мониторинга/контроля их достижения;</w:t>
      </w:r>
    </w:p>
    <w:p w14:paraId="056E843C" w14:textId="77777777" w:rsidR="002449C2" w:rsidRDefault="00123961">
      <w:pPr>
        <w:widowControl w:val="0"/>
        <w:numPr>
          <w:ilvl w:val="0"/>
          <w:numId w:val="30"/>
        </w:numPr>
        <w:shd w:val="clear" w:color="auto" w:fill="FFFFFF"/>
        <w:tabs>
          <w:tab w:val="left" w:pos="993"/>
        </w:tabs>
        <w:spacing w:after="0" w:line="240" w:lineRule="auto"/>
        <w:ind w:left="0" w:right="-28" w:firstLine="567"/>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проверку уровня нормативного обеспечения и процедур информационного взаимодействия (в том числе по вопросам управления рисками и внутреннего контроля) на всех уровнях управления Общества, включая взаимодействие с заинтересованными сторонами;</w:t>
      </w:r>
    </w:p>
    <w:p w14:paraId="7BD3AA37" w14:textId="77777777" w:rsidR="002449C2" w:rsidRDefault="00123961">
      <w:pPr>
        <w:widowControl w:val="0"/>
        <w:numPr>
          <w:ilvl w:val="0"/>
          <w:numId w:val="30"/>
        </w:numPr>
        <w:shd w:val="clear" w:color="auto" w:fill="FFFFFF"/>
        <w:tabs>
          <w:tab w:val="left" w:pos="993"/>
        </w:tabs>
        <w:spacing w:after="0" w:line="240" w:lineRule="auto"/>
        <w:ind w:left="0" w:right="-28" w:firstLine="567"/>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проверку обеспечения прав акционеров, в том числе подконтрольных компаний, и эффективности взаимоотношений с заинтересованными сторонами;</w:t>
      </w:r>
    </w:p>
    <w:p w14:paraId="0235F792" w14:textId="77777777" w:rsidR="002449C2" w:rsidRDefault="00123961">
      <w:pPr>
        <w:widowControl w:val="0"/>
        <w:numPr>
          <w:ilvl w:val="0"/>
          <w:numId w:val="30"/>
        </w:numPr>
        <w:shd w:val="clear" w:color="auto" w:fill="FFFFFF"/>
        <w:tabs>
          <w:tab w:val="left" w:pos="993"/>
        </w:tabs>
        <w:spacing w:after="0" w:line="240" w:lineRule="auto"/>
        <w:ind w:left="0" w:right="-28" w:firstLine="567"/>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проверку процедур раскрытия информации о деятельности Общества.</w:t>
      </w:r>
    </w:p>
    <w:p w14:paraId="6B674B9E" w14:textId="77777777" w:rsidR="002449C2" w:rsidRDefault="00123961">
      <w:pPr>
        <w:widowControl w:val="0"/>
        <w:shd w:val="clear" w:color="auto" w:fill="FFFFFF"/>
        <w:spacing w:after="0" w:line="240" w:lineRule="auto"/>
        <w:ind w:left="-28" w:right="-28" w:firstLine="595"/>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В рамках оценки оцениваются 6 компонентов корпоративного управления: </w:t>
      </w:r>
    </w:p>
    <w:p w14:paraId="74CCD359" w14:textId="77777777" w:rsidR="002449C2" w:rsidRDefault="00123961">
      <w:pPr>
        <w:widowControl w:val="0"/>
        <w:numPr>
          <w:ilvl w:val="0"/>
          <w:numId w:val="31"/>
        </w:numPr>
        <w:shd w:val="clear" w:color="auto" w:fill="FFFFFF"/>
        <w:tabs>
          <w:tab w:val="left" w:pos="993"/>
        </w:tabs>
        <w:spacing w:after="0" w:line="240" w:lineRule="auto"/>
        <w:ind w:left="0" w:right="-28" w:firstLine="567"/>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Права акционеров; </w:t>
      </w:r>
    </w:p>
    <w:p w14:paraId="70D50446" w14:textId="77777777" w:rsidR="002449C2" w:rsidRDefault="00123961">
      <w:pPr>
        <w:widowControl w:val="0"/>
        <w:numPr>
          <w:ilvl w:val="0"/>
          <w:numId w:val="31"/>
        </w:numPr>
        <w:shd w:val="clear" w:color="auto" w:fill="FFFFFF"/>
        <w:tabs>
          <w:tab w:val="left" w:pos="993"/>
        </w:tabs>
        <w:spacing w:after="0" w:line="240" w:lineRule="auto"/>
        <w:ind w:left="0" w:right="-28" w:firstLine="567"/>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Совет директоров; </w:t>
      </w:r>
    </w:p>
    <w:p w14:paraId="3711F6E1" w14:textId="77777777" w:rsidR="002449C2" w:rsidRDefault="00123961">
      <w:pPr>
        <w:widowControl w:val="0"/>
        <w:numPr>
          <w:ilvl w:val="0"/>
          <w:numId w:val="31"/>
        </w:numPr>
        <w:shd w:val="clear" w:color="auto" w:fill="FFFFFF"/>
        <w:tabs>
          <w:tab w:val="left" w:pos="993"/>
        </w:tabs>
        <w:spacing w:after="0" w:line="240" w:lineRule="auto"/>
        <w:ind w:left="0" w:right="-28" w:firstLine="567"/>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Исполнительное руководство; </w:t>
      </w:r>
    </w:p>
    <w:p w14:paraId="4738DC8C" w14:textId="77777777" w:rsidR="002449C2" w:rsidRDefault="00123961">
      <w:pPr>
        <w:widowControl w:val="0"/>
        <w:numPr>
          <w:ilvl w:val="0"/>
          <w:numId w:val="31"/>
        </w:numPr>
        <w:shd w:val="clear" w:color="auto" w:fill="FFFFFF"/>
        <w:tabs>
          <w:tab w:val="left" w:pos="993"/>
        </w:tabs>
        <w:spacing w:after="0" w:line="240" w:lineRule="auto"/>
        <w:ind w:left="0" w:right="-28" w:firstLine="567"/>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Прозрачность и раскрытие информации; </w:t>
      </w:r>
    </w:p>
    <w:p w14:paraId="6B71B349" w14:textId="77777777" w:rsidR="002449C2" w:rsidRDefault="00123961">
      <w:pPr>
        <w:widowControl w:val="0"/>
        <w:numPr>
          <w:ilvl w:val="0"/>
          <w:numId w:val="31"/>
        </w:numPr>
        <w:shd w:val="clear" w:color="auto" w:fill="FFFFFF"/>
        <w:tabs>
          <w:tab w:val="left" w:pos="993"/>
        </w:tabs>
        <w:spacing w:after="0" w:line="240" w:lineRule="auto"/>
        <w:ind w:left="0" w:right="-28" w:firstLine="567"/>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Управление рисками, внутренний контроль и внутренний аудит; </w:t>
      </w:r>
    </w:p>
    <w:p w14:paraId="03F7DBDA" w14:textId="77777777" w:rsidR="002449C2" w:rsidRDefault="00123961">
      <w:pPr>
        <w:widowControl w:val="0"/>
        <w:numPr>
          <w:ilvl w:val="0"/>
          <w:numId w:val="31"/>
        </w:numPr>
        <w:shd w:val="clear" w:color="auto" w:fill="FFFFFF"/>
        <w:tabs>
          <w:tab w:val="left" w:pos="993"/>
        </w:tabs>
        <w:spacing w:after="0" w:line="240" w:lineRule="auto"/>
        <w:ind w:left="0" w:right="-28" w:firstLine="567"/>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Корпоративная социальная ответственность, деловая этика, комплаенс. </w:t>
      </w:r>
    </w:p>
    <w:p w14:paraId="56B9F610" w14:textId="77777777" w:rsidR="002449C2" w:rsidRDefault="00123961">
      <w:pPr>
        <w:widowControl w:val="0"/>
        <w:shd w:val="clear" w:color="auto" w:fill="FFFFFF"/>
        <w:spacing w:after="0" w:line="240" w:lineRule="auto"/>
        <w:ind w:left="-28" w:right="-28" w:firstLine="595"/>
        <w:jc w:val="both"/>
        <w:rPr>
          <w:rFonts w:ascii="Times New Roman" w:eastAsia="Times New Roman" w:hAnsi="Times New Roman"/>
          <w:bCs/>
          <w:sz w:val="26"/>
          <w:szCs w:val="26"/>
          <w:lang w:eastAsia="en-US"/>
        </w:rPr>
      </w:pPr>
      <w:r>
        <w:rPr>
          <w:rFonts w:ascii="Times New Roman" w:eastAsia="Times New Roman" w:hAnsi="Times New Roman"/>
          <w:bCs/>
          <w:sz w:val="26"/>
          <w:szCs w:val="26"/>
          <w:lang w:eastAsia="en-US"/>
        </w:rPr>
        <w:t>Оценка эффективности системы корпоративного управления в Обществе по итогам 2023-2024 корпоративного года проведена в соответствии с Методикой оценки корпоративного управления ПАО «Россети Юг», утвержденной приказом Общества от 16.07.2024 № 416, изданным во исполнение приказа ПАО «Россети» от 08.07.2024 № 303 «Об утверждении Методики оценки корпоративного управления группы компаний «Россети».</w:t>
      </w:r>
    </w:p>
    <w:p w14:paraId="3721A2AC" w14:textId="77777777" w:rsidR="002449C2" w:rsidRDefault="00123961">
      <w:pPr>
        <w:widowControl w:val="0"/>
        <w:shd w:val="clear" w:color="auto" w:fill="FFFFFF"/>
        <w:spacing w:after="0" w:line="240" w:lineRule="auto"/>
        <w:ind w:left="-28" w:right="-28" w:firstLine="595"/>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По итогам оценки определено, что корпоративное управление соответствует «Развитой практике» (</w:t>
      </w:r>
      <w:r>
        <w:rPr>
          <w:rFonts w:ascii="Times New Roman" w:eastAsia="Times New Roman" w:hAnsi="Times New Roman"/>
          <w:bCs/>
          <w:sz w:val="26"/>
          <w:szCs w:val="26"/>
          <w:lang w:eastAsia="en-US"/>
        </w:rPr>
        <w:t xml:space="preserve">394 из 449 баллов, 88%, что соответствует границам оценки </w:t>
      </w:r>
      <w:r>
        <w:rPr>
          <w:rFonts w:ascii="Times New Roman" w:eastAsia="Times New Roman" w:hAnsi="Times New Roman"/>
          <w:sz w:val="26"/>
          <w:szCs w:val="26"/>
          <w:lang w:eastAsia="en-US"/>
        </w:rPr>
        <w:t xml:space="preserve">&lt;96% и ≥80%). </w:t>
      </w:r>
    </w:p>
    <w:p w14:paraId="206A78AD" w14:textId="77777777" w:rsidR="002449C2" w:rsidRDefault="00123961">
      <w:pPr>
        <w:widowControl w:val="0"/>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При этом, по отдельным компонентам / элементам возможны улучшения:</w:t>
      </w:r>
    </w:p>
    <w:p w14:paraId="2FA456AC" w14:textId="77777777" w:rsidR="002449C2" w:rsidRDefault="00123961">
      <w:pPr>
        <w:widowControl w:val="0"/>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Права акционеров 2 балла (3%);</w:t>
      </w:r>
    </w:p>
    <w:p w14:paraId="4E9DC572" w14:textId="77777777" w:rsidR="002449C2" w:rsidRDefault="00123961">
      <w:pPr>
        <w:spacing w:after="0" w:line="240" w:lineRule="auto"/>
        <w:ind w:firstLine="709"/>
        <w:rPr>
          <w:rFonts w:ascii="Times New Roman" w:eastAsia="Times New Roman" w:hAnsi="Times New Roman"/>
          <w:sz w:val="26"/>
          <w:szCs w:val="26"/>
          <w:lang w:eastAsia="ru-RU"/>
        </w:rPr>
      </w:pPr>
      <w:r>
        <w:rPr>
          <w:rFonts w:ascii="Times New Roman" w:eastAsia="Times New Roman" w:hAnsi="Times New Roman"/>
          <w:sz w:val="26"/>
          <w:szCs w:val="26"/>
          <w:lang w:eastAsia="ru-RU"/>
        </w:rPr>
        <w:t>- Совет директоров 23 балла (18%);</w:t>
      </w:r>
    </w:p>
    <w:p w14:paraId="15AC92C3" w14:textId="77777777" w:rsidR="002449C2" w:rsidRDefault="00123961">
      <w:pPr>
        <w:spacing w:after="0" w:line="240" w:lineRule="auto"/>
        <w:ind w:firstLine="709"/>
        <w:rPr>
          <w:rFonts w:ascii="Times New Roman" w:eastAsia="Times New Roman" w:hAnsi="Times New Roman"/>
          <w:sz w:val="26"/>
          <w:szCs w:val="26"/>
          <w:lang w:eastAsia="ru-RU"/>
        </w:rPr>
      </w:pPr>
      <w:r>
        <w:rPr>
          <w:rFonts w:ascii="Times New Roman" w:eastAsia="Times New Roman" w:hAnsi="Times New Roman"/>
          <w:sz w:val="26"/>
          <w:szCs w:val="26"/>
          <w:lang w:eastAsia="ru-RU"/>
        </w:rPr>
        <w:t>- Исполнительное руководство 14 баллов (41%);</w:t>
      </w:r>
    </w:p>
    <w:p w14:paraId="18870F58" w14:textId="77777777" w:rsidR="002449C2" w:rsidRDefault="00123961">
      <w:pPr>
        <w:widowControl w:val="0"/>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Прозрачность и раскрытие информации 14 баллов (11%);</w:t>
      </w:r>
    </w:p>
    <w:p w14:paraId="106467E8" w14:textId="77777777" w:rsidR="002449C2" w:rsidRDefault="00123961">
      <w:pPr>
        <w:widowControl w:val="0"/>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Управление рисками, внутренний контроль и внутренний аудит 2 балла (3%).</w:t>
      </w:r>
    </w:p>
    <w:p w14:paraId="5F92F6E8" w14:textId="77777777" w:rsidR="002449C2" w:rsidRDefault="00123961">
      <w:pPr>
        <w:widowControl w:val="0"/>
        <w:spacing w:before="120"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Следует отметить, что в 2024 – 2025 корпоративном году имеется потенциал роста оценки корпоративного управления в связи с принятием Обществом следующих мер:</w:t>
      </w:r>
    </w:p>
    <w:p w14:paraId="2416FB39" w14:textId="51231E30" w:rsidR="002449C2" w:rsidRDefault="00123961">
      <w:pPr>
        <w:widowControl w:val="0"/>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проведение очных заседаний Комитета по кадрам и вознаграждениям, Комитета по стратегии не реже 1 раза в квартал;</w:t>
      </w:r>
    </w:p>
    <w:p w14:paraId="19919DC6" w14:textId="77777777" w:rsidR="002449C2" w:rsidRDefault="00123961">
      <w:pPr>
        <w:widowControl w:val="0"/>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разработка и утверждение программы развития кадрового резерва Общества;</w:t>
      </w:r>
    </w:p>
    <w:p w14:paraId="025E8495" w14:textId="77777777" w:rsidR="002449C2" w:rsidRDefault="00123961">
      <w:pPr>
        <w:widowControl w:val="0"/>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разработка и утверждение плана преемственности исполнительного руководства Общества;</w:t>
      </w:r>
    </w:p>
    <w:p w14:paraId="7F10FED3" w14:textId="02D9865D" w:rsidR="002449C2" w:rsidRDefault="00123961">
      <w:pPr>
        <w:widowControl w:val="0"/>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применение политики ротации внешнего аудитора в 2025 году</w:t>
      </w:r>
      <w:r w:rsidR="00F871EF">
        <w:rPr>
          <w:rFonts w:ascii="Times New Roman" w:eastAsia="Times New Roman" w:hAnsi="Times New Roman"/>
          <w:sz w:val="26"/>
          <w:szCs w:val="26"/>
          <w:lang w:eastAsia="ru-RU"/>
        </w:rPr>
        <w:t>.</w:t>
      </w:r>
    </w:p>
    <w:p w14:paraId="4A0CD56C" w14:textId="77777777" w:rsidR="002449C2" w:rsidRDefault="00123961">
      <w:pPr>
        <w:widowControl w:val="0"/>
        <w:shd w:val="clear" w:color="auto" w:fill="FFFFFF"/>
        <w:spacing w:before="120" w:after="120" w:line="240" w:lineRule="auto"/>
        <w:ind w:left="-28" w:right="-28" w:firstLine="595"/>
        <w:jc w:val="both"/>
        <w:rPr>
          <w:rFonts w:ascii="Times New Roman" w:eastAsia="Times New Roman" w:hAnsi="Times New Roman"/>
          <w:b/>
          <w:sz w:val="26"/>
          <w:szCs w:val="26"/>
          <w:lang w:eastAsia="en-US"/>
        </w:rPr>
      </w:pPr>
      <w:r>
        <w:rPr>
          <w:rFonts w:ascii="Times New Roman" w:eastAsia="Times New Roman" w:hAnsi="Times New Roman"/>
          <w:b/>
          <w:sz w:val="26"/>
          <w:szCs w:val="26"/>
          <w:lang w:eastAsia="en-US"/>
        </w:rPr>
        <w:t>Независимая оценка</w:t>
      </w:r>
    </w:p>
    <w:p w14:paraId="696468DF" w14:textId="77777777" w:rsidR="002449C2" w:rsidRDefault="00123961">
      <w:pPr>
        <w:widowControl w:val="0"/>
        <w:shd w:val="clear" w:color="auto" w:fill="FFFFFF"/>
        <w:spacing w:after="0" w:line="240" w:lineRule="auto"/>
        <w:ind w:left="-28" w:right="-28" w:firstLine="595"/>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Компания на постоянной основе привлекает внешнего консультанта по вопросам корпоративного управления в качестве независимого эксперта, что позволяет отслеживать эффективность происходящих изменений и последовательно внедрять инструменты совершенствования системы управления, а также элементы лучших практик.</w:t>
      </w:r>
    </w:p>
    <w:p w14:paraId="4C182EA5" w14:textId="77777777" w:rsidR="002449C2" w:rsidRDefault="00123961">
      <w:pPr>
        <w:widowControl w:val="0"/>
        <w:shd w:val="clear" w:color="auto" w:fill="FFFFFF"/>
        <w:spacing w:after="0" w:line="240" w:lineRule="auto"/>
        <w:ind w:left="-28" w:right="-28" w:firstLine="595"/>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В октябре 2023 года Российский институт директоров подтвердил ПАО «Россети Юг» Национальный рейтинг корпоративного управления (НРКУ) на уровне 7 «Развитая практика корпоративного управления».</w:t>
      </w:r>
    </w:p>
    <w:p w14:paraId="56C23E8A" w14:textId="77777777" w:rsidR="002449C2" w:rsidRDefault="002449C2">
      <w:pPr>
        <w:widowControl w:val="0"/>
        <w:shd w:val="clear" w:color="auto" w:fill="FFFFFF"/>
        <w:spacing w:after="0" w:line="240" w:lineRule="auto"/>
        <w:ind w:left="-28" w:right="-28" w:firstLine="595"/>
        <w:jc w:val="both"/>
        <w:rPr>
          <w:rFonts w:ascii="Cambria" w:eastAsia="Times New Roman" w:hAnsi="Cambria"/>
          <w:sz w:val="26"/>
          <w:szCs w:val="26"/>
          <w:lang w:eastAsia="en-US"/>
        </w:rPr>
      </w:pPr>
    </w:p>
    <w:p w14:paraId="74E622B9" w14:textId="77777777" w:rsidR="002449C2" w:rsidRDefault="00123961">
      <w:pPr>
        <w:widowControl w:val="0"/>
        <w:shd w:val="clear" w:color="auto" w:fill="FFFFFF"/>
        <w:spacing w:after="0" w:line="240" w:lineRule="auto"/>
        <w:ind w:left="-28" w:right="-28" w:firstLine="595"/>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Эксперты Института отметили следующие положительные моменты: </w:t>
      </w:r>
    </w:p>
    <w:p w14:paraId="3BCF174E" w14:textId="77777777" w:rsidR="002449C2" w:rsidRDefault="00123961">
      <w:pPr>
        <w:numPr>
          <w:ilvl w:val="0"/>
          <w:numId w:val="38"/>
        </w:numPr>
        <w:spacing w:before="120" w:after="120" w:line="240" w:lineRule="auto"/>
        <w:ind w:left="1134" w:hanging="425"/>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функции по учёту прав собственности на акции Общества осуществляет независимый регистратор, обладающий высокой репутацией и надежными технологиями; </w:t>
      </w:r>
    </w:p>
    <w:p w14:paraId="12BDEE2B" w14:textId="77777777" w:rsidR="002449C2" w:rsidRDefault="00123961">
      <w:pPr>
        <w:numPr>
          <w:ilvl w:val="0"/>
          <w:numId w:val="38"/>
        </w:numPr>
        <w:spacing w:before="120" w:after="120" w:line="240" w:lineRule="auto"/>
        <w:ind w:left="1134" w:hanging="425"/>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Общество создает условия для использования акционерами электронных средств связи для направления требований о созыве Общего собрания акционеров, предложений о выдвижении кандидатов в органы управления Общества и внесение предложений в повестку дня Общего собрания;</w:t>
      </w:r>
    </w:p>
    <w:p w14:paraId="1B66B181" w14:textId="77777777" w:rsidR="002449C2" w:rsidRDefault="00123961">
      <w:pPr>
        <w:numPr>
          <w:ilvl w:val="0"/>
          <w:numId w:val="38"/>
        </w:numPr>
        <w:spacing w:before="120" w:after="120" w:line="240" w:lineRule="auto"/>
        <w:ind w:left="1134" w:hanging="425"/>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материалы для подготовки к Общим собраниям акционеров размещаются на Интернет-сайте Общества;</w:t>
      </w:r>
    </w:p>
    <w:p w14:paraId="4DB45916" w14:textId="77777777" w:rsidR="002449C2" w:rsidRDefault="00123961">
      <w:pPr>
        <w:numPr>
          <w:ilvl w:val="0"/>
          <w:numId w:val="38"/>
        </w:numPr>
        <w:spacing w:before="120" w:after="120" w:line="240" w:lineRule="auto"/>
        <w:ind w:left="1134" w:hanging="425"/>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Общество включает в перечень материалов для подготовки к Общему собранию акционеров некоторые из дополнительных материалов, рекомендованных Кодексом корпоративного управления;</w:t>
      </w:r>
    </w:p>
    <w:p w14:paraId="1ACA75D0" w14:textId="77777777" w:rsidR="002449C2" w:rsidRDefault="00123961">
      <w:pPr>
        <w:numPr>
          <w:ilvl w:val="0"/>
          <w:numId w:val="38"/>
        </w:numPr>
        <w:spacing w:before="120" w:after="120" w:line="240" w:lineRule="auto"/>
        <w:ind w:left="1134" w:hanging="425"/>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расширена компетенция Совета директоров в части одобрения существенных сделок; </w:t>
      </w:r>
    </w:p>
    <w:p w14:paraId="641677B7" w14:textId="77777777" w:rsidR="002449C2" w:rsidRDefault="00123961">
      <w:pPr>
        <w:numPr>
          <w:ilvl w:val="0"/>
          <w:numId w:val="38"/>
        </w:numPr>
        <w:spacing w:before="120" w:after="120" w:line="240" w:lineRule="auto"/>
        <w:ind w:left="1134" w:hanging="425"/>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структура вознаграждения членов совета директоров соответствует рекомендациям Кодекса корпоративного управления; </w:t>
      </w:r>
    </w:p>
    <w:p w14:paraId="4CFB8870" w14:textId="77777777" w:rsidR="002449C2" w:rsidRDefault="00123961">
      <w:pPr>
        <w:numPr>
          <w:ilvl w:val="0"/>
          <w:numId w:val="38"/>
        </w:numPr>
        <w:spacing w:before="120" w:after="120" w:line="240" w:lineRule="auto"/>
        <w:ind w:left="1134" w:hanging="425"/>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существует комплексное регулирование конфликта интересов членов Совета директоров и исполнительных органов; </w:t>
      </w:r>
    </w:p>
    <w:p w14:paraId="68AE0C2C" w14:textId="77777777" w:rsidR="002449C2" w:rsidRDefault="00123961">
      <w:pPr>
        <w:numPr>
          <w:ilvl w:val="0"/>
          <w:numId w:val="38"/>
        </w:numPr>
        <w:spacing w:before="120" w:after="120" w:line="240" w:lineRule="auto"/>
        <w:ind w:left="1134" w:hanging="425"/>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Советом директоров Общества утверждены внутренние документы, определяющие основные принципы, элементы и процедуры системы внутреннего контроля и системы управления рисками (СВК и СУР). Совет директоров ежегодно оценивает эффективность СВК и СУР;</w:t>
      </w:r>
    </w:p>
    <w:p w14:paraId="7815EBDE" w14:textId="77777777" w:rsidR="002449C2" w:rsidRDefault="00123961">
      <w:pPr>
        <w:numPr>
          <w:ilvl w:val="0"/>
          <w:numId w:val="38"/>
        </w:numPr>
        <w:spacing w:before="120" w:after="120" w:line="240" w:lineRule="auto"/>
        <w:ind w:left="1134" w:hanging="425"/>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Совет директоров контролирует процесс реализации информационной политики Общества;</w:t>
      </w:r>
    </w:p>
    <w:p w14:paraId="7C069576" w14:textId="77777777" w:rsidR="002449C2" w:rsidRDefault="00123961">
      <w:pPr>
        <w:numPr>
          <w:ilvl w:val="0"/>
          <w:numId w:val="38"/>
        </w:numPr>
        <w:spacing w:before="120" w:after="120" w:line="240" w:lineRule="auto"/>
        <w:ind w:left="1134" w:hanging="425"/>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Общество обеспечивает необременительный и свободный доступ заинтересованных лиц к финансовой и бухгалтерской отчётности Общества, подготовленной по РСБУ и МСФО (годовой и промежуточной);</w:t>
      </w:r>
    </w:p>
    <w:p w14:paraId="23A0CCC6" w14:textId="77777777" w:rsidR="002449C2" w:rsidRDefault="00123961">
      <w:pPr>
        <w:numPr>
          <w:ilvl w:val="0"/>
          <w:numId w:val="38"/>
        </w:numPr>
        <w:spacing w:before="120" w:after="120" w:line="240" w:lineRule="auto"/>
        <w:ind w:left="1134" w:hanging="425"/>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Общество реализует разнообразные социальные проекты для своих работников и членов их семей, потребителей услуг, активно участвует в благотворительной и спонсорской деятельности;</w:t>
      </w:r>
    </w:p>
    <w:p w14:paraId="6ADC99F9" w14:textId="77777777" w:rsidR="002449C2" w:rsidRDefault="00123961">
      <w:pPr>
        <w:numPr>
          <w:ilvl w:val="0"/>
          <w:numId w:val="38"/>
        </w:numPr>
        <w:spacing w:before="120" w:after="120" w:line="240" w:lineRule="auto"/>
        <w:ind w:left="1134" w:hanging="425"/>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деятельность Общества сертифицирована на соответствие стандартам ISO 9001 и ISO;</w:t>
      </w:r>
    </w:p>
    <w:p w14:paraId="2C0BE1B1" w14:textId="77777777" w:rsidR="002449C2" w:rsidRDefault="00123961">
      <w:pPr>
        <w:numPr>
          <w:ilvl w:val="0"/>
          <w:numId w:val="38"/>
        </w:numPr>
        <w:spacing w:before="120" w:after="120" w:line="240" w:lineRule="auto"/>
        <w:ind w:left="1134" w:hanging="425"/>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Обществом подготавливается интегрированный годовой отчет в соответствии со стандартами GRI.</w:t>
      </w:r>
    </w:p>
    <w:p w14:paraId="5EDDFD12" w14:textId="77777777" w:rsidR="002449C2" w:rsidRDefault="002449C2">
      <w:pPr>
        <w:widowControl w:val="0"/>
        <w:shd w:val="clear" w:color="auto" w:fill="FFFFFF"/>
        <w:spacing w:after="0" w:line="240" w:lineRule="auto"/>
        <w:ind w:left="-28" w:right="-28" w:firstLine="595"/>
        <w:jc w:val="both"/>
        <w:rPr>
          <w:rFonts w:ascii="Times New Roman" w:eastAsia="Times New Roman" w:hAnsi="Times New Roman"/>
          <w:sz w:val="26"/>
          <w:szCs w:val="26"/>
          <w:lang w:eastAsia="en-US"/>
        </w:rPr>
      </w:pPr>
    </w:p>
    <w:p w14:paraId="0542771B" w14:textId="77777777" w:rsidR="002449C2" w:rsidRDefault="00123961">
      <w:pPr>
        <w:widowControl w:val="0"/>
        <w:shd w:val="clear" w:color="auto" w:fill="FFFFFF"/>
        <w:spacing w:after="0" w:line="240" w:lineRule="auto"/>
        <w:ind w:left="-28" w:right="-28" w:firstLine="595"/>
        <w:jc w:val="both"/>
        <w:rPr>
          <w:rFonts w:ascii="Times New Roman" w:eastAsia="Times New Roman" w:hAnsi="Times New Roman"/>
          <w:spacing w:val="20"/>
          <w:sz w:val="26"/>
          <w:szCs w:val="26"/>
          <w:lang w:eastAsia="en-US"/>
        </w:rPr>
      </w:pPr>
      <w:r>
        <w:rPr>
          <w:rFonts w:ascii="Times New Roman" w:eastAsia="Times New Roman" w:hAnsi="Times New Roman"/>
          <w:spacing w:val="20"/>
          <w:sz w:val="26"/>
          <w:szCs w:val="26"/>
          <w:lang w:eastAsia="en-US"/>
        </w:rPr>
        <w:t>Рейтинговая оценка 7 означает, что компания следует значительному числу рекомендаций российского Кодекса корпоративного управления и стандартов в области устойчивого развития. Компания характеризуется достаточно низкими рисками заинтересованных сторон, связанными с качеством корпоративного управления и управлением устойчивым развитием.</w:t>
      </w:r>
    </w:p>
    <w:p w14:paraId="61DFF8EF" w14:textId="77777777" w:rsidR="002449C2" w:rsidRDefault="00123961">
      <w:pPr>
        <w:widowControl w:val="0"/>
        <w:shd w:val="clear" w:color="auto" w:fill="FFFFFF"/>
        <w:spacing w:before="120" w:after="120" w:line="240" w:lineRule="auto"/>
        <w:ind w:right="-28" w:firstLine="567"/>
        <w:jc w:val="both"/>
        <w:rPr>
          <w:rFonts w:ascii="Times New Roman" w:eastAsia="Times New Roman" w:hAnsi="Times New Roman"/>
          <w:b/>
          <w:sz w:val="26"/>
          <w:szCs w:val="26"/>
          <w:lang w:eastAsia="en-US"/>
        </w:rPr>
      </w:pPr>
      <w:r>
        <w:rPr>
          <w:rFonts w:ascii="Times New Roman" w:eastAsia="Times New Roman" w:hAnsi="Times New Roman"/>
          <w:b/>
          <w:sz w:val="26"/>
          <w:szCs w:val="26"/>
          <w:lang w:eastAsia="en-US"/>
        </w:rPr>
        <w:t>Оценка соблюдения принципов и рекомендаций Кодекса корпоративного управления Банка России</w:t>
      </w:r>
    </w:p>
    <w:p w14:paraId="685DD684" w14:textId="77777777" w:rsidR="002449C2" w:rsidRDefault="00123961">
      <w:pPr>
        <w:widowControl w:val="0"/>
        <w:shd w:val="clear" w:color="auto" w:fill="FFFFFF"/>
        <w:spacing w:after="0" w:line="240" w:lineRule="auto"/>
        <w:ind w:left="-28" w:right="-28" w:firstLine="595"/>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В процессе повышения эффективности системы корпоративного управления Общество стремится следовать лучшей российской практике, закрепленной Кодексом корпоративного управления Банка России. </w:t>
      </w:r>
    </w:p>
    <w:p w14:paraId="72FB8328" w14:textId="77777777" w:rsidR="002449C2" w:rsidRDefault="00123961">
      <w:pPr>
        <w:widowControl w:val="0"/>
        <w:shd w:val="clear" w:color="auto" w:fill="FFFFFF"/>
        <w:spacing w:after="0" w:line="240" w:lineRule="auto"/>
        <w:ind w:left="-28" w:right="-28" w:firstLine="595"/>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С целью определения соответствия корпоративного управления ПАО «Россети Юг» принципам и рекомендациям Кодекса корпоративного управления Банка России проведена оценка соблюдения принципов корпоративного управления с учетом Рекомендаций Банка России по составлению отчета о соблюдении принципов и рекомендаций Кодекса корпоративного управления, изложенных в письме Банка России от 27.12.2021 № ИН-06-28/102. Отчет предварительно рассмотрен Советом директоров Общества</w:t>
      </w:r>
      <w:r>
        <w:rPr>
          <w:rFonts w:ascii="Times New Roman" w:eastAsia="Times New Roman" w:hAnsi="Times New Roman"/>
          <w:sz w:val="26"/>
          <w:szCs w:val="26"/>
          <w:vertAlign w:val="superscript"/>
          <w:lang w:eastAsia="ru-RU"/>
        </w:rPr>
        <w:t xml:space="preserve"> </w:t>
      </w:r>
      <w:r>
        <w:rPr>
          <w:rFonts w:ascii="Times New Roman" w:eastAsia="Times New Roman" w:hAnsi="Times New Roman"/>
          <w:sz w:val="26"/>
          <w:szCs w:val="26"/>
          <w:lang w:eastAsia="en-US"/>
        </w:rPr>
        <w:t xml:space="preserve">в рамках вопроса «О предварительном утверждении Годового отчета Общества за 2024 год». Совет директоров подтверждает, что приведенные в отчете данные содержат полную и достоверную информацию о соблюдении Обществом принципов и рекомендаций </w:t>
      </w:r>
      <w:hyperlink r:id="rId137" w:tooltip="&lt;Письмо&gt; Банка России от 10.04.2014 N 06-52/2463 &quot;О Кодексе корпоративного управления&quot;{КонсультантПлюс}">
        <w:r>
          <w:rPr>
            <w:rFonts w:ascii="Times New Roman" w:eastAsia="Times New Roman" w:hAnsi="Times New Roman"/>
            <w:sz w:val="26"/>
            <w:szCs w:val="26"/>
            <w:lang w:eastAsia="en-US"/>
          </w:rPr>
          <w:t>Кодекса</w:t>
        </w:r>
      </w:hyperlink>
      <w:r>
        <w:rPr>
          <w:rFonts w:ascii="Times New Roman" w:eastAsia="Times New Roman" w:hAnsi="Times New Roman"/>
          <w:sz w:val="26"/>
          <w:szCs w:val="26"/>
          <w:lang w:eastAsia="en-US"/>
        </w:rPr>
        <w:t xml:space="preserve"> корпоративного управления Банка России за 2024 год.</w:t>
      </w:r>
    </w:p>
    <w:p w14:paraId="35E38361" w14:textId="77777777" w:rsidR="002449C2" w:rsidRDefault="00123961">
      <w:pPr>
        <w:widowControl w:val="0"/>
        <w:shd w:val="clear" w:color="auto" w:fill="FFFFFF"/>
        <w:spacing w:before="120" w:after="120" w:line="240" w:lineRule="auto"/>
        <w:ind w:firstLine="595"/>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Статистика соблюдения принципов корпоративного управления</w:t>
      </w:r>
    </w:p>
    <w:tbl>
      <w:tblPr>
        <w:tblW w:w="9462" w:type="dxa"/>
        <w:jc w:val="center"/>
        <w:tblLayout w:type="fixed"/>
        <w:tblLook w:val="04A0" w:firstRow="1" w:lastRow="0" w:firstColumn="1" w:lastColumn="0" w:noHBand="0" w:noVBand="1"/>
      </w:tblPr>
      <w:tblGrid>
        <w:gridCol w:w="2743"/>
        <w:gridCol w:w="1900"/>
        <w:gridCol w:w="1547"/>
        <w:gridCol w:w="1548"/>
        <w:gridCol w:w="1724"/>
      </w:tblGrid>
      <w:tr w:rsidR="002449C2" w14:paraId="3193CDC5" w14:textId="77777777">
        <w:trPr>
          <w:jc w:val="center"/>
        </w:trPr>
        <w:tc>
          <w:tcPr>
            <w:tcW w:w="2743" w:type="dxa"/>
            <w:tcBorders>
              <w:top w:val="single" w:sz="12" w:space="0" w:color="000000"/>
              <w:left w:val="single" w:sz="12" w:space="0" w:color="000000"/>
              <w:bottom w:val="single" w:sz="4" w:space="0" w:color="000000"/>
              <w:right w:val="single" w:sz="4" w:space="0" w:color="000000"/>
            </w:tcBorders>
            <w:vAlign w:val="center"/>
          </w:tcPr>
          <w:p w14:paraId="7433DECD"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Период</w:t>
            </w:r>
          </w:p>
        </w:tc>
        <w:tc>
          <w:tcPr>
            <w:tcW w:w="1900" w:type="dxa"/>
            <w:tcBorders>
              <w:top w:val="single" w:sz="12" w:space="0" w:color="000000"/>
              <w:left w:val="single" w:sz="4" w:space="0" w:color="000000"/>
              <w:bottom w:val="single" w:sz="4" w:space="0" w:color="000000"/>
              <w:right w:val="single" w:sz="4" w:space="0" w:color="000000"/>
            </w:tcBorders>
            <w:vAlign w:val="center"/>
          </w:tcPr>
          <w:p w14:paraId="04F75204"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Принципы,</w:t>
            </w:r>
          </w:p>
          <w:p w14:paraId="1F121A87"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рекомендованные</w:t>
            </w:r>
          </w:p>
          <w:p w14:paraId="149073EE"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Кодексом</w:t>
            </w:r>
          </w:p>
        </w:tc>
        <w:tc>
          <w:tcPr>
            <w:tcW w:w="1547" w:type="dxa"/>
            <w:tcBorders>
              <w:top w:val="single" w:sz="12" w:space="0" w:color="000000"/>
              <w:left w:val="single" w:sz="4" w:space="0" w:color="000000"/>
              <w:bottom w:val="single" w:sz="4" w:space="0" w:color="000000"/>
              <w:right w:val="single" w:sz="4" w:space="0" w:color="000000"/>
            </w:tcBorders>
            <w:vAlign w:val="center"/>
          </w:tcPr>
          <w:p w14:paraId="04BC1E7F"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Принципы,</w:t>
            </w:r>
          </w:p>
          <w:p w14:paraId="3FEAA7FB"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полностью</w:t>
            </w:r>
          </w:p>
          <w:p w14:paraId="283B2AB7"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соблюдаемые</w:t>
            </w:r>
          </w:p>
          <w:p w14:paraId="00E282DB"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Компанией</w:t>
            </w:r>
          </w:p>
        </w:tc>
        <w:tc>
          <w:tcPr>
            <w:tcW w:w="1548" w:type="dxa"/>
            <w:tcBorders>
              <w:top w:val="single" w:sz="12" w:space="0" w:color="000000"/>
              <w:left w:val="single" w:sz="4" w:space="0" w:color="000000"/>
              <w:bottom w:val="single" w:sz="4" w:space="0" w:color="000000"/>
              <w:right w:val="single" w:sz="4" w:space="0" w:color="000000"/>
            </w:tcBorders>
            <w:vAlign w:val="center"/>
          </w:tcPr>
          <w:p w14:paraId="0CC2ACE8"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Принципы,</w:t>
            </w:r>
          </w:p>
          <w:p w14:paraId="236FED3E"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частично</w:t>
            </w:r>
          </w:p>
          <w:p w14:paraId="17ED21E7"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соблюдаемые</w:t>
            </w:r>
          </w:p>
          <w:p w14:paraId="7F3A69DA"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Компанией</w:t>
            </w:r>
          </w:p>
        </w:tc>
        <w:tc>
          <w:tcPr>
            <w:tcW w:w="1724" w:type="dxa"/>
            <w:tcBorders>
              <w:top w:val="single" w:sz="12" w:space="0" w:color="000000"/>
              <w:left w:val="single" w:sz="4" w:space="0" w:color="000000"/>
              <w:bottom w:val="single" w:sz="4" w:space="0" w:color="000000"/>
              <w:right w:val="single" w:sz="12" w:space="0" w:color="000000"/>
            </w:tcBorders>
            <w:vAlign w:val="center"/>
          </w:tcPr>
          <w:p w14:paraId="7EFBCAF6"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Принципы,</w:t>
            </w:r>
          </w:p>
          <w:p w14:paraId="1CA64438"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не соблюдаемые Компанией</w:t>
            </w:r>
          </w:p>
        </w:tc>
      </w:tr>
      <w:tr w:rsidR="002449C2" w14:paraId="3F2E5FEA" w14:textId="77777777">
        <w:trPr>
          <w:jc w:val="center"/>
        </w:trPr>
        <w:tc>
          <w:tcPr>
            <w:tcW w:w="9462" w:type="dxa"/>
            <w:gridSpan w:val="5"/>
            <w:tcBorders>
              <w:top w:val="single" w:sz="4" w:space="0" w:color="000000"/>
              <w:left w:val="single" w:sz="12" w:space="0" w:color="000000"/>
              <w:bottom w:val="single" w:sz="4" w:space="0" w:color="000000"/>
              <w:right w:val="single" w:sz="12" w:space="0" w:color="000000"/>
            </w:tcBorders>
          </w:tcPr>
          <w:p w14:paraId="0E49C59A" w14:textId="77777777" w:rsidR="002449C2" w:rsidRDefault="00123961">
            <w:pPr>
              <w:widowControl w:val="0"/>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Права акционеров и равенство условий для акционеров при осуществлении ими своих прав</w:t>
            </w:r>
          </w:p>
        </w:tc>
      </w:tr>
      <w:tr w:rsidR="002449C2" w14:paraId="16B4E172" w14:textId="77777777">
        <w:trPr>
          <w:trHeight w:val="192"/>
          <w:jc w:val="center"/>
        </w:trPr>
        <w:tc>
          <w:tcPr>
            <w:tcW w:w="2743" w:type="dxa"/>
            <w:tcBorders>
              <w:top w:val="single" w:sz="4" w:space="0" w:color="000000"/>
              <w:left w:val="single" w:sz="12" w:space="0" w:color="000000"/>
              <w:bottom w:val="single" w:sz="4" w:space="0" w:color="000000"/>
              <w:right w:val="single" w:sz="4" w:space="0" w:color="000000"/>
            </w:tcBorders>
          </w:tcPr>
          <w:p w14:paraId="71226BF9"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2022</w:t>
            </w:r>
          </w:p>
        </w:tc>
        <w:tc>
          <w:tcPr>
            <w:tcW w:w="1900" w:type="dxa"/>
            <w:tcBorders>
              <w:top w:val="single" w:sz="4" w:space="0" w:color="000000"/>
              <w:left w:val="single" w:sz="4" w:space="0" w:color="000000"/>
              <w:bottom w:val="single" w:sz="4" w:space="0" w:color="000000"/>
              <w:right w:val="single" w:sz="4" w:space="0" w:color="000000"/>
            </w:tcBorders>
          </w:tcPr>
          <w:p w14:paraId="509512BD"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13</w:t>
            </w:r>
          </w:p>
        </w:tc>
        <w:tc>
          <w:tcPr>
            <w:tcW w:w="1547" w:type="dxa"/>
            <w:tcBorders>
              <w:top w:val="single" w:sz="4" w:space="0" w:color="000000"/>
              <w:left w:val="single" w:sz="4" w:space="0" w:color="000000"/>
              <w:bottom w:val="single" w:sz="4" w:space="0" w:color="000000"/>
              <w:right w:val="single" w:sz="4" w:space="0" w:color="000000"/>
            </w:tcBorders>
          </w:tcPr>
          <w:p w14:paraId="01FCAA11"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w:t>
            </w:r>
          </w:p>
        </w:tc>
        <w:tc>
          <w:tcPr>
            <w:tcW w:w="1548" w:type="dxa"/>
            <w:tcBorders>
              <w:top w:val="single" w:sz="4" w:space="0" w:color="000000"/>
              <w:left w:val="single" w:sz="4" w:space="0" w:color="000000"/>
              <w:bottom w:val="single" w:sz="4" w:space="0" w:color="000000"/>
              <w:right w:val="single" w:sz="4" w:space="0" w:color="000000"/>
            </w:tcBorders>
          </w:tcPr>
          <w:p w14:paraId="5514F3A4"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c>
          <w:tcPr>
            <w:tcW w:w="1724" w:type="dxa"/>
            <w:tcBorders>
              <w:top w:val="single" w:sz="4" w:space="0" w:color="000000"/>
              <w:left w:val="single" w:sz="4" w:space="0" w:color="000000"/>
              <w:bottom w:val="single" w:sz="4" w:space="0" w:color="000000"/>
              <w:right w:val="single" w:sz="12" w:space="0" w:color="000000"/>
            </w:tcBorders>
          </w:tcPr>
          <w:p w14:paraId="1FD3AD87"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r>
      <w:tr w:rsidR="002449C2" w14:paraId="43BB49AD" w14:textId="77777777">
        <w:trPr>
          <w:jc w:val="center"/>
        </w:trPr>
        <w:tc>
          <w:tcPr>
            <w:tcW w:w="2743" w:type="dxa"/>
            <w:tcBorders>
              <w:top w:val="single" w:sz="4" w:space="0" w:color="000000"/>
              <w:left w:val="single" w:sz="12" w:space="0" w:color="000000"/>
              <w:bottom w:val="single" w:sz="4" w:space="0" w:color="000000"/>
              <w:right w:val="single" w:sz="4" w:space="0" w:color="000000"/>
            </w:tcBorders>
          </w:tcPr>
          <w:p w14:paraId="34399E3E" w14:textId="77777777" w:rsidR="002449C2" w:rsidRDefault="00123961">
            <w:pPr>
              <w:widowControl w:val="0"/>
              <w:shd w:val="clear" w:color="auto" w:fill="FFFFFF"/>
              <w:spacing w:after="0" w:line="240" w:lineRule="auto"/>
              <w:rPr>
                <w:rFonts w:ascii="Times New Roman" w:eastAsia="Times New Roman" w:hAnsi="Times New Roman"/>
                <w:sz w:val="20"/>
                <w:szCs w:val="20"/>
                <w:lang w:val="en-US" w:eastAsia="ar-SA"/>
              </w:rPr>
            </w:pPr>
            <w:r>
              <w:rPr>
                <w:rFonts w:ascii="Times New Roman" w:eastAsia="Times New Roman" w:hAnsi="Times New Roman"/>
                <w:sz w:val="20"/>
                <w:szCs w:val="20"/>
                <w:lang w:val="en-US" w:eastAsia="ar-SA"/>
              </w:rPr>
              <w:t>2023</w:t>
            </w:r>
          </w:p>
        </w:tc>
        <w:tc>
          <w:tcPr>
            <w:tcW w:w="1900" w:type="dxa"/>
            <w:tcBorders>
              <w:top w:val="single" w:sz="4" w:space="0" w:color="000000"/>
              <w:left w:val="single" w:sz="4" w:space="0" w:color="000000"/>
              <w:bottom w:val="single" w:sz="4" w:space="0" w:color="000000"/>
              <w:right w:val="single" w:sz="4" w:space="0" w:color="000000"/>
            </w:tcBorders>
          </w:tcPr>
          <w:p w14:paraId="21788379"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13</w:t>
            </w:r>
          </w:p>
        </w:tc>
        <w:tc>
          <w:tcPr>
            <w:tcW w:w="1547" w:type="dxa"/>
            <w:tcBorders>
              <w:top w:val="single" w:sz="4" w:space="0" w:color="000000"/>
              <w:left w:val="single" w:sz="4" w:space="0" w:color="000000"/>
              <w:bottom w:val="single" w:sz="4" w:space="0" w:color="000000"/>
              <w:right w:val="single" w:sz="4" w:space="0" w:color="000000"/>
            </w:tcBorders>
          </w:tcPr>
          <w:p w14:paraId="27586F5B"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w:t>
            </w:r>
          </w:p>
        </w:tc>
        <w:tc>
          <w:tcPr>
            <w:tcW w:w="1548" w:type="dxa"/>
            <w:tcBorders>
              <w:top w:val="single" w:sz="4" w:space="0" w:color="000000"/>
              <w:left w:val="single" w:sz="4" w:space="0" w:color="000000"/>
              <w:bottom w:val="single" w:sz="4" w:space="0" w:color="000000"/>
              <w:right w:val="single" w:sz="4" w:space="0" w:color="000000"/>
            </w:tcBorders>
          </w:tcPr>
          <w:p w14:paraId="06B4CAF5"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c>
          <w:tcPr>
            <w:tcW w:w="1724" w:type="dxa"/>
            <w:tcBorders>
              <w:top w:val="single" w:sz="4" w:space="0" w:color="000000"/>
              <w:left w:val="single" w:sz="4" w:space="0" w:color="000000"/>
              <w:bottom w:val="single" w:sz="4" w:space="0" w:color="000000"/>
              <w:right w:val="single" w:sz="12" w:space="0" w:color="000000"/>
            </w:tcBorders>
          </w:tcPr>
          <w:p w14:paraId="60DAC4C3"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r>
      <w:tr w:rsidR="002449C2" w14:paraId="4C9F51D9" w14:textId="77777777">
        <w:trPr>
          <w:jc w:val="center"/>
        </w:trPr>
        <w:tc>
          <w:tcPr>
            <w:tcW w:w="2743" w:type="dxa"/>
            <w:tcBorders>
              <w:top w:val="single" w:sz="4" w:space="0" w:color="000000"/>
              <w:left w:val="single" w:sz="12" w:space="0" w:color="000000"/>
              <w:bottom w:val="single" w:sz="4" w:space="0" w:color="000000"/>
              <w:right w:val="single" w:sz="4" w:space="0" w:color="000000"/>
            </w:tcBorders>
          </w:tcPr>
          <w:p w14:paraId="03064DB7"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2024</w:t>
            </w:r>
          </w:p>
        </w:tc>
        <w:tc>
          <w:tcPr>
            <w:tcW w:w="1900" w:type="dxa"/>
            <w:tcBorders>
              <w:top w:val="single" w:sz="4" w:space="0" w:color="000000"/>
              <w:left w:val="single" w:sz="4" w:space="0" w:color="000000"/>
              <w:bottom w:val="single" w:sz="4" w:space="0" w:color="000000"/>
              <w:right w:val="single" w:sz="4" w:space="0" w:color="000000"/>
            </w:tcBorders>
          </w:tcPr>
          <w:p w14:paraId="23E00D1F"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13</w:t>
            </w:r>
          </w:p>
        </w:tc>
        <w:tc>
          <w:tcPr>
            <w:tcW w:w="1547" w:type="dxa"/>
            <w:tcBorders>
              <w:top w:val="single" w:sz="4" w:space="0" w:color="000000"/>
              <w:left w:val="single" w:sz="4" w:space="0" w:color="000000"/>
              <w:bottom w:val="single" w:sz="4" w:space="0" w:color="000000"/>
              <w:right w:val="single" w:sz="4" w:space="0" w:color="000000"/>
            </w:tcBorders>
          </w:tcPr>
          <w:p w14:paraId="6564151C"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w:t>
            </w:r>
          </w:p>
        </w:tc>
        <w:tc>
          <w:tcPr>
            <w:tcW w:w="1548" w:type="dxa"/>
            <w:tcBorders>
              <w:top w:val="single" w:sz="4" w:space="0" w:color="000000"/>
              <w:left w:val="single" w:sz="4" w:space="0" w:color="000000"/>
              <w:bottom w:val="single" w:sz="4" w:space="0" w:color="000000"/>
              <w:right w:val="single" w:sz="4" w:space="0" w:color="000000"/>
            </w:tcBorders>
          </w:tcPr>
          <w:p w14:paraId="4B8AC284"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c>
          <w:tcPr>
            <w:tcW w:w="1724" w:type="dxa"/>
            <w:tcBorders>
              <w:top w:val="single" w:sz="4" w:space="0" w:color="000000"/>
              <w:left w:val="single" w:sz="4" w:space="0" w:color="000000"/>
              <w:bottom w:val="single" w:sz="4" w:space="0" w:color="000000"/>
              <w:right w:val="single" w:sz="12" w:space="0" w:color="000000"/>
            </w:tcBorders>
          </w:tcPr>
          <w:p w14:paraId="255518A6"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r>
      <w:tr w:rsidR="002449C2" w14:paraId="7059360C" w14:textId="77777777">
        <w:trPr>
          <w:jc w:val="center"/>
        </w:trPr>
        <w:tc>
          <w:tcPr>
            <w:tcW w:w="9462" w:type="dxa"/>
            <w:gridSpan w:val="5"/>
            <w:tcBorders>
              <w:top w:val="single" w:sz="4" w:space="0" w:color="000000"/>
              <w:left w:val="single" w:sz="12" w:space="0" w:color="000000"/>
              <w:bottom w:val="single" w:sz="4" w:space="0" w:color="000000"/>
              <w:right w:val="single" w:sz="12" w:space="0" w:color="000000"/>
            </w:tcBorders>
          </w:tcPr>
          <w:p w14:paraId="1713DEDB" w14:textId="77777777" w:rsidR="002449C2" w:rsidRDefault="00123961">
            <w:pPr>
              <w:widowControl w:val="0"/>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Совет директоров общества</w:t>
            </w:r>
          </w:p>
        </w:tc>
      </w:tr>
      <w:tr w:rsidR="002449C2" w14:paraId="52BA9A12" w14:textId="77777777">
        <w:trPr>
          <w:jc w:val="center"/>
        </w:trPr>
        <w:tc>
          <w:tcPr>
            <w:tcW w:w="2743" w:type="dxa"/>
            <w:tcBorders>
              <w:top w:val="single" w:sz="4" w:space="0" w:color="000000"/>
              <w:left w:val="single" w:sz="12" w:space="0" w:color="000000"/>
              <w:bottom w:val="single" w:sz="4" w:space="0" w:color="000000"/>
              <w:right w:val="single" w:sz="4" w:space="0" w:color="000000"/>
            </w:tcBorders>
          </w:tcPr>
          <w:p w14:paraId="297B56EF"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2022</w:t>
            </w:r>
          </w:p>
        </w:tc>
        <w:tc>
          <w:tcPr>
            <w:tcW w:w="1900" w:type="dxa"/>
            <w:tcBorders>
              <w:top w:val="single" w:sz="4" w:space="0" w:color="000000"/>
              <w:left w:val="single" w:sz="4" w:space="0" w:color="000000"/>
              <w:bottom w:val="single" w:sz="4" w:space="0" w:color="000000"/>
              <w:right w:val="single" w:sz="4" w:space="0" w:color="000000"/>
            </w:tcBorders>
          </w:tcPr>
          <w:p w14:paraId="7BC2C9F0"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36</w:t>
            </w:r>
          </w:p>
        </w:tc>
        <w:tc>
          <w:tcPr>
            <w:tcW w:w="1547" w:type="dxa"/>
            <w:tcBorders>
              <w:top w:val="single" w:sz="4" w:space="0" w:color="000000"/>
              <w:left w:val="single" w:sz="4" w:space="0" w:color="000000"/>
              <w:bottom w:val="single" w:sz="4" w:space="0" w:color="000000"/>
              <w:right w:val="single" w:sz="4" w:space="0" w:color="000000"/>
            </w:tcBorders>
          </w:tcPr>
          <w:p w14:paraId="7ACA0873"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24</w:t>
            </w:r>
          </w:p>
        </w:tc>
        <w:tc>
          <w:tcPr>
            <w:tcW w:w="1548" w:type="dxa"/>
            <w:tcBorders>
              <w:top w:val="single" w:sz="4" w:space="0" w:color="000000"/>
              <w:left w:val="single" w:sz="4" w:space="0" w:color="000000"/>
              <w:bottom w:val="single" w:sz="4" w:space="0" w:color="000000"/>
              <w:right w:val="single" w:sz="4" w:space="0" w:color="000000"/>
            </w:tcBorders>
          </w:tcPr>
          <w:p w14:paraId="33B3252E"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w:t>
            </w:r>
          </w:p>
        </w:tc>
        <w:tc>
          <w:tcPr>
            <w:tcW w:w="1724" w:type="dxa"/>
            <w:tcBorders>
              <w:top w:val="single" w:sz="4" w:space="0" w:color="000000"/>
              <w:left w:val="single" w:sz="4" w:space="0" w:color="000000"/>
              <w:bottom w:val="single" w:sz="4" w:space="0" w:color="000000"/>
              <w:right w:val="single" w:sz="12" w:space="0" w:color="000000"/>
            </w:tcBorders>
          </w:tcPr>
          <w:p w14:paraId="7AA623DC"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2</w:t>
            </w:r>
          </w:p>
        </w:tc>
      </w:tr>
      <w:tr w:rsidR="002449C2" w14:paraId="60FDBCDB" w14:textId="77777777">
        <w:trPr>
          <w:jc w:val="center"/>
        </w:trPr>
        <w:tc>
          <w:tcPr>
            <w:tcW w:w="2743" w:type="dxa"/>
            <w:tcBorders>
              <w:top w:val="single" w:sz="4" w:space="0" w:color="000000"/>
              <w:left w:val="single" w:sz="12" w:space="0" w:color="000000"/>
              <w:bottom w:val="single" w:sz="4" w:space="0" w:color="000000"/>
              <w:right w:val="single" w:sz="4" w:space="0" w:color="000000"/>
            </w:tcBorders>
          </w:tcPr>
          <w:p w14:paraId="5BB574C9" w14:textId="77777777" w:rsidR="002449C2" w:rsidRDefault="00123961">
            <w:pPr>
              <w:widowControl w:val="0"/>
              <w:shd w:val="clear" w:color="auto" w:fill="FFFFFF"/>
              <w:spacing w:after="0" w:line="240" w:lineRule="auto"/>
              <w:rPr>
                <w:rFonts w:ascii="Times New Roman" w:eastAsia="Times New Roman" w:hAnsi="Times New Roman"/>
                <w:sz w:val="20"/>
                <w:szCs w:val="20"/>
                <w:lang w:val="en-US" w:eastAsia="ar-SA"/>
              </w:rPr>
            </w:pPr>
            <w:r>
              <w:rPr>
                <w:rFonts w:ascii="Times New Roman" w:eastAsia="Times New Roman" w:hAnsi="Times New Roman"/>
                <w:sz w:val="20"/>
                <w:szCs w:val="20"/>
                <w:lang w:val="en-US" w:eastAsia="ar-SA"/>
              </w:rPr>
              <w:t>2023</w:t>
            </w:r>
          </w:p>
        </w:tc>
        <w:tc>
          <w:tcPr>
            <w:tcW w:w="1900" w:type="dxa"/>
            <w:tcBorders>
              <w:top w:val="single" w:sz="4" w:space="0" w:color="000000"/>
              <w:left w:val="single" w:sz="4" w:space="0" w:color="000000"/>
              <w:bottom w:val="single" w:sz="4" w:space="0" w:color="000000"/>
              <w:right w:val="single" w:sz="4" w:space="0" w:color="000000"/>
            </w:tcBorders>
          </w:tcPr>
          <w:p w14:paraId="5B4E3176"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36</w:t>
            </w:r>
          </w:p>
        </w:tc>
        <w:tc>
          <w:tcPr>
            <w:tcW w:w="1547" w:type="dxa"/>
            <w:tcBorders>
              <w:top w:val="single" w:sz="4" w:space="0" w:color="000000"/>
              <w:left w:val="single" w:sz="4" w:space="0" w:color="000000"/>
              <w:bottom w:val="single" w:sz="4" w:space="0" w:color="000000"/>
              <w:right w:val="single" w:sz="4" w:space="0" w:color="000000"/>
            </w:tcBorders>
          </w:tcPr>
          <w:p w14:paraId="61CC7207"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25</w:t>
            </w:r>
          </w:p>
        </w:tc>
        <w:tc>
          <w:tcPr>
            <w:tcW w:w="1548" w:type="dxa"/>
            <w:tcBorders>
              <w:top w:val="single" w:sz="4" w:space="0" w:color="000000"/>
              <w:left w:val="single" w:sz="4" w:space="0" w:color="000000"/>
              <w:bottom w:val="single" w:sz="4" w:space="0" w:color="000000"/>
              <w:right w:val="single" w:sz="4" w:space="0" w:color="000000"/>
            </w:tcBorders>
          </w:tcPr>
          <w:p w14:paraId="7B3F618A"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w:t>
            </w:r>
          </w:p>
        </w:tc>
        <w:tc>
          <w:tcPr>
            <w:tcW w:w="1724" w:type="dxa"/>
            <w:tcBorders>
              <w:top w:val="single" w:sz="4" w:space="0" w:color="000000"/>
              <w:left w:val="single" w:sz="4" w:space="0" w:color="000000"/>
              <w:bottom w:val="single" w:sz="4" w:space="0" w:color="000000"/>
              <w:right w:val="single" w:sz="12" w:space="0" w:color="000000"/>
            </w:tcBorders>
          </w:tcPr>
          <w:p w14:paraId="498DD3A8"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w:t>
            </w:r>
          </w:p>
        </w:tc>
      </w:tr>
      <w:tr w:rsidR="002449C2" w14:paraId="0EB6C7C6" w14:textId="77777777">
        <w:trPr>
          <w:jc w:val="center"/>
        </w:trPr>
        <w:tc>
          <w:tcPr>
            <w:tcW w:w="2743" w:type="dxa"/>
            <w:tcBorders>
              <w:top w:val="single" w:sz="4" w:space="0" w:color="000000"/>
              <w:left w:val="single" w:sz="12" w:space="0" w:color="000000"/>
              <w:bottom w:val="single" w:sz="4" w:space="0" w:color="000000"/>
              <w:right w:val="single" w:sz="4" w:space="0" w:color="000000"/>
            </w:tcBorders>
          </w:tcPr>
          <w:p w14:paraId="0142FBD3"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2024</w:t>
            </w:r>
          </w:p>
        </w:tc>
        <w:tc>
          <w:tcPr>
            <w:tcW w:w="1900" w:type="dxa"/>
            <w:tcBorders>
              <w:top w:val="single" w:sz="4" w:space="0" w:color="000000"/>
              <w:left w:val="single" w:sz="4" w:space="0" w:color="000000"/>
              <w:bottom w:val="single" w:sz="4" w:space="0" w:color="000000"/>
              <w:right w:val="single" w:sz="4" w:space="0" w:color="000000"/>
            </w:tcBorders>
          </w:tcPr>
          <w:p w14:paraId="01C36E1A"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36</w:t>
            </w:r>
          </w:p>
        </w:tc>
        <w:tc>
          <w:tcPr>
            <w:tcW w:w="1547" w:type="dxa"/>
            <w:tcBorders>
              <w:top w:val="single" w:sz="4" w:space="0" w:color="000000"/>
              <w:left w:val="single" w:sz="4" w:space="0" w:color="000000"/>
              <w:bottom w:val="single" w:sz="4" w:space="0" w:color="000000"/>
              <w:right w:val="single" w:sz="4" w:space="0" w:color="000000"/>
            </w:tcBorders>
          </w:tcPr>
          <w:p w14:paraId="41638183"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23</w:t>
            </w:r>
          </w:p>
        </w:tc>
        <w:tc>
          <w:tcPr>
            <w:tcW w:w="1548" w:type="dxa"/>
            <w:tcBorders>
              <w:top w:val="single" w:sz="4" w:space="0" w:color="000000"/>
              <w:left w:val="single" w:sz="4" w:space="0" w:color="000000"/>
              <w:bottom w:val="single" w:sz="4" w:space="0" w:color="000000"/>
              <w:right w:val="single" w:sz="4" w:space="0" w:color="000000"/>
            </w:tcBorders>
          </w:tcPr>
          <w:p w14:paraId="216C480F"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12</w:t>
            </w:r>
          </w:p>
        </w:tc>
        <w:tc>
          <w:tcPr>
            <w:tcW w:w="1724" w:type="dxa"/>
            <w:tcBorders>
              <w:top w:val="single" w:sz="4" w:space="0" w:color="000000"/>
              <w:left w:val="single" w:sz="4" w:space="0" w:color="000000"/>
              <w:bottom w:val="single" w:sz="4" w:space="0" w:color="000000"/>
              <w:right w:val="single" w:sz="12" w:space="0" w:color="000000"/>
            </w:tcBorders>
          </w:tcPr>
          <w:p w14:paraId="52151AED"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w:t>
            </w:r>
          </w:p>
        </w:tc>
      </w:tr>
      <w:tr w:rsidR="002449C2" w14:paraId="3AF6EA3B" w14:textId="77777777">
        <w:trPr>
          <w:jc w:val="center"/>
        </w:trPr>
        <w:tc>
          <w:tcPr>
            <w:tcW w:w="9462" w:type="dxa"/>
            <w:gridSpan w:val="5"/>
            <w:tcBorders>
              <w:top w:val="single" w:sz="4" w:space="0" w:color="000000"/>
              <w:left w:val="single" w:sz="12" w:space="0" w:color="000000"/>
              <w:bottom w:val="single" w:sz="4" w:space="0" w:color="000000"/>
              <w:right w:val="single" w:sz="12" w:space="0" w:color="000000"/>
            </w:tcBorders>
          </w:tcPr>
          <w:p w14:paraId="151AA9F5" w14:textId="77777777" w:rsidR="002449C2" w:rsidRDefault="00123961">
            <w:pPr>
              <w:widowControl w:val="0"/>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Корпоративный секретарь Общества</w:t>
            </w:r>
          </w:p>
        </w:tc>
      </w:tr>
      <w:tr w:rsidR="002449C2" w14:paraId="69583265" w14:textId="77777777">
        <w:trPr>
          <w:jc w:val="center"/>
        </w:trPr>
        <w:tc>
          <w:tcPr>
            <w:tcW w:w="2743" w:type="dxa"/>
            <w:tcBorders>
              <w:top w:val="single" w:sz="4" w:space="0" w:color="000000"/>
              <w:left w:val="single" w:sz="12" w:space="0" w:color="000000"/>
              <w:bottom w:val="single" w:sz="4" w:space="0" w:color="000000"/>
              <w:right w:val="single" w:sz="4" w:space="0" w:color="000000"/>
            </w:tcBorders>
          </w:tcPr>
          <w:p w14:paraId="2D84A530"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2022</w:t>
            </w:r>
          </w:p>
        </w:tc>
        <w:tc>
          <w:tcPr>
            <w:tcW w:w="1900" w:type="dxa"/>
            <w:tcBorders>
              <w:top w:val="single" w:sz="4" w:space="0" w:color="000000"/>
              <w:left w:val="single" w:sz="4" w:space="0" w:color="000000"/>
              <w:bottom w:val="single" w:sz="4" w:space="0" w:color="000000"/>
              <w:right w:val="single" w:sz="4" w:space="0" w:color="000000"/>
            </w:tcBorders>
          </w:tcPr>
          <w:p w14:paraId="54C1EE6A"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2</w:t>
            </w:r>
          </w:p>
        </w:tc>
        <w:tc>
          <w:tcPr>
            <w:tcW w:w="1547" w:type="dxa"/>
            <w:tcBorders>
              <w:top w:val="single" w:sz="4" w:space="0" w:color="000000"/>
              <w:left w:val="single" w:sz="4" w:space="0" w:color="000000"/>
              <w:bottom w:val="single" w:sz="4" w:space="0" w:color="000000"/>
              <w:right w:val="single" w:sz="4" w:space="0" w:color="000000"/>
            </w:tcBorders>
          </w:tcPr>
          <w:p w14:paraId="2EE43964"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2</w:t>
            </w:r>
          </w:p>
        </w:tc>
        <w:tc>
          <w:tcPr>
            <w:tcW w:w="1548" w:type="dxa"/>
            <w:tcBorders>
              <w:top w:val="single" w:sz="4" w:space="0" w:color="000000"/>
              <w:left w:val="single" w:sz="4" w:space="0" w:color="000000"/>
              <w:bottom w:val="single" w:sz="4" w:space="0" w:color="000000"/>
              <w:right w:val="single" w:sz="4" w:space="0" w:color="000000"/>
            </w:tcBorders>
          </w:tcPr>
          <w:p w14:paraId="047A85DA"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c>
          <w:tcPr>
            <w:tcW w:w="1724" w:type="dxa"/>
            <w:tcBorders>
              <w:top w:val="single" w:sz="4" w:space="0" w:color="000000"/>
              <w:left w:val="single" w:sz="4" w:space="0" w:color="000000"/>
              <w:bottom w:val="single" w:sz="4" w:space="0" w:color="000000"/>
              <w:right w:val="single" w:sz="12" w:space="0" w:color="000000"/>
            </w:tcBorders>
          </w:tcPr>
          <w:p w14:paraId="6B6DAB79"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2449C2" w14:paraId="111CFD0B" w14:textId="77777777">
        <w:trPr>
          <w:jc w:val="center"/>
        </w:trPr>
        <w:tc>
          <w:tcPr>
            <w:tcW w:w="2743" w:type="dxa"/>
            <w:tcBorders>
              <w:top w:val="single" w:sz="4" w:space="0" w:color="000000"/>
              <w:left w:val="single" w:sz="12" w:space="0" w:color="000000"/>
              <w:bottom w:val="single" w:sz="4" w:space="0" w:color="000000"/>
              <w:right w:val="single" w:sz="4" w:space="0" w:color="000000"/>
            </w:tcBorders>
          </w:tcPr>
          <w:p w14:paraId="77924D31" w14:textId="77777777" w:rsidR="002449C2" w:rsidRDefault="00123961">
            <w:pPr>
              <w:widowControl w:val="0"/>
              <w:shd w:val="clear" w:color="auto" w:fill="FFFFFF"/>
              <w:spacing w:after="0" w:line="240" w:lineRule="auto"/>
              <w:rPr>
                <w:rFonts w:ascii="Times New Roman" w:eastAsia="Times New Roman" w:hAnsi="Times New Roman"/>
                <w:sz w:val="20"/>
                <w:szCs w:val="20"/>
                <w:lang w:val="en-US" w:eastAsia="ar-SA"/>
              </w:rPr>
            </w:pPr>
            <w:r>
              <w:rPr>
                <w:rFonts w:ascii="Times New Roman" w:eastAsia="Times New Roman" w:hAnsi="Times New Roman"/>
                <w:sz w:val="20"/>
                <w:szCs w:val="20"/>
                <w:lang w:val="en-US" w:eastAsia="ar-SA"/>
              </w:rPr>
              <w:t>2023</w:t>
            </w:r>
          </w:p>
        </w:tc>
        <w:tc>
          <w:tcPr>
            <w:tcW w:w="1900" w:type="dxa"/>
            <w:tcBorders>
              <w:top w:val="single" w:sz="4" w:space="0" w:color="000000"/>
              <w:left w:val="single" w:sz="4" w:space="0" w:color="000000"/>
              <w:bottom w:val="single" w:sz="4" w:space="0" w:color="000000"/>
              <w:right w:val="single" w:sz="4" w:space="0" w:color="000000"/>
            </w:tcBorders>
          </w:tcPr>
          <w:p w14:paraId="42A83E59"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2</w:t>
            </w:r>
          </w:p>
        </w:tc>
        <w:tc>
          <w:tcPr>
            <w:tcW w:w="1547" w:type="dxa"/>
            <w:tcBorders>
              <w:top w:val="single" w:sz="4" w:space="0" w:color="000000"/>
              <w:left w:val="single" w:sz="4" w:space="0" w:color="000000"/>
              <w:bottom w:val="single" w:sz="4" w:space="0" w:color="000000"/>
              <w:right w:val="single" w:sz="4" w:space="0" w:color="000000"/>
            </w:tcBorders>
          </w:tcPr>
          <w:p w14:paraId="4B6CA563"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2</w:t>
            </w:r>
          </w:p>
        </w:tc>
        <w:tc>
          <w:tcPr>
            <w:tcW w:w="1548" w:type="dxa"/>
            <w:tcBorders>
              <w:top w:val="single" w:sz="4" w:space="0" w:color="000000"/>
              <w:left w:val="single" w:sz="4" w:space="0" w:color="000000"/>
              <w:bottom w:val="single" w:sz="4" w:space="0" w:color="000000"/>
              <w:right w:val="single" w:sz="4" w:space="0" w:color="000000"/>
            </w:tcBorders>
          </w:tcPr>
          <w:p w14:paraId="2211A4A1"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c>
          <w:tcPr>
            <w:tcW w:w="1724" w:type="dxa"/>
            <w:tcBorders>
              <w:top w:val="single" w:sz="4" w:space="0" w:color="000000"/>
              <w:left w:val="single" w:sz="4" w:space="0" w:color="000000"/>
              <w:bottom w:val="single" w:sz="4" w:space="0" w:color="000000"/>
              <w:right w:val="single" w:sz="12" w:space="0" w:color="000000"/>
            </w:tcBorders>
          </w:tcPr>
          <w:p w14:paraId="19E569EA"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2449C2" w14:paraId="6EEE7DAA" w14:textId="77777777">
        <w:trPr>
          <w:jc w:val="center"/>
        </w:trPr>
        <w:tc>
          <w:tcPr>
            <w:tcW w:w="2743" w:type="dxa"/>
            <w:tcBorders>
              <w:top w:val="single" w:sz="4" w:space="0" w:color="000000"/>
              <w:left w:val="single" w:sz="12" w:space="0" w:color="000000"/>
              <w:bottom w:val="single" w:sz="4" w:space="0" w:color="000000"/>
              <w:right w:val="single" w:sz="4" w:space="0" w:color="000000"/>
            </w:tcBorders>
          </w:tcPr>
          <w:p w14:paraId="202449F8"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2024</w:t>
            </w:r>
          </w:p>
        </w:tc>
        <w:tc>
          <w:tcPr>
            <w:tcW w:w="1900" w:type="dxa"/>
            <w:tcBorders>
              <w:top w:val="single" w:sz="4" w:space="0" w:color="000000"/>
              <w:left w:val="single" w:sz="4" w:space="0" w:color="000000"/>
              <w:bottom w:val="single" w:sz="4" w:space="0" w:color="000000"/>
              <w:right w:val="single" w:sz="4" w:space="0" w:color="000000"/>
            </w:tcBorders>
          </w:tcPr>
          <w:p w14:paraId="2B3660B3"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2</w:t>
            </w:r>
          </w:p>
        </w:tc>
        <w:tc>
          <w:tcPr>
            <w:tcW w:w="1547" w:type="dxa"/>
            <w:tcBorders>
              <w:top w:val="single" w:sz="4" w:space="0" w:color="000000"/>
              <w:left w:val="single" w:sz="4" w:space="0" w:color="000000"/>
              <w:bottom w:val="single" w:sz="4" w:space="0" w:color="000000"/>
              <w:right w:val="single" w:sz="4" w:space="0" w:color="000000"/>
            </w:tcBorders>
          </w:tcPr>
          <w:p w14:paraId="60286FF1"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2</w:t>
            </w:r>
          </w:p>
        </w:tc>
        <w:tc>
          <w:tcPr>
            <w:tcW w:w="1548" w:type="dxa"/>
            <w:tcBorders>
              <w:top w:val="single" w:sz="4" w:space="0" w:color="000000"/>
              <w:left w:val="single" w:sz="4" w:space="0" w:color="000000"/>
              <w:bottom w:val="single" w:sz="4" w:space="0" w:color="000000"/>
              <w:right w:val="single" w:sz="4" w:space="0" w:color="000000"/>
            </w:tcBorders>
          </w:tcPr>
          <w:p w14:paraId="0A5B643E"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c>
          <w:tcPr>
            <w:tcW w:w="1724" w:type="dxa"/>
            <w:tcBorders>
              <w:top w:val="single" w:sz="4" w:space="0" w:color="000000"/>
              <w:left w:val="single" w:sz="4" w:space="0" w:color="000000"/>
              <w:bottom w:val="single" w:sz="4" w:space="0" w:color="000000"/>
              <w:right w:val="single" w:sz="12" w:space="0" w:color="000000"/>
            </w:tcBorders>
          </w:tcPr>
          <w:p w14:paraId="6F216361"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2449C2" w14:paraId="1D124476" w14:textId="77777777">
        <w:trPr>
          <w:jc w:val="center"/>
        </w:trPr>
        <w:tc>
          <w:tcPr>
            <w:tcW w:w="9462" w:type="dxa"/>
            <w:gridSpan w:val="5"/>
            <w:tcBorders>
              <w:top w:val="single" w:sz="4" w:space="0" w:color="000000"/>
              <w:left w:val="single" w:sz="12" w:space="0" w:color="000000"/>
              <w:bottom w:val="single" w:sz="4" w:space="0" w:color="000000"/>
              <w:right w:val="single" w:sz="12" w:space="0" w:color="000000"/>
            </w:tcBorders>
          </w:tcPr>
          <w:p w14:paraId="4E57E5A8" w14:textId="77777777" w:rsidR="002449C2" w:rsidRDefault="00123961">
            <w:pPr>
              <w:widowControl w:val="0"/>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Система вознаграждения членов Совета директоров, исполнительных органов и иных ключевых руководящих работников Общества</w:t>
            </w:r>
          </w:p>
        </w:tc>
      </w:tr>
      <w:tr w:rsidR="002449C2" w14:paraId="5078C6F9" w14:textId="77777777">
        <w:trPr>
          <w:jc w:val="center"/>
        </w:trPr>
        <w:tc>
          <w:tcPr>
            <w:tcW w:w="2743" w:type="dxa"/>
            <w:tcBorders>
              <w:top w:val="single" w:sz="4" w:space="0" w:color="000000"/>
              <w:left w:val="single" w:sz="12" w:space="0" w:color="000000"/>
              <w:bottom w:val="single" w:sz="4" w:space="0" w:color="000000"/>
              <w:right w:val="single" w:sz="4" w:space="0" w:color="000000"/>
            </w:tcBorders>
          </w:tcPr>
          <w:p w14:paraId="60D921F5"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2022</w:t>
            </w:r>
          </w:p>
        </w:tc>
        <w:tc>
          <w:tcPr>
            <w:tcW w:w="1900" w:type="dxa"/>
            <w:tcBorders>
              <w:top w:val="single" w:sz="4" w:space="0" w:color="000000"/>
              <w:left w:val="single" w:sz="4" w:space="0" w:color="000000"/>
              <w:bottom w:val="single" w:sz="4" w:space="0" w:color="000000"/>
              <w:right w:val="single" w:sz="4" w:space="0" w:color="000000"/>
            </w:tcBorders>
          </w:tcPr>
          <w:p w14:paraId="04F88B99"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w:t>
            </w:r>
          </w:p>
        </w:tc>
        <w:tc>
          <w:tcPr>
            <w:tcW w:w="1547" w:type="dxa"/>
            <w:tcBorders>
              <w:top w:val="single" w:sz="4" w:space="0" w:color="000000"/>
              <w:left w:val="single" w:sz="4" w:space="0" w:color="000000"/>
              <w:bottom w:val="single" w:sz="4" w:space="0" w:color="000000"/>
              <w:right w:val="single" w:sz="4" w:space="0" w:color="000000"/>
            </w:tcBorders>
          </w:tcPr>
          <w:p w14:paraId="4E102D05"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7</w:t>
            </w:r>
          </w:p>
        </w:tc>
        <w:tc>
          <w:tcPr>
            <w:tcW w:w="1548" w:type="dxa"/>
            <w:tcBorders>
              <w:top w:val="single" w:sz="4" w:space="0" w:color="000000"/>
              <w:left w:val="single" w:sz="4" w:space="0" w:color="000000"/>
              <w:bottom w:val="single" w:sz="4" w:space="0" w:color="000000"/>
              <w:right w:val="single" w:sz="4" w:space="0" w:color="000000"/>
            </w:tcBorders>
          </w:tcPr>
          <w:p w14:paraId="5D9BFABF"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w:t>
            </w:r>
          </w:p>
        </w:tc>
        <w:tc>
          <w:tcPr>
            <w:tcW w:w="1724" w:type="dxa"/>
            <w:tcBorders>
              <w:top w:val="single" w:sz="4" w:space="0" w:color="000000"/>
              <w:left w:val="single" w:sz="4" w:space="0" w:color="000000"/>
              <w:bottom w:val="single" w:sz="4" w:space="0" w:color="000000"/>
              <w:right w:val="single" w:sz="12" w:space="0" w:color="000000"/>
            </w:tcBorders>
          </w:tcPr>
          <w:p w14:paraId="43EF5ABC"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r>
      <w:tr w:rsidR="002449C2" w14:paraId="5F9CF96A" w14:textId="77777777">
        <w:trPr>
          <w:jc w:val="center"/>
        </w:trPr>
        <w:tc>
          <w:tcPr>
            <w:tcW w:w="2743" w:type="dxa"/>
            <w:tcBorders>
              <w:top w:val="single" w:sz="4" w:space="0" w:color="000000"/>
              <w:left w:val="single" w:sz="12" w:space="0" w:color="000000"/>
              <w:bottom w:val="single" w:sz="4" w:space="0" w:color="000000"/>
              <w:right w:val="single" w:sz="4" w:space="0" w:color="000000"/>
            </w:tcBorders>
          </w:tcPr>
          <w:p w14:paraId="44760EC8" w14:textId="77777777" w:rsidR="002449C2" w:rsidRDefault="00123961">
            <w:pPr>
              <w:widowControl w:val="0"/>
              <w:shd w:val="clear" w:color="auto" w:fill="FFFFFF"/>
              <w:spacing w:after="0" w:line="240" w:lineRule="auto"/>
              <w:rPr>
                <w:rFonts w:ascii="Times New Roman" w:eastAsia="Times New Roman" w:hAnsi="Times New Roman"/>
                <w:sz w:val="20"/>
                <w:szCs w:val="20"/>
                <w:lang w:val="en-US" w:eastAsia="ar-SA"/>
              </w:rPr>
            </w:pPr>
            <w:r>
              <w:rPr>
                <w:rFonts w:ascii="Times New Roman" w:eastAsia="Times New Roman" w:hAnsi="Times New Roman"/>
                <w:sz w:val="20"/>
                <w:szCs w:val="20"/>
                <w:lang w:val="en-US" w:eastAsia="ar-SA"/>
              </w:rPr>
              <w:t>2023</w:t>
            </w:r>
          </w:p>
        </w:tc>
        <w:tc>
          <w:tcPr>
            <w:tcW w:w="1900" w:type="dxa"/>
            <w:tcBorders>
              <w:top w:val="single" w:sz="4" w:space="0" w:color="000000"/>
              <w:left w:val="single" w:sz="4" w:space="0" w:color="000000"/>
              <w:bottom w:val="single" w:sz="4" w:space="0" w:color="000000"/>
              <w:right w:val="single" w:sz="4" w:space="0" w:color="000000"/>
            </w:tcBorders>
          </w:tcPr>
          <w:p w14:paraId="0021DDB6"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w:t>
            </w:r>
          </w:p>
        </w:tc>
        <w:tc>
          <w:tcPr>
            <w:tcW w:w="1547" w:type="dxa"/>
            <w:tcBorders>
              <w:top w:val="single" w:sz="4" w:space="0" w:color="000000"/>
              <w:left w:val="single" w:sz="4" w:space="0" w:color="000000"/>
              <w:bottom w:val="single" w:sz="4" w:space="0" w:color="000000"/>
              <w:right w:val="single" w:sz="4" w:space="0" w:color="000000"/>
            </w:tcBorders>
          </w:tcPr>
          <w:p w14:paraId="2E43346F"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8</w:t>
            </w:r>
          </w:p>
        </w:tc>
        <w:tc>
          <w:tcPr>
            <w:tcW w:w="1548" w:type="dxa"/>
            <w:tcBorders>
              <w:top w:val="single" w:sz="4" w:space="0" w:color="000000"/>
              <w:left w:val="single" w:sz="4" w:space="0" w:color="000000"/>
              <w:bottom w:val="single" w:sz="4" w:space="0" w:color="000000"/>
              <w:right w:val="single" w:sz="4" w:space="0" w:color="000000"/>
            </w:tcBorders>
          </w:tcPr>
          <w:p w14:paraId="633F4B55"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c>
          <w:tcPr>
            <w:tcW w:w="1724" w:type="dxa"/>
            <w:tcBorders>
              <w:top w:val="single" w:sz="4" w:space="0" w:color="000000"/>
              <w:left w:val="single" w:sz="4" w:space="0" w:color="000000"/>
              <w:bottom w:val="single" w:sz="4" w:space="0" w:color="000000"/>
              <w:right w:val="single" w:sz="12" w:space="0" w:color="000000"/>
            </w:tcBorders>
          </w:tcPr>
          <w:p w14:paraId="0E39EF46"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r>
      <w:tr w:rsidR="002449C2" w14:paraId="2D83D46E" w14:textId="77777777">
        <w:trPr>
          <w:jc w:val="center"/>
        </w:trPr>
        <w:tc>
          <w:tcPr>
            <w:tcW w:w="2743" w:type="dxa"/>
            <w:tcBorders>
              <w:top w:val="single" w:sz="4" w:space="0" w:color="000000"/>
              <w:left w:val="single" w:sz="12" w:space="0" w:color="000000"/>
              <w:bottom w:val="single" w:sz="4" w:space="0" w:color="000000"/>
              <w:right w:val="single" w:sz="4" w:space="0" w:color="000000"/>
            </w:tcBorders>
          </w:tcPr>
          <w:p w14:paraId="24193F10"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2024</w:t>
            </w:r>
          </w:p>
        </w:tc>
        <w:tc>
          <w:tcPr>
            <w:tcW w:w="1900" w:type="dxa"/>
            <w:tcBorders>
              <w:top w:val="single" w:sz="4" w:space="0" w:color="000000"/>
              <w:left w:val="single" w:sz="4" w:space="0" w:color="000000"/>
              <w:bottom w:val="single" w:sz="4" w:space="0" w:color="000000"/>
              <w:right w:val="single" w:sz="4" w:space="0" w:color="000000"/>
            </w:tcBorders>
          </w:tcPr>
          <w:p w14:paraId="7794FD56"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w:t>
            </w:r>
          </w:p>
        </w:tc>
        <w:tc>
          <w:tcPr>
            <w:tcW w:w="1547" w:type="dxa"/>
            <w:tcBorders>
              <w:top w:val="single" w:sz="4" w:space="0" w:color="000000"/>
              <w:left w:val="single" w:sz="4" w:space="0" w:color="000000"/>
              <w:bottom w:val="single" w:sz="4" w:space="0" w:color="000000"/>
              <w:right w:val="single" w:sz="4" w:space="0" w:color="000000"/>
            </w:tcBorders>
          </w:tcPr>
          <w:p w14:paraId="29C7B2BF"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8</w:t>
            </w:r>
          </w:p>
        </w:tc>
        <w:tc>
          <w:tcPr>
            <w:tcW w:w="1548" w:type="dxa"/>
            <w:tcBorders>
              <w:top w:val="single" w:sz="4" w:space="0" w:color="000000"/>
              <w:left w:val="single" w:sz="4" w:space="0" w:color="000000"/>
              <w:bottom w:val="single" w:sz="4" w:space="0" w:color="000000"/>
              <w:right w:val="single" w:sz="4" w:space="0" w:color="000000"/>
            </w:tcBorders>
          </w:tcPr>
          <w:p w14:paraId="6D210F71"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c>
          <w:tcPr>
            <w:tcW w:w="1724" w:type="dxa"/>
            <w:tcBorders>
              <w:top w:val="single" w:sz="4" w:space="0" w:color="000000"/>
              <w:left w:val="single" w:sz="4" w:space="0" w:color="000000"/>
              <w:bottom w:val="single" w:sz="4" w:space="0" w:color="000000"/>
              <w:right w:val="single" w:sz="12" w:space="0" w:color="000000"/>
            </w:tcBorders>
          </w:tcPr>
          <w:p w14:paraId="285A5BE3"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r>
      <w:tr w:rsidR="002449C2" w14:paraId="087D216B" w14:textId="77777777">
        <w:trPr>
          <w:jc w:val="center"/>
        </w:trPr>
        <w:tc>
          <w:tcPr>
            <w:tcW w:w="9462" w:type="dxa"/>
            <w:gridSpan w:val="5"/>
            <w:tcBorders>
              <w:top w:val="single" w:sz="4" w:space="0" w:color="000000"/>
              <w:left w:val="single" w:sz="12" w:space="0" w:color="000000"/>
              <w:bottom w:val="single" w:sz="4" w:space="0" w:color="000000"/>
              <w:right w:val="single" w:sz="12" w:space="0" w:color="000000"/>
            </w:tcBorders>
          </w:tcPr>
          <w:p w14:paraId="357945F2" w14:textId="77777777" w:rsidR="002449C2" w:rsidRDefault="00123961">
            <w:pPr>
              <w:widowControl w:val="0"/>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Система управления рисками и внутреннего контроля</w:t>
            </w:r>
          </w:p>
        </w:tc>
      </w:tr>
      <w:tr w:rsidR="002449C2" w14:paraId="37E0CD9A" w14:textId="77777777">
        <w:trPr>
          <w:jc w:val="center"/>
        </w:trPr>
        <w:tc>
          <w:tcPr>
            <w:tcW w:w="2743" w:type="dxa"/>
            <w:tcBorders>
              <w:top w:val="single" w:sz="4" w:space="0" w:color="000000"/>
              <w:left w:val="single" w:sz="12" w:space="0" w:color="000000"/>
              <w:bottom w:val="single" w:sz="4" w:space="0" w:color="000000"/>
              <w:right w:val="single" w:sz="4" w:space="0" w:color="000000"/>
            </w:tcBorders>
          </w:tcPr>
          <w:p w14:paraId="4377CACE"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2022</w:t>
            </w:r>
          </w:p>
        </w:tc>
        <w:tc>
          <w:tcPr>
            <w:tcW w:w="1900" w:type="dxa"/>
            <w:tcBorders>
              <w:top w:val="single" w:sz="4" w:space="0" w:color="000000"/>
              <w:left w:val="single" w:sz="4" w:space="0" w:color="000000"/>
              <w:bottom w:val="single" w:sz="4" w:space="0" w:color="000000"/>
              <w:right w:val="single" w:sz="4" w:space="0" w:color="000000"/>
            </w:tcBorders>
          </w:tcPr>
          <w:p w14:paraId="65AC1EDE"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6</w:t>
            </w:r>
          </w:p>
        </w:tc>
        <w:tc>
          <w:tcPr>
            <w:tcW w:w="1547" w:type="dxa"/>
            <w:tcBorders>
              <w:top w:val="single" w:sz="4" w:space="0" w:color="000000"/>
              <w:left w:val="single" w:sz="4" w:space="0" w:color="000000"/>
              <w:bottom w:val="single" w:sz="4" w:space="0" w:color="000000"/>
              <w:right w:val="single" w:sz="4" w:space="0" w:color="000000"/>
            </w:tcBorders>
          </w:tcPr>
          <w:p w14:paraId="17292948"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6</w:t>
            </w:r>
          </w:p>
        </w:tc>
        <w:tc>
          <w:tcPr>
            <w:tcW w:w="1548" w:type="dxa"/>
            <w:tcBorders>
              <w:top w:val="single" w:sz="4" w:space="0" w:color="000000"/>
              <w:left w:val="single" w:sz="4" w:space="0" w:color="000000"/>
              <w:bottom w:val="single" w:sz="4" w:space="0" w:color="000000"/>
              <w:right w:val="single" w:sz="4" w:space="0" w:color="000000"/>
            </w:tcBorders>
          </w:tcPr>
          <w:p w14:paraId="21216196"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c>
          <w:tcPr>
            <w:tcW w:w="1724" w:type="dxa"/>
            <w:tcBorders>
              <w:top w:val="single" w:sz="4" w:space="0" w:color="000000"/>
              <w:left w:val="single" w:sz="4" w:space="0" w:color="000000"/>
              <w:bottom w:val="single" w:sz="4" w:space="0" w:color="000000"/>
              <w:right w:val="single" w:sz="12" w:space="0" w:color="000000"/>
            </w:tcBorders>
          </w:tcPr>
          <w:p w14:paraId="18A97456"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r>
      <w:tr w:rsidR="002449C2" w14:paraId="027FEB24" w14:textId="77777777">
        <w:trPr>
          <w:jc w:val="center"/>
        </w:trPr>
        <w:tc>
          <w:tcPr>
            <w:tcW w:w="2743" w:type="dxa"/>
            <w:tcBorders>
              <w:top w:val="single" w:sz="4" w:space="0" w:color="000000"/>
              <w:left w:val="single" w:sz="12" w:space="0" w:color="000000"/>
              <w:bottom w:val="single" w:sz="4" w:space="0" w:color="000000"/>
              <w:right w:val="single" w:sz="4" w:space="0" w:color="000000"/>
            </w:tcBorders>
          </w:tcPr>
          <w:p w14:paraId="463C55ED" w14:textId="77777777" w:rsidR="002449C2" w:rsidRDefault="00123961">
            <w:pPr>
              <w:widowControl w:val="0"/>
              <w:shd w:val="clear" w:color="auto" w:fill="FFFFFF"/>
              <w:spacing w:after="0" w:line="240" w:lineRule="auto"/>
              <w:rPr>
                <w:rFonts w:ascii="Times New Roman" w:eastAsia="Times New Roman" w:hAnsi="Times New Roman"/>
                <w:sz w:val="20"/>
                <w:szCs w:val="20"/>
                <w:lang w:val="en-US" w:eastAsia="ar-SA"/>
              </w:rPr>
            </w:pPr>
            <w:r>
              <w:rPr>
                <w:rFonts w:ascii="Times New Roman" w:eastAsia="Times New Roman" w:hAnsi="Times New Roman"/>
                <w:sz w:val="20"/>
                <w:szCs w:val="20"/>
                <w:lang w:val="en-US" w:eastAsia="ar-SA"/>
              </w:rPr>
              <w:t>2023</w:t>
            </w:r>
          </w:p>
        </w:tc>
        <w:tc>
          <w:tcPr>
            <w:tcW w:w="1900" w:type="dxa"/>
            <w:tcBorders>
              <w:top w:val="single" w:sz="4" w:space="0" w:color="000000"/>
              <w:left w:val="single" w:sz="4" w:space="0" w:color="000000"/>
              <w:bottom w:val="single" w:sz="4" w:space="0" w:color="000000"/>
              <w:right w:val="single" w:sz="4" w:space="0" w:color="000000"/>
            </w:tcBorders>
          </w:tcPr>
          <w:p w14:paraId="13B93BCB"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6</w:t>
            </w:r>
          </w:p>
        </w:tc>
        <w:tc>
          <w:tcPr>
            <w:tcW w:w="1547" w:type="dxa"/>
            <w:tcBorders>
              <w:top w:val="single" w:sz="4" w:space="0" w:color="000000"/>
              <w:left w:val="single" w:sz="4" w:space="0" w:color="000000"/>
              <w:bottom w:val="single" w:sz="4" w:space="0" w:color="000000"/>
              <w:right w:val="single" w:sz="4" w:space="0" w:color="000000"/>
            </w:tcBorders>
          </w:tcPr>
          <w:p w14:paraId="4437944B"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6</w:t>
            </w:r>
          </w:p>
        </w:tc>
        <w:tc>
          <w:tcPr>
            <w:tcW w:w="1548" w:type="dxa"/>
            <w:tcBorders>
              <w:top w:val="single" w:sz="4" w:space="0" w:color="000000"/>
              <w:left w:val="single" w:sz="4" w:space="0" w:color="000000"/>
              <w:bottom w:val="single" w:sz="4" w:space="0" w:color="000000"/>
              <w:right w:val="single" w:sz="4" w:space="0" w:color="000000"/>
            </w:tcBorders>
          </w:tcPr>
          <w:p w14:paraId="2340C7E8"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c>
          <w:tcPr>
            <w:tcW w:w="1724" w:type="dxa"/>
            <w:tcBorders>
              <w:top w:val="single" w:sz="4" w:space="0" w:color="000000"/>
              <w:left w:val="single" w:sz="4" w:space="0" w:color="000000"/>
              <w:bottom w:val="single" w:sz="4" w:space="0" w:color="000000"/>
              <w:right w:val="single" w:sz="12" w:space="0" w:color="000000"/>
            </w:tcBorders>
          </w:tcPr>
          <w:p w14:paraId="0741CDC6"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r>
      <w:tr w:rsidR="002449C2" w14:paraId="59FC3D20" w14:textId="77777777">
        <w:trPr>
          <w:jc w:val="center"/>
        </w:trPr>
        <w:tc>
          <w:tcPr>
            <w:tcW w:w="2743" w:type="dxa"/>
            <w:tcBorders>
              <w:top w:val="single" w:sz="4" w:space="0" w:color="000000"/>
              <w:left w:val="single" w:sz="12" w:space="0" w:color="000000"/>
              <w:bottom w:val="single" w:sz="4" w:space="0" w:color="000000"/>
              <w:right w:val="single" w:sz="4" w:space="0" w:color="000000"/>
            </w:tcBorders>
          </w:tcPr>
          <w:p w14:paraId="006C7F20"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2024</w:t>
            </w:r>
          </w:p>
        </w:tc>
        <w:tc>
          <w:tcPr>
            <w:tcW w:w="1900" w:type="dxa"/>
            <w:tcBorders>
              <w:top w:val="single" w:sz="4" w:space="0" w:color="000000"/>
              <w:left w:val="single" w:sz="4" w:space="0" w:color="000000"/>
              <w:bottom w:val="single" w:sz="4" w:space="0" w:color="000000"/>
              <w:right w:val="single" w:sz="4" w:space="0" w:color="000000"/>
            </w:tcBorders>
          </w:tcPr>
          <w:p w14:paraId="5D55A732"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6</w:t>
            </w:r>
          </w:p>
        </w:tc>
        <w:tc>
          <w:tcPr>
            <w:tcW w:w="1547" w:type="dxa"/>
            <w:tcBorders>
              <w:top w:val="single" w:sz="4" w:space="0" w:color="000000"/>
              <w:left w:val="single" w:sz="4" w:space="0" w:color="000000"/>
              <w:bottom w:val="single" w:sz="4" w:space="0" w:color="000000"/>
              <w:right w:val="single" w:sz="4" w:space="0" w:color="000000"/>
            </w:tcBorders>
          </w:tcPr>
          <w:p w14:paraId="39FC1F52"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6</w:t>
            </w:r>
          </w:p>
        </w:tc>
        <w:tc>
          <w:tcPr>
            <w:tcW w:w="1548" w:type="dxa"/>
            <w:tcBorders>
              <w:top w:val="single" w:sz="4" w:space="0" w:color="000000"/>
              <w:left w:val="single" w:sz="4" w:space="0" w:color="000000"/>
              <w:bottom w:val="single" w:sz="4" w:space="0" w:color="000000"/>
              <w:right w:val="single" w:sz="4" w:space="0" w:color="000000"/>
            </w:tcBorders>
          </w:tcPr>
          <w:p w14:paraId="184A64AF"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c>
          <w:tcPr>
            <w:tcW w:w="1724" w:type="dxa"/>
            <w:tcBorders>
              <w:top w:val="single" w:sz="4" w:space="0" w:color="000000"/>
              <w:left w:val="single" w:sz="4" w:space="0" w:color="000000"/>
              <w:bottom w:val="single" w:sz="4" w:space="0" w:color="000000"/>
              <w:right w:val="single" w:sz="12" w:space="0" w:color="000000"/>
            </w:tcBorders>
          </w:tcPr>
          <w:p w14:paraId="79054385"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r>
      <w:tr w:rsidR="002449C2" w14:paraId="74A9DF6A" w14:textId="77777777">
        <w:trPr>
          <w:jc w:val="center"/>
        </w:trPr>
        <w:tc>
          <w:tcPr>
            <w:tcW w:w="9462" w:type="dxa"/>
            <w:gridSpan w:val="5"/>
            <w:tcBorders>
              <w:top w:val="single" w:sz="4" w:space="0" w:color="000000"/>
              <w:left w:val="single" w:sz="12" w:space="0" w:color="000000"/>
              <w:bottom w:val="single" w:sz="4" w:space="0" w:color="000000"/>
              <w:right w:val="single" w:sz="12" w:space="0" w:color="000000"/>
            </w:tcBorders>
          </w:tcPr>
          <w:p w14:paraId="3CC1DF8C" w14:textId="77777777" w:rsidR="002449C2" w:rsidRDefault="00123961">
            <w:pPr>
              <w:widowControl w:val="0"/>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Раскрытие информации об Обществе, информационная политика Общества</w:t>
            </w:r>
          </w:p>
        </w:tc>
      </w:tr>
      <w:tr w:rsidR="002449C2" w14:paraId="4FA3B001" w14:textId="77777777">
        <w:trPr>
          <w:jc w:val="center"/>
        </w:trPr>
        <w:tc>
          <w:tcPr>
            <w:tcW w:w="2743" w:type="dxa"/>
            <w:tcBorders>
              <w:top w:val="single" w:sz="4" w:space="0" w:color="000000"/>
              <w:left w:val="single" w:sz="12" w:space="0" w:color="000000"/>
              <w:bottom w:val="single" w:sz="4" w:space="0" w:color="000000"/>
              <w:right w:val="single" w:sz="4" w:space="0" w:color="000000"/>
            </w:tcBorders>
          </w:tcPr>
          <w:p w14:paraId="33ECD261" w14:textId="77777777" w:rsidR="002449C2" w:rsidRDefault="00123961">
            <w:pPr>
              <w:widowControl w:val="0"/>
              <w:shd w:val="clear" w:color="auto" w:fill="FFFFFF"/>
              <w:spacing w:after="0" w:line="240" w:lineRule="auto"/>
              <w:rPr>
                <w:rFonts w:ascii="Times New Roman" w:eastAsia="Arial" w:hAnsi="Times New Roman"/>
                <w:sz w:val="20"/>
                <w:szCs w:val="20"/>
                <w:lang w:eastAsia="en-US"/>
              </w:rPr>
            </w:pPr>
            <w:r>
              <w:rPr>
                <w:rFonts w:ascii="Times New Roman" w:eastAsia="Times New Roman" w:hAnsi="Times New Roman"/>
                <w:sz w:val="20"/>
                <w:szCs w:val="20"/>
                <w:lang w:eastAsia="ar-SA"/>
              </w:rPr>
              <w:t>20</w:t>
            </w:r>
            <w:r>
              <w:rPr>
                <w:rFonts w:ascii="Times New Roman" w:eastAsia="Times New Roman" w:hAnsi="Times New Roman"/>
                <w:sz w:val="20"/>
                <w:szCs w:val="20"/>
                <w:lang w:val="en-US" w:eastAsia="ar-SA"/>
              </w:rPr>
              <w:t>22</w:t>
            </w:r>
          </w:p>
        </w:tc>
        <w:tc>
          <w:tcPr>
            <w:tcW w:w="1900" w:type="dxa"/>
            <w:tcBorders>
              <w:top w:val="single" w:sz="4" w:space="0" w:color="000000"/>
              <w:left w:val="single" w:sz="4" w:space="0" w:color="000000"/>
              <w:bottom w:val="single" w:sz="4" w:space="0" w:color="000000"/>
              <w:right w:val="single" w:sz="4" w:space="0" w:color="000000"/>
            </w:tcBorders>
          </w:tcPr>
          <w:p w14:paraId="1F4FAA3B"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7</w:t>
            </w:r>
          </w:p>
        </w:tc>
        <w:tc>
          <w:tcPr>
            <w:tcW w:w="1547" w:type="dxa"/>
            <w:tcBorders>
              <w:top w:val="single" w:sz="4" w:space="0" w:color="000000"/>
              <w:left w:val="single" w:sz="4" w:space="0" w:color="000000"/>
              <w:bottom w:val="single" w:sz="4" w:space="0" w:color="000000"/>
              <w:right w:val="single" w:sz="4" w:space="0" w:color="000000"/>
            </w:tcBorders>
          </w:tcPr>
          <w:p w14:paraId="4E426EDA"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7</w:t>
            </w:r>
          </w:p>
        </w:tc>
        <w:tc>
          <w:tcPr>
            <w:tcW w:w="1548" w:type="dxa"/>
            <w:tcBorders>
              <w:top w:val="single" w:sz="4" w:space="0" w:color="000000"/>
              <w:left w:val="single" w:sz="4" w:space="0" w:color="000000"/>
              <w:bottom w:val="single" w:sz="4" w:space="0" w:color="000000"/>
              <w:right w:val="single" w:sz="4" w:space="0" w:color="000000"/>
            </w:tcBorders>
          </w:tcPr>
          <w:p w14:paraId="65A37DBB"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724" w:type="dxa"/>
            <w:tcBorders>
              <w:top w:val="single" w:sz="4" w:space="0" w:color="000000"/>
              <w:left w:val="single" w:sz="4" w:space="0" w:color="000000"/>
              <w:bottom w:val="single" w:sz="4" w:space="0" w:color="000000"/>
              <w:right w:val="single" w:sz="12" w:space="0" w:color="000000"/>
            </w:tcBorders>
          </w:tcPr>
          <w:p w14:paraId="4C1B5549"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r>
      <w:tr w:rsidR="002449C2" w14:paraId="13DC0DCF" w14:textId="77777777">
        <w:trPr>
          <w:jc w:val="center"/>
        </w:trPr>
        <w:tc>
          <w:tcPr>
            <w:tcW w:w="2743" w:type="dxa"/>
            <w:tcBorders>
              <w:top w:val="single" w:sz="4" w:space="0" w:color="000000"/>
              <w:left w:val="single" w:sz="12" w:space="0" w:color="000000"/>
              <w:bottom w:val="single" w:sz="4" w:space="0" w:color="000000"/>
              <w:right w:val="single" w:sz="4" w:space="0" w:color="000000"/>
            </w:tcBorders>
          </w:tcPr>
          <w:p w14:paraId="55A3F213" w14:textId="77777777" w:rsidR="002449C2" w:rsidRDefault="00123961">
            <w:pPr>
              <w:widowControl w:val="0"/>
              <w:shd w:val="clear" w:color="auto" w:fill="FFFFFF"/>
              <w:spacing w:after="0" w:line="240" w:lineRule="auto"/>
              <w:rPr>
                <w:rFonts w:ascii="Times New Roman" w:eastAsia="Arial" w:hAnsi="Times New Roman"/>
                <w:sz w:val="20"/>
                <w:szCs w:val="20"/>
                <w:lang w:eastAsia="en-US"/>
              </w:rPr>
            </w:pPr>
            <w:r>
              <w:rPr>
                <w:rFonts w:ascii="Times New Roman" w:eastAsia="Times New Roman" w:hAnsi="Times New Roman"/>
                <w:sz w:val="20"/>
                <w:szCs w:val="20"/>
                <w:lang w:val="en-US" w:eastAsia="ar-SA"/>
              </w:rPr>
              <w:t>2023</w:t>
            </w:r>
          </w:p>
        </w:tc>
        <w:tc>
          <w:tcPr>
            <w:tcW w:w="1900" w:type="dxa"/>
            <w:tcBorders>
              <w:top w:val="single" w:sz="4" w:space="0" w:color="000000"/>
              <w:left w:val="single" w:sz="4" w:space="0" w:color="000000"/>
              <w:bottom w:val="single" w:sz="4" w:space="0" w:color="000000"/>
              <w:right w:val="single" w:sz="4" w:space="0" w:color="000000"/>
            </w:tcBorders>
          </w:tcPr>
          <w:p w14:paraId="0D8AA955" w14:textId="77777777" w:rsidR="002449C2" w:rsidRDefault="00123961">
            <w:pPr>
              <w:widowControl w:val="0"/>
              <w:shd w:val="clear" w:color="auto" w:fill="FFFFFF"/>
              <w:spacing w:after="0" w:line="240" w:lineRule="auto"/>
              <w:jc w:val="center"/>
              <w:rPr>
                <w:rFonts w:ascii="Cambria" w:eastAsia="Times New Roman" w:hAnsi="Cambria"/>
                <w:sz w:val="20"/>
                <w:szCs w:val="20"/>
                <w:lang w:eastAsia="ar-SA"/>
              </w:rPr>
            </w:pPr>
            <w:r>
              <w:rPr>
                <w:rFonts w:ascii="Cambria" w:eastAsia="Times New Roman" w:hAnsi="Cambria"/>
                <w:sz w:val="20"/>
                <w:szCs w:val="20"/>
                <w:lang w:eastAsia="ar-SA"/>
              </w:rPr>
              <w:t>7</w:t>
            </w:r>
          </w:p>
        </w:tc>
        <w:tc>
          <w:tcPr>
            <w:tcW w:w="1547" w:type="dxa"/>
            <w:tcBorders>
              <w:top w:val="single" w:sz="4" w:space="0" w:color="000000"/>
              <w:left w:val="single" w:sz="4" w:space="0" w:color="000000"/>
              <w:bottom w:val="single" w:sz="4" w:space="0" w:color="000000"/>
              <w:right w:val="single" w:sz="4" w:space="0" w:color="000000"/>
            </w:tcBorders>
          </w:tcPr>
          <w:p w14:paraId="1B8EE0F9" w14:textId="77777777" w:rsidR="002449C2" w:rsidRDefault="00123961">
            <w:pPr>
              <w:widowControl w:val="0"/>
              <w:shd w:val="clear" w:color="auto" w:fill="FFFFFF"/>
              <w:spacing w:after="0" w:line="240" w:lineRule="auto"/>
              <w:jc w:val="center"/>
              <w:rPr>
                <w:rFonts w:ascii="Cambria" w:eastAsia="Times New Roman" w:hAnsi="Cambria"/>
                <w:sz w:val="20"/>
                <w:szCs w:val="20"/>
                <w:lang w:eastAsia="ar-SA"/>
              </w:rPr>
            </w:pPr>
            <w:r>
              <w:rPr>
                <w:rFonts w:ascii="Cambria" w:eastAsia="Times New Roman" w:hAnsi="Cambria"/>
                <w:sz w:val="20"/>
                <w:szCs w:val="20"/>
                <w:lang w:eastAsia="ar-SA"/>
              </w:rPr>
              <w:t>7</w:t>
            </w:r>
          </w:p>
        </w:tc>
        <w:tc>
          <w:tcPr>
            <w:tcW w:w="1548" w:type="dxa"/>
            <w:tcBorders>
              <w:top w:val="single" w:sz="4" w:space="0" w:color="000000"/>
              <w:left w:val="single" w:sz="4" w:space="0" w:color="000000"/>
              <w:bottom w:val="single" w:sz="4" w:space="0" w:color="000000"/>
              <w:right w:val="single" w:sz="4" w:space="0" w:color="000000"/>
            </w:tcBorders>
          </w:tcPr>
          <w:p w14:paraId="535961AF" w14:textId="77777777" w:rsidR="002449C2" w:rsidRDefault="00123961">
            <w:pPr>
              <w:widowControl w:val="0"/>
              <w:shd w:val="clear" w:color="auto" w:fill="FFFFFF"/>
              <w:spacing w:after="0" w:line="240" w:lineRule="auto"/>
              <w:jc w:val="center"/>
              <w:rPr>
                <w:rFonts w:ascii="Cambria" w:eastAsia="Times New Roman" w:hAnsi="Cambria"/>
                <w:sz w:val="20"/>
                <w:szCs w:val="20"/>
                <w:lang w:eastAsia="ru-RU"/>
              </w:rPr>
            </w:pPr>
            <w:r>
              <w:rPr>
                <w:rFonts w:ascii="Cambria" w:eastAsia="Times New Roman" w:hAnsi="Cambria"/>
                <w:sz w:val="20"/>
                <w:szCs w:val="20"/>
                <w:lang w:eastAsia="ru-RU"/>
              </w:rPr>
              <w:t>-</w:t>
            </w:r>
          </w:p>
        </w:tc>
        <w:tc>
          <w:tcPr>
            <w:tcW w:w="1724" w:type="dxa"/>
            <w:tcBorders>
              <w:top w:val="single" w:sz="4" w:space="0" w:color="000000"/>
              <w:left w:val="single" w:sz="4" w:space="0" w:color="000000"/>
              <w:bottom w:val="single" w:sz="4" w:space="0" w:color="000000"/>
              <w:right w:val="single" w:sz="12" w:space="0" w:color="000000"/>
            </w:tcBorders>
          </w:tcPr>
          <w:p w14:paraId="27055D61" w14:textId="77777777" w:rsidR="002449C2" w:rsidRDefault="00123961">
            <w:pPr>
              <w:widowControl w:val="0"/>
              <w:shd w:val="clear" w:color="auto" w:fill="FFFFFF"/>
              <w:spacing w:after="0" w:line="240" w:lineRule="auto"/>
              <w:jc w:val="center"/>
              <w:rPr>
                <w:rFonts w:ascii="Cambria" w:eastAsia="Times New Roman" w:hAnsi="Cambria"/>
                <w:sz w:val="20"/>
                <w:szCs w:val="20"/>
                <w:lang w:eastAsia="ar-SA"/>
              </w:rPr>
            </w:pPr>
            <w:r>
              <w:rPr>
                <w:rFonts w:ascii="Cambria" w:eastAsia="Times New Roman" w:hAnsi="Cambria"/>
                <w:sz w:val="20"/>
                <w:szCs w:val="20"/>
                <w:lang w:eastAsia="ar-SA"/>
              </w:rPr>
              <w:t>-</w:t>
            </w:r>
          </w:p>
        </w:tc>
      </w:tr>
      <w:tr w:rsidR="002449C2" w14:paraId="1D14A801" w14:textId="77777777">
        <w:trPr>
          <w:jc w:val="center"/>
        </w:trPr>
        <w:tc>
          <w:tcPr>
            <w:tcW w:w="2743" w:type="dxa"/>
            <w:tcBorders>
              <w:top w:val="single" w:sz="4" w:space="0" w:color="000000"/>
              <w:left w:val="single" w:sz="12" w:space="0" w:color="000000"/>
              <w:bottom w:val="single" w:sz="4" w:space="0" w:color="000000"/>
              <w:right w:val="single" w:sz="4" w:space="0" w:color="000000"/>
            </w:tcBorders>
          </w:tcPr>
          <w:p w14:paraId="7C0A812F" w14:textId="77777777" w:rsidR="002449C2" w:rsidRDefault="00123961">
            <w:pPr>
              <w:widowControl w:val="0"/>
              <w:shd w:val="clear" w:color="auto" w:fill="FFFFFF"/>
              <w:spacing w:after="0" w:line="240" w:lineRule="auto"/>
              <w:rPr>
                <w:rFonts w:ascii="Times New Roman" w:eastAsia="Arial" w:hAnsi="Times New Roman"/>
                <w:sz w:val="20"/>
                <w:szCs w:val="20"/>
                <w:lang w:eastAsia="en-US"/>
              </w:rPr>
            </w:pPr>
            <w:r>
              <w:rPr>
                <w:rFonts w:ascii="Times New Roman" w:eastAsia="Times New Roman" w:hAnsi="Times New Roman"/>
                <w:sz w:val="20"/>
                <w:szCs w:val="20"/>
                <w:lang w:eastAsia="ar-SA"/>
              </w:rPr>
              <w:t>2024</w:t>
            </w:r>
          </w:p>
        </w:tc>
        <w:tc>
          <w:tcPr>
            <w:tcW w:w="1900" w:type="dxa"/>
            <w:tcBorders>
              <w:top w:val="single" w:sz="4" w:space="0" w:color="000000"/>
              <w:left w:val="single" w:sz="4" w:space="0" w:color="000000"/>
              <w:bottom w:val="single" w:sz="4" w:space="0" w:color="000000"/>
              <w:right w:val="single" w:sz="4" w:space="0" w:color="000000"/>
            </w:tcBorders>
          </w:tcPr>
          <w:p w14:paraId="3A0AD0C0"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7</w:t>
            </w:r>
          </w:p>
        </w:tc>
        <w:tc>
          <w:tcPr>
            <w:tcW w:w="1547" w:type="dxa"/>
            <w:tcBorders>
              <w:top w:val="single" w:sz="4" w:space="0" w:color="000000"/>
              <w:left w:val="single" w:sz="4" w:space="0" w:color="000000"/>
              <w:bottom w:val="single" w:sz="4" w:space="0" w:color="000000"/>
              <w:right w:val="single" w:sz="4" w:space="0" w:color="000000"/>
            </w:tcBorders>
          </w:tcPr>
          <w:p w14:paraId="4BF72626"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7</w:t>
            </w:r>
          </w:p>
        </w:tc>
        <w:tc>
          <w:tcPr>
            <w:tcW w:w="1548" w:type="dxa"/>
            <w:tcBorders>
              <w:top w:val="single" w:sz="4" w:space="0" w:color="000000"/>
              <w:left w:val="single" w:sz="4" w:space="0" w:color="000000"/>
              <w:bottom w:val="single" w:sz="4" w:space="0" w:color="000000"/>
              <w:right w:val="single" w:sz="4" w:space="0" w:color="000000"/>
            </w:tcBorders>
          </w:tcPr>
          <w:p w14:paraId="637F55D2"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724" w:type="dxa"/>
            <w:tcBorders>
              <w:top w:val="single" w:sz="4" w:space="0" w:color="000000"/>
              <w:left w:val="single" w:sz="4" w:space="0" w:color="000000"/>
              <w:bottom w:val="single" w:sz="4" w:space="0" w:color="000000"/>
              <w:right w:val="single" w:sz="12" w:space="0" w:color="000000"/>
            </w:tcBorders>
          </w:tcPr>
          <w:p w14:paraId="270C4736"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r>
      <w:tr w:rsidR="002449C2" w14:paraId="4572F996" w14:textId="77777777">
        <w:trPr>
          <w:jc w:val="center"/>
        </w:trPr>
        <w:tc>
          <w:tcPr>
            <w:tcW w:w="9462" w:type="dxa"/>
            <w:gridSpan w:val="5"/>
            <w:tcBorders>
              <w:top w:val="single" w:sz="4" w:space="0" w:color="000000"/>
              <w:left w:val="single" w:sz="12" w:space="0" w:color="000000"/>
              <w:bottom w:val="single" w:sz="4" w:space="0" w:color="000000"/>
              <w:right w:val="single" w:sz="12" w:space="0" w:color="000000"/>
            </w:tcBorders>
          </w:tcPr>
          <w:p w14:paraId="3C7DE97B" w14:textId="77777777" w:rsidR="002449C2" w:rsidRDefault="00123961">
            <w:pPr>
              <w:widowControl w:val="0"/>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Существенные корпоративные действия</w:t>
            </w:r>
          </w:p>
        </w:tc>
      </w:tr>
      <w:tr w:rsidR="002449C2" w14:paraId="6BB3F332" w14:textId="77777777">
        <w:trPr>
          <w:jc w:val="center"/>
        </w:trPr>
        <w:tc>
          <w:tcPr>
            <w:tcW w:w="2743" w:type="dxa"/>
            <w:tcBorders>
              <w:top w:val="single" w:sz="4" w:space="0" w:color="000000"/>
              <w:left w:val="single" w:sz="12" w:space="0" w:color="000000"/>
              <w:bottom w:val="single" w:sz="4" w:space="0" w:color="000000"/>
              <w:right w:val="single" w:sz="4" w:space="0" w:color="000000"/>
            </w:tcBorders>
          </w:tcPr>
          <w:p w14:paraId="66DDCA87"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20</w:t>
            </w:r>
            <w:r>
              <w:rPr>
                <w:rFonts w:ascii="Times New Roman" w:eastAsia="Times New Roman" w:hAnsi="Times New Roman"/>
                <w:sz w:val="20"/>
                <w:szCs w:val="20"/>
                <w:lang w:val="en-US" w:eastAsia="ar-SA"/>
              </w:rPr>
              <w:t>22</w:t>
            </w:r>
          </w:p>
        </w:tc>
        <w:tc>
          <w:tcPr>
            <w:tcW w:w="1900" w:type="dxa"/>
            <w:tcBorders>
              <w:top w:val="single" w:sz="4" w:space="0" w:color="000000"/>
              <w:left w:val="single" w:sz="4" w:space="0" w:color="000000"/>
              <w:bottom w:val="single" w:sz="4" w:space="0" w:color="000000"/>
              <w:right w:val="single" w:sz="4" w:space="0" w:color="000000"/>
            </w:tcBorders>
          </w:tcPr>
          <w:p w14:paraId="65AF917B"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5</w:t>
            </w:r>
          </w:p>
        </w:tc>
        <w:tc>
          <w:tcPr>
            <w:tcW w:w="1547" w:type="dxa"/>
            <w:tcBorders>
              <w:top w:val="single" w:sz="4" w:space="0" w:color="000000"/>
              <w:left w:val="single" w:sz="4" w:space="0" w:color="000000"/>
              <w:bottom w:val="single" w:sz="4" w:space="0" w:color="000000"/>
              <w:right w:val="single" w:sz="4" w:space="0" w:color="000000"/>
            </w:tcBorders>
          </w:tcPr>
          <w:p w14:paraId="1B6CFFDE"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w:t>
            </w:r>
          </w:p>
        </w:tc>
        <w:tc>
          <w:tcPr>
            <w:tcW w:w="1548" w:type="dxa"/>
            <w:tcBorders>
              <w:top w:val="single" w:sz="4" w:space="0" w:color="000000"/>
              <w:left w:val="single" w:sz="4" w:space="0" w:color="000000"/>
              <w:bottom w:val="single" w:sz="4" w:space="0" w:color="000000"/>
              <w:right w:val="single" w:sz="4" w:space="0" w:color="000000"/>
            </w:tcBorders>
          </w:tcPr>
          <w:p w14:paraId="3FA09581"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1724" w:type="dxa"/>
            <w:tcBorders>
              <w:top w:val="single" w:sz="4" w:space="0" w:color="000000"/>
              <w:left w:val="single" w:sz="4" w:space="0" w:color="000000"/>
              <w:bottom w:val="single" w:sz="4" w:space="0" w:color="000000"/>
              <w:right w:val="single" w:sz="12" w:space="0" w:color="000000"/>
            </w:tcBorders>
          </w:tcPr>
          <w:p w14:paraId="0E945600"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r>
      <w:tr w:rsidR="002449C2" w14:paraId="29C52849" w14:textId="77777777">
        <w:trPr>
          <w:jc w:val="center"/>
        </w:trPr>
        <w:tc>
          <w:tcPr>
            <w:tcW w:w="2743" w:type="dxa"/>
            <w:tcBorders>
              <w:top w:val="single" w:sz="4" w:space="0" w:color="000000"/>
              <w:left w:val="single" w:sz="12" w:space="0" w:color="000000"/>
              <w:bottom w:val="single" w:sz="4" w:space="0" w:color="000000"/>
              <w:right w:val="single" w:sz="4" w:space="0" w:color="000000"/>
            </w:tcBorders>
          </w:tcPr>
          <w:p w14:paraId="7185C404" w14:textId="77777777" w:rsidR="002449C2" w:rsidRDefault="00123961">
            <w:pPr>
              <w:widowControl w:val="0"/>
              <w:shd w:val="clear" w:color="auto" w:fill="FFFFFF"/>
              <w:spacing w:after="0" w:line="240" w:lineRule="auto"/>
              <w:rPr>
                <w:rFonts w:ascii="Times New Roman" w:eastAsia="Times New Roman" w:hAnsi="Times New Roman"/>
                <w:sz w:val="20"/>
                <w:szCs w:val="20"/>
                <w:lang w:val="en-US" w:eastAsia="ar-SA"/>
              </w:rPr>
            </w:pPr>
            <w:r>
              <w:rPr>
                <w:rFonts w:ascii="Times New Roman" w:eastAsia="Times New Roman" w:hAnsi="Times New Roman"/>
                <w:sz w:val="20"/>
                <w:szCs w:val="20"/>
                <w:lang w:eastAsia="ar-SA"/>
              </w:rPr>
              <w:t>2023</w:t>
            </w:r>
          </w:p>
        </w:tc>
        <w:tc>
          <w:tcPr>
            <w:tcW w:w="1900" w:type="dxa"/>
            <w:tcBorders>
              <w:top w:val="single" w:sz="4" w:space="0" w:color="000000"/>
              <w:left w:val="single" w:sz="4" w:space="0" w:color="000000"/>
              <w:bottom w:val="single" w:sz="4" w:space="0" w:color="000000"/>
              <w:right w:val="single" w:sz="4" w:space="0" w:color="000000"/>
            </w:tcBorders>
          </w:tcPr>
          <w:p w14:paraId="33BDBB39"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5</w:t>
            </w:r>
          </w:p>
        </w:tc>
        <w:tc>
          <w:tcPr>
            <w:tcW w:w="1547" w:type="dxa"/>
            <w:tcBorders>
              <w:top w:val="single" w:sz="4" w:space="0" w:color="000000"/>
              <w:left w:val="single" w:sz="4" w:space="0" w:color="000000"/>
              <w:bottom w:val="single" w:sz="4" w:space="0" w:color="000000"/>
              <w:right w:val="single" w:sz="4" w:space="0" w:color="000000"/>
            </w:tcBorders>
          </w:tcPr>
          <w:p w14:paraId="10C45798"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w:t>
            </w:r>
          </w:p>
        </w:tc>
        <w:tc>
          <w:tcPr>
            <w:tcW w:w="1548" w:type="dxa"/>
            <w:tcBorders>
              <w:top w:val="single" w:sz="4" w:space="0" w:color="000000"/>
              <w:left w:val="single" w:sz="4" w:space="0" w:color="000000"/>
              <w:bottom w:val="single" w:sz="4" w:space="0" w:color="000000"/>
              <w:right w:val="single" w:sz="4" w:space="0" w:color="000000"/>
            </w:tcBorders>
          </w:tcPr>
          <w:p w14:paraId="57612C8C"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1724" w:type="dxa"/>
            <w:tcBorders>
              <w:top w:val="single" w:sz="4" w:space="0" w:color="000000"/>
              <w:left w:val="single" w:sz="4" w:space="0" w:color="000000"/>
              <w:bottom w:val="single" w:sz="4" w:space="0" w:color="000000"/>
              <w:right w:val="single" w:sz="12" w:space="0" w:color="000000"/>
            </w:tcBorders>
          </w:tcPr>
          <w:p w14:paraId="45F6D7E4"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r>
      <w:tr w:rsidR="002449C2" w14:paraId="6BF761B4" w14:textId="77777777">
        <w:trPr>
          <w:jc w:val="center"/>
        </w:trPr>
        <w:tc>
          <w:tcPr>
            <w:tcW w:w="2743" w:type="dxa"/>
            <w:tcBorders>
              <w:top w:val="single" w:sz="4" w:space="0" w:color="000000"/>
              <w:left w:val="single" w:sz="12" w:space="0" w:color="000000"/>
              <w:bottom w:val="single" w:sz="12" w:space="0" w:color="000000"/>
              <w:right w:val="single" w:sz="4" w:space="0" w:color="000000"/>
            </w:tcBorders>
          </w:tcPr>
          <w:p w14:paraId="0BA745ED" w14:textId="77777777" w:rsidR="002449C2" w:rsidRDefault="00123961">
            <w:pPr>
              <w:widowControl w:val="0"/>
              <w:shd w:val="clear" w:color="auto" w:fill="FFFFFF"/>
              <w:spacing w:after="0" w:line="240" w:lineRule="auto"/>
              <w:rPr>
                <w:rFonts w:ascii="Times New Roman" w:eastAsia="Times New Roman" w:hAnsi="Times New Roman"/>
                <w:sz w:val="20"/>
                <w:szCs w:val="20"/>
                <w:lang w:eastAsia="ar-SA"/>
              </w:rPr>
            </w:pPr>
            <w:r>
              <w:rPr>
                <w:rFonts w:ascii="Times New Roman" w:eastAsia="Times New Roman" w:hAnsi="Times New Roman"/>
                <w:sz w:val="20"/>
                <w:szCs w:val="20"/>
                <w:lang w:eastAsia="ar-SA"/>
              </w:rPr>
              <w:t>2024</w:t>
            </w:r>
          </w:p>
        </w:tc>
        <w:tc>
          <w:tcPr>
            <w:tcW w:w="1900" w:type="dxa"/>
            <w:tcBorders>
              <w:top w:val="single" w:sz="4" w:space="0" w:color="000000"/>
              <w:left w:val="single" w:sz="4" w:space="0" w:color="000000"/>
              <w:bottom w:val="single" w:sz="12" w:space="0" w:color="000000"/>
              <w:right w:val="single" w:sz="4" w:space="0" w:color="000000"/>
            </w:tcBorders>
          </w:tcPr>
          <w:p w14:paraId="2B323A90"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5</w:t>
            </w:r>
          </w:p>
        </w:tc>
        <w:tc>
          <w:tcPr>
            <w:tcW w:w="1547" w:type="dxa"/>
            <w:tcBorders>
              <w:top w:val="single" w:sz="4" w:space="0" w:color="000000"/>
              <w:left w:val="single" w:sz="4" w:space="0" w:color="000000"/>
              <w:bottom w:val="single" w:sz="12" w:space="0" w:color="000000"/>
              <w:right w:val="single" w:sz="4" w:space="0" w:color="000000"/>
            </w:tcBorders>
          </w:tcPr>
          <w:p w14:paraId="40FD7942"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w:t>
            </w:r>
          </w:p>
        </w:tc>
        <w:tc>
          <w:tcPr>
            <w:tcW w:w="1548" w:type="dxa"/>
            <w:tcBorders>
              <w:top w:val="single" w:sz="4" w:space="0" w:color="000000"/>
              <w:left w:val="single" w:sz="4" w:space="0" w:color="000000"/>
              <w:bottom w:val="single" w:sz="12" w:space="0" w:color="000000"/>
              <w:right w:val="single" w:sz="4" w:space="0" w:color="000000"/>
            </w:tcBorders>
          </w:tcPr>
          <w:p w14:paraId="5721B5BD"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w:t>
            </w:r>
          </w:p>
        </w:tc>
        <w:tc>
          <w:tcPr>
            <w:tcW w:w="1724" w:type="dxa"/>
            <w:tcBorders>
              <w:top w:val="single" w:sz="4" w:space="0" w:color="000000"/>
              <w:left w:val="single" w:sz="4" w:space="0" w:color="000000"/>
              <w:bottom w:val="single" w:sz="12" w:space="0" w:color="000000"/>
              <w:right w:val="single" w:sz="12" w:space="0" w:color="000000"/>
            </w:tcBorders>
          </w:tcPr>
          <w:p w14:paraId="4345E88E"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w:t>
            </w:r>
          </w:p>
        </w:tc>
      </w:tr>
    </w:tbl>
    <w:p w14:paraId="0C6C3998" w14:textId="77777777" w:rsidR="002449C2" w:rsidRDefault="002449C2">
      <w:pPr>
        <w:widowControl w:val="0"/>
        <w:shd w:val="clear" w:color="auto" w:fill="FFFFFF"/>
        <w:spacing w:after="0" w:line="240" w:lineRule="auto"/>
        <w:rPr>
          <w:rFonts w:ascii="Times New Roman" w:eastAsia="Times New Roman" w:hAnsi="Times New Roman"/>
          <w:b/>
          <w:sz w:val="20"/>
          <w:szCs w:val="20"/>
          <w:lang w:eastAsia="en-US"/>
        </w:rPr>
      </w:pPr>
    </w:p>
    <w:tbl>
      <w:tblPr>
        <w:tblW w:w="9187" w:type="dxa"/>
        <w:tblInd w:w="250" w:type="dxa"/>
        <w:tblLayout w:type="fixed"/>
        <w:tblLook w:val="04A0" w:firstRow="1" w:lastRow="0" w:firstColumn="1" w:lastColumn="0" w:noHBand="0" w:noVBand="1"/>
      </w:tblPr>
      <w:tblGrid>
        <w:gridCol w:w="4938"/>
        <w:gridCol w:w="1413"/>
        <w:gridCol w:w="1424"/>
        <w:gridCol w:w="1412"/>
      </w:tblGrid>
      <w:tr w:rsidR="002449C2" w14:paraId="5F8D6B59" w14:textId="77777777">
        <w:tc>
          <w:tcPr>
            <w:tcW w:w="4937" w:type="dxa"/>
            <w:tcBorders>
              <w:top w:val="single" w:sz="4" w:space="0" w:color="000000"/>
              <w:left w:val="single" w:sz="4" w:space="0" w:color="000000"/>
              <w:bottom w:val="single" w:sz="4" w:space="0" w:color="000000"/>
              <w:right w:val="single" w:sz="4" w:space="0" w:color="000000"/>
            </w:tcBorders>
          </w:tcPr>
          <w:p w14:paraId="2EEA31CB" w14:textId="77777777" w:rsidR="002449C2" w:rsidRDefault="002449C2">
            <w:pPr>
              <w:widowControl w:val="0"/>
              <w:shd w:val="clear" w:color="auto" w:fill="FFFFFF"/>
              <w:spacing w:after="0" w:line="240" w:lineRule="auto"/>
              <w:rPr>
                <w:rFonts w:ascii="Times New Roman" w:eastAsia="Times New Roman" w:hAnsi="Times New Roman"/>
                <w:color w:val="000000"/>
                <w:sz w:val="20"/>
                <w:szCs w:val="20"/>
                <w:lang w:eastAsia="ru-RU"/>
              </w:rPr>
            </w:pPr>
          </w:p>
        </w:tc>
        <w:tc>
          <w:tcPr>
            <w:tcW w:w="1413" w:type="dxa"/>
            <w:tcBorders>
              <w:top w:val="single" w:sz="4" w:space="0" w:color="000000"/>
              <w:left w:val="single" w:sz="4" w:space="0" w:color="000000"/>
              <w:bottom w:val="single" w:sz="4" w:space="0" w:color="000000"/>
              <w:right w:val="single" w:sz="4" w:space="0" w:color="000000"/>
            </w:tcBorders>
          </w:tcPr>
          <w:p w14:paraId="69850DB6"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2024</w:t>
            </w:r>
          </w:p>
        </w:tc>
        <w:tc>
          <w:tcPr>
            <w:tcW w:w="1424" w:type="dxa"/>
            <w:tcBorders>
              <w:top w:val="single" w:sz="4" w:space="0" w:color="000000"/>
              <w:left w:val="single" w:sz="4" w:space="0" w:color="000000"/>
              <w:bottom w:val="single" w:sz="4" w:space="0" w:color="000000"/>
              <w:right w:val="single" w:sz="4" w:space="0" w:color="000000"/>
            </w:tcBorders>
          </w:tcPr>
          <w:p w14:paraId="306BFE92"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2023</w:t>
            </w:r>
          </w:p>
        </w:tc>
        <w:tc>
          <w:tcPr>
            <w:tcW w:w="1412" w:type="dxa"/>
            <w:tcBorders>
              <w:top w:val="single" w:sz="4" w:space="0" w:color="000000"/>
              <w:left w:val="single" w:sz="4" w:space="0" w:color="000000"/>
              <w:bottom w:val="single" w:sz="4" w:space="0" w:color="000000"/>
              <w:right w:val="single" w:sz="4" w:space="0" w:color="000000"/>
            </w:tcBorders>
          </w:tcPr>
          <w:p w14:paraId="3A11FFC1"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w:t>
            </w:r>
            <w:r>
              <w:rPr>
                <w:rFonts w:ascii="Times New Roman" w:eastAsia="Times New Roman" w:hAnsi="Times New Roman"/>
                <w:sz w:val="20"/>
                <w:szCs w:val="20"/>
                <w:lang w:val="en-US" w:eastAsia="ru-RU"/>
              </w:rPr>
              <w:t>22</w:t>
            </w:r>
          </w:p>
        </w:tc>
      </w:tr>
      <w:tr w:rsidR="002449C2" w14:paraId="02F9ABE8" w14:textId="77777777">
        <w:tc>
          <w:tcPr>
            <w:tcW w:w="4937" w:type="dxa"/>
            <w:tcBorders>
              <w:top w:val="single" w:sz="4" w:space="0" w:color="000000"/>
              <w:left w:val="single" w:sz="4" w:space="0" w:color="000000"/>
              <w:bottom w:val="single" w:sz="4" w:space="0" w:color="000000"/>
              <w:right w:val="single" w:sz="4" w:space="0" w:color="000000"/>
            </w:tcBorders>
          </w:tcPr>
          <w:p w14:paraId="4F5C262C" w14:textId="77777777" w:rsidR="002449C2" w:rsidRDefault="00123961">
            <w:pPr>
              <w:widowControl w:val="0"/>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Принципы, полностью соблюдаемые Компанией, шт.</w:t>
            </w:r>
          </w:p>
        </w:tc>
        <w:tc>
          <w:tcPr>
            <w:tcW w:w="1413" w:type="dxa"/>
            <w:tcBorders>
              <w:top w:val="single" w:sz="4" w:space="0" w:color="000000"/>
              <w:left w:val="single" w:sz="4" w:space="0" w:color="000000"/>
              <w:bottom w:val="single" w:sz="4" w:space="0" w:color="000000"/>
              <w:right w:val="single" w:sz="4" w:space="0" w:color="000000"/>
            </w:tcBorders>
          </w:tcPr>
          <w:p w14:paraId="1D3154F5"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61</w:t>
            </w:r>
          </w:p>
        </w:tc>
        <w:tc>
          <w:tcPr>
            <w:tcW w:w="1424" w:type="dxa"/>
            <w:tcBorders>
              <w:top w:val="single" w:sz="4" w:space="0" w:color="000000"/>
              <w:left w:val="single" w:sz="4" w:space="0" w:color="000000"/>
              <w:bottom w:val="single" w:sz="4" w:space="0" w:color="000000"/>
              <w:right w:val="single" w:sz="4" w:space="0" w:color="000000"/>
            </w:tcBorders>
          </w:tcPr>
          <w:p w14:paraId="0894EEDC"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64</w:t>
            </w:r>
          </w:p>
        </w:tc>
        <w:tc>
          <w:tcPr>
            <w:tcW w:w="1412" w:type="dxa"/>
            <w:tcBorders>
              <w:top w:val="single" w:sz="4" w:space="0" w:color="000000"/>
              <w:left w:val="single" w:sz="4" w:space="0" w:color="000000"/>
              <w:bottom w:val="single" w:sz="4" w:space="0" w:color="000000"/>
              <w:right w:val="single" w:sz="4" w:space="0" w:color="000000"/>
            </w:tcBorders>
          </w:tcPr>
          <w:p w14:paraId="549C15B5"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62</w:t>
            </w:r>
          </w:p>
        </w:tc>
      </w:tr>
      <w:tr w:rsidR="002449C2" w14:paraId="29FF0F9F" w14:textId="77777777">
        <w:tc>
          <w:tcPr>
            <w:tcW w:w="4937" w:type="dxa"/>
            <w:tcBorders>
              <w:top w:val="single" w:sz="4" w:space="0" w:color="000000"/>
              <w:left w:val="single" w:sz="4" w:space="0" w:color="000000"/>
              <w:bottom w:val="single" w:sz="4" w:space="0" w:color="000000"/>
              <w:right w:val="single" w:sz="4" w:space="0" w:color="000000"/>
            </w:tcBorders>
          </w:tcPr>
          <w:p w14:paraId="3F448D04" w14:textId="77777777" w:rsidR="002449C2" w:rsidRDefault="00123961">
            <w:pPr>
              <w:widowControl w:val="0"/>
              <w:shd w:val="clear" w:color="auto" w:fill="FFFFFF"/>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Принципы, частично соблюдаемые Компанией, шт.</w:t>
            </w:r>
          </w:p>
        </w:tc>
        <w:tc>
          <w:tcPr>
            <w:tcW w:w="1413" w:type="dxa"/>
            <w:tcBorders>
              <w:top w:val="single" w:sz="4" w:space="0" w:color="000000"/>
              <w:left w:val="single" w:sz="4" w:space="0" w:color="000000"/>
              <w:bottom w:val="single" w:sz="4" w:space="0" w:color="000000"/>
              <w:right w:val="single" w:sz="4" w:space="0" w:color="000000"/>
            </w:tcBorders>
          </w:tcPr>
          <w:p w14:paraId="43E2B2F7"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13</w:t>
            </w:r>
          </w:p>
        </w:tc>
        <w:tc>
          <w:tcPr>
            <w:tcW w:w="1424" w:type="dxa"/>
            <w:tcBorders>
              <w:top w:val="single" w:sz="4" w:space="0" w:color="000000"/>
              <w:left w:val="single" w:sz="4" w:space="0" w:color="000000"/>
              <w:bottom w:val="single" w:sz="4" w:space="0" w:color="000000"/>
              <w:right w:val="single" w:sz="4" w:space="0" w:color="000000"/>
            </w:tcBorders>
          </w:tcPr>
          <w:p w14:paraId="6AF87669"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12</w:t>
            </w:r>
          </w:p>
        </w:tc>
        <w:tc>
          <w:tcPr>
            <w:tcW w:w="1412" w:type="dxa"/>
            <w:tcBorders>
              <w:top w:val="single" w:sz="4" w:space="0" w:color="000000"/>
              <w:left w:val="single" w:sz="4" w:space="0" w:color="000000"/>
              <w:bottom w:val="single" w:sz="4" w:space="0" w:color="000000"/>
              <w:right w:val="single" w:sz="4" w:space="0" w:color="000000"/>
            </w:tcBorders>
          </w:tcPr>
          <w:p w14:paraId="58E37B53"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13</w:t>
            </w:r>
          </w:p>
        </w:tc>
      </w:tr>
      <w:tr w:rsidR="002449C2" w14:paraId="2089EDE7" w14:textId="77777777">
        <w:tc>
          <w:tcPr>
            <w:tcW w:w="4937" w:type="dxa"/>
            <w:tcBorders>
              <w:top w:val="single" w:sz="4" w:space="0" w:color="000000"/>
              <w:left w:val="single" w:sz="4" w:space="0" w:color="000000"/>
              <w:bottom w:val="single" w:sz="4" w:space="0" w:color="000000"/>
              <w:right w:val="single" w:sz="4" w:space="0" w:color="000000"/>
            </w:tcBorders>
          </w:tcPr>
          <w:p w14:paraId="390712E4" w14:textId="77777777" w:rsidR="002449C2" w:rsidRDefault="00123961">
            <w:pPr>
              <w:widowControl w:val="0"/>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Принципы, не соблюдаемые Компанией, шт.</w:t>
            </w:r>
          </w:p>
        </w:tc>
        <w:tc>
          <w:tcPr>
            <w:tcW w:w="1413" w:type="dxa"/>
            <w:tcBorders>
              <w:top w:val="single" w:sz="4" w:space="0" w:color="000000"/>
              <w:left w:val="single" w:sz="4" w:space="0" w:color="000000"/>
              <w:bottom w:val="single" w:sz="4" w:space="0" w:color="000000"/>
              <w:right w:val="single" w:sz="4" w:space="0" w:color="000000"/>
            </w:tcBorders>
          </w:tcPr>
          <w:p w14:paraId="5F6C7D48"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w:t>
            </w:r>
          </w:p>
        </w:tc>
        <w:tc>
          <w:tcPr>
            <w:tcW w:w="1424" w:type="dxa"/>
            <w:tcBorders>
              <w:top w:val="single" w:sz="4" w:space="0" w:color="000000"/>
              <w:left w:val="single" w:sz="4" w:space="0" w:color="000000"/>
              <w:bottom w:val="single" w:sz="4" w:space="0" w:color="000000"/>
              <w:right w:val="single" w:sz="4" w:space="0" w:color="000000"/>
            </w:tcBorders>
          </w:tcPr>
          <w:p w14:paraId="600F25CB"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w:t>
            </w:r>
          </w:p>
        </w:tc>
        <w:tc>
          <w:tcPr>
            <w:tcW w:w="1412" w:type="dxa"/>
            <w:tcBorders>
              <w:top w:val="single" w:sz="4" w:space="0" w:color="000000"/>
              <w:left w:val="single" w:sz="4" w:space="0" w:color="000000"/>
              <w:bottom w:val="single" w:sz="4" w:space="0" w:color="000000"/>
              <w:right w:val="single" w:sz="4" w:space="0" w:color="000000"/>
            </w:tcBorders>
          </w:tcPr>
          <w:p w14:paraId="4029D981" w14:textId="77777777" w:rsidR="002449C2" w:rsidRDefault="00123961">
            <w:pPr>
              <w:widowControl w:val="0"/>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2</w:t>
            </w:r>
          </w:p>
        </w:tc>
      </w:tr>
    </w:tbl>
    <w:p w14:paraId="449A752B" w14:textId="77777777" w:rsidR="002449C2" w:rsidRDefault="002449C2">
      <w:pPr>
        <w:widowControl w:val="0"/>
        <w:shd w:val="clear" w:color="auto" w:fill="FFFFFF"/>
        <w:spacing w:after="0" w:line="240" w:lineRule="auto"/>
        <w:ind w:firstLine="595"/>
        <w:jc w:val="center"/>
        <w:rPr>
          <w:rFonts w:ascii="Times New Roman" w:eastAsia="Times New Roman" w:hAnsi="Times New Roman"/>
          <w:b/>
          <w:bCs/>
          <w:sz w:val="26"/>
          <w:szCs w:val="26"/>
          <w:lang w:eastAsia="ru-RU"/>
        </w:rPr>
      </w:pPr>
    </w:p>
    <w:p w14:paraId="748DC8A3" w14:textId="77777777" w:rsidR="002449C2" w:rsidRDefault="00123961">
      <w:pPr>
        <w:widowControl w:val="0"/>
        <w:shd w:val="clear" w:color="auto" w:fill="FFFFFF"/>
        <w:spacing w:after="0" w:line="240" w:lineRule="auto"/>
        <w:ind w:firstLine="595"/>
        <w:jc w:val="center"/>
        <w:rPr>
          <w:rFonts w:ascii="Times New Roman" w:eastAsia="Times New Roman" w:hAnsi="Times New Roman"/>
          <w:b/>
          <w:bCs/>
          <w:sz w:val="26"/>
          <w:szCs w:val="26"/>
          <w:lang w:eastAsia="ru-RU"/>
        </w:rPr>
      </w:pPr>
      <w:r>
        <w:rPr>
          <w:noProof/>
          <w:lang w:eastAsia="ru-RU"/>
        </w:rPr>
        <w:drawing>
          <wp:inline distT="0" distB="0" distL="0" distR="0" wp14:anchorId="737B1A33" wp14:editId="54A9178E">
            <wp:extent cx="5713730" cy="2997835"/>
            <wp:effectExtent l="0" t="0" r="0" b="0"/>
            <wp:docPr id="97" name="Объект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14:paraId="7E570322" w14:textId="77777777" w:rsidR="002449C2" w:rsidRDefault="002449C2">
      <w:pPr>
        <w:widowControl w:val="0"/>
        <w:shd w:val="clear" w:color="auto" w:fill="FFFFFF"/>
        <w:spacing w:after="0" w:line="240" w:lineRule="auto"/>
        <w:ind w:firstLine="595"/>
        <w:jc w:val="center"/>
        <w:rPr>
          <w:rFonts w:ascii="Times New Roman" w:eastAsia="Times New Roman" w:hAnsi="Times New Roman"/>
          <w:b/>
          <w:bCs/>
          <w:sz w:val="26"/>
          <w:szCs w:val="26"/>
          <w:lang w:eastAsia="ru-RU"/>
        </w:rPr>
      </w:pPr>
    </w:p>
    <w:p w14:paraId="6B201B2C" w14:textId="77777777" w:rsidR="002449C2" w:rsidRDefault="00123961">
      <w:pPr>
        <w:widowControl w:val="0"/>
        <w:shd w:val="clear" w:color="auto" w:fill="FFFFFF"/>
        <w:spacing w:after="0" w:line="240" w:lineRule="auto"/>
        <w:ind w:firstLine="595"/>
        <w:rPr>
          <w:rFonts w:ascii="Times New Roman" w:eastAsia="Times New Roman" w:hAnsi="Times New Roman"/>
          <w:b/>
          <w:bCs/>
          <w:sz w:val="26"/>
          <w:szCs w:val="26"/>
          <w:lang w:eastAsia="ru-RU"/>
        </w:rPr>
      </w:pPr>
      <w:r>
        <w:rPr>
          <w:noProof/>
          <w:lang w:eastAsia="ru-RU"/>
        </w:rPr>
        <w:drawing>
          <wp:inline distT="0" distB="0" distL="0" distR="0" wp14:anchorId="75F97454" wp14:editId="7DF0C13C">
            <wp:extent cx="2871470" cy="2548255"/>
            <wp:effectExtent l="0" t="0" r="0" b="0"/>
            <wp:docPr id="98" name="_x005F_x0000_i4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_x005F_x0000_i4476"/>
                    <pic:cNvPicPr>
                      <a:picLocks noChangeAspect="1" noChangeArrowheads="1"/>
                    </pic:cNvPicPr>
                  </pic:nvPicPr>
                  <pic:blipFill>
                    <a:blip r:embed="rId139"/>
                    <a:stretch>
                      <a:fillRect/>
                    </a:stretch>
                  </pic:blipFill>
                  <pic:spPr bwMode="auto">
                    <a:xfrm>
                      <a:off x="0" y="0"/>
                      <a:ext cx="2871470" cy="2548255"/>
                    </a:xfrm>
                    <a:prstGeom prst="rect">
                      <a:avLst/>
                    </a:prstGeom>
                    <a:noFill/>
                  </pic:spPr>
                </pic:pic>
              </a:graphicData>
            </a:graphic>
          </wp:inline>
        </w:drawing>
      </w:r>
      <w:r>
        <w:rPr>
          <w:noProof/>
          <w:lang w:eastAsia="ru-RU"/>
        </w:rPr>
        <w:drawing>
          <wp:inline distT="0" distB="0" distL="0" distR="0" wp14:anchorId="18320B6B" wp14:editId="52ECBBA5">
            <wp:extent cx="2602230" cy="2534920"/>
            <wp:effectExtent l="0" t="0" r="0" b="0"/>
            <wp:docPr id="99" name="Объект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49BF4F82" w14:textId="77777777" w:rsidR="002449C2" w:rsidRDefault="002449C2">
      <w:pPr>
        <w:widowControl w:val="0"/>
        <w:shd w:val="clear" w:color="auto" w:fill="FFFFFF"/>
        <w:spacing w:after="0" w:line="240" w:lineRule="auto"/>
        <w:ind w:firstLine="595"/>
        <w:jc w:val="center"/>
        <w:rPr>
          <w:rFonts w:ascii="Times New Roman" w:eastAsia="Times New Roman" w:hAnsi="Times New Roman"/>
          <w:b/>
          <w:bCs/>
          <w:sz w:val="26"/>
          <w:szCs w:val="26"/>
          <w:lang w:eastAsia="ru-RU"/>
        </w:rPr>
      </w:pPr>
    </w:p>
    <w:p w14:paraId="4B5A170D" w14:textId="77777777" w:rsidR="002449C2" w:rsidRDefault="00123961">
      <w:pPr>
        <w:widowControl w:val="0"/>
        <w:shd w:val="clear" w:color="auto" w:fill="FFFFFF"/>
        <w:spacing w:after="0" w:line="240" w:lineRule="auto"/>
        <w:ind w:firstLine="567"/>
        <w:rPr>
          <w:rFonts w:ascii="Arial" w:eastAsia="Arial" w:hAnsi="Arial"/>
          <w:lang w:eastAsia="en-US"/>
        </w:rPr>
      </w:pPr>
      <w:r>
        <w:rPr>
          <w:noProof/>
          <w:lang w:eastAsia="ru-RU"/>
        </w:rPr>
        <w:drawing>
          <wp:inline distT="0" distB="0" distL="0" distR="0" wp14:anchorId="5EE7967C" wp14:editId="75850250">
            <wp:extent cx="2889885" cy="2207260"/>
            <wp:effectExtent l="0" t="0" r="0" b="0"/>
            <wp:docPr id="100" name="_x005F_x0000_i4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_x005F_x0000_i4478"/>
                    <pic:cNvPicPr>
                      <a:picLocks noChangeAspect="1" noChangeArrowheads="1"/>
                    </pic:cNvPicPr>
                  </pic:nvPicPr>
                  <pic:blipFill>
                    <a:blip r:embed="rId141"/>
                    <a:stretch>
                      <a:fillRect/>
                    </a:stretch>
                  </pic:blipFill>
                  <pic:spPr bwMode="auto">
                    <a:xfrm>
                      <a:off x="0" y="0"/>
                      <a:ext cx="2889885" cy="2207260"/>
                    </a:xfrm>
                    <a:prstGeom prst="rect">
                      <a:avLst/>
                    </a:prstGeom>
                    <a:noFill/>
                  </pic:spPr>
                </pic:pic>
              </a:graphicData>
            </a:graphic>
          </wp:inline>
        </w:drawing>
      </w:r>
      <w:r>
        <w:rPr>
          <w:noProof/>
          <w:lang w:eastAsia="ru-RU"/>
        </w:rPr>
        <w:drawing>
          <wp:inline distT="0" distB="0" distL="0" distR="0" wp14:anchorId="0AB6AD27" wp14:editId="1D1D6ED6">
            <wp:extent cx="2615565" cy="2207260"/>
            <wp:effectExtent l="0" t="0" r="0" b="0"/>
            <wp:docPr id="101" name="_x005F_x0000_i4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_x005F_x0000_i4479"/>
                    <pic:cNvPicPr>
                      <a:picLocks noChangeAspect="1" noChangeArrowheads="1"/>
                    </pic:cNvPicPr>
                  </pic:nvPicPr>
                  <pic:blipFill>
                    <a:blip r:embed="rId142"/>
                    <a:stretch>
                      <a:fillRect/>
                    </a:stretch>
                  </pic:blipFill>
                  <pic:spPr bwMode="auto">
                    <a:xfrm>
                      <a:off x="0" y="0"/>
                      <a:ext cx="2615565" cy="2207260"/>
                    </a:xfrm>
                    <a:prstGeom prst="rect">
                      <a:avLst/>
                    </a:prstGeom>
                    <a:noFill/>
                  </pic:spPr>
                </pic:pic>
              </a:graphicData>
            </a:graphic>
          </wp:inline>
        </w:drawing>
      </w:r>
    </w:p>
    <w:p w14:paraId="5A332BFB" w14:textId="77777777" w:rsidR="002449C2" w:rsidRDefault="00123961">
      <w:pPr>
        <w:widowControl w:val="0"/>
        <w:shd w:val="clear" w:color="auto" w:fill="FFFFFF"/>
        <w:spacing w:after="0" w:line="240" w:lineRule="auto"/>
        <w:ind w:firstLine="567"/>
      </w:pPr>
      <w:r>
        <w:rPr>
          <w:noProof/>
          <w:lang w:eastAsia="ru-RU"/>
        </w:rPr>
        <w:drawing>
          <wp:inline distT="0" distB="0" distL="0" distR="0" wp14:anchorId="0D31CE07" wp14:editId="4AB9A48E">
            <wp:extent cx="2871470" cy="2371725"/>
            <wp:effectExtent l="0" t="0" r="0" b="0"/>
            <wp:docPr id="102" name="_x005F_x0000_i4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_x005F_x0000_i4480"/>
                    <pic:cNvPicPr>
                      <a:picLocks noChangeAspect="1" noChangeArrowheads="1"/>
                    </pic:cNvPicPr>
                  </pic:nvPicPr>
                  <pic:blipFill>
                    <a:blip r:embed="rId143"/>
                    <a:stretch>
                      <a:fillRect/>
                    </a:stretch>
                  </pic:blipFill>
                  <pic:spPr bwMode="auto">
                    <a:xfrm>
                      <a:off x="0" y="0"/>
                      <a:ext cx="2871470" cy="2371725"/>
                    </a:xfrm>
                    <a:prstGeom prst="rect">
                      <a:avLst/>
                    </a:prstGeom>
                    <a:noFill/>
                  </pic:spPr>
                </pic:pic>
              </a:graphicData>
            </a:graphic>
          </wp:inline>
        </w:drawing>
      </w:r>
      <w:r>
        <w:rPr>
          <w:noProof/>
          <w:lang w:eastAsia="ru-RU"/>
        </w:rPr>
        <w:drawing>
          <wp:inline distT="0" distB="0" distL="0" distR="0" wp14:anchorId="4EEAB666" wp14:editId="1D644697">
            <wp:extent cx="2646045" cy="2371725"/>
            <wp:effectExtent l="0" t="0" r="0" b="0"/>
            <wp:docPr id="103" name="_x005F_x0000_i4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_x005F_x0000_i4481"/>
                    <pic:cNvPicPr>
                      <a:picLocks noChangeAspect="1" noChangeArrowheads="1"/>
                    </pic:cNvPicPr>
                  </pic:nvPicPr>
                  <pic:blipFill>
                    <a:blip r:embed="rId144"/>
                    <a:stretch>
                      <a:fillRect/>
                    </a:stretch>
                  </pic:blipFill>
                  <pic:spPr bwMode="auto">
                    <a:xfrm>
                      <a:off x="0" y="0"/>
                      <a:ext cx="2646045" cy="2371725"/>
                    </a:xfrm>
                    <a:prstGeom prst="rect">
                      <a:avLst/>
                    </a:prstGeom>
                    <a:noFill/>
                  </pic:spPr>
                </pic:pic>
              </a:graphicData>
            </a:graphic>
          </wp:inline>
        </w:drawing>
      </w:r>
    </w:p>
    <w:p w14:paraId="782B295A" w14:textId="77777777" w:rsidR="002449C2" w:rsidRDefault="002449C2">
      <w:pPr>
        <w:widowControl w:val="0"/>
        <w:shd w:val="clear" w:color="auto" w:fill="FFFFFF"/>
        <w:spacing w:after="0" w:line="240" w:lineRule="auto"/>
        <w:ind w:firstLine="567"/>
        <w:rPr>
          <w:rFonts w:ascii="Times New Roman" w:eastAsia="Times New Roman" w:hAnsi="Times New Roman"/>
          <w:b/>
          <w:bCs/>
          <w:sz w:val="26"/>
          <w:szCs w:val="26"/>
          <w:lang w:eastAsia="ru-RU"/>
        </w:rPr>
      </w:pPr>
    </w:p>
    <w:p w14:paraId="2ADE547D" w14:textId="77777777" w:rsidR="002449C2" w:rsidRDefault="00123961">
      <w:pPr>
        <w:widowControl w:val="0"/>
        <w:shd w:val="clear" w:color="auto" w:fill="FFFFFF"/>
        <w:spacing w:after="0" w:line="240" w:lineRule="auto"/>
        <w:ind w:firstLine="567"/>
        <w:jc w:val="center"/>
        <w:rPr>
          <w:rFonts w:ascii="Cambria" w:eastAsia="Times New Roman" w:hAnsi="Cambria"/>
          <w:sz w:val="26"/>
          <w:szCs w:val="26"/>
          <w:lang w:eastAsia="en-US"/>
        </w:rPr>
      </w:pPr>
      <w:r>
        <w:rPr>
          <w:noProof/>
          <w:lang w:eastAsia="ru-RU"/>
        </w:rPr>
        <w:drawing>
          <wp:inline distT="0" distB="0" distL="0" distR="0" wp14:anchorId="2AF4D909" wp14:editId="0E37015E">
            <wp:extent cx="2865755" cy="2543175"/>
            <wp:effectExtent l="0" t="0" r="0" b="0"/>
            <wp:docPr id="104" name="Объект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2E5BFD61" w14:textId="77777777" w:rsidR="002449C2" w:rsidRDefault="002449C2">
      <w:pPr>
        <w:widowControl w:val="0"/>
        <w:shd w:val="clear" w:color="auto" w:fill="FFFFFF"/>
        <w:spacing w:after="0" w:line="240" w:lineRule="auto"/>
        <w:jc w:val="both"/>
        <w:rPr>
          <w:rFonts w:ascii="Times New Roman" w:eastAsia="Times New Roman" w:hAnsi="Times New Roman"/>
          <w:sz w:val="26"/>
          <w:szCs w:val="26"/>
          <w:lang w:eastAsia="en-US"/>
        </w:rPr>
      </w:pPr>
    </w:p>
    <w:p w14:paraId="1A142E09" w14:textId="2155858C" w:rsidR="002449C2" w:rsidRDefault="00123961">
      <w:pPr>
        <w:widowControl w:val="0"/>
        <w:shd w:val="clear" w:color="auto" w:fill="FFFFFF"/>
        <w:spacing w:after="0" w:line="240" w:lineRule="auto"/>
        <w:ind w:firstLine="595"/>
        <w:jc w:val="both"/>
        <w:rPr>
          <w:rFonts w:ascii="Arial" w:eastAsia="Arial" w:hAnsi="Arial"/>
          <w:lang w:eastAsia="en-US"/>
        </w:rPr>
      </w:pPr>
      <w:r>
        <w:rPr>
          <w:rFonts w:ascii="Times New Roman" w:eastAsia="Times New Roman" w:hAnsi="Times New Roman"/>
          <w:sz w:val="26"/>
          <w:szCs w:val="26"/>
          <w:lang w:eastAsia="en-US"/>
        </w:rPr>
        <w:t xml:space="preserve">Мы сохраняем высокий уровень соблюдения рекомендаций Кодекса </w:t>
      </w:r>
      <w:r w:rsidR="009545E2">
        <w:rPr>
          <w:rFonts w:ascii="Times New Roman" w:eastAsia="Times New Roman" w:hAnsi="Times New Roman"/>
          <w:sz w:val="26"/>
          <w:szCs w:val="26"/>
          <w:lang w:eastAsia="en-US"/>
        </w:rPr>
        <w:t>к</w:t>
      </w:r>
      <w:r>
        <w:rPr>
          <w:rFonts w:ascii="Times New Roman" w:eastAsia="Times New Roman" w:hAnsi="Times New Roman"/>
          <w:sz w:val="26"/>
          <w:szCs w:val="26"/>
          <w:lang w:eastAsia="en-US"/>
        </w:rPr>
        <w:t xml:space="preserve">орпоративного </w:t>
      </w:r>
      <w:r w:rsidR="009545E2">
        <w:rPr>
          <w:rFonts w:ascii="Times New Roman" w:eastAsia="Times New Roman" w:hAnsi="Times New Roman"/>
          <w:sz w:val="26"/>
          <w:szCs w:val="26"/>
          <w:lang w:eastAsia="en-US"/>
        </w:rPr>
        <w:t>у</w:t>
      </w:r>
      <w:r>
        <w:rPr>
          <w:rFonts w:ascii="Times New Roman" w:eastAsia="Times New Roman" w:hAnsi="Times New Roman"/>
          <w:sz w:val="26"/>
          <w:szCs w:val="26"/>
          <w:lang w:eastAsia="en-US"/>
        </w:rPr>
        <w:t>правления. В период с 2014</w:t>
      </w:r>
      <w:r w:rsidR="00F871EF">
        <w:rPr>
          <w:rFonts w:ascii="Times New Roman" w:eastAsia="Times New Roman" w:hAnsi="Times New Roman"/>
          <w:sz w:val="26"/>
          <w:szCs w:val="26"/>
          <w:lang w:eastAsia="en-US"/>
        </w:rPr>
        <w:t xml:space="preserve"> года</w:t>
      </w:r>
      <w:r>
        <w:rPr>
          <w:rFonts w:ascii="Times New Roman" w:eastAsia="Times New Roman" w:hAnsi="Times New Roman"/>
          <w:sz w:val="26"/>
          <w:szCs w:val="26"/>
          <w:lang w:eastAsia="en-US"/>
        </w:rPr>
        <w:t xml:space="preserve">, когда был </w:t>
      </w:r>
      <w:r w:rsidR="009545E2">
        <w:rPr>
          <w:rFonts w:ascii="Times New Roman" w:eastAsia="Times New Roman" w:hAnsi="Times New Roman"/>
          <w:sz w:val="26"/>
          <w:szCs w:val="26"/>
          <w:lang w:eastAsia="en-US"/>
        </w:rPr>
        <w:t xml:space="preserve">одобрен </w:t>
      </w:r>
      <w:r>
        <w:rPr>
          <w:rFonts w:ascii="Times New Roman" w:eastAsia="Times New Roman" w:hAnsi="Times New Roman"/>
          <w:sz w:val="26"/>
          <w:szCs w:val="26"/>
          <w:lang w:eastAsia="en-US"/>
        </w:rPr>
        <w:t xml:space="preserve">Кодекс корпоративного управления Банка России, по 2024 год показатель полного и частичного исполнения рекомендаций вырос с 75 % до 98,7 %, в том числе показатель полного исполнения – с 50 % до 81,4 %. </w:t>
      </w:r>
    </w:p>
    <w:p w14:paraId="1336C0CD" w14:textId="77777777" w:rsidR="002449C2" w:rsidRDefault="00123961">
      <w:pPr>
        <w:widowControl w:val="0"/>
        <w:shd w:val="clear" w:color="auto" w:fill="FFFFFF"/>
        <w:spacing w:after="0" w:line="240" w:lineRule="auto"/>
        <w:ind w:firstLine="595"/>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Полная информация о соблюдении Обществом принципов и рекомендаций Кодекса корпоративного управления Банка России приведен</w:t>
      </w:r>
      <w:r w:rsidR="00F871EF">
        <w:rPr>
          <w:rFonts w:ascii="Times New Roman" w:eastAsia="Times New Roman" w:hAnsi="Times New Roman"/>
          <w:sz w:val="26"/>
          <w:szCs w:val="26"/>
          <w:lang w:eastAsia="en-US"/>
        </w:rPr>
        <w:t>а</w:t>
      </w:r>
      <w:r>
        <w:rPr>
          <w:rFonts w:ascii="Times New Roman" w:eastAsia="Times New Roman" w:hAnsi="Times New Roman"/>
          <w:sz w:val="26"/>
          <w:szCs w:val="26"/>
          <w:lang w:eastAsia="en-US"/>
        </w:rPr>
        <w:t xml:space="preserve"> в приложении №4 к настоящему Отчету.</w:t>
      </w:r>
    </w:p>
    <w:p w14:paraId="368F2E6C" w14:textId="77777777" w:rsidR="002449C2" w:rsidRDefault="00123961">
      <w:pPr>
        <w:widowControl w:val="0"/>
        <w:shd w:val="clear" w:color="auto" w:fill="FFFFFF"/>
        <w:spacing w:after="0" w:line="240" w:lineRule="auto"/>
        <w:ind w:firstLine="595"/>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Для повышения уровня корпоративного управления в ПАО «Россети Юг» в 2025 году Общество планирует:</w:t>
      </w:r>
    </w:p>
    <w:p w14:paraId="2DF4B6AF" w14:textId="77777777" w:rsidR="002449C2" w:rsidRDefault="00123961">
      <w:pPr>
        <w:widowControl w:val="0"/>
        <w:shd w:val="clear" w:color="auto" w:fill="FFFFFF"/>
        <w:spacing w:after="0" w:line="240" w:lineRule="auto"/>
        <w:ind w:firstLine="595"/>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увеличить количество очных заседаний органов управления Общества;</w:t>
      </w:r>
    </w:p>
    <w:p w14:paraId="20111C10" w14:textId="40C25125" w:rsidR="002449C2" w:rsidRDefault="00123961">
      <w:pPr>
        <w:shd w:val="clear" w:color="auto" w:fill="FFFFFF"/>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актуализировать внутренние документы Общества, с учетом изменений законодательства Российской Федерации</w:t>
      </w:r>
      <w:r w:rsidR="00F871EF">
        <w:rPr>
          <w:rFonts w:ascii="Times New Roman" w:eastAsia="Times New Roman" w:hAnsi="Times New Roman"/>
          <w:sz w:val="26"/>
          <w:szCs w:val="26"/>
          <w:lang w:eastAsia="en-US"/>
        </w:rPr>
        <w:t>.</w:t>
      </w:r>
    </w:p>
    <w:p w14:paraId="6081B842"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160" w:name="_Toc505174433"/>
      <w:bookmarkStart w:id="161" w:name="_Toc536544552"/>
      <w:bookmarkStart w:id="162" w:name="_Toc505186244"/>
      <w:bookmarkStart w:id="163" w:name="_Toc195174962"/>
      <w:bookmarkStart w:id="164" w:name="_Toc196143055"/>
      <w:r>
        <w:rPr>
          <w:rFonts w:ascii="Times New Roman" w:eastAsia="Times New Roman" w:hAnsi="Times New Roman"/>
          <w:caps/>
          <w:color w:val="632423"/>
          <w:spacing w:val="15"/>
          <w:sz w:val="24"/>
          <w:szCs w:val="24"/>
          <w:lang w:eastAsia="en-US" w:bidi="en-US"/>
        </w:rPr>
        <w:t>Органы управления</w:t>
      </w:r>
      <w:bookmarkEnd w:id="160"/>
      <w:bookmarkEnd w:id="161"/>
      <w:bookmarkEnd w:id="162"/>
      <w:bookmarkEnd w:id="163"/>
      <w:bookmarkEnd w:id="164"/>
    </w:p>
    <w:p w14:paraId="6B86B8E1"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ru-RU"/>
        </w:rPr>
      </w:pPr>
      <w:bookmarkStart w:id="165" w:name="_Toc33542791"/>
      <w:r>
        <w:rPr>
          <w:rFonts w:ascii="Times New Roman" w:eastAsia="Times New Roman" w:hAnsi="Times New Roman"/>
          <w:sz w:val="26"/>
          <w:szCs w:val="26"/>
          <w:lang w:eastAsia="ru-RU"/>
        </w:rPr>
        <w:t>Система корпоративного управления представляет собой действующую в соответствии с законодательством Российской Федерации, Уставом Компании, а также Кодексом корпоративного управления Банка России систему органов управления и контроля и включает в себя:</w:t>
      </w:r>
      <w:bookmarkEnd w:id="165"/>
      <w:r>
        <w:rPr>
          <w:rFonts w:ascii="Times New Roman" w:eastAsia="Times New Roman" w:hAnsi="Times New Roman"/>
          <w:sz w:val="26"/>
          <w:szCs w:val="26"/>
          <w:lang w:eastAsia="ru-RU"/>
        </w:rPr>
        <w:t xml:space="preserve"> Общее собрание акционеров Общества, Совет директоров Общества, Комитеты Совета директоров Общества, Ревизионную комиссию Общества, исполнительные органы Общества: Генерального директора и Правление</w:t>
      </w:r>
      <w:r w:rsidR="00C232B9">
        <w:rPr>
          <w:rStyle w:val="af"/>
          <w:rFonts w:ascii="Times New Roman" w:eastAsia="Times New Roman" w:hAnsi="Times New Roman"/>
          <w:sz w:val="26"/>
          <w:szCs w:val="26"/>
          <w:lang w:eastAsia="ru-RU"/>
        </w:rPr>
        <w:footnoteReference w:id="16"/>
      </w:r>
      <w:r w:rsidR="00C232B9">
        <w:rPr>
          <w:rFonts w:ascii="Times New Roman" w:eastAsia="Times New Roman" w:hAnsi="Times New Roman"/>
          <w:sz w:val="26"/>
          <w:szCs w:val="26"/>
          <w:lang w:eastAsia="ru-RU"/>
        </w:rPr>
        <w:t>.</w:t>
      </w:r>
    </w:p>
    <w:p w14:paraId="2A6F8813"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166" w:name="_Toc536544553"/>
      <w:bookmarkStart w:id="167" w:name="_Toc195174963"/>
      <w:bookmarkStart w:id="168" w:name="_Toc33542792"/>
      <w:bookmarkStart w:id="169" w:name="_Toc196143056"/>
      <w:r>
        <w:rPr>
          <w:rFonts w:ascii="Times New Roman" w:eastAsia="Times New Roman" w:hAnsi="Times New Roman"/>
          <w:caps/>
          <w:color w:val="632423"/>
          <w:spacing w:val="15"/>
          <w:sz w:val="24"/>
          <w:szCs w:val="24"/>
          <w:lang w:eastAsia="en-US" w:bidi="en-US"/>
        </w:rPr>
        <w:t>Общее собрание акционеров</w:t>
      </w:r>
      <w:bookmarkEnd w:id="166"/>
      <w:bookmarkEnd w:id="167"/>
      <w:bookmarkEnd w:id="168"/>
      <w:bookmarkEnd w:id="169"/>
    </w:p>
    <w:p w14:paraId="13C40FF4"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Общее собрание акционеров является высшим органом управления ПАО «Россети Юг», к его компетенции относятся наиболее существенные вопросы деятельности Компании. Сфера компетенции, порядок созыва, проведения и подведения итогов Общего собрания акционеров регулируются Федеральным законом «Об акционерных обществах», Положением Банка России от 16.11.2018 № 660-П «Об общих собраниях акционеров», Уставом ПАО «Россети Юг» и Положением об Общем собрании акционеров Общества.</w:t>
      </w:r>
    </w:p>
    <w:p w14:paraId="63A4CF51"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 xml:space="preserve">Материалы для подготовки к общим собраниям акционеров размещаются на веб-сайте Компании с соблюдением рекомендаций Кодекса корпоративного управления по предоставлению акционерам дополнительных материалов для подготовки к собранию. </w:t>
      </w:r>
    </w:p>
    <w:p w14:paraId="0593141E"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pacing w:val="-2"/>
          <w:sz w:val="26"/>
          <w:szCs w:val="26"/>
          <w:lang w:eastAsia="en-US"/>
        </w:rPr>
        <w:t>В ходе подготовки к проведению собрания акционерам предоставлена возможность получить комментарии руководства и менеджмента Общества в отношении вопросов повестки дня годового Общего собрания акционеров посредством участия в форуме, организованном на сайте Общества в сети Интернет.</w:t>
      </w:r>
      <w:r>
        <w:rPr>
          <w:rFonts w:ascii="Cambria" w:eastAsia="Times New Roman" w:hAnsi="Cambria"/>
          <w:sz w:val="26"/>
          <w:szCs w:val="26"/>
          <w:lang w:eastAsia="en-US"/>
        </w:rPr>
        <w:t xml:space="preserve"> Также в</w:t>
      </w:r>
      <w:r>
        <w:rPr>
          <w:rFonts w:ascii="Times New Roman" w:eastAsia="Times New Roman" w:hAnsi="Times New Roman"/>
          <w:sz w:val="26"/>
          <w:szCs w:val="26"/>
          <w:lang w:eastAsia="en-US"/>
        </w:rPr>
        <w:t xml:space="preserve"> период подготовки годовых Общих собраний Общество поддерживает специальный телефонный канал (горячую линию) для связи с акционерами и специальный адрес электронной почты по вопросам повестки дня собрания.</w:t>
      </w:r>
    </w:p>
    <w:p w14:paraId="5F2A9C60"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 xml:space="preserve">Акционеры Компании могут принять участие в собрании, заполнив электронную форму бюллетеня в информационно-телекоммуникационной сети интернет на сайте Регистратора Общества АО «НРК-Р.О.С.Т.» посредством использования сервиса «Личный кабинет акционера». </w:t>
      </w:r>
    </w:p>
    <w:p w14:paraId="117B7BCF"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bCs/>
          <w:iCs/>
          <w:sz w:val="26"/>
          <w:szCs w:val="26"/>
          <w:lang w:eastAsia="en-US"/>
        </w:rPr>
      </w:pPr>
      <w:r>
        <w:rPr>
          <w:rFonts w:ascii="Times New Roman" w:eastAsia="Times New Roman" w:hAnsi="Times New Roman"/>
          <w:spacing w:val="-2"/>
          <w:sz w:val="26"/>
          <w:szCs w:val="26"/>
          <w:lang w:eastAsia="en-US"/>
        </w:rPr>
        <w:t xml:space="preserve">В отчетном периоде в </w:t>
      </w:r>
      <w:r>
        <w:rPr>
          <w:rFonts w:ascii="Times New Roman" w:eastAsia="Times New Roman" w:hAnsi="Times New Roman"/>
          <w:bCs/>
          <w:iCs/>
          <w:sz w:val="26"/>
          <w:szCs w:val="26"/>
          <w:lang w:eastAsia="en-US"/>
        </w:rPr>
        <w:t xml:space="preserve">соответствии с пунктом 1 статьи 3 Федерального закона от 25.02.2022 №25-ФЗ «О внесении изменений в Федеральный закон «Об акционерных обществах» и о приостановлении действия отдельных положений законодательных актов Российской Федерации» годовое Общее собрание акционеров ПАО «Россети Юг» по итогам 2023 года состоялось 19.06.2024 в форме заочного голосования. Кворум собрания составил 91,25%. </w:t>
      </w:r>
    </w:p>
    <w:p w14:paraId="494976D0" w14:textId="373E1FD2"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bCs/>
          <w:sz w:val="26"/>
          <w:szCs w:val="26"/>
          <w:lang w:eastAsia="en-US"/>
        </w:rPr>
      </w:pPr>
      <w:r>
        <w:rPr>
          <w:rFonts w:ascii="Times New Roman" w:eastAsia="Times New Roman" w:hAnsi="Times New Roman"/>
          <w:sz w:val="26"/>
          <w:szCs w:val="26"/>
          <w:lang w:eastAsia="en-US"/>
        </w:rPr>
        <w:t xml:space="preserve">В соответствии с повесткой дня годового Общего собрания акционеров были утверждены </w:t>
      </w:r>
      <w:r>
        <w:rPr>
          <w:rFonts w:ascii="Times New Roman" w:eastAsia="Times New Roman" w:hAnsi="Times New Roman"/>
          <w:bCs/>
          <w:sz w:val="26"/>
          <w:szCs w:val="26"/>
          <w:lang w:eastAsia="en-US"/>
        </w:rPr>
        <w:t xml:space="preserve">годовой отчет и годовая бухгалтерская отчетность ПАО «Россети Юг», утверждено распределение прибыли Общества по результатам 2023 финансового года, избраны составы Совета директоров и Ревизионной комиссии, </w:t>
      </w:r>
      <w:r w:rsidR="00845E67">
        <w:rPr>
          <w:rFonts w:ascii="Times New Roman" w:eastAsia="Times New Roman" w:hAnsi="Times New Roman"/>
          <w:bCs/>
          <w:sz w:val="26"/>
          <w:szCs w:val="26"/>
          <w:lang w:eastAsia="en-US"/>
        </w:rPr>
        <w:t xml:space="preserve">назначена </w:t>
      </w:r>
      <w:r>
        <w:rPr>
          <w:rFonts w:ascii="Times New Roman" w:eastAsia="Times New Roman" w:hAnsi="Times New Roman"/>
          <w:bCs/>
          <w:sz w:val="26"/>
          <w:szCs w:val="26"/>
          <w:lang w:eastAsia="en-US"/>
        </w:rPr>
        <w:t xml:space="preserve">аудиторская организация и </w:t>
      </w:r>
      <w:r w:rsidR="00845E67">
        <w:rPr>
          <w:rFonts w:ascii="Times New Roman" w:eastAsia="Times New Roman" w:hAnsi="Times New Roman"/>
          <w:bCs/>
          <w:sz w:val="26"/>
          <w:szCs w:val="26"/>
          <w:lang w:eastAsia="en-US"/>
        </w:rPr>
        <w:t xml:space="preserve">утверждена </w:t>
      </w:r>
      <w:r>
        <w:rPr>
          <w:rFonts w:ascii="Times New Roman" w:eastAsia="Times New Roman" w:hAnsi="Times New Roman"/>
          <w:bCs/>
          <w:sz w:val="26"/>
          <w:szCs w:val="26"/>
          <w:lang w:eastAsia="en-US"/>
        </w:rPr>
        <w:t>новая редакция Устава</w:t>
      </w:r>
      <w:r w:rsidR="00845E67">
        <w:rPr>
          <w:rFonts w:ascii="Times New Roman" w:eastAsia="Times New Roman" w:hAnsi="Times New Roman"/>
          <w:bCs/>
          <w:sz w:val="26"/>
          <w:szCs w:val="26"/>
          <w:lang w:eastAsia="en-US"/>
        </w:rPr>
        <w:t xml:space="preserve"> Общества</w:t>
      </w:r>
      <w:r>
        <w:rPr>
          <w:rFonts w:ascii="Times New Roman" w:eastAsia="Times New Roman" w:hAnsi="Times New Roman"/>
          <w:bCs/>
          <w:sz w:val="26"/>
          <w:szCs w:val="26"/>
          <w:lang w:eastAsia="en-US"/>
        </w:rPr>
        <w:t>. Дивиденды по итогам 2023 года не выплачивались в связи с ограничениями, установленными ст. 43 ФЗ «Об акционерных обществах».</w:t>
      </w:r>
    </w:p>
    <w:p w14:paraId="525D76BB" w14:textId="7FE862A4" w:rsidR="002449C2" w:rsidRDefault="00123961">
      <w:pPr>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en-US"/>
        </w:rPr>
        <w:t>Протоколы Общих собраний акционеров размещены на сайте Общества в</w:t>
      </w:r>
      <w:r>
        <w:rPr>
          <w:rFonts w:ascii="Times New Roman" w:eastAsia="Times New Roman" w:hAnsi="Times New Roman"/>
          <w:sz w:val="26"/>
          <w:szCs w:val="26"/>
          <w:lang w:eastAsia="ru-RU"/>
        </w:rPr>
        <w:t xml:space="preserve"> разделе </w:t>
      </w:r>
      <w:hyperlink r:id="rId146">
        <w:r>
          <w:rPr>
            <w:rFonts w:ascii="Times New Roman" w:eastAsia="Times New Roman" w:hAnsi="Times New Roman"/>
            <w:color w:val="0000FF"/>
            <w:sz w:val="26"/>
            <w:szCs w:val="26"/>
            <w:u w:val="single"/>
            <w:lang w:eastAsia="ru-RU"/>
          </w:rPr>
          <w:t>Акционеру, Инвестору</w:t>
        </w:r>
      </w:hyperlink>
      <w:r>
        <w:rPr>
          <w:rFonts w:ascii="Times New Roman" w:eastAsia="Times New Roman" w:hAnsi="Times New Roman"/>
          <w:sz w:val="26"/>
          <w:szCs w:val="26"/>
          <w:lang w:eastAsia="ru-RU"/>
        </w:rPr>
        <w:t xml:space="preserve">. </w:t>
      </w:r>
    </w:p>
    <w:p w14:paraId="2A6AF7E3" w14:textId="149BC2B7" w:rsidR="00E4255E" w:rsidRDefault="00E4255E">
      <w:pPr>
        <w:tabs>
          <w:tab w:val="left" w:pos="142"/>
        </w:tabs>
        <w:spacing w:after="0" w:line="240" w:lineRule="auto"/>
        <w:ind w:firstLine="567"/>
        <w:jc w:val="both"/>
        <w:rPr>
          <w:rFonts w:ascii="Times New Roman" w:eastAsia="Times New Roman" w:hAnsi="Times New Roman"/>
          <w:sz w:val="26"/>
          <w:szCs w:val="26"/>
          <w:lang w:eastAsia="ru-RU"/>
        </w:rPr>
      </w:pPr>
      <w:r w:rsidRPr="00652559">
        <w:rPr>
          <w:noProof/>
          <w:lang w:eastAsia="ru-RU"/>
        </w:rPr>
        <w:drawing>
          <wp:inline distT="0" distB="0" distL="0" distR="0" wp14:anchorId="36899ABE" wp14:editId="7B302F4F">
            <wp:extent cx="6119495" cy="2910492"/>
            <wp:effectExtent l="0" t="0" r="0" b="4445"/>
            <wp:docPr id="131" name="Диаграмма 1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14:paraId="5B85C24E" w14:textId="74D49874" w:rsidR="002449C2" w:rsidRDefault="002449C2">
      <w:pPr>
        <w:shd w:val="clear" w:color="auto" w:fill="FFFFFF"/>
        <w:tabs>
          <w:tab w:val="left" w:pos="142"/>
        </w:tabs>
        <w:spacing w:after="0" w:line="240" w:lineRule="auto"/>
        <w:jc w:val="center"/>
      </w:pPr>
      <w:bookmarkStart w:id="170" w:name="_Toc536544554"/>
      <w:bookmarkStart w:id="171" w:name="_Toc33542793"/>
      <w:bookmarkEnd w:id="170"/>
      <w:bookmarkEnd w:id="171"/>
    </w:p>
    <w:p w14:paraId="357C09CC" w14:textId="77777777" w:rsidR="002449C2" w:rsidRDefault="00123961">
      <w:pPr>
        <w:keepNext/>
        <w:pBdr>
          <w:bottom w:val="single" w:sz="4" w:space="1" w:color="622423"/>
        </w:pBdr>
        <w:spacing w:line="252" w:lineRule="auto"/>
        <w:jc w:val="center"/>
        <w:outlineLvl w:val="1"/>
        <w:rPr>
          <w:rFonts w:ascii="Times New Roman" w:eastAsia="Times New Roman" w:hAnsi="Times New Roman"/>
          <w:caps/>
          <w:color w:val="632423"/>
          <w:spacing w:val="15"/>
          <w:sz w:val="24"/>
          <w:szCs w:val="24"/>
          <w:lang w:eastAsia="en-US" w:bidi="en-US"/>
        </w:rPr>
      </w:pPr>
      <w:bookmarkStart w:id="172" w:name="_1804599149"/>
      <w:bookmarkStart w:id="173" w:name="_1804599053"/>
      <w:bookmarkStart w:id="174" w:name="_Toc195174964"/>
      <w:bookmarkStart w:id="175" w:name="_Toc196143057"/>
      <w:bookmarkEnd w:id="172"/>
      <w:bookmarkEnd w:id="173"/>
      <w:r>
        <w:rPr>
          <w:rFonts w:ascii="Times New Roman" w:eastAsia="Times New Roman" w:hAnsi="Times New Roman"/>
          <w:caps/>
          <w:color w:val="632423"/>
          <w:spacing w:val="15"/>
          <w:sz w:val="24"/>
          <w:szCs w:val="24"/>
          <w:lang w:eastAsia="en-US" w:bidi="en-US"/>
        </w:rPr>
        <w:t>Совет директоров Общества</w:t>
      </w:r>
      <w:bookmarkEnd w:id="174"/>
      <w:bookmarkEnd w:id="175"/>
    </w:p>
    <w:p w14:paraId="72909A51" w14:textId="77777777" w:rsidR="002449C2" w:rsidRDefault="00123961">
      <w:pPr>
        <w:widowControl w:val="0"/>
        <w:shd w:val="clear" w:color="auto" w:fill="FFFFFF"/>
        <w:tabs>
          <w:tab w:val="left" w:pos="426"/>
          <w:tab w:val="left" w:pos="1134"/>
        </w:tabs>
        <w:spacing w:after="0" w:line="240" w:lineRule="auto"/>
        <w:ind w:firstLine="567"/>
        <w:jc w:val="both"/>
        <w:rPr>
          <w:rFonts w:ascii="Times New Roman" w:eastAsia="Times New Roman" w:hAnsi="Times New Roman"/>
          <w:bCs/>
          <w:sz w:val="26"/>
          <w:szCs w:val="26"/>
          <w:lang w:eastAsia="en-US"/>
        </w:rPr>
      </w:pPr>
      <w:r>
        <w:rPr>
          <w:rFonts w:ascii="Times New Roman" w:eastAsia="Times New Roman" w:hAnsi="Times New Roman"/>
          <w:sz w:val="26"/>
          <w:szCs w:val="26"/>
          <w:lang w:eastAsia="en-US"/>
        </w:rPr>
        <w:t xml:space="preserve">Совет директоров </w:t>
      </w:r>
      <w:r>
        <w:rPr>
          <w:rFonts w:ascii="Times New Roman" w:eastAsia="Times New Roman" w:hAnsi="Times New Roman"/>
          <w:color w:val="000000"/>
          <w:sz w:val="26"/>
          <w:szCs w:val="26"/>
          <w:lang w:eastAsia="en-US"/>
        </w:rPr>
        <w:t>- коллегиальный орган управления, который осуществляет общее руководство деятельностью Общества, контролирует деятельность исполнительных органов Общества, а также исполнение решений Общего собрания акционеров и обеспечение законных интересов акционеров Общества в соответствии с требованиями законодательства Российской Федерации. В своей деятельности Совет директоров руководствуется законодательством Российской Федерации, Уставом и Положением о Совете директоров ПАО «Россети Юг»</w:t>
      </w:r>
      <w:r w:rsidR="00C232B9">
        <w:rPr>
          <w:rStyle w:val="af"/>
          <w:rFonts w:ascii="Times New Roman" w:eastAsia="Times New Roman" w:hAnsi="Times New Roman"/>
          <w:color w:val="000000"/>
          <w:sz w:val="26"/>
          <w:szCs w:val="26"/>
          <w:lang w:eastAsia="en-US"/>
        </w:rPr>
        <w:footnoteReference w:id="17"/>
      </w:r>
      <w:r>
        <w:rPr>
          <w:rFonts w:ascii="Times New Roman" w:eastAsia="Times New Roman" w:hAnsi="Times New Roman"/>
          <w:bCs/>
          <w:sz w:val="26"/>
          <w:szCs w:val="26"/>
          <w:lang w:eastAsia="en-US"/>
        </w:rPr>
        <w:t>.</w:t>
      </w:r>
    </w:p>
    <w:p w14:paraId="307D1302" w14:textId="77777777" w:rsidR="002449C2" w:rsidRDefault="00123961">
      <w:pPr>
        <w:widowControl w:val="0"/>
        <w:shd w:val="clear" w:color="auto" w:fill="FFFFFF"/>
        <w:spacing w:after="0" w:line="240" w:lineRule="auto"/>
        <w:ind w:firstLine="567"/>
        <w:jc w:val="both"/>
        <w:rPr>
          <w:rFonts w:ascii="Times New Roman" w:eastAsia="Times New Roman" w:hAnsi="Times New Roman"/>
          <w:color w:val="000000"/>
          <w:sz w:val="26"/>
          <w:szCs w:val="26"/>
          <w:lang w:eastAsia="en-US"/>
        </w:rPr>
      </w:pPr>
      <w:r>
        <w:rPr>
          <w:rFonts w:ascii="Times New Roman" w:eastAsia="Times New Roman" w:hAnsi="Times New Roman"/>
          <w:color w:val="000000"/>
          <w:sz w:val="26"/>
          <w:szCs w:val="26"/>
          <w:lang w:eastAsia="en-US"/>
        </w:rPr>
        <w:t>Главными целями и задачами деятельности Совета директоров Общества являются:</w:t>
      </w:r>
    </w:p>
    <w:p w14:paraId="494EF7B0" w14:textId="77777777" w:rsidR="002449C2" w:rsidRDefault="00123961">
      <w:pPr>
        <w:widowControl w:val="0"/>
        <w:numPr>
          <w:ilvl w:val="0"/>
          <w:numId w:val="32"/>
        </w:numPr>
        <w:shd w:val="clear" w:color="auto" w:fill="FFFFFF"/>
        <w:tabs>
          <w:tab w:val="left" w:pos="993"/>
        </w:tabs>
        <w:spacing w:after="0" w:line="240" w:lineRule="auto"/>
        <w:ind w:left="0" w:firstLine="567"/>
        <w:contextualSpacing/>
        <w:jc w:val="both"/>
        <w:rPr>
          <w:rFonts w:ascii="Times New Roman" w:eastAsia="Times New Roman" w:hAnsi="Times New Roman"/>
          <w:color w:val="000000"/>
          <w:sz w:val="26"/>
          <w:szCs w:val="26"/>
          <w:lang w:eastAsia="en-US"/>
        </w:rPr>
      </w:pPr>
      <w:r>
        <w:rPr>
          <w:rFonts w:ascii="Times New Roman" w:eastAsia="Times New Roman" w:hAnsi="Times New Roman"/>
          <w:color w:val="000000"/>
          <w:sz w:val="26"/>
          <w:szCs w:val="26"/>
          <w:lang w:eastAsia="en-US"/>
        </w:rPr>
        <w:t>определение стратегии развития Общества, направленной на повышение его рыночной капитализации и инвестиционной привлекательности, достижение максимальной прибыли и увеличение активов Общества;</w:t>
      </w:r>
    </w:p>
    <w:p w14:paraId="7580EB1C" w14:textId="77777777" w:rsidR="002449C2" w:rsidRDefault="00123961">
      <w:pPr>
        <w:widowControl w:val="0"/>
        <w:numPr>
          <w:ilvl w:val="0"/>
          <w:numId w:val="32"/>
        </w:numPr>
        <w:shd w:val="clear" w:color="auto" w:fill="FFFFFF"/>
        <w:tabs>
          <w:tab w:val="left" w:pos="993"/>
        </w:tabs>
        <w:spacing w:after="0" w:line="240" w:lineRule="auto"/>
        <w:ind w:left="0" w:firstLine="567"/>
        <w:contextualSpacing/>
        <w:jc w:val="both"/>
        <w:rPr>
          <w:rFonts w:ascii="Times New Roman" w:eastAsia="Times New Roman" w:hAnsi="Times New Roman"/>
          <w:color w:val="000000"/>
          <w:sz w:val="26"/>
          <w:szCs w:val="26"/>
          <w:lang w:eastAsia="en-US"/>
        </w:rPr>
      </w:pPr>
      <w:r>
        <w:rPr>
          <w:rFonts w:ascii="Times New Roman" w:eastAsia="Times New Roman" w:hAnsi="Times New Roman"/>
          <w:color w:val="000000"/>
          <w:sz w:val="26"/>
          <w:szCs w:val="26"/>
          <w:lang w:eastAsia="en-US"/>
        </w:rPr>
        <w:t>обеспечение реализации и защиты прав и законных интересов акционеров Общества, а также содействие разрешению корпоративных конфликтов;</w:t>
      </w:r>
    </w:p>
    <w:p w14:paraId="6DC878A5" w14:textId="77777777" w:rsidR="002449C2" w:rsidRDefault="00123961">
      <w:pPr>
        <w:widowControl w:val="0"/>
        <w:numPr>
          <w:ilvl w:val="0"/>
          <w:numId w:val="32"/>
        </w:numPr>
        <w:shd w:val="clear" w:color="auto" w:fill="FFFFFF"/>
        <w:tabs>
          <w:tab w:val="left" w:pos="993"/>
        </w:tabs>
        <w:spacing w:after="0" w:line="240" w:lineRule="auto"/>
        <w:ind w:left="0" w:firstLine="567"/>
        <w:contextualSpacing/>
        <w:jc w:val="both"/>
        <w:rPr>
          <w:rFonts w:ascii="Times New Roman" w:eastAsia="Times New Roman" w:hAnsi="Times New Roman"/>
          <w:color w:val="000000"/>
          <w:sz w:val="26"/>
          <w:szCs w:val="26"/>
          <w:lang w:eastAsia="en-US"/>
        </w:rPr>
      </w:pPr>
      <w:r>
        <w:rPr>
          <w:rFonts w:ascii="Times New Roman" w:eastAsia="Times New Roman" w:hAnsi="Times New Roman"/>
          <w:color w:val="000000"/>
          <w:sz w:val="26"/>
          <w:szCs w:val="26"/>
          <w:lang w:eastAsia="en-US"/>
        </w:rPr>
        <w:t>обеспечение полноты, достоверности и объективности раскрытия информации об Обществе для акционеров и иных заинтересованных лиц;</w:t>
      </w:r>
    </w:p>
    <w:p w14:paraId="3EC94C4D" w14:textId="77777777" w:rsidR="002449C2" w:rsidRDefault="00123961">
      <w:pPr>
        <w:widowControl w:val="0"/>
        <w:numPr>
          <w:ilvl w:val="0"/>
          <w:numId w:val="32"/>
        </w:numPr>
        <w:shd w:val="clear" w:color="auto" w:fill="FFFFFF"/>
        <w:tabs>
          <w:tab w:val="left" w:pos="993"/>
        </w:tabs>
        <w:spacing w:after="0" w:line="240" w:lineRule="auto"/>
        <w:ind w:left="0" w:firstLine="567"/>
        <w:contextualSpacing/>
        <w:jc w:val="both"/>
        <w:rPr>
          <w:rFonts w:ascii="Times New Roman" w:eastAsia="Times New Roman" w:hAnsi="Times New Roman"/>
          <w:color w:val="000000"/>
          <w:sz w:val="26"/>
          <w:szCs w:val="26"/>
          <w:lang w:eastAsia="en-US"/>
        </w:rPr>
      </w:pPr>
      <w:r>
        <w:rPr>
          <w:rFonts w:ascii="Times New Roman" w:eastAsia="Times New Roman" w:hAnsi="Times New Roman"/>
          <w:color w:val="000000"/>
          <w:sz w:val="26"/>
          <w:szCs w:val="26"/>
          <w:lang w:eastAsia="en-US"/>
        </w:rPr>
        <w:t>создание эффективных внутренних контрольных механизмов;</w:t>
      </w:r>
    </w:p>
    <w:p w14:paraId="4B80F146" w14:textId="77777777" w:rsidR="002449C2" w:rsidRDefault="00123961">
      <w:pPr>
        <w:widowControl w:val="0"/>
        <w:numPr>
          <w:ilvl w:val="0"/>
          <w:numId w:val="32"/>
        </w:numPr>
        <w:shd w:val="clear" w:color="auto" w:fill="FFFFFF"/>
        <w:tabs>
          <w:tab w:val="left" w:pos="993"/>
        </w:tabs>
        <w:spacing w:after="0" w:line="240" w:lineRule="auto"/>
        <w:ind w:left="0" w:firstLine="567"/>
        <w:contextualSpacing/>
        <w:jc w:val="both"/>
        <w:rPr>
          <w:rFonts w:ascii="Times New Roman" w:eastAsia="Times New Roman" w:hAnsi="Times New Roman"/>
          <w:color w:val="000000"/>
          <w:sz w:val="26"/>
          <w:szCs w:val="26"/>
          <w:lang w:eastAsia="en-US"/>
        </w:rPr>
      </w:pPr>
      <w:r>
        <w:rPr>
          <w:rFonts w:ascii="Times New Roman" w:eastAsia="Times New Roman" w:hAnsi="Times New Roman"/>
          <w:color w:val="000000"/>
          <w:sz w:val="26"/>
          <w:szCs w:val="26"/>
          <w:lang w:eastAsia="en-US"/>
        </w:rPr>
        <w:t>регулярная оценка деятельности исполнительных органов Общества и работы менеджмента.</w:t>
      </w:r>
    </w:p>
    <w:p w14:paraId="2CB4F953" w14:textId="261E9F05" w:rsidR="002449C2" w:rsidRDefault="00123961">
      <w:pPr>
        <w:widowControl w:val="0"/>
        <w:shd w:val="clear" w:color="auto" w:fill="FFFFFF"/>
        <w:spacing w:after="0" w:line="240" w:lineRule="auto"/>
        <w:ind w:firstLine="567"/>
        <w:jc w:val="both"/>
        <w:rPr>
          <w:rFonts w:ascii="Times New Roman" w:eastAsia="Times New Roman" w:hAnsi="Times New Roman"/>
          <w:color w:val="000000"/>
          <w:sz w:val="26"/>
          <w:szCs w:val="26"/>
          <w:lang w:eastAsia="en-US"/>
        </w:rPr>
      </w:pPr>
      <w:r>
        <w:rPr>
          <w:rFonts w:ascii="Times New Roman" w:eastAsia="Times New Roman" w:hAnsi="Times New Roman"/>
          <w:color w:val="000000"/>
          <w:sz w:val="26"/>
          <w:szCs w:val="26"/>
          <w:lang w:eastAsia="en-US"/>
        </w:rPr>
        <w:t>Для реализации указанных целей и задач Совет директоров руководствуется следующими принципами:</w:t>
      </w:r>
    </w:p>
    <w:p w14:paraId="35CDB866" w14:textId="77777777" w:rsidR="002449C2" w:rsidRDefault="00123961">
      <w:pPr>
        <w:widowControl w:val="0"/>
        <w:numPr>
          <w:ilvl w:val="0"/>
          <w:numId w:val="32"/>
        </w:numPr>
        <w:shd w:val="clear" w:color="auto" w:fill="FFFFFF"/>
        <w:tabs>
          <w:tab w:val="left" w:pos="993"/>
        </w:tabs>
        <w:spacing w:after="0" w:line="240" w:lineRule="auto"/>
        <w:ind w:left="0" w:firstLine="567"/>
        <w:contextualSpacing/>
        <w:jc w:val="both"/>
        <w:rPr>
          <w:rFonts w:ascii="Times New Roman" w:eastAsia="Times New Roman" w:hAnsi="Times New Roman"/>
          <w:color w:val="000000"/>
          <w:sz w:val="26"/>
          <w:szCs w:val="26"/>
          <w:lang w:eastAsia="en-US"/>
        </w:rPr>
      </w:pPr>
      <w:r>
        <w:rPr>
          <w:rFonts w:ascii="Times New Roman" w:eastAsia="Times New Roman" w:hAnsi="Times New Roman"/>
          <w:color w:val="000000"/>
          <w:sz w:val="26"/>
          <w:szCs w:val="26"/>
          <w:lang w:eastAsia="en-US"/>
        </w:rPr>
        <w:t>принятие решений на основе достоверной информации о деятельности Общества;</w:t>
      </w:r>
    </w:p>
    <w:p w14:paraId="3027F354" w14:textId="77777777" w:rsidR="002449C2" w:rsidRDefault="00123961">
      <w:pPr>
        <w:widowControl w:val="0"/>
        <w:numPr>
          <w:ilvl w:val="0"/>
          <w:numId w:val="32"/>
        </w:numPr>
        <w:shd w:val="clear" w:color="auto" w:fill="FFFFFF"/>
        <w:tabs>
          <w:tab w:val="left" w:pos="993"/>
        </w:tabs>
        <w:spacing w:after="0" w:line="240" w:lineRule="auto"/>
        <w:ind w:left="0" w:firstLine="567"/>
        <w:contextualSpacing/>
        <w:jc w:val="both"/>
        <w:rPr>
          <w:rFonts w:ascii="Times New Roman" w:eastAsia="Times New Roman" w:hAnsi="Times New Roman"/>
          <w:color w:val="000000"/>
          <w:sz w:val="26"/>
          <w:szCs w:val="26"/>
          <w:lang w:eastAsia="en-US"/>
        </w:rPr>
      </w:pPr>
      <w:r>
        <w:rPr>
          <w:rFonts w:ascii="Times New Roman" w:eastAsia="Times New Roman" w:hAnsi="Times New Roman"/>
          <w:color w:val="000000"/>
          <w:sz w:val="26"/>
          <w:szCs w:val="26"/>
          <w:lang w:eastAsia="en-US"/>
        </w:rPr>
        <w:t>исключение ограничений прав акционеров на участие в управлении Обществом, получение дивидендов и информации об Обществе;</w:t>
      </w:r>
    </w:p>
    <w:p w14:paraId="07AEA1EE" w14:textId="77777777" w:rsidR="002449C2" w:rsidRDefault="00123961">
      <w:pPr>
        <w:widowControl w:val="0"/>
        <w:numPr>
          <w:ilvl w:val="0"/>
          <w:numId w:val="32"/>
        </w:numPr>
        <w:shd w:val="clear" w:color="auto" w:fill="FFFFFF"/>
        <w:tabs>
          <w:tab w:val="left" w:pos="993"/>
        </w:tabs>
        <w:spacing w:after="0" w:line="240" w:lineRule="auto"/>
        <w:ind w:left="0" w:firstLine="567"/>
        <w:contextualSpacing/>
        <w:jc w:val="both"/>
        <w:rPr>
          <w:rFonts w:ascii="Times New Roman" w:eastAsia="Times New Roman" w:hAnsi="Times New Roman"/>
          <w:color w:val="000000"/>
          <w:sz w:val="26"/>
          <w:szCs w:val="26"/>
          <w:lang w:eastAsia="en-US"/>
        </w:rPr>
      </w:pPr>
      <w:r>
        <w:rPr>
          <w:rFonts w:ascii="Times New Roman" w:eastAsia="Times New Roman" w:hAnsi="Times New Roman"/>
          <w:color w:val="000000"/>
          <w:sz w:val="26"/>
          <w:szCs w:val="26"/>
          <w:lang w:eastAsia="en-US"/>
        </w:rPr>
        <w:t>достижение баланса интересов различных групп акционеров и принятие Советом директоров максимально объективных решений в интересах всех акционеров Общества.</w:t>
      </w:r>
    </w:p>
    <w:p w14:paraId="5186D4B8" w14:textId="77777777" w:rsidR="002449C2" w:rsidRDefault="002449C2">
      <w:pPr>
        <w:widowControl w:val="0"/>
        <w:shd w:val="clear" w:color="auto" w:fill="FFFFFF"/>
        <w:spacing w:after="0" w:line="240" w:lineRule="auto"/>
        <w:ind w:firstLine="567"/>
        <w:jc w:val="both"/>
        <w:rPr>
          <w:rFonts w:ascii="Times New Roman" w:eastAsia="Times New Roman" w:hAnsi="Times New Roman"/>
          <w:sz w:val="26"/>
          <w:szCs w:val="26"/>
          <w:lang w:eastAsia="ru-RU"/>
        </w:rPr>
      </w:pPr>
    </w:p>
    <w:p w14:paraId="3C9B6598" w14:textId="77777777" w:rsidR="002449C2" w:rsidRDefault="00123961">
      <w:pPr>
        <w:widowControl w:val="0"/>
        <w:shd w:val="clear" w:color="auto" w:fill="FFFFFF"/>
        <w:tabs>
          <w:tab w:val="left" w:pos="142"/>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В соответствии с Уставом Общества к компетенции Совета директоров относятся три категории вопросов:</w:t>
      </w:r>
    </w:p>
    <w:p w14:paraId="30954E63" w14:textId="1918C704" w:rsidR="002449C2" w:rsidRDefault="00123961">
      <w:pPr>
        <w:widowControl w:val="0"/>
        <w:shd w:val="clear" w:color="auto" w:fill="FFFFFF"/>
        <w:tabs>
          <w:tab w:val="left" w:pos="142"/>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1. Обязательные вопросы - вопросы исключительной компетенции Совета директоров в соответствии с Федеральным законом «Об акционерных обществах»</w:t>
      </w:r>
      <w:r w:rsidR="00E4255E">
        <w:rPr>
          <w:rFonts w:ascii="Times New Roman" w:hAnsi="Times New Roman"/>
          <w:sz w:val="26"/>
          <w:szCs w:val="26"/>
          <w:lang w:eastAsia="en-US"/>
        </w:rPr>
        <w:t>.</w:t>
      </w:r>
      <w:r>
        <w:rPr>
          <w:rFonts w:ascii="Times New Roman" w:hAnsi="Times New Roman"/>
          <w:sz w:val="26"/>
          <w:szCs w:val="26"/>
          <w:lang w:eastAsia="en-US"/>
        </w:rPr>
        <w:t xml:space="preserve"> </w:t>
      </w:r>
    </w:p>
    <w:p w14:paraId="6AED0175" w14:textId="77777777" w:rsidR="002449C2" w:rsidRDefault="00123961">
      <w:pPr>
        <w:widowControl w:val="0"/>
        <w:shd w:val="clear" w:color="auto" w:fill="FFFFFF"/>
        <w:tabs>
          <w:tab w:val="left" w:pos="142"/>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xml:space="preserve">2. Дополнительные вопросы - вопросы компетенции Общего собрания акционеров, переданные в компетенцию Совета директоров в соответствии с Уставом Общества в случаях, предусмотренных Федеральным законом «Об акционерных обществах»: </w:t>
      </w:r>
    </w:p>
    <w:p w14:paraId="25F533F6" w14:textId="37264F86" w:rsidR="002449C2" w:rsidRDefault="00123961">
      <w:pPr>
        <w:widowControl w:val="0"/>
        <w:shd w:val="clear" w:color="auto" w:fill="FFFFFF"/>
        <w:tabs>
          <w:tab w:val="left" w:pos="142"/>
        </w:tabs>
        <w:spacing w:after="0" w:line="240" w:lineRule="auto"/>
        <w:ind w:firstLine="567"/>
        <w:jc w:val="both"/>
        <w:rPr>
          <w:rFonts w:ascii="Times New Roman" w:hAnsi="Times New Roman"/>
          <w:sz w:val="26"/>
          <w:szCs w:val="26"/>
          <w:lang w:eastAsia="en-US"/>
        </w:rPr>
      </w:pPr>
      <w:r>
        <w:rPr>
          <w:rFonts w:ascii="Symbol" w:eastAsia="Symbol" w:hAnsi="Symbol" w:cs="Symbol"/>
          <w:sz w:val="26"/>
          <w:szCs w:val="26"/>
          <w:lang w:eastAsia="en-US"/>
        </w:rPr>
        <w:t></w:t>
      </w:r>
      <w:r>
        <w:rPr>
          <w:rFonts w:ascii="Times New Roman" w:hAnsi="Times New Roman"/>
          <w:sz w:val="26"/>
          <w:szCs w:val="26"/>
          <w:lang w:eastAsia="en-US"/>
        </w:rPr>
        <w:t xml:space="preserve"> о</w:t>
      </w:r>
      <w:r w:rsidR="00F97454">
        <w:rPr>
          <w:rFonts w:ascii="Times New Roman" w:hAnsi="Times New Roman"/>
          <w:sz w:val="26"/>
          <w:szCs w:val="26"/>
          <w:lang w:eastAsia="en-US"/>
        </w:rPr>
        <w:t xml:space="preserve">бразование исполнительного органа Общества, </w:t>
      </w:r>
      <w:r>
        <w:rPr>
          <w:rFonts w:ascii="Times New Roman" w:hAnsi="Times New Roman"/>
          <w:sz w:val="26"/>
          <w:szCs w:val="26"/>
          <w:lang w:eastAsia="en-US"/>
        </w:rPr>
        <w:t xml:space="preserve">досрочное прекращение </w:t>
      </w:r>
      <w:proofErr w:type="gramStart"/>
      <w:r w:rsidR="00F97454">
        <w:rPr>
          <w:rFonts w:ascii="Times New Roman" w:hAnsi="Times New Roman"/>
          <w:sz w:val="26"/>
          <w:szCs w:val="26"/>
          <w:lang w:eastAsia="en-US"/>
        </w:rPr>
        <w:t xml:space="preserve">его </w:t>
      </w:r>
      <w:r>
        <w:rPr>
          <w:rFonts w:ascii="Times New Roman" w:hAnsi="Times New Roman"/>
          <w:sz w:val="26"/>
          <w:szCs w:val="26"/>
          <w:lang w:eastAsia="en-US"/>
        </w:rPr>
        <w:t xml:space="preserve"> полномочий</w:t>
      </w:r>
      <w:proofErr w:type="gramEnd"/>
      <w:r>
        <w:rPr>
          <w:rFonts w:ascii="Times New Roman" w:hAnsi="Times New Roman"/>
          <w:sz w:val="26"/>
          <w:szCs w:val="26"/>
          <w:lang w:eastAsia="en-US"/>
        </w:rPr>
        <w:t xml:space="preserve">; </w:t>
      </w:r>
    </w:p>
    <w:p w14:paraId="4AD71CDD" w14:textId="77777777" w:rsidR="002449C2" w:rsidRDefault="00123961">
      <w:pPr>
        <w:widowControl w:val="0"/>
        <w:shd w:val="clear" w:color="auto" w:fill="FFFFFF"/>
        <w:tabs>
          <w:tab w:val="left" w:pos="142"/>
        </w:tabs>
        <w:spacing w:after="0" w:line="240" w:lineRule="auto"/>
        <w:ind w:firstLine="567"/>
        <w:jc w:val="both"/>
        <w:rPr>
          <w:rFonts w:ascii="Times New Roman" w:hAnsi="Times New Roman"/>
          <w:sz w:val="26"/>
          <w:szCs w:val="26"/>
          <w:lang w:eastAsia="en-US"/>
        </w:rPr>
      </w:pPr>
      <w:r>
        <w:rPr>
          <w:rFonts w:ascii="Symbol" w:eastAsia="Symbol" w:hAnsi="Symbol" w:cs="Symbol"/>
          <w:sz w:val="26"/>
          <w:szCs w:val="26"/>
          <w:lang w:eastAsia="en-US"/>
        </w:rPr>
        <w:t></w:t>
      </w:r>
      <w:r>
        <w:rPr>
          <w:rFonts w:ascii="Times New Roman" w:hAnsi="Times New Roman"/>
          <w:sz w:val="26"/>
          <w:szCs w:val="26"/>
          <w:lang w:eastAsia="en-US"/>
        </w:rPr>
        <w:t xml:space="preserve"> обращение с заявлением о листинге акций Общества и (или) эмиссионных ценных бумаг Общества, конвертируемых в акции Общества.</w:t>
      </w:r>
    </w:p>
    <w:p w14:paraId="397B227A" w14:textId="77777777" w:rsidR="002449C2" w:rsidRDefault="00123961">
      <w:pPr>
        <w:widowControl w:val="0"/>
        <w:shd w:val="clear" w:color="auto" w:fill="FFFFFF"/>
        <w:tabs>
          <w:tab w:val="left" w:pos="142"/>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3. Расширенная компетенция - вопросы, отнесенные к компетенции Совета директоров в соответствии с Уставом Общества в дополнение к вопросам, предусмотренным Федеральным законом «Об акционерных обществах»:</w:t>
      </w:r>
    </w:p>
    <w:p w14:paraId="43E67424" w14:textId="77777777" w:rsidR="002449C2" w:rsidRDefault="00123961">
      <w:pPr>
        <w:widowControl w:val="0"/>
        <w:numPr>
          <w:ilvl w:val="0"/>
          <w:numId w:val="33"/>
        </w:numPr>
        <w:shd w:val="clear" w:color="auto" w:fill="FFFFFF"/>
        <w:tabs>
          <w:tab w:val="left" w:pos="993"/>
        </w:tabs>
        <w:spacing w:after="0" w:line="240" w:lineRule="auto"/>
        <w:ind w:left="0" w:firstLine="567"/>
        <w:contextualSpacing/>
        <w:jc w:val="both"/>
        <w:rPr>
          <w:rFonts w:ascii="Times New Roman" w:hAnsi="Times New Roman"/>
          <w:sz w:val="26"/>
          <w:szCs w:val="26"/>
          <w:lang w:eastAsia="en-US"/>
        </w:rPr>
      </w:pPr>
      <w:r>
        <w:rPr>
          <w:rFonts w:ascii="Times New Roman" w:hAnsi="Times New Roman"/>
          <w:sz w:val="26"/>
          <w:szCs w:val="26"/>
          <w:lang w:eastAsia="en-US"/>
        </w:rPr>
        <w:t xml:space="preserve">бизнес-планирование и инвестиции; </w:t>
      </w:r>
    </w:p>
    <w:p w14:paraId="7B027067" w14:textId="77777777" w:rsidR="002449C2" w:rsidRDefault="00123961">
      <w:pPr>
        <w:widowControl w:val="0"/>
        <w:numPr>
          <w:ilvl w:val="0"/>
          <w:numId w:val="33"/>
        </w:numPr>
        <w:shd w:val="clear" w:color="auto" w:fill="FFFFFF"/>
        <w:tabs>
          <w:tab w:val="left" w:pos="993"/>
        </w:tabs>
        <w:spacing w:after="0" w:line="240" w:lineRule="auto"/>
        <w:ind w:left="0" w:firstLine="567"/>
        <w:contextualSpacing/>
        <w:jc w:val="both"/>
        <w:rPr>
          <w:rFonts w:ascii="Times New Roman" w:hAnsi="Times New Roman"/>
          <w:sz w:val="26"/>
          <w:szCs w:val="26"/>
          <w:lang w:eastAsia="en-US"/>
        </w:rPr>
      </w:pPr>
      <w:r>
        <w:rPr>
          <w:rFonts w:ascii="Times New Roman" w:hAnsi="Times New Roman"/>
          <w:sz w:val="26"/>
          <w:szCs w:val="26"/>
          <w:lang w:eastAsia="en-US"/>
        </w:rPr>
        <w:t xml:space="preserve">финансово-кредитная политика, страхование; </w:t>
      </w:r>
    </w:p>
    <w:p w14:paraId="279F0BC4" w14:textId="77777777" w:rsidR="002449C2" w:rsidRDefault="00123961">
      <w:pPr>
        <w:widowControl w:val="0"/>
        <w:numPr>
          <w:ilvl w:val="0"/>
          <w:numId w:val="33"/>
        </w:numPr>
        <w:shd w:val="clear" w:color="auto" w:fill="FFFFFF"/>
        <w:tabs>
          <w:tab w:val="left" w:pos="993"/>
        </w:tabs>
        <w:spacing w:after="0" w:line="240" w:lineRule="auto"/>
        <w:ind w:left="0" w:firstLine="567"/>
        <w:contextualSpacing/>
        <w:jc w:val="both"/>
        <w:rPr>
          <w:rFonts w:ascii="Times New Roman" w:hAnsi="Times New Roman"/>
          <w:sz w:val="26"/>
          <w:szCs w:val="26"/>
          <w:lang w:eastAsia="en-US"/>
        </w:rPr>
      </w:pPr>
      <w:r>
        <w:rPr>
          <w:rFonts w:ascii="Times New Roman" w:hAnsi="Times New Roman"/>
          <w:sz w:val="26"/>
          <w:szCs w:val="26"/>
          <w:lang w:eastAsia="en-US"/>
        </w:rPr>
        <w:t xml:space="preserve">управление дочерними обществами по ключевым вопросам деятельности; </w:t>
      </w:r>
    </w:p>
    <w:p w14:paraId="1B932ADB" w14:textId="77777777" w:rsidR="002449C2" w:rsidRDefault="00123961">
      <w:pPr>
        <w:widowControl w:val="0"/>
        <w:numPr>
          <w:ilvl w:val="0"/>
          <w:numId w:val="33"/>
        </w:numPr>
        <w:shd w:val="clear" w:color="auto" w:fill="FFFFFF"/>
        <w:tabs>
          <w:tab w:val="left" w:pos="993"/>
        </w:tabs>
        <w:spacing w:after="0" w:line="240" w:lineRule="auto"/>
        <w:ind w:left="0" w:firstLine="567"/>
        <w:contextualSpacing/>
        <w:jc w:val="both"/>
        <w:rPr>
          <w:rFonts w:ascii="Times New Roman" w:hAnsi="Times New Roman"/>
          <w:sz w:val="26"/>
          <w:szCs w:val="26"/>
          <w:lang w:eastAsia="en-US"/>
        </w:rPr>
      </w:pPr>
      <w:r>
        <w:rPr>
          <w:rFonts w:ascii="Times New Roman" w:hAnsi="Times New Roman"/>
          <w:sz w:val="26"/>
          <w:szCs w:val="26"/>
          <w:lang w:eastAsia="en-US"/>
        </w:rPr>
        <w:t xml:space="preserve">контроль за существенными сделками; </w:t>
      </w:r>
    </w:p>
    <w:p w14:paraId="77DFE66D" w14:textId="77777777" w:rsidR="002449C2" w:rsidRDefault="00123961">
      <w:pPr>
        <w:widowControl w:val="0"/>
        <w:numPr>
          <w:ilvl w:val="0"/>
          <w:numId w:val="33"/>
        </w:numPr>
        <w:shd w:val="clear" w:color="auto" w:fill="FFFFFF"/>
        <w:tabs>
          <w:tab w:val="left" w:pos="993"/>
        </w:tabs>
        <w:spacing w:after="0" w:line="240" w:lineRule="auto"/>
        <w:ind w:left="0" w:firstLine="567"/>
        <w:contextualSpacing/>
        <w:jc w:val="both"/>
        <w:rPr>
          <w:rFonts w:ascii="Times New Roman" w:hAnsi="Times New Roman"/>
          <w:sz w:val="26"/>
          <w:szCs w:val="26"/>
          <w:lang w:eastAsia="en-US"/>
        </w:rPr>
      </w:pPr>
      <w:r>
        <w:rPr>
          <w:rFonts w:ascii="Times New Roman" w:hAnsi="Times New Roman"/>
          <w:sz w:val="26"/>
          <w:szCs w:val="26"/>
          <w:lang w:eastAsia="en-US"/>
        </w:rPr>
        <w:t>утверждение программ (планов-графиков) по основным направлениям деятельности, контроль их реализации;</w:t>
      </w:r>
    </w:p>
    <w:p w14:paraId="6397DFC1" w14:textId="77777777" w:rsidR="002449C2" w:rsidRDefault="00123961">
      <w:pPr>
        <w:widowControl w:val="0"/>
        <w:numPr>
          <w:ilvl w:val="0"/>
          <w:numId w:val="33"/>
        </w:numPr>
        <w:shd w:val="clear" w:color="auto" w:fill="FFFFFF"/>
        <w:tabs>
          <w:tab w:val="left" w:pos="993"/>
        </w:tabs>
        <w:spacing w:after="0" w:line="240" w:lineRule="auto"/>
        <w:ind w:left="0" w:firstLine="567"/>
        <w:contextualSpacing/>
        <w:jc w:val="both"/>
        <w:rPr>
          <w:rFonts w:ascii="Times New Roman" w:hAnsi="Times New Roman"/>
          <w:sz w:val="26"/>
          <w:szCs w:val="26"/>
          <w:lang w:eastAsia="en-US"/>
        </w:rPr>
      </w:pPr>
      <w:r>
        <w:rPr>
          <w:rFonts w:ascii="Times New Roman" w:hAnsi="Times New Roman"/>
          <w:sz w:val="26"/>
          <w:szCs w:val="26"/>
          <w:lang w:eastAsia="en-US"/>
        </w:rPr>
        <w:t xml:space="preserve">регулярная оценка итогов деятельности исполнительных органов; </w:t>
      </w:r>
    </w:p>
    <w:p w14:paraId="546FC834" w14:textId="77777777" w:rsidR="002449C2" w:rsidRDefault="00123961">
      <w:pPr>
        <w:widowControl w:val="0"/>
        <w:numPr>
          <w:ilvl w:val="0"/>
          <w:numId w:val="33"/>
        </w:numPr>
        <w:shd w:val="clear" w:color="auto" w:fill="FFFFFF"/>
        <w:tabs>
          <w:tab w:val="left" w:pos="993"/>
        </w:tabs>
        <w:spacing w:after="0" w:line="240" w:lineRule="auto"/>
        <w:ind w:left="0" w:firstLine="567"/>
        <w:contextualSpacing/>
        <w:jc w:val="both"/>
        <w:rPr>
          <w:rFonts w:ascii="Times New Roman" w:hAnsi="Times New Roman"/>
          <w:sz w:val="26"/>
          <w:szCs w:val="26"/>
          <w:lang w:eastAsia="en-US"/>
        </w:rPr>
      </w:pPr>
      <w:r>
        <w:rPr>
          <w:rFonts w:ascii="Times New Roman" w:hAnsi="Times New Roman"/>
          <w:sz w:val="26"/>
          <w:szCs w:val="26"/>
          <w:lang w:eastAsia="en-US"/>
        </w:rPr>
        <w:t xml:space="preserve">кадровая политика и вознаграждение менеджмента; </w:t>
      </w:r>
    </w:p>
    <w:p w14:paraId="5F604B9B" w14:textId="77777777" w:rsidR="002449C2" w:rsidRDefault="00123961">
      <w:pPr>
        <w:widowControl w:val="0"/>
        <w:numPr>
          <w:ilvl w:val="0"/>
          <w:numId w:val="33"/>
        </w:numPr>
        <w:shd w:val="clear" w:color="auto" w:fill="FFFFFF"/>
        <w:tabs>
          <w:tab w:val="left" w:pos="993"/>
        </w:tabs>
        <w:spacing w:after="0" w:line="240" w:lineRule="auto"/>
        <w:ind w:left="0" w:firstLine="567"/>
        <w:contextualSpacing/>
        <w:jc w:val="both"/>
        <w:rPr>
          <w:rFonts w:ascii="Times New Roman" w:eastAsia="Times New Roman" w:hAnsi="Times New Roman"/>
          <w:b/>
          <w:sz w:val="26"/>
          <w:szCs w:val="26"/>
          <w:lang w:eastAsia="en-US"/>
        </w:rPr>
      </w:pPr>
      <w:r>
        <w:rPr>
          <w:rFonts w:ascii="Times New Roman" w:hAnsi="Times New Roman"/>
          <w:sz w:val="26"/>
          <w:szCs w:val="26"/>
          <w:lang w:eastAsia="en-US"/>
        </w:rPr>
        <w:t>иные вопросы.</w:t>
      </w:r>
    </w:p>
    <w:p w14:paraId="0C41558C" w14:textId="77777777" w:rsidR="002449C2" w:rsidRDefault="00123961">
      <w:pPr>
        <w:widowControl w:val="0"/>
        <w:shd w:val="clear" w:color="auto" w:fill="FFFFFF"/>
        <w:spacing w:before="240" w:after="240" w:line="240" w:lineRule="auto"/>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Итоги деятельности Совета директоров в отчетном году</w:t>
      </w:r>
    </w:p>
    <w:p w14:paraId="417BA657" w14:textId="77777777" w:rsidR="002449C2" w:rsidRDefault="00123961">
      <w:pPr>
        <w:widowControl w:val="0"/>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2024 году проведено 44 заседания Совета директоров Компании, из них 4 – в очно-заочной форме посредством видеоконференцсвязи. На заседаниях Совета директоров в 2024 году было рассмотрено 159 вопросов</w:t>
      </w:r>
      <w:r w:rsidR="00845E67">
        <w:rPr>
          <w:rFonts w:ascii="Times New Roman" w:eastAsia="Times New Roman" w:hAnsi="Times New Roman"/>
          <w:sz w:val="26"/>
          <w:szCs w:val="26"/>
          <w:lang w:eastAsia="ru-RU"/>
        </w:rPr>
        <w:t>.</w:t>
      </w:r>
    </w:p>
    <w:p w14:paraId="3FA92036" w14:textId="77777777" w:rsidR="002449C2" w:rsidRDefault="002449C2">
      <w:pPr>
        <w:widowControl w:val="0"/>
        <w:shd w:val="clear" w:color="auto" w:fill="FFFFFF"/>
        <w:spacing w:after="0" w:line="240" w:lineRule="auto"/>
        <w:ind w:firstLine="567"/>
        <w:jc w:val="both"/>
        <w:rPr>
          <w:rFonts w:ascii="Times New Roman" w:eastAsia="Times New Roman" w:hAnsi="Times New Roman"/>
          <w:sz w:val="26"/>
          <w:szCs w:val="26"/>
          <w:lang w:eastAsia="ru-RU"/>
        </w:rPr>
      </w:pPr>
    </w:p>
    <w:p w14:paraId="564591D4" w14:textId="77777777" w:rsidR="002449C2" w:rsidRDefault="00123961">
      <w:pPr>
        <w:widowControl w:val="0"/>
        <w:shd w:val="clear" w:color="auto" w:fill="FFFFFF"/>
        <w:spacing w:before="120" w:after="120" w:line="240" w:lineRule="auto"/>
        <w:jc w:val="center"/>
        <w:rPr>
          <w:rFonts w:ascii="Times New Roman" w:eastAsia="Times New Roman" w:hAnsi="Times New Roman"/>
          <w:sz w:val="26"/>
          <w:szCs w:val="26"/>
          <w:lang w:eastAsia="ru-RU"/>
        </w:rPr>
      </w:pPr>
      <w:r>
        <w:rPr>
          <w:rFonts w:ascii="Times New Roman" w:eastAsia="Times New Roman" w:hAnsi="Times New Roman"/>
          <w:b/>
          <w:bCs/>
          <w:sz w:val="26"/>
          <w:szCs w:val="26"/>
          <w:lang w:eastAsia="ru-RU"/>
        </w:rPr>
        <w:t>Статистика работы Совета директоров ПАО "Россети Юг"</w:t>
      </w:r>
    </w:p>
    <w:p w14:paraId="45F86687" w14:textId="77777777" w:rsidR="002449C2" w:rsidRDefault="00123961">
      <w:pPr>
        <w:widowControl w:val="0"/>
        <w:shd w:val="clear" w:color="auto" w:fill="FFFFFF"/>
        <w:spacing w:after="0" w:line="240" w:lineRule="auto"/>
        <w:ind w:firstLine="567"/>
        <w:jc w:val="both"/>
        <w:rPr>
          <w:rFonts w:ascii="Times New Roman" w:eastAsia="Times New Roman" w:hAnsi="Times New Roman"/>
          <w:b/>
          <w:sz w:val="26"/>
          <w:szCs w:val="26"/>
          <w:lang w:eastAsia="ru-RU"/>
        </w:rPr>
      </w:pPr>
      <w:r>
        <w:rPr>
          <w:rFonts w:ascii="Times New Roman" w:eastAsia="Times New Roman" w:hAnsi="Times New Roman"/>
          <w:b/>
          <w:noProof/>
          <w:sz w:val="26"/>
          <w:szCs w:val="26"/>
          <w:lang w:eastAsia="ru-RU"/>
        </w:rPr>
        <w:drawing>
          <wp:anchor distT="0" distB="0" distL="0" distR="0" simplePos="0" relativeHeight="86" behindDoc="0" locked="0" layoutInCell="1" allowOverlap="1" wp14:anchorId="71D611F8" wp14:editId="3C7C5A4B">
            <wp:simplePos x="0" y="0"/>
            <wp:positionH relativeFrom="column">
              <wp:posOffset>158750</wp:posOffset>
            </wp:positionH>
            <wp:positionV relativeFrom="paragraph">
              <wp:posOffset>61595</wp:posOffset>
            </wp:positionV>
            <wp:extent cx="5286375" cy="2400300"/>
            <wp:effectExtent l="0" t="0" r="0" b="0"/>
            <wp:wrapSquare wrapText="bothSides"/>
            <wp:docPr id="106"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anchor>
        </w:drawing>
      </w:r>
    </w:p>
    <w:p w14:paraId="65823430" w14:textId="77777777" w:rsidR="002449C2" w:rsidRDefault="002449C2">
      <w:pPr>
        <w:widowControl w:val="0"/>
        <w:shd w:val="clear" w:color="auto" w:fill="FFFFFF"/>
        <w:spacing w:after="0" w:line="240" w:lineRule="auto"/>
        <w:jc w:val="both"/>
        <w:rPr>
          <w:rFonts w:ascii="Times New Roman" w:eastAsia="Times New Roman" w:hAnsi="Times New Roman"/>
          <w:b/>
          <w:sz w:val="26"/>
          <w:szCs w:val="26"/>
          <w:lang w:eastAsia="ru-RU"/>
        </w:rPr>
      </w:pPr>
    </w:p>
    <w:p w14:paraId="4F190BE6" w14:textId="77777777" w:rsidR="002449C2" w:rsidRDefault="002449C2">
      <w:pPr>
        <w:widowControl w:val="0"/>
        <w:shd w:val="clear" w:color="auto" w:fill="FFFFFF"/>
        <w:spacing w:after="0" w:line="240" w:lineRule="auto"/>
        <w:jc w:val="both"/>
        <w:rPr>
          <w:rFonts w:ascii="Times New Roman" w:eastAsia="Times New Roman" w:hAnsi="Times New Roman"/>
          <w:b/>
          <w:sz w:val="26"/>
          <w:szCs w:val="26"/>
          <w:lang w:eastAsia="ru-RU"/>
        </w:rPr>
      </w:pPr>
    </w:p>
    <w:p w14:paraId="0EEA5711" w14:textId="77777777" w:rsidR="002449C2" w:rsidRDefault="002449C2">
      <w:pPr>
        <w:widowControl w:val="0"/>
        <w:shd w:val="clear" w:color="auto" w:fill="FFFFFF"/>
        <w:spacing w:after="0" w:line="240" w:lineRule="auto"/>
        <w:jc w:val="both"/>
        <w:rPr>
          <w:rFonts w:ascii="Times New Roman" w:eastAsia="Times New Roman" w:hAnsi="Times New Roman"/>
          <w:b/>
          <w:sz w:val="26"/>
          <w:szCs w:val="26"/>
          <w:lang w:eastAsia="ru-RU"/>
        </w:rPr>
      </w:pPr>
    </w:p>
    <w:p w14:paraId="4F1AD8DA" w14:textId="77777777" w:rsidR="002449C2" w:rsidRDefault="002449C2">
      <w:pPr>
        <w:widowControl w:val="0"/>
        <w:shd w:val="clear" w:color="auto" w:fill="FFFFFF"/>
        <w:spacing w:after="0" w:line="240" w:lineRule="auto"/>
        <w:jc w:val="both"/>
        <w:rPr>
          <w:rFonts w:ascii="Times New Roman" w:eastAsia="Times New Roman" w:hAnsi="Times New Roman"/>
          <w:b/>
          <w:sz w:val="26"/>
          <w:szCs w:val="26"/>
          <w:lang w:eastAsia="ru-RU"/>
        </w:rPr>
      </w:pPr>
    </w:p>
    <w:p w14:paraId="53FE0D71" w14:textId="77777777" w:rsidR="002449C2" w:rsidRDefault="002449C2">
      <w:pPr>
        <w:widowControl w:val="0"/>
        <w:shd w:val="clear" w:color="auto" w:fill="FFFFFF"/>
        <w:spacing w:after="0" w:line="240" w:lineRule="auto"/>
        <w:jc w:val="both"/>
        <w:rPr>
          <w:rFonts w:ascii="Times New Roman" w:eastAsia="Times New Roman" w:hAnsi="Times New Roman"/>
          <w:b/>
          <w:sz w:val="26"/>
          <w:szCs w:val="26"/>
          <w:lang w:eastAsia="ru-RU"/>
        </w:rPr>
      </w:pPr>
    </w:p>
    <w:p w14:paraId="5456979E" w14:textId="77777777" w:rsidR="002449C2" w:rsidRDefault="002449C2">
      <w:pPr>
        <w:widowControl w:val="0"/>
        <w:shd w:val="clear" w:color="auto" w:fill="FFFFFF"/>
        <w:spacing w:after="0" w:line="240" w:lineRule="auto"/>
        <w:jc w:val="both"/>
        <w:rPr>
          <w:rFonts w:ascii="Times New Roman" w:eastAsia="Times New Roman" w:hAnsi="Times New Roman"/>
          <w:b/>
          <w:sz w:val="26"/>
          <w:szCs w:val="26"/>
          <w:lang w:eastAsia="ru-RU"/>
        </w:rPr>
      </w:pPr>
    </w:p>
    <w:p w14:paraId="19037400" w14:textId="77777777" w:rsidR="002449C2" w:rsidRDefault="002449C2">
      <w:pPr>
        <w:widowControl w:val="0"/>
        <w:shd w:val="clear" w:color="auto" w:fill="FFFFFF"/>
        <w:spacing w:after="0" w:line="240" w:lineRule="auto"/>
        <w:jc w:val="both"/>
        <w:rPr>
          <w:rFonts w:ascii="Times New Roman" w:eastAsia="Times New Roman" w:hAnsi="Times New Roman"/>
          <w:b/>
          <w:sz w:val="26"/>
          <w:szCs w:val="26"/>
          <w:lang w:eastAsia="ru-RU"/>
        </w:rPr>
      </w:pPr>
    </w:p>
    <w:p w14:paraId="3485D12F" w14:textId="77777777" w:rsidR="002449C2" w:rsidRDefault="002449C2">
      <w:pPr>
        <w:widowControl w:val="0"/>
        <w:shd w:val="clear" w:color="auto" w:fill="FFFFFF"/>
        <w:spacing w:after="0" w:line="240" w:lineRule="auto"/>
        <w:jc w:val="both"/>
        <w:rPr>
          <w:rFonts w:ascii="Times New Roman" w:eastAsia="Times New Roman" w:hAnsi="Times New Roman"/>
          <w:b/>
          <w:sz w:val="26"/>
          <w:szCs w:val="26"/>
          <w:lang w:eastAsia="ru-RU"/>
        </w:rPr>
      </w:pPr>
    </w:p>
    <w:p w14:paraId="0CB6BFDC" w14:textId="77777777" w:rsidR="002449C2" w:rsidRDefault="002449C2">
      <w:pPr>
        <w:widowControl w:val="0"/>
        <w:shd w:val="clear" w:color="auto" w:fill="FFFFFF"/>
        <w:spacing w:after="0" w:line="240" w:lineRule="auto"/>
        <w:jc w:val="both"/>
        <w:rPr>
          <w:rFonts w:ascii="Times New Roman" w:eastAsia="Times New Roman" w:hAnsi="Times New Roman"/>
          <w:b/>
          <w:sz w:val="26"/>
          <w:szCs w:val="26"/>
          <w:lang w:eastAsia="ru-RU"/>
        </w:rPr>
      </w:pPr>
    </w:p>
    <w:p w14:paraId="59EB0ED9" w14:textId="77777777" w:rsidR="002449C2" w:rsidRDefault="002449C2">
      <w:pPr>
        <w:widowControl w:val="0"/>
        <w:shd w:val="clear" w:color="auto" w:fill="FFFFFF"/>
        <w:spacing w:after="0" w:line="240" w:lineRule="auto"/>
        <w:jc w:val="both"/>
        <w:rPr>
          <w:rFonts w:ascii="Times New Roman" w:eastAsia="Times New Roman" w:hAnsi="Times New Roman"/>
          <w:b/>
          <w:sz w:val="26"/>
          <w:szCs w:val="26"/>
          <w:lang w:eastAsia="ru-RU"/>
        </w:rPr>
      </w:pPr>
    </w:p>
    <w:p w14:paraId="29A56FF4" w14:textId="77777777" w:rsidR="002449C2" w:rsidRDefault="002449C2">
      <w:pPr>
        <w:widowControl w:val="0"/>
        <w:shd w:val="clear" w:color="auto" w:fill="FFFFFF"/>
        <w:spacing w:after="0" w:line="240" w:lineRule="auto"/>
        <w:jc w:val="both"/>
        <w:rPr>
          <w:rFonts w:ascii="Times New Roman" w:eastAsia="Times New Roman" w:hAnsi="Times New Roman"/>
          <w:b/>
          <w:sz w:val="26"/>
          <w:szCs w:val="26"/>
          <w:lang w:eastAsia="ru-RU"/>
        </w:rPr>
      </w:pPr>
    </w:p>
    <w:p w14:paraId="4AC4A44E" w14:textId="77777777" w:rsidR="002449C2" w:rsidRDefault="002449C2">
      <w:pPr>
        <w:widowControl w:val="0"/>
        <w:shd w:val="clear" w:color="auto" w:fill="FFFFFF"/>
        <w:spacing w:after="0" w:line="240" w:lineRule="auto"/>
        <w:jc w:val="both"/>
        <w:rPr>
          <w:rFonts w:ascii="Times New Roman" w:eastAsia="Times New Roman" w:hAnsi="Times New Roman"/>
          <w:b/>
          <w:sz w:val="26"/>
          <w:szCs w:val="26"/>
          <w:lang w:eastAsia="ru-RU"/>
        </w:rPr>
      </w:pPr>
    </w:p>
    <w:p w14:paraId="74E014CE" w14:textId="77777777" w:rsidR="002449C2" w:rsidRDefault="002449C2">
      <w:pPr>
        <w:widowControl w:val="0"/>
        <w:shd w:val="clear" w:color="auto" w:fill="FFFFFF"/>
        <w:spacing w:after="0" w:line="240" w:lineRule="auto"/>
        <w:jc w:val="both"/>
        <w:rPr>
          <w:rFonts w:ascii="Times New Roman" w:eastAsia="Times New Roman" w:hAnsi="Times New Roman"/>
          <w:b/>
          <w:sz w:val="26"/>
          <w:szCs w:val="26"/>
          <w:lang w:eastAsia="ru-RU"/>
        </w:rPr>
      </w:pPr>
    </w:p>
    <w:p w14:paraId="538B262F" w14:textId="77777777" w:rsidR="002449C2" w:rsidRDefault="002449C2">
      <w:pPr>
        <w:widowControl w:val="0"/>
        <w:shd w:val="clear" w:color="auto" w:fill="FFFFFF"/>
        <w:spacing w:after="0" w:line="240" w:lineRule="auto"/>
        <w:jc w:val="both"/>
        <w:rPr>
          <w:rFonts w:ascii="Times New Roman" w:eastAsia="Times New Roman" w:hAnsi="Times New Roman"/>
          <w:b/>
          <w:sz w:val="26"/>
          <w:szCs w:val="26"/>
          <w:lang w:eastAsia="ru-RU"/>
        </w:rPr>
      </w:pPr>
    </w:p>
    <w:p w14:paraId="1C44C2F3" w14:textId="77777777" w:rsidR="002449C2" w:rsidRDefault="00123961">
      <w:pPr>
        <w:widowControl w:val="0"/>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2024 году 11 членов Совета директоров Общества приняли участие в 100% заседаний.</w:t>
      </w:r>
      <w:r>
        <w:br w:type="page"/>
      </w:r>
    </w:p>
    <w:p w14:paraId="14F7B102" w14:textId="77777777" w:rsidR="002449C2" w:rsidRDefault="00123961">
      <w:pPr>
        <w:widowControl w:val="0"/>
        <w:shd w:val="clear" w:color="auto" w:fill="FFFFFF"/>
        <w:spacing w:after="0" w:line="240" w:lineRule="auto"/>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Информация об участии членов Совета директоров ПАО «Россети Юг»</w:t>
      </w:r>
    </w:p>
    <w:p w14:paraId="7D4E4D33" w14:textId="77777777" w:rsidR="002449C2" w:rsidRDefault="00123961">
      <w:pPr>
        <w:widowControl w:val="0"/>
        <w:shd w:val="clear" w:color="auto" w:fill="FFFFFF"/>
        <w:spacing w:after="0" w:line="240" w:lineRule="auto"/>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в заседаниях в 2024 году</w:t>
      </w:r>
    </w:p>
    <w:p w14:paraId="3FF49590" w14:textId="77777777" w:rsidR="002449C2" w:rsidRDefault="002449C2">
      <w:pPr>
        <w:widowControl w:val="0"/>
        <w:shd w:val="clear" w:color="auto" w:fill="FFFFFF"/>
        <w:spacing w:after="0" w:line="240" w:lineRule="auto"/>
        <w:ind w:firstLine="567"/>
        <w:jc w:val="both"/>
        <w:rPr>
          <w:rFonts w:ascii="Times New Roman" w:eastAsia="Times New Roman" w:hAnsi="Times New Roman"/>
          <w:sz w:val="26"/>
          <w:szCs w:val="26"/>
          <w:lang w:eastAsia="ru-RU"/>
        </w:rPr>
      </w:pPr>
    </w:p>
    <w:tbl>
      <w:tblPr>
        <w:tblW w:w="9492" w:type="dxa"/>
        <w:tblLayout w:type="fixed"/>
        <w:tblLook w:val="04A0" w:firstRow="1" w:lastRow="0" w:firstColumn="1" w:lastColumn="0" w:noHBand="0" w:noVBand="1"/>
      </w:tblPr>
      <w:tblGrid>
        <w:gridCol w:w="4951"/>
        <w:gridCol w:w="2274"/>
        <w:gridCol w:w="2267"/>
      </w:tblGrid>
      <w:tr w:rsidR="002449C2" w14:paraId="20788110" w14:textId="77777777">
        <w:tc>
          <w:tcPr>
            <w:tcW w:w="4951" w:type="dxa"/>
            <w:tcBorders>
              <w:top w:val="single" w:sz="4" w:space="0" w:color="000000"/>
              <w:left w:val="single" w:sz="4" w:space="0" w:color="000000"/>
              <w:bottom w:val="single" w:sz="4" w:space="0" w:color="000000"/>
              <w:right w:val="single" w:sz="4" w:space="0" w:color="000000"/>
            </w:tcBorders>
          </w:tcPr>
          <w:p w14:paraId="251A8EDB" w14:textId="77777777" w:rsidR="002449C2" w:rsidRDefault="00123961">
            <w:pPr>
              <w:widowControl w:val="0"/>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Фамилия, имя, отчество члена</w:t>
            </w:r>
          </w:p>
        </w:tc>
        <w:tc>
          <w:tcPr>
            <w:tcW w:w="2274" w:type="dxa"/>
            <w:tcBorders>
              <w:top w:val="single" w:sz="4" w:space="0" w:color="000000"/>
              <w:left w:val="single" w:sz="4" w:space="0" w:color="000000"/>
              <w:bottom w:val="single" w:sz="4" w:space="0" w:color="000000"/>
              <w:right w:val="single" w:sz="4" w:space="0" w:color="000000"/>
            </w:tcBorders>
          </w:tcPr>
          <w:p w14:paraId="06E71D5C" w14:textId="77777777" w:rsidR="002449C2" w:rsidRDefault="00123961">
            <w:pPr>
              <w:widowControl w:val="0"/>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Общее количество заседаний, в которых должен был принять участие член Совета директоров</w:t>
            </w:r>
          </w:p>
          <w:p w14:paraId="6B5E15EE" w14:textId="77777777" w:rsidR="002449C2" w:rsidRDefault="00123961">
            <w:pPr>
              <w:widowControl w:val="0"/>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(шт.)</w:t>
            </w:r>
          </w:p>
        </w:tc>
        <w:tc>
          <w:tcPr>
            <w:tcW w:w="2267" w:type="dxa"/>
            <w:tcBorders>
              <w:top w:val="single" w:sz="4" w:space="0" w:color="000000"/>
              <w:left w:val="single" w:sz="4" w:space="0" w:color="000000"/>
              <w:bottom w:val="single" w:sz="4" w:space="0" w:color="000000"/>
              <w:right w:val="single" w:sz="4" w:space="0" w:color="000000"/>
            </w:tcBorders>
          </w:tcPr>
          <w:p w14:paraId="137C3E8E" w14:textId="77777777" w:rsidR="002449C2" w:rsidRDefault="00123961">
            <w:pPr>
              <w:widowControl w:val="0"/>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Общее количество заседаний, в которых принял участие член Совета директоров, (шт., %)</w:t>
            </w:r>
          </w:p>
        </w:tc>
      </w:tr>
      <w:tr w:rsidR="002449C2" w14:paraId="66AAB26F" w14:textId="77777777">
        <w:tc>
          <w:tcPr>
            <w:tcW w:w="9492" w:type="dxa"/>
            <w:gridSpan w:val="3"/>
            <w:tcBorders>
              <w:top w:val="single" w:sz="4" w:space="0" w:color="000000"/>
              <w:left w:val="single" w:sz="4" w:space="0" w:color="000000"/>
              <w:bottom w:val="single" w:sz="4" w:space="0" w:color="000000"/>
              <w:right w:val="single" w:sz="4" w:space="0" w:color="000000"/>
            </w:tcBorders>
          </w:tcPr>
          <w:p w14:paraId="49FC147C" w14:textId="77777777" w:rsidR="002449C2" w:rsidRDefault="00123961">
            <w:pPr>
              <w:widowControl w:val="0"/>
              <w:spacing w:after="0" w:line="240" w:lineRule="auto"/>
              <w:jc w:val="center"/>
              <w:rPr>
                <w:rFonts w:ascii="Times New Roman" w:eastAsia="Times New Roman" w:hAnsi="Times New Roman"/>
                <w:b/>
                <w:i/>
                <w:lang w:eastAsia="ru-RU"/>
              </w:rPr>
            </w:pPr>
            <w:r>
              <w:rPr>
                <w:rFonts w:ascii="Times New Roman" w:eastAsia="Times New Roman" w:hAnsi="Times New Roman"/>
                <w:b/>
                <w:i/>
                <w:lang w:eastAsia="ru-RU"/>
              </w:rPr>
              <w:t>Члены Совета директоров, входившие в его состав в течение всего 2024 года</w:t>
            </w:r>
          </w:p>
        </w:tc>
      </w:tr>
      <w:tr w:rsidR="002449C2" w14:paraId="0DC4A2D0" w14:textId="77777777">
        <w:tc>
          <w:tcPr>
            <w:tcW w:w="4951" w:type="dxa"/>
            <w:tcBorders>
              <w:top w:val="single" w:sz="4" w:space="0" w:color="000000"/>
              <w:left w:val="single" w:sz="4" w:space="0" w:color="000000"/>
              <w:bottom w:val="single" w:sz="4" w:space="0" w:color="000000"/>
              <w:right w:val="single" w:sz="4" w:space="0" w:color="000000"/>
            </w:tcBorders>
          </w:tcPr>
          <w:p w14:paraId="3D8C40EA" w14:textId="77777777" w:rsidR="002449C2" w:rsidRDefault="00123961">
            <w:pPr>
              <w:spacing w:after="0" w:line="240" w:lineRule="auto"/>
              <w:rPr>
                <w:rFonts w:ascii="Times New Roman" w:hAnsi="Times New Roman"/>
                <w:lang w:eastAsia="en-US"/>
              </w:rPr>
            </w:pPr>
            <w:r>
              <w:rPr>
                <w:rFonts w:ascii="Times New Roman" w:hAnsi="Times New Roman"/>
                <w:lang w:eastAsia="en-US"/>
              </w:rPr>
              <w:t>Краинский Даниил Владимирович</w:t>
            </w:r>
          </w:p>
        </w:tc>
        <w:tc>
          <w:tcPr>
            <w:tcW w:w="2274" w:type="dxa"/>
            <w:tcBorders>
              <w:top w:val="single" w:sz="4" w:space="0" w:color="000000"/>
              <w:left w:val="single" w:sz="4" w:space="0" w:color="000000"/>
              <w:bottom w:val="single" w:sz="4" w:space="0" w:color="000000"/>
              <w:right w:val="single" w:sz="4" w:space="0" w:color="000000"/>
            </w:tcBorders>
          </w:tcPr>
          <w:p w14:paraId="48A31CC3" w14:textId="77777777" w:rsidR="002449C2" w:rsidRDefault="00123961">
            <w:pPr>
              <w:widowControl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w:t>
            </w:r>
          </w:p>
        </w:tc>
        <w:tc>
          <w:tcPr>
            <w:tcW w:w="2267" w:type="dxa"/>
            <w:tcBorders>
              <w:top w:val="single" w:sz="4" w:space="0" w:color="000000"/>
              <w:left w:val="single" w:sz="4" w:space="0" w:color="000000"/>
              <w:bottom w:val="single" w:sz="4" w:space="0" w:color="000000"/>
              <w:right w:val="single" w:sz="4" w:space="0" w:color="000000"/>
            </w:tcBorders>
          </w:tcPr>
          <w:p w14:paraId="349330D1" w14:textId="77777777" w:rsidR="002449C2" w:rsidRDefault="00123961">
            <w:pPr>
              <w:widowControl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44/100</w:t>
            </w:r>
          </w:p>
        </w:tc>
      </w:tr>
      <w:tr w:rsidR="002449C2" w14:paraId="22126A67" w14:textId="77777777">
        <w:tc>
          <w:tcPr>
            <w:tcW w:w="4951" w:type="dxa"/>
            <w:tcBorders>
              <w:top w:val="single" w:sz="4" w:space="0" w:color="000000"/>
              <w:left w:val="single" w:sz="4" w:space="0" w:color="000000"/>
              <w:bottom w:val="single" w:sz="4" w:space="0" w:color="000000"/>
              <w:right w:val="single" w:sz="4" w:space="0" w:color="000000"/>
            </w:tcBorders>
          </w:tcPr>
          <w:p w14:paraId="4BA6B3B8" w14:textId="77777777" w:rsidR="002449C2" w:rsidRDefault="00123961">
            <w:pPr>
              <w:spacing w:after="0" w:line="240" w:lineRule="auto"/>
              <w:rPr>
                <w:rFonts w:ascii="Times New Roman" w:hAnsi="Times New Roman"/>
                <w:lang w:eastAsia="en-US"/>
              </w:rPr>
            </w:pPr>
            <w:r>
              <w:rPr>
                <w:rFonts w:ascii="Times New Roman" w:hAnsi="Times New Roman"/>
                <w:lang w:eastAsia="en-US"/>
              </w:rPr>
              <w:t>Докучаева Мария Александровна</w:t>
            </w:r>
          </w:p>
        </w:tc>
        <w:tc>
          <w:tcPr>
            <w:tcW w:w="2274" w:type="dxa"/>
            <w:tcBorders>
              <w:top w:val="single" w:sz="4" w:space="0" w:color="000000"/>
              <w:left w:val="single" w:sz="4" w:space="0" w:color="000000"/>
              <w:bottom w:val="single" w:sz="4" w:space="0" w:color="000000"/>
              <w:right w:val="single" w:sz="4" w:space="0" w:color="000000"/>
            </w:tcBorders>
          </w:tcPr>
          <w:p w14:paraId="55496F7C" w14:textId="77777777" w:rsidR="002449C2" w:rsidRDefault="00123961">
            <w:pPr>
              <w:widowControl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w:t>
            </w:r>
          </w:p>
        </w:tc>
        <w:tc>
          <w:tcPr>
            <w:tcW w:w="2267" w:type="dxa"/>
            <w:tcBorders>
              <w:top w:val="single" w:sz="4" w:space="0" w:color="000000"/>
              <w:left w:val="single" w:sz="4" w:space="0" w:color="000000"/>
              <w:bottom w:val="single" w:sz="4" w:space="0" w:color="000000"/>
              <w:right w:val="single" w:sz="4" w:space="0" w:color="000000"/>
            </w:tcBorders>
          </w:tcPr>
          <w:p w14:paraId="7D46D97C" w14:textId="77777777" w:rsidR="002449C2" w:rsidRDefault="00123961">
            <w:pPr>
              <w:widowControl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44/100</w:t>
            </w:r>
          </w:p>
        </w:tc>
      </w:tr>
      <w:tr w:rsidR="002449C2" w14:paraId="52AACBE3" w14:textId="77777777">
        <w:tc>
          <w:tcPr>
            <w:tcW w:w="4951" w:type="dxa"/>
            <w:tcBorders>
              <w:top w:val="single" w:sz="4" w:space="0" w:color="000000"/>
              <w:left w:val="single" w:sz="4" w:space="0" w:color="000000"/>
              <w:bottom w:val="single" w:sz="4" w:space="0" w:color="000000"/>
              <w:right w:val="single" w:sz="4" w:space="0" w:color="000000"/>
            </w:tcBorders>
          </w:tcPr>
          <w:p w14:paraId="3788AABD" w14:textId="77777777" w:rsidR="002449C2" w:rsidRDefault="00123961">
            <w:pPr>
              <w:spacing w:after="0" w:line="240" w:lineRule="auto"/>
              <w:rPr>
                <w:rFonts w:ascii="Times New Roman" w:hAnsi="Times New Roman"/>
                <w:lang w:eastAsia="en-US"/>
              </w:rPr>
            </w:pPr>
            <w:r>
              <w:rPr>
                <w:rFonts w:ascii="Times New Roman" w:hAnsi="Times New Roman"/>
                <w:lang w:eastAsia="en-US"/>
              </w:rPr>
              <w:t>Зархин Виталий Юрьевич</w:t>
            </w:r>
          </w:p>
        </w:tc>
        <w:tc>
          <w:tcPr>
            <w:tcW w:w="2274" w:type="dxa"/>
            <w:tcBorders>
              <w:top w:val="single" w:sz="4" w:space="0" w:color="000000"/>
              <w:left w:val="single" w:sz="4" w:space="0" w:color="000000"/>
              <w:bottom w:val="single" w:sz="4" w:space="0" w:color="000000"/>
              <w:right w:val="single" w:sz="4" w:space="0" w:color="000000"/>
            </w:tcBorders>
          </w:tcPr>
          <w:p w14:paraId="110AECC7" w14:textId="77777777" w:rsidR="002449C2" w:rsidRDefault="00123961">
            <w:pPr>
              <w:widowControl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w:t>
            </w:r>
          </w:p>
        </w:tc>
        <w:tc>
          <w:tcPr>
            <w:tcW w:w="2267" w:type="dxa"/>
            <w:tcBorders>
              <w:top w:val="single" w:sz="4" w:space="0" w:color="000000"/>
              <w:left w:val="single" w:sz="4" w:space="0" w:color="000000"/>
              <w:bottom w:val="single" w:sz="4" w:space="0" w:color="000000"/>
              <w:right w:val="single" w:sz="4" w:space="0" w:color="000000"/>
            </w:tcBorders>
          </w:tcPr>
          <w:p w14:paraId="6B2A5925" w14:textId="77777777" w:rsidR="002449C2" w:rsidRDefault="00123961">
            <w:pPr>
              <w:widowControl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44/100</w:t>
            </w:r>
          </w:p>
        </w:tc>
      </w:tr>
      <w:tr w:rsidR="002449C2" w14:paraId="17ED6F58" w14:textId="77777777">
        <w:tc>
          <w:tcPr>
            <w:tcW w:w="4951" w:type="dxa"/>
            <w:tcBorders>
              <w:top w:val="single" w:sz="4" w:space="0" w:color="000000"/>
              <w:left w:val="single" w:sz="4" w:space="0" w:color="000000"/>
              <w:bottom w:val="single" w:sz="4" w:space="0" w:color="000000"/>
              <w:right w:val="single" w:sz="4" w:space="0" w:color="000000"/>
            </w:tcBorders>
          </w:tcPr>
          <w:p w14:paraId="7D5CAF95" w14:textId="77777777" w:rsidR="002449C2" w:rsidRDefault="00123961">
            <w:pPr>
              <w:spacing w:after="0" w:line="240" w:lineRule="auto"/>
              <w:rPr>
                <w:rFonts w:ascii="Times New Roman" w:hAnsi="Times New Roman"/>
                <w:lang w:eastAsia="en-US"/>
              </w:rPr>
            </w:pPr>
            <w:r>
              <w:rPr>
                <w:rFonts w:ascii="Times New Roman" w:hAnsi="Times New Roman"/>
                <w:lang w:eastAsia="en-US"/>
              </w:rPr>
              <w:t>Кравченко Константин Юрьевич</w:t>
            </w:r>
          </w:p>
        </w:tc>
        <w:tc>
          <w:tcPr>
            <w:tcW w:w="2274" w:type="dxa"/>
            <w:tcBorders>
              <w:top w:val="single" w:sz="4" w:space="0" w:color="000000"/>
              <w:left w:val="single" w:sz="4" w:space="0" w:color="000000"/>
              <w:bottom w:val="single" w:sz="4" w:space="0" w:color="000000"/>
              <w:right w:val="single" w:sz="4" w:space="0" w:color="000000"/>
            </w:tcBorders>
          </w:tcPr>
          <w:p w14:paraId="67C8EB73" w14:textId="77777777" w:rsidR="002449C2" w:rsidRDefault="00123961">
            <w:pPr>
              <w:widowControl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w:t>
            </w:r>
          </w:p>
        </w:tc>
        <w:tc>
          <w:tcPr>
            <w:tcW w:w="2267" w:type="dxa"/>
            <w:tcBorders>
              <w:top w:val="single" w:sz="4" w:space="0" w:color="000000"/>
              <w:left w:val="single" w:sz="4" w:space="0" w:color="000000"/>
              <w:bottom w:val="single" w:sz="4" w:space="0" w:color="000000"/>
              <w:right w:val="single" w:sz="4" w:space="0" w:color="000000"/>
            </w:tcBorders>
          </w:tcPr>
          <w:p w14:paraId="21FD9297" w14:textId="77777777" w:rsidR="002449C2" w:rsidRDefault="00123961">
            <w:pPr>
              <w:widowControl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44/100</w:t>
            </w:r>
          </w:p>
        </w:tc>
      </w:tr>
      <w:tr w:rsidR="002449C2" w14:paraId="77D17DDA" w14:textId="77777777">
        <w:tc>
          <w:tcPr>
            <w:tcW w:w="4951" w:type="dxa"/>
            <w:tcBorders>
              <w:top w:val="single" w:sz="4" w:space="0" w:color="000000"/>
              <w:left w:val="single" w:sz="4" w:space="0" w:color="000000"/>
              <w:bottom w:val="single" w:sz="4" w:space="0" w:color="000000"/>
              <w:right w:val="single" w:sz="4" w:space="0" w:color="000000"/>
            </w:tcBorders>
          </w:tcPr>
          <w:p w14:paraId="0AD53733" w14:textId="77777777" w:rsidR="002449C2" w:rsidRDefault="00123961">
            <w:pPr>
              <w:spacing w:after="0" w:line="240" w:lineRule="auto"/>
              <w:rPr>
                <w:rFonts w:ascii="Times New Roman" w:hAnsi="Times New Roman"/>
                <w:lang w:eastAsia="en-US"/>
              </w:rPr>
            </w:pPr>
            <w:r>
              <w:rPr>
                <w:rFonts w:ascii="Times New Roman" w:hAnsi="Times New Roman"/>
                <w:lang w:eastAsia="en-US"/>
              </w:rPr>
              <w:t>Короткова Мария Вячеславна</w:t>
            </w:r>
          </w:p>
        </w:tc>
        <w:tc>
          <w:tcPr>
            <w:tcW w:w="2274" w:type="dxa"/>
            <w:tcBorders>
              <w:top w:val="single" w:sz="4" w:space="0" w:color="000000"/>
              <w:left w:val="single" w:sz="4" w:space="0" w:color="000000"/>
              <w:bottom w:val="single" w:sz="4" w:space="0" w:color="000000"/>
              <w:right w:val="single" w:sz="4" w:space="0" w:color="000000"/>
            </w:tcBorders>
          </w:tcPr>
          <w:p w14:paraId="30B343CB" w14:textId="77777777" w:rsidR="002449C2" w:rsidRDefault="00123961">
            <w:pPr>
              <w:widowControl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w:t>
            </w:r>
          </w:p>
        </w:tc>
        <w:tc>
          <w:tcPr>
            <w:tcW w:w="2267" w:type="dxa"/>
            <w:tcBorders>
              <w:top w:val="single" w:sz="4" w:space="0" w:color="000000"/>
              <w:left w:val="single" w:sz="4" w:space="0" w:color="000000"/>
              <w:bottom w:val="single" w:sz="4" w:space="0" w:color="000000"/>
              <w:right w:val="single" w:sz="4" w:space="0" w:color="000000"/>
            </w:tcBorders>
          </w:tcPr>
          <w:p w14:paraId="683C9949" w14:textId="77777777" w:rsidR="002449C2" w:rsidRDefault="00123961">
            <w:pPr>
              <w:widowControl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44/100</w:t>
            </w:r>
          </w:p>
        </w:tc>
      </w:tr>
      <w:tr w:rsidR="002449C2" w14:paraId="611DFDE1" w14:textId="77777777">
        <w:tc>
          <w:tcPr>
            <w:tcW w:w="4951" w:type="dxa"/>
            <w:tcBorders>
              <w:top w:val="single" w:sz="4" w:space="0" w:color="000000"/>
              <w:left w:val="single" w:sz="4" w:space="0" w:color="000000"/>
              <w:bottom w:val="single" w:sz="4" w:space="0" w:color="000000"/>
              <w:right w:val="single" w:sz="4" w:space="0" w:color="000000"/>
            </w:tcBorders>
          </w:tcPr>
          <w:p w14:paraId="3AD60975" w14:textId="77777777" w:rsidR="002449C2" w:rsidRDefault="00123961">
            <w:pPr>
              <w:spacing w:after="0" w:line="240" w:lineRule="auto"/>
              <w:rPr>
                <w:rFonts w:ascii="Times New Roman" w:hAnsi="Times New Roman"/>
                <w:lang w:eastAsia="en-US"/>
              </w:rPr>
            </w:pPr>
            <w:r>
              <w:rPr>
                <w:rFonts w:ascii="Times New Roman" w:hAnsi="Times New Roman"/>
                <w:lang w:eastAsia="en-US"/>
              </w:rPr>
              <w:t>Тихонова Мария Геннадьевна</w:t>
            </w:r>
          </w:p>
        </w:tc>
        <w:tc>
          <w:tcPr>
            <w:tcW w:w="2274" w:type="dxa"/>
            <w:tcBorders>
              <w:top w:val="single" w:sz="4" w:space="0" w:color="000000"/>
              <w:left w:val="single" w:sz="4" w:space="0" w:color="000000"/>
              <w:bottom w:val="single" w:sz="4" w:space="0" w:color="000000"/>
              <w:right w:val="single" w:sz="4" w:space="0" w:color="000000"/>
            </w:tcBorders>
          </w:tcPr>
          <w:p w14:paraId="4035B1AF" w14:textId="77777777" w:rsidR="002449C2" w:rsidRDefault="00123961">
            <w:pPr>
              <w:widowControl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w:t>
            </w:r>
          </w:p>
        </w:tc>
        <w:tc>
          <w:tcPr>
            <w:tcW w:w="2267" w:type="dxa"/>
            <w:tcBorders>
              <w:top w:val="single" w:sz="4" w:space="0" w:color="000000"/>
              <w:left w:val="single" w:sz="4" w:space="0" w:color="000000"/>
              <w:bottom w:val="single" w:sz="4" w:space="0" w:color="000000"/>
              <w:right w:val="single" w:sz="4" w:space="0" w:color="000000"/>
            </w:tcBorders>
          </w:tcPr>
          <w:p w14:paraId="66EE5ACB" w14:textId="77777777" w:rsidR="002449C2" w:rsidRDefault="00123961">
            <w:pPr>
              <w:widowControl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44/100</w:t>
            </w:r>
          </w:p>
        </w:tc>
      </w:tr>
      <w:tr w:rsidR="002449C2" w14:paraId="72EF7527" w14:textId="77777777">
        <w:tc>
          <w:tcPr>
            <w:tcW w:w="4951" w:type="dxa"/>
            <w:tcBorders>
              <w:top w:val="single" w:sz="4" w:space="0" w:color="000000"/>
              <w:left w:val="single" w:sz="4" w:space="0" w:color="000000"/>
              <w:bottom w:val="single" w:sz="4" w:space="0" w:color="000000"/>
              <w:right w:val="single" w:sz="4" w:space="0" w:color="000000"/>
            </w:tcBorders>
          </w:tcPr>
          <w:p w14:paraId="56A17C4D" w14:textId="77777777" w:rsidR="002449C2" w:rsidRDefault="00123961">
            <w:pPr>
              <w:spacing w:after="0" w:line="240" w:lineRule="auto"/>
              <w:rPr>
                <w:rFonts w:ascii="Times New Roman" w:hAnsi="Times New Roman"/>
                <w:lang w:eastAsia="en-US"/>
              </w:rPr>
            </w:pPr>
            <w:r>
              <w:rPr>
                <w:rFonts w:ascii="Times New Roman" w:hAnsi="Times New Roman"/>
                <w:lang w:eastAsia="en-US"/>
              </w:rPr>
              <w:t>Клинков Олег Юрьевич</w:t>
            </w:r>
          </w:p>
        </w:tc>
        <w:tc>
          <w:tcPr>
            <w:tcW w:w="2274" w:type="dxa"/>
            <w:tcBorders>
              <w:top w:val="single" w:sz="4" w:space="0" w:color="000000"/>
              <w:left w:val="single" w:sz="4" w:space="0" w:color="000000"/>
              <w:bottom w:val="single" w:sz="4" w:space="0" w:color="000000"/>
              <w:right w:val="single" w:sz="4" w:space="0" w:color="000000"/>
            </w:tcBorders>
          </w:tcPr>
          <w:p w14:paraId="0C2A6E77" w14:textId="77777777" w:rsidR="002449C2" w:rsidRDefault="00123961">
            <w:pPr>
              <w:widowControl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w:t>
            </w:r>
          </w:p>
        </w:tc>
        <w:tc>
          <w:tcPr>
            <w:tcW w:w="2267" w:type="dxa"/>
            <w:tcBorders>
              <w:top w:val="single" w:sz="4" w:space="0" w:color="000000"/>
              <w:left w:val="single" w:sz="4" w:space="0" w:color="000000"/>
              <w:bottom w:val="single" w:sz="4" w:space="0" w:color="000000"/>
              <w:right w:val="single" w:sz="4" w:space="0" w:color="000000"/>
            </w:tcBorders>
          </w:tcPr>
          <w:p w14:paraId="52DC9290" w14:textId="77777777" w:rsidR="002449C2" w:rsidRDefault="00123961">
            <w:pPr>
              <w:widowControl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44/100</w:t>
            </w:r>
          </w:p>
        </w:tc>
      </w:tr>
      <w:tr w:rsidR="002449C2" w14:paraId="62F8448F" w14:textId="77777777">
        <w:tc>
          <w:tcPr>
            <w:tcW w:w="4951" w:type="dxa"/>
            <w:tcBorders>
              <w:top w:val="single" w:sz="4" w:space="0" w:color="000000"/>
              <w:left w:val="single" w:sz="4" w:space="0" w:color="000000"/>
              <w:bottom w:val="single" w:sz="4" w:space="0" w:color="000000"/>
              <w:right w:val="single" w:sz="4" w:space="0" w:color="000000"/>
            </w:tcBorders>
          </w:tcPr>
          <w:p w14:paraId="676E4703" w14:textId="77777777" w:rsidR="002449C2" w:rsidRDefault="00123961">
            <w:pPr>
              <w:spacing w:after="0" w:line="240" w:lineRule="auto"/>
              <w:rPr>
                <w:rFonts w:ascii="Times New Roman" w:hAnsi="Times New Roman"/>
                <w:lang w:eastAsia="en-US"/>
              </w:rPr>
            </w:pPr>
            <w:r>
              <w:rPr>
                <w:rFonts w:ascii="Times New Roman" w:hAnsi="Times New Roman"/>
                <w:lang w:eastAsia="en-US"/>
              </w:rPr>
              <w:t>Казаков Александр Иванович</w:t>
            </w:r>
          </w:p>
        </w:tc>
        <w:tc>
          <w:tcPr>
            <w:tcW w:w="2274" w:type="dxa"/>
            <w:tcBorders>
              <w:top w:val="single" w:sz="4" w:space="0" w:color="000000"/>
              <w:left w:val="single" w:sz="4" w:space="0" w:color="000000"/>
              <w:bottom w:val="single" w:sz="4" w:space="0" w:color="000000"/>
              <w:right w:val="single" w:sz="4" w:space="0" w:color="000000"/>
            </w:tcBorders>
          </w:tcPr>
          <w:p w14:paraId="0CA72306" w14:textId="77777777" w:rsidR="002449C2" w:rsidRDefault="00123961">
            <w:pPr>
              <w:widowControl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w:t>
            </w:r>
          </w:p>
        </w:tc>
        <w:tc>
          <w:tcPr>
            <w:tcW w:w="2267" w:type="dxa"/>
            <w:tcBorders>
              <w:top w:val="single" w:sz="4" w:space="0" w:color="000000"/>
              <w:left w:val="single" w:sz="4" w:space="0" w:color="000000"/>
              <w:bottom w:val="single" w:sz="4" w:space="0" w:color="000000"/>
              <w:right w:val="single" w:sz="4" w:space="0" w:color="000000"/>
            </w:tcBorders>
          </w:tcPr>
          <w:p w14:paraId="02F743FF" w14:textId="77777777" w:rsidR="002449C2" w:rsidRDefault="00123961">
            <w:pPr>
              <w:widowControl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44/100</w:t>
            </w:r>
          </w:p>
        </w:tc>
      </w:tr>
      <w:tr w:rsidR="002449C2" w14:paraId="28ABD1C8" w14:textId="77777777">
        <w:tc>
          <w:tcPr>
            <w:tcW w:w="4951" w:type="dxa"/>
            <w:tcBorders>
              <w:top w:val="single" w:sz="4" w:space="0" w:color="000000"/>
              <w:left w:val="single" w:sz="4" w:space="0" w:color="000000"/>
              <w:bottom w:val="single" w:sz="4" w:space="0" w:color="000000"/>
              <w:right w:val="single" w:sz="4" w:space="0" w:color="000000"/>
            </w:tcBorders>
          </w:tcPr>
          <w:p w14:paraId="696B0142" w14:textId="77777777" w:rsidR="002449C2" w:rsidRDefault="00123961">
            <w:pPr>
              <w:spacing w:after="0" w:line="240" w:lineRule="auto"/>
              <w:rPr>
                <w:rFonts w:ascii="Times New Roman" w:hAnsi="Times New Roman"/>
                <w:lang w:eastAsia="en-US"/>
              </w:rPr>
            </w:pPr>
            <w:r>
              <w:rPr>
                <w:rFonts w:ascii="Times New Roman" w:hAnsi="Times New Roman"/>
                <w:lang w:eastAsia="en-US"/>
              </w:rPr>
              <w:t>Никитчанова Екатерина Владимировна</w:t>
            </w:r>
          </w:p>
        </w:tc>
        <w:tc>
          <w:tcPr>
            <w:tcW w:w="2274" w:type="dxa"/>
            <w:tcBorders>
              <w:top w:val="single" w:sz="4" w:space="0" w:color="000000"/>
              <w:left w:val="single" w:sz="4" w:space="0" w:color="000000"/>
              <w:bottom w:val="single" w:sz="4" w:space="0" w:color="000000"/>
              <w:right w:val="single" w:sz="4" w:space="0" w:color="000000"/>
            </w:tcBorders>
          </w:tcPr>
          <w:p w14:paraId="491C339E" w14:textId="77777777" w:rsidR="002449C2" w:rsidRDefault="00123961">
            <w:pPr>
              <w:widowControl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w:t>
            </w:r>
          </w:p>
        </w:tc>
        <w:tc>
          <w:tcPr>
            <w:tcW w:w="2267" w:type="dxa"/>
            <w:tcBorders>
              <w:top w:val="single" w:sz="4" w:space="0" w:color="000000"/>
              <w:left w:val="single" w:sz="4" w:space="0" w:color="000000"/>
              <w:bottom w:val="single" w:sz="4" w:space="0" w:color="000000"/>
              <w:right w:val="single" w:sz="4" w:space="0" w:color="000000"/>
            </w:tcBorders>
          </w:tcPr>
          <w:p w14:paraId="59F50ACA" w14:textId="77777777" w:rsidR="002449C2" w:rsidRDefault="00123961">
            <w:pPr>
              <w:widowControl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44/100</w:t>
            </w:r>
          </w:p>
        </w:tc>
      </w:tr>
      <w:tr w:rsidR="002449C2" w14:paraId="43C4E9C8" w14:textId="77777777">
        <w:tc>
          <w:tcPr>
            <w:tcW w:w="4951" w:type="dxa"/>
            <w:tcBorders>
              <w:top w:val="single" w:sz="4" w:space="0" w:color="000000"/>
              <w:left w:val="single" w:sz="4" w:space="0" w:color="000000"/>
              <w:bottom w:val="single" w:sz="4" w:space="0" w:color="000000"/>
              <w:right w:val="single" w:sz="4" w:space="0" w:color="000000"/>
            </w:tcBorders>
          </w:tcPr>
          <w:p w14:paraId="629BBCCC" w14:textId="77777777" w:rsidR="002449C2" w:rsidRDefault="00123961">
            <w:pPr>
              <w:spacing w:after="0" w:line="240" w:lineRule="auto"/>
              <w:rPr>
                <w:rFonts w:ascii="Times New Roman" w:hAnsi="Times New Roman"/>
                <w:lang w:eastAsia="en-US"/>
              </w:rPr>
            </w:pPr>
            <w:r>
              <w:rPr>
                <w:rFonts w:ascii="Times New Roman" w:hAnsi="Times New Roman"/>
                <w:lang w:eastAsia="en-US"/>
              </w:rPr>
              <w:t>Эбзеев Борис Борисович</w:t>
            </w:r>
          </w:p>
        </w:tc>
        <w:tc>
          <w:tcPr>
            <w:tcW w:w="2274" w:type="dxa"/>
            <w:tcBorders>
              <w:top w:val="single" w:sz="4" w:space="0" w:color="000000"/>
              <w:left w:val="single" w:sz="4" w:space="0" w:color="000000"/>
              <w:bottom w:val="single" w:sz="4" w:space="0" w:color="000000"/>
              <w:right w:val="single" w:sz="4" w:space="0" w:color="000000"/>
            </w:tcBorders>
          </w:tcPr>
          <w:p w14:paraId="0BA6C178" w14:textId="77777777" w:rsidR="002449C2" w:rsidRDefault="00123961">
            <w:pPr>
              <w:widowControl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w:t>
            </w:r>
          </w:p>
        </w:tc>
        <w:tc>
          <w:tcPr>
            <w:tcW w:w="2267" w:type="dxa"/>
            <w:tcBorders>
              <w:top w:val="single" w:sz="4" w:space="0" w:color="000000"/>
              <w:left w:val="single" w:sz="4" w:space="0" w:color="000000"/>
              <w:bottom w:val="single" w:sz="4" w:space="0" w:color="000000"/>
              <w:right w:val="single" w:sz="4" w:space="0" w:color="000000"/>
            </w:tcBorders>
          </w:tcPr>
          <w:p w14:paraId="1758C687" w14:textId="77777777" w:rsidR="002449C2" w:rsidRDefault="00123961">
            <w:pPr>
              <w:widowControl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44/100</w:t>
            </w:r>
          </w:p>
        </w:tc>
      </w:tr>
      <w:tr w:rsidR="002449C2" w14:paraId="09208256" w14:textId="77777777">
        <w:tc>
          <w:tcPr>
            <w:tcW w:w="4951" w:type="dxa"/>
            <w:tcBorders>
              <w:top w:val="single" w:sz="4" w:space="0" w:color="000000"/>
              <w:left w:val="single" w:sz="4" w:space="0" w:color="000000"/>
              <w:bottom w:val="single" w:sz="4" w:space="0" w:color="000000"/>
              <w:right w:val="single" w:sz="4" w:space="0" w:color="000000"/>
            </w:tcBorders>
          </w:tcPr>
          <w:p w14:paraId="74497518" w14:textId="77777777" w:rsidR="002449C2" w:rsidRDefault="00123961">
            <w:pPr>
              <w:spacing w:after="0" w:line="240" w:lineRule="auto"/>
              <w:rPr>
                <w:rFonts w:ascii="Times New Roman" w:hAnsi="Times New Roman"/>
                <w:lang w:eastAsia="en-US"/>
              </w:rPr>
            </w:pPr>
            <w:r>
              <w:rPr>
                <w:rFonts w:ascii="Times New Roman" w:hAnsi="Times New Roman"/>
                <w:lang w:eastAsia="en-US"/>
              </w:rPr>
              <w:t>Парамонова Наталья Владимировна</w:t>
            </w:r>
          </w:p>
        </w:tc>
        <w:tc>
          <w:tcPr>
            <w:tcW w:w="2274" w:type="dxa"/>
            <w:tcBorders>
              <w:top w:val="single" w:sz="4" w:space="0" w:color="000000"/>
              <w:left w:val="single" w:sz="4" w:space="0" w:color="000000"/>
              <w:bottom w:val="single" w:sz="4" w:space="0" w:color="000000"/>
              <w:right w:val="single" w:sz="4" w:space="0" w:color="000000"/>
            </w:tcBorders>
          </w:tcPr>
          <w:p w14:paraId="411E18F2" w14:textId="77777777" w:rsidR="002449C2" w:rsidRDefault="00123961">
            <w:pPr>
              <w:widowControl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w:t>
            </w:r>
          </w:p>
        </w:tc>
        <w:tc>
          <w:tcPr>
            <w:tcW w:w="2267" w:type="dxa"/>
            <w:tcBorders>
              <w:top w:val="single" w:sz="4" w:space="0" w:color="000000"/>
              <w:left w:val="single" w:sz="4" w:space="0" w:color="000000"/>
              <w:bottom w:val="single" w:sz="4" w:space="0" w:color="000000"/>
              <w:right w:val="single" w:sz="4" w:space="0" w:color="000000"/>
            </w:tcBorders>
          </w:tcPr>
          <w:p w14:paraId="3AAFE63D" w14:textId="77777777" w:rsidR="002449C2" w:rsidRDefault="00123961">
            <w:pPr>
              <w:widowControl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44/100</w:t>
            </w:r>
          </w:p>
        </w:tc>
      </w:tr>
    </w:tbl>
    <w:p w14:paraId="3F34DE5B" w14:textId="77777777" w:rsidR="002449C2" w:rsidRDefault="002449C2">
      <w:pPr>
        <w:widowControl w:val="0"/>
        <w:shd w:val="clear" w:color="auto" w:fill="FFFFFF"/>
        <w:spacing w:after="0" w:line="240" w:lineRule="auto"/>
        <w:ind w:firstLine="567"/>
        <w:jc w:val="both"/>
        <w:rPr>
          <w:rFonts w:ascii="Times New Roman" w:eastAsia="Times New Roman" w:hAnsi="Times New Roman"/>
          <w:sz w:val="26"/>
          <w:szCs w:val="26"/>
          <w:lang w:eastAsia="ru-RU"/>
        </w:rPr>
      </w:pPr>
    </w:p>
    <w:p w14:paraId="6A431CFA" w14:textId="77777777" w:rsidR="002449C2" w:rsidRDefault="00123961">
      <w:pPr>
        <w:widowControl w:val="0"/>
        <w:shd w:val="clear" w:color="auto" w:fill="FFFFFF"/>
        <w:spacing w:after="0" w:line="240" w:lineRule="auto"/>
        <w:jc w:val="both"/>
        <w:rPr>
          <w:rFonts w:ascii="Times New Roman" w:eastAsia="Times New Roman" w:hAnsi="Times New Roman"/>
          <w:sz w:val="26"/>
          <w:szCs w:val="26"/>
          <w:lang w:eastAsia="ru-RU"/>
        </w:rPr>
      </w:pPr>
      <w:r>
        <w:rPr>
          <w:rFonts w:ascii="Times New Roman" w:eastAsia="Times New Roman" w:hAnsi="Times New Roman"/>
          <w:b/>
          <w:bCs/>
          <w:sz w:val="26"/>
          <w:szCs w:val="26"/>
          <w:lang w:eastAsia="ru-RU"/>
        </w:rPr>
        <w:t>Тематика вопросов, рассмотренных Советом директоров ПАО «Россети Юг» в 2022-2024 годах</w:t>
      </w:r>
    </w:p>
    <w:p w14:paraId="2BBB8D72" w14:textId="77777777" w:rsidR="002449C2" w:rsidRDefault="002449C2">
      <w:pPr>
        <w:widowControl w:val="0"/>
        <w:shd w:val="clear" w:color="auto" w:fill="FFFFFF"/>
        <w:spacing w:after="0" w:line="240" w:lineRule="auto"/>
        <w:rPr>
          <w:rFonts w:ascii="Times New Roman" w:eastAsia="Times New Roman" w:hAnsi="Times New Roman"/>
          <w:sz w:val="26"/>
          <w:szCs w:val="26"/>
          <w:lang w:eastAsia="ru-RU"/>
        </w:rPr>
      </w:pPr>
    </w:p>
    <w:p w14:paraId="552E1419" w14:textId="77777777" w:rsidR="002449C2" w:rsidRDefault="00123961">
      <w:pPr>
        <w:widowControl w:val="0"/>
        <w:shd w:val="clear" w:color="auto" w:fill="FFFFFF"/>
        <w:spacing w:after="0" w:line="240" w:lineRule="auto"/>
        <w:rPr>
          <w:rFonts w:ascii="Times New Roman" w:eastAsia="Times New Roman" w:hAnsi="Times New Roman"/>
          <w:sz w:val="26"/>
          <w:szCs w:val="26"/>
          <w:lang w:eastAsia="ru-RU"/>
        </w:rPr>
      </w:pPr>
      <w:r>
        <w:rPr>
          <w:noProof/>
          <w:lang w:eastAsia="ru-RU"/>
        </w:rPr>
        <w:drawing>
          <wp:inline distT="0" distB="0" distL="0" distR="0" wp14:anchorId="09A0CB30" wp14:editId="789F9F0A">
            <wp:extent cx="6242685" cy="3767455"/>
            <wp:effectExtent l="0" t="0" r="0" b="0"/>
            <wp:docPr id="107" name="_x005F_x0000_i4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_x005F_x0000_i4486"/>
                    <pic:cNvPicPr>
                      <a:picLocks noChangeAspect="1" noChangeArrowheads="1"/>
                    </pic:cNvPicPr>
                  </pic:nvPicPr>
                  <pic:blipFill>
                    <a:blip r:embed="rId149"/>
                    <a:stretch>
                      <a:fillRect/>
                    </a:stretch>
                  </pic:blipFill>
                  <pic:spPr bwMode="auto">
                    <a:xfrm>
                      <a:off x="0" y="0"/>
                      <a:ext cx="6242685" cy="3767455"/>
                    </a:xfrm>
                    <a:prstGeom prst="rect">
                      <a:avLst/>
                    </a:prstGeom>
                    <a:noFill/>
                  </pic:spPr>
                </pic:pic>
              </a:graphicData>
            </a:graphic>
          </wp:inline>
        </w:drawing>
      </w:r>
    </w:p>
    <w:p w14:paraId="63C5DA12" w14:textId="77777777" w:rsidR="002449C2" w:rsidRDefault="00123961">
      <w:pPr>
        <w:widowControl w:val="0"/>
        <w:shd w:val="clear" w:color="auto" w:fill="FFFFFF"/>
        <w:spacing w:after="0" w:line="240" w:lineRule="auto"/>
        <w:jc w:val="center"/>
        <w:rPr>
          <w:rFonts w:ascii="Times New Roman" w:hAnsi="Times New Roman"/>
          <w:b/>
          <w:sz w:val="26"/>
          <w:szCs w:val="26"/>
          <w:lang w:eastAsia="en-US"/>
        </w:rPr>
      </w:pPr>
      <w:r>
        <w:rPr>
          <w:rFonts w:ascii="Times New Roman" w:hAnsi="Times New Roman"/>
          <w:b/>
          <w:sz w:val="26"/>
          <w:szCs w:val="26"/>
          <w:lang w:eastAsia="en-US"/>
        </w:rPr>
        <w:t>Предварительное рассмотрение вопросов Правлением и профильными Комитетами Совета директоров</w:t>
      </w:r>
    </w:p>
    <w:p w14:paraId="384BE052" w14:textId="77777777" w:rsidR="002449C2" w:rsidRDefault="00123961">
      <w:pPr>
        <w:widowControl w:val="0"/>
        <w:shd w:val="clear" w:color="auto" w:fill="FFFFFF"/>
        <w:spacing w:after="0" w:line="240" w:lineRule="auto"/>
        <w:ind w:firstLine="567"/>
        <w:jc w:val="both"/>
        <w:rPr>
          <w:lang w:eastAsia="en-US"/>
        </w:rPr>
      </w:pPr>
      <w:r>
        <w:rPr>
          <w:rFonts w:ascii="Times New Roman" w:hAnsi="Times New Roman"/>
          <w:sz w:val="26"/>
          <w:szCs w:val="26"/>
          <w:lang w:eastAsia="en-US"/>
        </w:rPr>
        <w:t>В целях обеспечения эффективной работы Совета директоров Общества Правление и профильные Комитеты Общества обеспечивали выработку и представление рекомендаций (заключений) Совету директоров Общества по вопросам, отнесенным к его компетенции.</w:t>
      </w:r>
      <w:r>
        <w:rPr>
          <w:lang w:eastAsia="en-US"/>
        </w:rPr>
        <w:t xml:space="preserve"> </w:t>
      </w:r>
    </w:p>
    <w:p w14:paraId="51E98653" w14:textId="77777777" w:rsidR="002449C2" w:rsidRDefault="002449C2">
      <w:pPr>
        <w:widowControl w:val="0"/>
        <w:shd w:val="clear" w:color="auto" w:fill="FFFFFF"/>
        <w:spacing w:after="0" w:line="240" w:lineRule="auto"/>
        <w:jc w:val="both"/>
        <w:rPr>
          <w:lang w:eastAsia="en-US"/>
        </w:rPr>
      </w:pPr>
    </w:p>
    <w:p w14:paraId="06D30482" w14:textId="77777777" w:rsidR="002449C2" w:rsidRDefault="00123961">
      <w:pPr>
        <w:widowControl w:val="0"/>
        <w:shd w:val="clear" w:color="auto" w:fill="FFFFFF"/>
        <w:spacing w:after="0" w:line="240" w:lineRule="auto"/>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Существенные решения Совета директоров Общества в отчетном году</w:t>
      </w:r>
      <w:r w:rsidR="00427221">
        <w:rPr>
          <w:rStyle w:val="af"/>
          <w:rFonts w:ascii="Times New Roman" w:eastAsia="Times New Roman" w:hAnsi="Times New Roman"/>
          <w:b/>
          <w:sz w:val="26"/>
          <w:szCs w:val="26"/>
          <w:lang w:eastAsia="ru-RU"/>
        </w:rPr>
        <w:footnoteReference w:id="18"/>
      </w:r>
      <w:r>
        <w:rPr>
          <w:rFonts w:ascii="Times New Roman" w:eastAsia="Times New Roman" w:hAnsi="Times New Roman"/>
          <w:sz w:val="26"/>
          <w:szCs w:val="26"/>
          <w:lang w:eastAsia="ru-RU"/>
        </w:rPr>
        <w:t>.</w:t>
      </w:r>
    </w:p>
    <w:p w14:paraId="6860A759" w14:textId="77777777" w:rsidR="002449C2" w:rsidRDefault="002449C2">
      <w:pPr>
        <w:widowControl w:val="0"/>
        <w:shd w:val="clear" w:color="auto" w:fill="FFFFFF"/>
        <w:spacing w:after="0" w:line="240" w:lineRule="auto"/>
        <w:ind w:left="426" w:firstLine="141"/>
        <w:contextualSpacing/>
        <w:jc w:val="both"/>
        <w:rPr>
          <w:rFonts w:ascii="Times New Roman" w:eastAsia="Times New Roman" w:hAnsi="Times New Roman"/>
          <w:b/>
          <w:sz w:val="26"/>
          <w:szCs w:val="26"/>
          <w:lang w:eastAsia="ru-RU"/>
        </w:rPr>
      </w:pPr>
    </w:p>
    <w:p w14:paraId="5F00DD0B" w14:textId="77777777" w:rsidR="002449C2" w:rsidRDefault="00123961">
      <w:pPr>
        <w:widowControl w:val="0"/>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отчетном году Советом директоров Общества были утверждены следующие ключевые программы и планы:</w:t>
      </w:r>
    </w:p>
    <w:p w14:paraId="3F2CD56C" w14:textId="77777777" w:rsidR="002449C2" w:rsidRDefault="00123961">
      <w:pPr>
        <w:widowControl w:val="0"/>
        <w:numPr>
          <w:ilvl w:val="0"/>
          <w:numId w:val="34"/>
        </w:numPr>
        <w:shd w:val="clear" w:color="auto" w:fill="FFFFFF"/>
        <w:tabs>
          <w:tab w:val="left" w:pos="567"/>
        </w:tabs>
        <w:spacing w:after="0" w:line="240" w:lineRule="auto"/>
        <w:ind w:left="0" w:firstLine="0"/>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Программа «Цифровая трансформация ПАО «Россети Юг» на 2023 - 2030 годы» (</w:t>
      </w:r>
      <w:r>
        <w:rPr>
          <w:rFonts w:ascii="Times New Roman" w:eastAsia="Times New Roman" w:hAnsi="Times New Roman"/>
          <w:sz w:val="26"/>
          <w:szCs w:val="26"/>
          <w:lang w:val="en-US" w:eastAsia="ru-RU"/>
        </w:rPr>
        <w:t>ESG</w:t>
      </w:r>
      <w:r>
        <w:rPr>
          <w:rFonts w:ascii="Times New Roman" w:eastAsia="Times New Roman" w:hAnsi="Times New Roman"/>
          <w:sz w:val="26"/>
          <w:szCs w:val="26"/>
          <w:lang w:eastAsia="ru-RU"/>
        </w:rPr>
        <w:t>);</w:t>
      </w:r>
    </w:p>
    <w:p w14:paraId="360475B0" w14:textId="77777777" w:rsidR="002449C2" w:rsidRDefault="00123961">
      <w:pPr>
        <w:widowControl w:val="0"/>
        <w:numPr>
          <w:ilvl w:val="0"/>
          <w:numId w:val="34"/>
        </w:numPr>
        <w:shd w:val="clear" w:color="auto" w:fill="FFFFFF"/>
        <w:tabs>
          <w:tab w:val="left" w:pos="567"/>
        </w:tabs>
        <w:spacing w:after="0" w:line="240" w:lineRule="auto"/>
        <w:ind w:left="0" w:firstLine="0"/>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Программа модернизации (реновации) электросетевых объектов ПАО «Россети Юг» на период 2024-2028 годы (</w:t>
      </w:r>
      <w:r>
        <w:rPr>
          <w:rFonts w:ascii="Times New Roman" w:eastAsia="Times New Roman" w:hAnsi="Times New Roman"/>
          <w:sz w:val="26"/>
          <w:szCs w:val="26"/>
          <w:lang w:val="en-US" w:eastAsia="ru-RU"/>
        </w:rPr>
        <w:t>ESG</w:t>
      </w:r>
      <w:r>
        <w:rPr>
          <w:rFonts w:ascii="Times New Roman" w:eastAsia="Times New Roman" w:hAnsi="Times New Roman"/>
          <w:sz w:val="26"/>
          <w:szCs w:val="26"/>
          <w:lang w:eastAsia="ru-RU"/>
        </w:rPr>
        <w:t xml:space="preserve">); </w:t>
      </w:r>
    </w:p>
    <w:p w14:paraId="6423B887" w14:textId="65549A1F" w:rsidR="002449C2" w:rsidRDefault="00123961">
      <w:pPr>
        <w:widowControl w:val="0"/>
        <w:numPr>
          <w:ilvl w:val="0"/>
          <w:numId w:val="34"/>
        </w:numPr>
        <w:shd w:val="clear" w:color="auto" w:fill="FFFFFF"/>
        <w:tabs>
          <w:tab w:val="left" w:pos="567"/>
        </w:tabs>
        <w:spacing w:after="0" w:line="240" w:lineRule="auto"/>
        <w:ind w:left="0" w:firstLine="0"/>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Дорожная карта по развитию дополнительных (нетарифных) услуг ПАО «Россети Юг</w:t>
      </w:r>
      <w:r w:rsidR="00845E67">
        <w:rPr>
          <w:rFonts w:ascii="Times New Roman" w:eastAsia="Times New Roman" w:hAnsi="Times New Roman"/>
          <w:sz w:val="26"/>
          <w:szCs w:val="26"/>
          <w:lang w:eastAsia="ru-RU"/>
        </w:rPr>
        <w:t>»;</w:t>
      </w:r>
    </w:p>
    <w:p w14:paraId="496AF9D8" w14:textId="77777777" w:rsidR="002449C2" w:rsidRDefault="00123961">
      <w:pPr>
        <w:widowControl w:val="0"/>
        <w:numPr>
          <w:ilvl w:val="0"/>
          <w:numId w:val="34"/>
        </w:numPr>
        <w:shd w:val="clear" w:color="auto" w:fill="FFFFFF"/>
        <w:tabs>
          <w:tab w:val="left" w:pos="567"/>
        </w:tabs>
        <w:spacing w:after="0" w:line="240" w:lineRule="auto"/>
        <w:ind w:left="0" w:firstLine="0"/>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План развития системы управления производственными активами ПАО «Россети Юг» на 2024-2026 годы (</w:t>
      </w:r>
      <w:r>
        <w:rPr>
          <w:rFonts w:ascii="Times New Roman" w:eastAsia="Times New Roman" w:hAnsi="Times New Roman"/>
          <w:sz w:val="26"/>
          <w:szCs w:val="26"/>
          <w:lang w:val="en-US" w:eastAsia="ru-RU"/>
        </w:rPr>
        <w:t>ESG</w:t>
      </w:r>
      <w:r>
        <w:rPr>
          <w:rFonts w:ascii="Times New Roman" w:eastAsia="Times New Roman" w:hAnsi="Times New Roman"/>
          <w:sz w:val="26"/>
          <w:szCs w:val="26"/>
          <w:lang w:eastAsia="ru-RU"/>
        </w:rPr>
        <w:t>);</w:t>
      </w:r>
    </w:p>
    <w:p w14:paraId="27FFB567" w14:textId="1C492725" w:rsidR="002449C2" w:rsidRDefault="00123961">
      <w:pPr>
        <w:widowControl w:val="0"/>
        <w:numPr>
          <w:ilvl w:val="0"/>
          <w:numId w:val="34"/>
        </w:numPr>
        <w:shd w:val="clear" w:color="auto" w:fill="FFFFFF"/>
        <w:tabs>
          <w:tab w:val="left" w:pos="567"/>
        </w:tabs>
        <w:spacing w:after="0" w:line="240" w:lineRule="auto"/>
        <w:ind w:left="0" w:firstLine="0"/>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Ресурсный план ПАО «Россети Юг» на 2024-2026 годы (</w:t>
      </w:r>
      <w:r>
        <w:rPr>
          <w:rFonts w:ascii="Times New Roman" w:eastAsia="Times New Roman" w:hAnsi="Times New Roman"/>
          <w:sz w:val="26"/>
          <w:szCs w:val="26"/>
          <w:lang w:val="en-US" w:eastAsia="ru-RU"/>
        </w:rPr>
        <w:t>ESG</w:t>
      </w:r>
      <w:r>
        <w:rPr>
          <w:rFonts w:ascii="Times New Roman" w:eastAsia="Times New Roman" w:hAnsi="Times New Roman"/>
          <w:sz w:val="26"/>
          <w:szCs w:val="26"/>
          <w:lang w:eastAsia="ru-RU"/>
        </w:rPr>
        <w:t>)</w:t>
      </w:r>
      <w:r w:rsidR="00845E67">
        <w:rPr>
          <w:rFonts w:ascii="Times New Roman" w:eastAsia="Times New Roman" w:hAnsi="Times New Roman"/>
          <w:sz w:val="26"/>
          <w:szCs w:val="26"/>
          <w:lang w:eastAsia="ru-RU"/>
        </w:rPr>
        <w:t>;</w:t>
      </w:r>
    </w:p>
    <w:p w14:paraId="17DEF368" w14:textId="77777777" w:rsidR="002449C2" w:rsidRDefault="00123961">
      <w:pPr>
        <w:widowControl w:val="0"/>
        <w:numPr>
          <w:ilvl w:val="0"/>
          <w:numId w:val="34"/>
        </w:numPr>
        <w:shd w:val="clear" w:color="auto" w:fill="FFFFFF"/>
        <w:tabs>
          <w:tab w:val="left" w:pos="567"/>
        </w:tabs>
        <w:spacing w:after="0" w:line="240" w:lineRule="auto"/>
        <w:ind w:left="0" w:firstLine="0"/>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Стандарт проведения публичного технологического и ценового аудита инвестиционных проектов ПАО «Россети Юг».</w:t>
      </w:r>
    </w:p>
    <w:p w14:paraId="4DE02C0B" w14:textId="17B21A4F" w:rsidR="002449C2" w:rsidRDefault="00123961">
      <w:pPr>
        <w:widowControl w:val="0"/>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Кроме того, Совет директоров Общества в прошедшем году одобрил изменения</w:t>
      </w:r>
      <w:r w:rsidR="009142C7">
        <w:rPr>
          <w:rFonts w:ascii="Times New Roman" w:eastAsia="Times New Roman" w:hAnsi="Times New Roman"/>
          <w:sz w:val="26"/>
          <w:szCs w:val="26"/>
          <w:lang w:eastAsia="ru-RU"/>
        </w:rPr>
        <w:t xml:space="preserve">, </w:t>
      </w:r>
      <w:r>
        <w:rPr>
          <w:rFonts w:ascii="Times New Roman" w:eastAsia="Times New Roman" w:hAnsi="Times New Roman"/>
          <w:sz w:val="26"/>
          <w:szCs w:val="26"/>
          <w:lang w:eastAsia="ru-RU"/>
        </w:rPr>
        <w:t xml:space="preserve">вносимые в 2024 году в инвестиционную программу ПАО «Россети Юг» на период 2024 – 2028 годы. </w:t>
      </w:r>
    </w:p>
    <w:p w14:paraId="2C06710C" w14:textId="77777777" w:rsidR="002449C2" w:rsidRDefault="00123961">
      <w:pPr>
        <w:widowControl w:val="0"/>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2024 году Совет директоров Общества утвердил следующие наиболее важные документы:</w:t>
      </w:r>
    </w:p>
    <w:p w14:paraId="0E2BA50A" w14:textId="77777777" w:rsidR="002449C2" w:rsidRDefault="00123961">
      <w:pPr>
        <w:widowControl w:val="0"/>
        <w:numPr>
          <w:ilvl w:val="0"/>
          <w:numId w:val="34"/>
        </w:numPr>
        <w:shd w:val="clear" w:color="auto" w:fill="FFFFFF"/>
        <w:tabs>
          <w:tab w:val="left" w:pos="567"/>
        </w:tabs>
        <w:spacing w:after="0" w:line="240" w:lineRule="auto"/>
        <w:ind w:left="0" w:firstLine="0"/>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Регламент размещения временно свободных денежных средств ПАО «Россети Юг»;</w:t>
      </w:r>
    </w:p>
    <w:p w14:paraId="3B6735A4" w14:textId="11BFEE51" w:rsidR="002449C2" w:rsidRDefault="00123961">
      <w:pPr>
        <w:widowControl w:val="0"/>
        <w:numPr>
          <w:ilvl w:val="0"/>
          <w:numId w:val="35"/>
        </w:numPr>
        <w:shd w:val="clear" w:color="auto" w:fill="FFFFFF"/>
        <w:tabs>
          <w:tab w:val="left" w:pos="567"/>
        </w:tabs>
        <w:spacing w:after="0" w:line="240" w:lineRule="auto"/>
        <w:ind w:left="0" w:firstLine="0"/>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ru-RU"/>
        </w:rPr>
        <w:t>Экологическая политика ПАО «Россети Юг»</w:t>
      </w:r>
      <w:r w:rsidR="009142C7">
        <w:rPr>
          <w:rFonts w:ascii="Times New Roman" w:eastAsia="Times New Roman" w:hAnsi="Times New Roman"/>
          <w:sz w:val="26"/>
          <w:szCs w:val="26"/>
          <w:lang w:eastAsia="ru-RU"/>
        </w:rPr>
        <w:t>.</w:t>
      </w:r>
    </w:p>
    <w:p w14:paraId="2A3C1F99" w14:textId="77777777" w:rsidR="002449C2" w:rsidRDefault="002449C2">
      <w:pPr>
        <w:widowControl w:val="0"/>
        <w:shd w:val="clear" w:color="auto" w:fill="FFFFFF"/>
        <w:tabs>
          <w:tab w:val="left" w:pos="1134"/>
        </w:tabs>
        <w:spacing w:after="0" w:line="240" w:lineRule="auto"/>
        <w:ind w:firstLine="567"/>
        <w:contextualSpacing/>
        <w:jc w:val="both"/>
        <w:rPr>
          <w:rFonts w:ascii="Times New Roman" w:eastAsia="Times New Roman" w:hAnsi="Times New Roman"/>
          <w:sz w:val="26"/>
          <w:szCs w:val="26"/>
          <w:lang w:eastAsia="en-US"/>
        </w:rPr>
      </w:pPr>
    </w:p>
    <w:p w14:paraId="5F94F55D" w14:textId="77777777" w:rsidR="002449C2" w:rsidRDefault="00123961">
      <w:pPr>
        <w:widowControl w:val="0"/>
        <w:shd w:val="clear" w:color="auto" w:fill="FFFFFF"/>
        <w:tabs>
          <w:tab w:val="left" w:pos="1134"/>
        </w:tabs>
        <w:spacing w:after="0" w:line="240" w:lineRule="auto"/>
        <w:ind w:firstLine="397"/>
        <w:contextualSpacing/>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В 2024 году Советом директоров Общества рассмотрены следующие отчеты о реализации программ в области устойчивого развития: </w:t>
      </w:r>
    </w:p>
    <w:p w14:paraId="7095E73F" w14:textId="3F3F2026" w:rsidR="002449C2" w:rsidRDefault="00123961">
      <w:pPr>
        <w:widowControl w:val="0"/>
        <w:numPr>
          <w:ilvl w:val="0"/>
          <w:numId w:val="24"/>
        </w:numPr>
        <w:shd w:val="clear" w:color="auto" w:fill="FFFFFF"/>
        <w:tabs>
          <w:tab w:val="left" w:pos="567"/>
        </w:tabs>
        <w:spacing w:after="0" w:line="240" w:lineRule="auto"/>
        <w:ind w:left="360"/>
        <w:contextualSpacing/>
        <w:jc w:val="both"/>
        <w:rPr>
          <w:rFonts w:ascii="Times New Roman" w:eastAsia="Times New Roman" w:hAnsi="Times New Roman"/>
          <w:sz w:val="26"/>
          <w:szCs w:val="26"/>
          <w:lang w:eastAsia="ru-RU"/>
        </w:rPr>
      </w:pPr>
      <w:r>
        <w:rPr>
          <w:rFonts w:ascii="Times New Roman" w:eastAsia="Times New Roman" w:hAnsi="Times New Roman"/>
          <w:bCs/>
          <w:color w:val="000000"/>
          <w:sz w:val="26"/>
          <w:szCs w:val="26"/>
          <w:lang w:eastAsia="ru-RU"/>
        </w:rPr>
        <w:t>об обеспечении страховой защиты ПАО «Россети Юг» за 2023 год</w:t>
      </w:r>
      <w:r w:rsidR="00170DFF">
        <w:rPr>
          <w:rFonts w:ascii="Times New Roman" w:eastAsia="Times New Roman" w:hAnsi="Times New Roman"/>
          <w:bCs/>
          <w:color w:val="000000"/>
          <w:sz w:val="26"/>
          <w:szCs w:val="26"/>
          <w:lang w:eastAsia="ru-RU"/>
        </w:rPr>
        <w:t>;</w:t>
      </w:r>
    </w:p>
    <w:p w14:paraId="41D53C65" w14:textId="3FF788BD" w:rsidR="002449C2" w:rsidRDefault="00123961">
      <w:pPr>
        <w:widowControl w:val="0"/>
        <w:numPr>
          <w:ilvl w:val="0"/>
          <w:numId w:val="24"/>
        </w:numPr>
        <w:shd w:val="clear" w:color="auto" w:fill="FFFFFF"/>
        <w:tabs>
          <w:tab w:val="left" w:pos="567"/>
        </w:tabs>
        <w:spacing w:after="0" w:line="240" w:lineRule="auto"/>
        <w:ind w:left="360"/>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 утверждении инвестиционной программы в Минэнерго России и причин отклонений утвержденной инвестиционной программы от проекта, одобренного Советом директоров ПАО «Россети Юг</w:t>
      </w:r>
      <w:r w:rsidR="00170DFF">
        <w:rPr>
          <w:rFonts w:ascii="Times New Roman" w:eastAsia="Times New Roman" w:hAnsi="Times New Roman"/>
          <w:sz w:val="26"/>
          <w:szCs w:val="26"/>
          <w:lang w:eastAsia="ru-RU"/>
        </w:rPr>
        <w:t xml:space="preserve">»; </w:t>
      </w:r>
    </w:p>
    <w:p w14:paraId="2C7AC6BC" w14:textId="18FDD6AE" w:rsidR="002449C2" w:rsidRDefault="00123961">
      <w:pPr>
        <w:widowControl w:val="0"/>
        <w:numPr>
          <w:ilvl w:val="0"/>
          <w:numId w:val="24"/>
        </w:numPr>
        <w:shd w:val="clear" w:color="auto" w:fill="FFFFFF"/>
        <w:tabs>
          <w:tab w:val="left" w:pos="567"/>
        </w:tabs>
        <w:spacing w:after="0" w:line="240" w:lineRule="auto"/>
        <w:ind w:left="360"/>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 организации, функционировании и эффективности системы управления рисками и внутреннего контроля Общества за 2023 год</w:t>
      </w:r>
      <w:r w:rsidR="00170DFF">
        <w:rPr>
          <w:rFonts w:ascii="Times New Roman" w:eastAsia="Times New Roman" w:hAnsi="Times New Roman"/>
          <w:sz w:val="26"/>
          <w:szCs w:val="26"/>
          <w:lang w:eastAsia="ru-RU"/>
        </w:rPr>
        <w:t xml:space="preserve">; </w:t>
      </w:r>
    </w:p>
    <w:p w14:paraId="7D26DE2E" w14:textId="2CC678F7" w:rsidR="002449C2" w:rsidRDefault="00123961">
      <w:pPr>
        <w:widowControl w:val="0"/>
        <w:numPr>
          <w:ilvl w:val="0"/>
          <w:numId w:val="24"/>
        </w:numPr>
        <w:shd w:val="clear" w:color="auto" w:fill="FFFFFF"/>
        <w:tabs>
          <w:tab w:val="left" w:pos="567"/>
        </w:tabs>
        <w:spacing w:after="0" w:line="240" w:lineRule="auto"/>
        <w:ind w:left="360"/>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 исполнении Программы развития зарядной инфраструктуры ПАО «Россети Юг» на период до 2025 года, за 2023 год</w:t>
      </w:r>
      <w:r w:rsidR="00170DFF">
        <w:rPr>
          <w:rFonts w:ascii="Times New Roman" w:eastAsia="Times New Roman" w:hAnsi="Times New Roman"/>
          <w:sz w:val="26"/>
          <w:szCs w:val="26"/>
          <w:lang w:eastAsia="ru-RU"/>
        </w:rPr>
        <w:t>;</w:t>
      </w:r>
    </w:p>
    <w:p w14:paraId="57267A47" w14:textId="3B80397E" w:rsidR="002449C2" w:rsidRDefault="00123961">
      <w:pPr>
        <w:widowControl w:val="0"/>
        <w:numPr>
          <w:ilvl w:val="0"/>
          <w:numId w:val="24"/>
        </w:numPr>
        <w:shd w:val="clear" w:color="auto" w:fill="FFFFFF"/>
        <w:tabs>
          <w:tab w:val="left" w:pos="567"/>
        </w:tabs>
        <w:spacing w:after="0" w:line="240" w:lineRule="auto"/>
        <w:ind w:left="360"/>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 о приобретении объектов электроэнергетики, одобрение приобретения которых не требуется Советом директоров, за 2022 год</w:t>
      </w:r>
      <w:r w:rsidR="00170DFF">
        <w:rPr>
          <w:rFonts w:ascii="Times New Roman" w:eastAsia="Times New Roman" w:hAnsi="Times New Roman"/>
          <w:sz w:val="26"/>
          <w:szCs w:val="26"/>
          <w:lang w:eastAsia="ru-RU"/>
        </w:rPr>
        <w:t>;</w:t>
      </w:r>
    </w:p>
    <w:p w14:paraId="7A2DE176" w14:textId="0A20DBF0" w:rsidR="002449C2" w:rsidRDefault="00123961">
      <w:pPr>
        <w:widowControl w:val="0"/>
        <w:numPr>
          <w:ilvl w:val="0"/>
          <w:numId w:val="24"/>
        </w:numPr>
        <w:shd w:val="clear" w:color="auto" w:fill="FFFFFF"/>
        <w:tabs>
          <w:tab w:val="left" w:pos="567"/>
        </w:tabs>
        <w:spacing w:after="0" w:line="240" w:lineRule="auto"/>
        <w:ind w:left="0" w:firstLine="284"/>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 исполнении Плана закупки ПАО «Россети Юг» за 2023 год</w:t>
      </w:r>
      <w:r w:rsidR="00170DFF">
        <w:rPr>
          <w:rFonts w:ascii="Times New Roman" w:eastAsia="Times New Roman" w:hAnsi="Times New Roman"/>
          <w:sz w:val="26"/>
          <w:szCs w:val="26"/>
          <w:lang w:eastAsia="ru-RU"/>
        </w:rPr>
        <w:t>;</w:t>
      </w:r>
    </w:p>
    <w:p w14:paraId="4D2F6CBE" w14:textId="4621A806" w:rsidR="002449C2" w:rsidRDefault="00123961">
      <w:pPr>
        <w:widowControl w:val="0"/>
        <w:numPr>
          <w:ilvl w:val="0"/>
          <w:numId w:val="24"/>
        </w:numPr>
        <w:shd w:val="clear" w:color="auto" w:fill="FFFFFF"/>
        <w:tabs>
          <w:tab w:val="left" w:pos="567"/>
        </w:tabs>
        <w:spacing w:after="0" w:line="240" w:lineRule="auto"/>
        <w:ind w:left="360"/>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 результатах реализации мероприятий Программы модернизации (реновации) электросетевых объектов ПАО «Россети Юг» за 2023 год</w:t>
      </w:r>
      <w:r w:rsidR="00170DFF">
        <w:rPr>
          <w:rFonts w:ascii="Times New Roman" w:eastAsia="Times New Roman" w:hAnsi="Times New Roman"/>
          <w:sz w:val="26"/>
          <w:szCs w:val="26"/>
          <w:lang w:eastAsia="ru-RU"/>
        </w:rPr>
        <w:t>;</w:t>
      </w:r>
    </w:p>
    <w:p w14:paraId="2F6B9F0C" w14:textId="7A2D21D8" w:rsidR="002449C2" w:rsidRDefault="00123961">
      <w:pPr>
        <w:widowControl w:val="0"/>
        <w:numPr>
          <w:ilvl w:val="0"/>
          <w:numId w:val="24"/>
        </w:numPr>
        <w:shd w:val="clear" w:color="auto" w:fill="FFFFFF"/>
        <w:tabs>
          <w:tab w:val="left" w:pos="567"/>
        </w:tabs>
        <w:spacing w:after="0" w:line="240" w:lineRule="auto"/>
        <w:ind w:left="360"/>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 исполнении бизнес-плана ПАО «Россети Юг» за 2023 год</w:t>
      </w:r>
      <w:r w:rsidR="00170DFF">
        <w:rPr>
          <w:rFonts w:ascii="Times New Roman" w:eastAsia="Times New Roman" w:hAnsi="Times New Roman"/>
          <w:sz w:val="26"/>
          <w:szCs w:val="26"/>
          <w:lang w:eastAsia="ru-RU"/>
        </w:rPr>
        <w:t>;</w:t>
      </w:r>
    </w:p>
    <w:p w14:paraId="4EC16A06" w14:textId="3C9D26B0" w:rsidR="002449C2" w:rsidRDefault="00123961">
      <w:pPr>
        <w:widowControl w:val="0"/>
        <w:numPr>
          <w:ilvl w:val="0"/>
          <w:numId w:val="24"/>
        </w:numPr>
        <w:shd w:val="clear" w:color="auto" w:fill="FFFFFF"/>
        <w:tabs>
          <w:tab w:val="left" w:pos="567"/>
        </w:tabs>
        <w:spacing w:after="0" w:line="240" w:lineRule="auto"/>
        <w:ind w:left="360"/>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 соблюдении Положения об информационной политике ПАО «Россети Юг» за 2023 год</w:t>
      </w:r>
      <w:r w:rsidR="00170DFF">
        <w:rPr>
          <w:rFonts w:ascii="Times New Roman" w:eastAsia="Times New Roman" w:hAnsi="Times New Roman"/>
          <w:sz w:val="26"/>
          <w:szCs w:val="26"/>
          <w:lang w:eastAsia="ru-RU"/>
        </w:rPr>
        <w:t>;</w:t>
      </w:r>
    </w:p>
    <w:p w14:paraId="6D0D39C6" w14:textId="21465734" w:rsidR="002449C2" w:rsidRDefault="00123961">
      <w:pPr>
        <w:widowControl w:val="0"/>
        <w:numPr>
          <w:ilvl w:val="0"/>
          <w:numId w:val="24"/>
        </w:numPr>
        <w:shd w:val="clear" w:color="auto" w:fill="FFFFFF"/>
        <w:tabs>
          <w:tab w:val="left" w:pos="567"/>
        </w:tabs>
        <w:spacing w:after="0" w:line="240" w:lineRule="auto"/>
        <w:ind w:left="360"/>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 исполнении Дорожной карты по развитию дополнительных (нетарифных) услуг ПАО «Россети Юг» за 2023 год</w:t>
      </w:r>
      <w:r w:rsidR="00170DFF">
        <w:rPr>
          <w:rFonts w:ascii="Times New Roman" w:eastAsia="Times New Roman" w:hAnsi="Times New Roman"/>
          <w:sz w:val="26"/>
          <w:szCs w:val="26"/>
          <w:lang w:eastAsia="ru-RU"/>
        </w:rPr>
        <w:t>;</w:t>
      </w:r>
    </w:p>
    <w:p w14:paraId="2F6E59B7" w14:textId="77777777" w:rsidR="002449C2" w:rsidRDefault="00123961">
      <w:pPr>
        <w:widowControl w:val="0"/>
        <w:numPr>
          <w:ilvl w:val="0"/>
          <w:numId w:val="24"/>
        </w:numPr>
        <w:shd w:val="clear" w:color="auto" w:fill="FFFFFF"/>
        <w:tabs>
          <w:tab w:val="left" w:pos="567"/>
        </w:tabs>
        <w:spacing w:after="0" w:line="240" w:lineRule="auto"/>
        <w:ind w:left="360"/>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 реализации мероприятий, предусмотренных Программой «Цифровая трансформация ПАО «Россети Юг» 2020 - 2030 годы за 2023 год.</w:t>
      </w:r>
    </w:p>
    <w:p w14:paraId="377493D4" w14:textId="77777777" w:rsidR="002449C2" w:rsidRDefault="002449C2">
      <w:pPr>
        <w:widowControl w:val="0"/>
        <w:shd w:val="clear" w:color="auto" w:fill="FFFFFF"/>
        <w:spacing w:after="0" w:line="240" w:lineRule="auto"/>
        <w:ind w:firstLine="567"/>
        <w:jc w:val="both"/>
        <w:rPr>
          <w:rFonts w:ascii="Times New Roman" w:eastAsia="Times New Roman" w:hAnsi="Times New Roman"/>
          <w:sz w:val="26"/>
          <w:szCs w:val="26"/>
          <w:lang w:eastAsia="ru-RU"/>
        </w:rPr>
      </w:pPr>
    </w:p>
    <w:p w14:paraId="0E57F766" w14:textId="77777777" w:rsidR="002449C2" w:rsidRDefault="00123961">
      <w:pPr>
        <w:widowControl w:val="0"/>
        <w:shd w:val="clear" w:color="auto" w:fill="FFFFFF"/>
        <w:tabs>
          <w:tab w:val="left" w:pos="142"/>
        </w:tabs>
        <w:spacing w:before="120" w:after="120" w:line="240" w:lineRule="auto"/>
        <w:jc w:val="center"/>
        <w:rPr>
          <w:rFonts w:ascii="Times New Roman" w:eastAsia="Times New Roman" w:hAnsi="Times New Roman"/>
          <w:b/>
          <w:sz w:val="26"/>
          <w:szCs w:val="26"/>
          <w:lang w:eastAsia="en-US"/>
        </w:rPr>
      </w:pPr>
      <w:r>
        <w:rPr>
          <w:rFonts w:ascii="Times New Roman" w:eastAsia="Times New Roman" w:hAnsi="Times New Roman"/>
          <w:b/>
          <w:sz w:val="26"/>
          <w:szCs w:val="26"/>
          <w:lang w:eastAsia="en-US"/>
        </w:rPr>
        <w:t>Оценка работы Совета директоров</w:t>
      </w:r>
    </w:p>
    <w:p w14:paraId="5FBAAD30" w14:textId="77777777" w:rsidR="002449C2" w:rsidRDefault="00123961">
      <w:pPr>
        <w:widowControl w:val="0"/>
        <w:shd w:val="clear" w:color="auto" w:fill="FFFFFF"/>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Оценка деятельности Совета директоров и Комитетов Совета директоров Общества проводится на основе утвержденной Советом директоров новой редакции Методики оценки работы Совета директоров и Комитетов Совета директоров Общества, разработанной в соответствии с законодательством Российской Федерации, Уставом Общества и Кодексом корпоративного управления Банка России, и утвержденной Советом директоров Общества 17.03.2020 (протокол №364/2020).</w:t>
      </w:r>
    </w:p>
    <w:p w14:paraId="1792FFEE" w14:textId="77777777" w:rsidR="002449C2" w:rsidRDefault="00123961">
      <w:pPr>
        <w:widowControl w:val="0"/>
        <w:shd w:val="clear" w:color="auto" w:fill="FFFFFF"/>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Согласно Методике, оценка проводится следующими способами: внутренняя оценка (самооценка) — ежегодно, внешняя независимая оценка (путем привлечения независимого консультанта) — один раз в три года.</w:t>
      </w:r>
    </w:p>
    <w:p w14:paraId="7D70F9BD" w14:textId="77777777" w:rsidR="002449C2" w:rsidRDefault="002449C2">
      <w:pPr>
        <w:widowControl w:val="0"/>
        <w:shd w:val="clear" w:color="auto" w:fill="FFFFFF"/>
        <w:spacing w:after="0" w:line="240" w:lineRule="auto"/>
        <w:ind w:firstLine="567"/>
        <w:contextualSpacing/>
        <w:jc w:val="both"/>
        <w:rPr>
          <w:rFonts w:ascii="Times New Roman" w:eastAsia="Times New Roman" w:hAnsi="Times New Roman"/>
          <w:sz w:val="26"/>
          <w:szCs w:val="26"/>
          <w:lang w:eastAsia="ru-RU"/>
        </w:rPr>
      </w:pPr>
    </w:p>
    <w:tbl>
      <w:tblPr>
        <w:tblW w:w="9488" w:type="dxa"/>
        <w:tblLayout w:type="fixed"/>
        <w:tblLook w:val="04A0" w:firstRow="1" w:lastRow="0" w:firstColumn="1" w:lastColumn="0" w:noHBand="0" w:noVBand="1"/>
      </w:tblPr>
      <w:tblGrid>
        <w:gridCol w:w="2122"/>
        <w:gridCol w:w="2268"/>
        <w:gridCol w:w="5098"/>
      </w:tblGrid>
      <w:tr w:rsidR="002449C2" w14:paraId="773592DC" w14:textId="77777777">
        <w:tc>
          <w:tcPr>
            <w:tcW w:w="2122" w:type="dxa"/>
            <w:tcBorders>
              <w:top w:val="single" w:sz="4" w:space="0" w:color="000000"/>
              <w:left w:val="single" w:sz="4" w:space="0" w:color="000000"/>
              <w:bottom w:val="single" w:sz="4" w:space="0" w:color="000000"/>
              <w:right w:val="single" w:sz="4" w:space="0" w:color="000000"/>
            </w:tcBorders>
            <w:shd w:val="clear" w:color="auto" w:fill="FFFFFF"/>
          </w:tcPr>
          <w:p w14:paraId="7229D546" w14:textId="77777777" w:rsidR="002449C2" w:rsidRDefault="00123961">
            <w:pPr>
              <w:widowControl w:val="0"/>
              <w:shd w:val="clear" w:color="auto" w:fill="FFFFFF"/>
              <w:spacing w:after="0" w:line="240" w:lineRule="auto"/>
              <w:contextualSpacing/>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Оценка Совета директоров</w:t>
            </w:r>
          </w:p>
        </w:tc>
        <w:tc>
          <w:tcPr>
            <w:tcW w:w="2268" w:type="dxa"/>
            <w:tcBorders>
              <w:top w:val="single" w:sz="4" w:space="0" w:color="000000"/>
              <w:left w:val="single" w:sz="4" w:space="0" w:color="000000"/>
              <w:bottom w:val="single" w:sz="4" w:space="0" w:color="000000"/>
              <w:right w:val="single" w:sz="4" w:space="0" w:color="000000"/>
            </w:tcBorders>
            <w:shd w:val="clear" w:color="auto" w:fill="FFFFFF"/>
          </w:tcPr>
          <w:p w14:paraId="49E7C3F5" w14:textId="77777777" w:rsidR="002449C2" w:rsidRDefault="00123961">
            <w:pPr>
              <w:widowControl w:val="0"/>
              <w:shd w:val="clear" w:color="auto" w:fill="FFFFFF"/>
              <w:spacing w:after="0" w:line="240" w:lineRule="auto"/>
              <w:contextualSpacing/>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Вид оценки</w:t>
            </w:r>
          </w:p>
        </w:tc>
        <w:tc>
          <w:tcPr>
            <w:tcW w:w="5098" w:type="dxa"/>
            <w:tcBorders>
              <w:top w:val="single" w:sz="4" w:space="0" w:color="000000"/>
              <w:left w:val="single" w:sz="4" w:space="0" w:color="000000"/>
              <w:bottom w:val="single" w:sz="4" w:space="0" w:color="000000"/>
              <w:right w:val="single" w:sz="4" w:space="0" w:color="000000"/>
            </w:tcBorders>
            <w:shd w:val="clear" w:color="auto" w:fill="FFFFFF"/>
          </w:tcPr>
          <w:p w14:paraId="5B556CA3" w14:textId="77777777" w:rsidR="002449C2" w:rsidRDefault="00123961">
            <w:pPr>
              <w:widowControl w:val="0"/>
              <w:shd w:val="clear" w:color="auto" w:fill="FFFFFF"/>
              <w:spacing w:after="0" w:line="240" w:lineRule="auto"/>
              <w:contextualSpacing/>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Организатор</w:t>
            </w:r>
          </w:p>
        </w:tc>
      </w:tr>
      <w:tr w:rsidR="002449C2" w14:paraId="1856DBE1" w14:textId="77777777">
        <w:trPr>
          <w:trHeight w:val="531"/>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500678" w14:textId="77777777" w:rsidR="002449C2" w:rsidRDefault="00123961">
            <w:pPr>
              <w:widowControl w:val="0"/>
              <w:shd w:val="clear" w:color="auto" w:fill="FFFFFF"/>
              <w:spacing w:after="0" w:line="240" w:lineRule="auto"/>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2021-2022</w:t>
            </w:r>
          </w:p>
        </w:tc>
        <w:tc>
          <w:tcPr>
            <w:tcW w:w="226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150FDE" w14:textId="77777777" w:rsidR="002449C2" w:rsidRDefault="00123961">
            <w:pPr>
              <w:widowControl w:val="0"/>
              <w:shd w:val="clear" w:color="auto" w:fill="FFFFFF"/>
              <w:spacing w:after="0" w:line="240" w:lineRule="auto"/>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Внешняя оценка</w:t>
            </w:r>
          </w:p>
        </w:tc>
        <w:tc>
          <w:tcPr>
            <w:tcW w:w="50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0EB587" w14:textId="77777777" w:rsidR="002449C2" w:rsidRDefault="00123961">
            <w:pPr>
              <w:widowControl w:val="0"/>
              <w:shd w:val="clear" w:color="auto" w:fill="FFFFFF"/>
              <w:spacing w:after="0" w:line="240" w:lineRule="auto"/>
              <w:contextualSpacing/>
              <w:rPr>
                <w:rFonts w:ascii="Times New Roman" w:eastAsia="Times New Roman" w:hAnsi="Times New Roman"/>
                <w:sz w:val="24"/>
                <w:szCs w:val="24"/>
                <w:lang w:eastAsia="ru-RU"/>
              </w:rPr>
            </w:pPr>
            <w:r>
              <w:rPr>
                <w:rFonts w:ascii="Times New Roman" w:eastAsia="Times New Roman" w:hAnsi="Times New Roman"/>
                <w:sz w:val="24"/>
                <w:szCs w:val="24"/>
                <w:lang w:eastAsia="ru-RU"/>
              </w:rPr>
              <w:t>АО ВТБ Регистратор</w:t>
            </w:r>
          </w:p>
        </w:tc>
      </w:tr>
      <w:tr w:rsidR="002449C2" w14:paraId="5ECA27BA" w14:textId="77777777">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3E066D" w14:textId="77777777" w:rsidR="002449C2" w:rsidRDefault="00123961">
            <w:pPr>
              <w:widowControl w:val="0"/>
              <w:shd w:val="clear" w:color="auto" w:fill="FFFFFF"/>
              <w:spacing w:after="0" w:line="240" w:lineRule="auto"/>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2022-2023</w:t>
            </w:r>
          </w:p>
        </w:tc>
        <w:tc>
          <w:tcPr>
            <w:tcW w:w="226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896C94" w14:textId="77777777" w:rsidR="002449C2" w:rsidRDefault="00123961">
            <w:pPr>
              <w:widowControl w:val="0"/>
              <w:shd w:val="clear" w:color="auto" w:fill="FFFFFF"/>
              <w:spacing w:after="0" w:line="240" w:lineRule="auto"/>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Самооценка</w:t>
            </w:r>
          </w:p>
        </w:tc>
        <w:tc>
          <w:tcPr>
            <w:tcW w:w="50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17093D" w14:textId="77777777" w:rsidR="002449C2" w:rsidRDefault="00123961">
            <w:pPr>
              <w:widowControl w:val="0"/>
              <w:shd w:val="clear" w:color="auto" w:fill="FFFFFF"/>
              <w:spacing w:after="0" w:line="240" w:lineRule="auto"/>
              <w:contextualSpacing/>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Департамент корпоративного управления и взаимодействия с акционерами</w:t>
            </w:r>
          </w:p>
        </w:tc>
      </w:tr>
      <w:tr w:rsidR="002449C2" w14:paraId="5AD6A990" w14:textId="77777777">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62E340" w14:textId="77777777" w:rsidR="002449C2" w:rsidRDefault="00123961">
            <w:pPr>
              <w:widowControl w:val="0"/>
              <w:shd w:val="clear" w:color="auto" w:fill="FFFFFF"/>
              <w:spacing w:after="0" w:line="240" w:lineRule="auto"/>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2023-2024</w:t>
            </w:r>
          </w:p>
        </w:tc>
        <w:tc>
          <w:tcPr>
            <w:tcW w:w="226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B4D3C9" w14:textId="77777777" w:rsidR="002449C2" w:rsidRDefault="00123961">
            <w:pPr>
              <w:widowControl w:val="0"/>
              <w:shd w:val="clear" w:color="auto" w:fill="FFFFFF"/>
              <w:spacing w:after="0" w:line="240" w:lineRule="auto"/>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Самооценка</w:t>
            </w:r>
          </w:p>
        </w:tc>
        <w:tc>
          <w:tcPr>
            <w:tcW w:w="50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2D8F13" w14:textId="77777777" w:rsidR="002449C2" w:rsidRDefault="00123961">
            <w:pPr>
              <w:widowControl w:val="0"/>
              <w:shd w:val="clear" w:color="auto" w:fill="FFFFFF"/>
              <w:spacing w:after="0" w:line="240" w:lineRule="auto"/>
              <w:contextualSpacing/>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Департамент корпоративного управления и взаимодействия с акционерами</w:t>
            </w:r>
          </w:p>
        </w:tc>
      </w:tr>
    </w:tbl>
    <w:p w14:paraId="7833D519" w14:textId="77777777" w:rsidR="002449C2" w:rsidRDefault="002449C2">
      <w:pPr>
        <w:widowControl w:val="0"/>
        <w:shd w:val="clear" w:color="auto" w:fill="FFFFFF"/>
        <w:spacing w:after="0" w:line="240" w:lineRule="auto"/>
        <w:ind w:firstLine="567"/>
        <w:contextualSpacing/>
        <w:jc w:val="both"/>
        <w:rPr>
          <w:rFonts w:ascii="Times New Roman" w:eastAsia="Times New Roman" w:hAnsi="Times New Roman"/>
          <w:sz w:val="26"/>
          <w:szCs w:val="26"/>
          <w:lang w:eastAsia="ru-RU"/>
        </w:rPr>
      </w:pPr>
    </w:p>
    <w:p w14:paraId="77830D79" w14:textId="77777777" w:rsidR="002449C2" w:rsidRDefault="00123961">
      <w:pPr>
        <w:widowControl w:val="0"/>
        <w:shd w:val="clear" w:color="auto" w:fill="FFFFFF"/>
        <w:spacing w:before="120" w:after="120" w:line="240" w:lineRule="auto"/>
        <w:contextualSpacing/>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Самооценка работы Совета директоров за 2023-2024 корпоративный год</w:t>
      </w:r>
    </w:p>
    <w:p w14:paraId="79A8E2A6" w14:textId="77777777" w:rsidR="002449C2" w:rsidRDefault="002449C2">
      <w:pPr>
        <w:widowControl w:val="0"/>
        <w:shd w:val="clear" w:color="auto" w:fill="FFFFFF"/>
        <w:spacing w:after="0" w:line="240" w:lineRule="auto"/>
        <w:ind w:firstLine="567"/>
        <w:contextualSpacing/>
        <w:jc w:val="both"/>
        <w:rPr>
          <w:rFonts w:ascii="Times New Roman" w:eastAsia="Times New Roman" w:hAnsi="Times New Roman"/>
          <w:sz w:val="26"/>
          <w:szCs w:val="26"/>
          <w:lang w:eastAsia="ru-RU"/>
        </w:rPr>
      </w:pPr>
    </w:p>
    <w:p w14:paraId="5F0BF8B5" w14:textId="77777777" w:rsidR="002449C2" w:rsidRDefault="00123961">
      <w:pPr>
        <w:widowControl w:val="0"/>
        <w:shd w:val="clear" w:color="auto" w:fill="FFFFFF"/>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июле 2024 года Совет директоров провел анонимную оценку своей работы (включая индивидуальную оценку) и работы Комитетов Общества по итогам 2023-2024 корпоративного года.</w:t>
      </w:r>
    </w:p>
    <w:p w14:paraId="69512213" w14:textId="77777777" w:rsidR="002449C2" w:rsidRDefault="00123961">
      <w:pPr>
        <w:widowControl w:val="0"/>
        <w:shd w:val="clear" w:color="auto" w:fill="FFFFFF"/>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рамках самооценки использовалось сочетание субъективной и объективной оценок.</w:t>
      </w:r>
    </w:p>
    <w:p w14:paraId="68952970" w14:textId="77777777" w:rsidR="002449C2" w:rsidRDefault="00123961">
      <w:pPr>
        <w:widowControl w:val="0"/>
        <w:shd w:val="clear" w:color="auto" w:fill="FFFFFF"/>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Субъективная оценка проводилась путем заполнения каждым членом Совета директоров опросных анкет, в которых члены Совета директоров выразили свое субъективное мнение по вопросам практики работы Совета директоров и Комитетов при Совете директоров. </w:t>
      </w:r>
    </w:p>
    <w:p w14:paraId="3D63952A" w14:textId="77777777" w:rsidR="002449C2" w:rsidRDefault="00123961">
      <w:pPr>
        <w:widowControl w:val="0"/>
        <w:shd w:val="clear" w:color="auto" w:fill="FFFFFF"/>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Объективная оценка проводилась путем анализа внутренних документов Общества, включая планы работы и протоколы заседаний Совета директоров и Комитетов при Совете директоров. </w:t>
      </w:r>
    </w:p>
    <w:p w14:paraId="305E402E" w14:textId="77777777" w:rsidR="002449C2" w:rsidRDefault="00123961">
      <w:pPr>
        <w:widowControl w:val="0"/>
        <w:shd w:val="clear" w:color="auto" w:fill="FFFFFF"/>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Оценка включала в себя оценку эффективности:</w:t>
      </w:r>
    </w:p>
    <w:p w14:paraId="2AD0E8F9" w14:textId="77777777" w:rsidR="002449C2" w:rsidRDefault="00123961">
      <w:pPr>
        <w:widowControl w:val="0"/>
        <w:shd w:val="clear" w:color="auto" w:fill="FFFFFF"/>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Совета директоров в целом,</w:t>
      </w:r>
    </w:p>
    <w:p w14:paraId="2B865E24" w14:textId="77777777" w:rsidR="002449C2" w:rsidRDefault="00123961">
      <w:pPr>
        <w:widowControl w:val="0"/>
        <w:shd w:val="clear" w:color="auto" w:fill="FFFFFF"/>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индивидуальную оценку Совета директоров,</w:t>
      </w:r>
    </w:p>
    <w:p w14:paraId="5CD66212" w14:textId="77777777" w:rsidR="002449C2" w:rsidRDefault="00123961">
      <w:pPr>
        <w:widowControl w:val="0"/>
        <w:shd w:val="clear" w:color="auto" w:fill="FFFFFF"/>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каждого Комитета при Совете директоров,</w:t>
      </w:r>
    </w:p>
    <w:p w14:paraId="277D21F6" w14:textId="77777777" w:rsidR="002449C2" w:rsidRDefault="00123961">
      <w:pPr>
        <w:widowControl w:val="0"/>
        <w:shd w:val="clear" w:color="auto" w:fill="FFFFFF"/>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Председателя Совета директоров.</w:t>
      </w:r>
    </w:p>
    <w:p w14:paraId="068C908B" w14:textId="77777777" w:rsidR="002449C2" w:rsidRDefault="00123961">
      <w:pPr>
        <w:widowControl w:val="0"/>
        <w:shd w:val="clear" w:color="auto" w:fill="FFFFFF"/>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анкетах члены Совета директоров и Комитетов отражали свою позицию по тем или иным критериям оценки, давали предложения по совершенствованию работы Совета директоров и его Комитетов. </w:t>
      </w:r>
    </w:p>
    <w:p w14:paraId="5991E47C" w14:textId="77777777" w:rsidR="002449C2" w:rsidRDefault="00123961">
      <w:pPr>
        <w:widowControl w:val="0"/>
        <w:shd w:val="clear" w:color="auto" w:fill="FFFFFF"/>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Общая оценка работы Совета директоров ПАО «Россети Юг» в 2023-2024 корпоративном году составила «4,7» баллов («скорее соответствует») рекомендациям, содержащихся в международных и российских стандартах передовой практики корпоративного управления). </w:t>
      </w:r>
    </w:p>
    <w:p w14:paraId="4CF74788" w14:textId="77777777" w:rsidR="002449C2" w:rsidRDefault="002449C2">
      <w:pPr>
        <w:widowControl w:val="0"/>
        <w:shd w:val="clear" w:color="auto" w:fill="FFFFFF"/>
        <w:spacing w:after="0" w:line="240" w:lineRule="auto"/>
        <w:ind w:firstLine="567"/>
        <w:contextualSpacing/>
        <w:jc w:val="both"/>
        <w:rPr>
          <w:rFonts w:ascii="Times New Roman" w:eastAsia="Times New Roman" w:hAnsi="Times New Roman"/>
          <w:sz w:val="26"/>
          <w:szCs w:val="26"/>
          <w:lang w:eastAsia="ru-RU"/>
        </w:rPr>
      </w:pPr>
    </w:p>
    <w:tbl>
      <w:tblPr>
        <w:tblW w:w="9488" w:type="dxa"/>
        <w:tblLayout w:type="fixed"/>
        <w:tblLook w:val="04A0" w:firstRow="1" w:lastRow="0" w:firstColumn="1" w:lastColumn="0" w:noHBand="0" w:noVBand="1"/>
      </w:tblPr>
      <w:tblGrid>
        <w:gridCol w:w="6076"/>
        <w:gridCol w:w="1725"/>
        <w:gridCol w:w="1687"/>
      </w:tblGrid>
      <w:tr w:rsidR="002449C2" w14:paraId="14D74E9C" w14:textId="77777777">
        <w:trPr>
          <w:trHeight w:val="20"/>
        </w:trPr>
        <w:tc>
          <w:tcPr>
            <w:tcW w:w="6076" w:type="dxa"/>
            <w:tcBorders>
              <w:top w:val="single" w:sz="4" w:space="0" w:color="000000"/>
              <w:left w:val="single" w:sz="4" w:space="0" w:color="000000"/>
              <w:bottom w:val="single" w:sz="4" w:space="0" w:color="000000"/>
              <w:right w:val="single" w:sz="4" w:space="0" w:color="000000"/>
            </w:tcBorders>
            <w:vAlign w:val="center"/>
          </w:tcPr>
          <w:p w14:paraId="4580081E" w14:textId="77777777" w:rsidR="002449C2" w:rsidRDefault="00123961">
            <w:pPr>
              <w:widowControl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Наименование критерия оценки</w:t>
            </w:r>
          </w:p>
        </w:tc>
        <w:tc>
          <w:tcPr>
            <w:tcW w:w="3412" w:type="dxa"/>
            <w:gridSpan w:val="2"/>
            <w:tcBorders>
              <w:top w:val="single" w:sz="4" w:space="0" w:color="000000"/>
              <w:left w:val="single" w:sz="4" w:space="0" w:color="000000"/>
              <w:bottom w:val="single" w:sz="4" w:space="0" w:color="000000"/>
              <w:right w:val="single" w:sz="4" w:space="0" w:color="000000"/>
            </w:tcBorders>
            <w:vAlign w:val="center"/>
          </w:tcPr>
          <w:p w14:paraId="5BC44D53" w14:textId="77777777" w:rsidR="002449C2" w:rsidRDefault="00123961" w:rsidP="00427221">
            <w:pPr>
              <w:widowControl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Результаты субъективной самооценки (средний балл)</w:t>
            </w:r>
            <w:r w:rsidR="00427221">
              <w:rPr>
                <w:rStyle w:val="af"/>
                <w:rFonts w:ascii="Times New Roman" w:eastAsia="Times New Roman" w:hAnsi="Times New Roman"/>
                <w:sz w:val="24"/>
                <w:szCs w:val="24"/>
                <w:lang w:eastAsia="ru-RU"/>
              </w:rPr>
              <w:footnoteReference w:id="19"/>
            </w:r>
          </w:p>
        </w:tc>
      </w:tr>
      <w:tr w:rsidR="002449C2" w14:paraId="72289842" w14:textId="77777777">
        <w:trPr>
          <w:trHeight w:val="20"/>
        </w:trPr>
        <w:tc>
          <w:tcPr>
            <w:tcW w:w="6076" w:type="dxa"/>
            <w:tcBorders>
              <w:top w:val="single" w:sz="4" w:space="0" w:color="000000"/>
              <w:left w:val="single" w:sz="4" w:space="0" w:color="000000"/>
              <w:bottom w:val="single" w:sz="4" w:space="0" w:color="000000"/>
              <w:right w:val="single" w:sz="4" w:space="0" w:color="000000"/>
            </w:tcBorders>
            <w:vAlign w:val="center"/>
          </w:tcPr>
          <w:p w14:paraId="22EF67E7" w14:textId="77777777" w:rsidR="002449C2" w:rsidRDefault="002449C2">
            <w:pPr>
              <w:widowControl w:val="0"/>
              <w:spacing w:after="0" w:line="240" w:lineRule="auto"/>
              <w:jc w:val="center"/>
              <w:rPr>
                <w:rFonts w:ascii="Times New Roman" w:eastAsia="Times New Roman" w:hAnsi="Times New Roman"/>
                <w:sz w:val="24"/>
                <w:szCs w:val="24"/>
                <w:lang w:eastAsia="ru-RU"/>
              </w:rPr>
            </w:pPr>
          </w:p>
        </w:tc>
        <w:tc>
          <w:tcPr>
            <w:tcW w:w="1725" w:type="dxa"/>
            <w:tcBorders>
              <w:top w:val="single" w:sz="4" w:space="0" w:color="000000"/>
              <w:left w:val="single" w:sz="4" w:space="0" w:color="000000"/>
              <w:bottom w:val="single" w:sz="4" w:space="0" w:color="000000"/>
              <w:right w:val="single" w:sz="4" w:space="0" w:color="000000"/>
            </w:tcBorders>
            <w:vAlign w:val="center"/>
          </w:tcPr>
          <w:p w14:paraId="5571C95B" w14:textId="77777777" w:rsidR="002449C2" w:rsidRDefault="00123961">
            <w:pPr>
              <w:widowControl w:val="0"/>
              <w:spacing w:after="0" w:line="240" w:lineRule="auto"/>
              <w:jc w:val="center"/>
              <w:rPr>
                <w:rFonts w:ascii="Times New Roman" w:hAnsi="Times New Roman"/>
                <w:b/>
                <w:sz w:val="24"/>
                <w:szCs w:val="24"/>
              </w:rPr>
            </w:pPr>
            <w:r>
              <w:rPr>
                <w:rFonts w:ascii="Times New Roman" w:hAnsi="Times New Roman"/>
                <w:b/>
                <w:sz w:val="24"/>
                <w:szCs w:val="24"/>
              </w:rPr>
              <w:t>2023-2024</w:t>
            </w:r>
          </w:p>
        </w:tc>
        <w:tc>
          <w:tcPr>
            <w:tcW w:w="1687" w:type="dxa"/>
            <w:tcBorders>
              <w:top w:val="single" w:sz="4" w:space="0" w:color="000000"/>
              <w:left w:val="single" w:sz="4" w:space="0" w:color="000000"/>
              <w:bottom w:val="single" w:sz="4" w:space="0" w:color="000000"/>
              <w:right w:val="single" w:sz="4" w:space="0" w:color="000000"/>
            </w:tcBorders>
            <w:vAlign w:val="center"/>
          </w:tcPr>
          <w:p w14:paraId="094689FE" w14:textId="77777777" w:rsidR="002449C2" w:rsidRDefault="00123961">
            <w:pPr>
              <w:widowControl w:val="0"/>
              <w:spacing w:after="0" w:line="240" w:lineRule="auto"/>
              <w:jc w:val="center"/>
              <w:rPr>
                <w:rFonts w:ascii="Times New Roman" w:hAnsi="Times New Roman"/>
                <w:b/>
                <w:sz w:val="24"/>
                <w:szCs w:val="24"/>
              </w:rPr>
            </w:pPr>
            <w:r>
              <w:rPr>
                <w:rFonts w:ascii="Times New Roman" w:hAnsi="Times New Roman"/>
                <w:b/>
                <w:sz w:val="24"/>
                <w:szCs w:val="24"/>
              </w:rPr>
              <w:t>2022-2023</w:t>
            </w:r>
          </w:p>
        </w:tc>
      </w:tr>
      <w:tr w:rsidR="002449C2" w14:paraId="64C5C2B8" w14:textId="77777777">
        <w:trPr>
          <w:trHeight w:val="20"/>
        </w:trPr>
        <w:tc>
          <w:tcPr>
            <w:tcW w:w="6076" w:type="dxa"/>
            <w:tcBorders>
              <w:top w:val="single" w:sz="4" w:space="0" w:color="000000"/>
              <w:left w:val="single" w:sz="4" w:space="0" w:color="000000"/>
              <w:bottom w:val="single" w:sz="4" w:space="0" w:color="000000"/>
              <w:right w:val="single" w:sz="4" w:space="0" w:color="000000"/>
            </w:tcBorders>
            <w:vAlign w:val="center"/>
          </w:tcPr>
          <w:p w14:paraId="1A6604A7" w14:textId="77777777" w:rsidR="002449C2" w:rsidRDefault="00123961">
            <w:pPr>
              <w:widowControl w:val="0"/>
              <w:tabs>
                <w:tab w:val="left" w:pos="300"/>
              </w:tabs>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 Выполнение Советом директоров ключевых функций в управлении компанией</w:t>
            </w:r>
          </w:p>
        </w:tc>
        <w:tc>
          <w:tcPr>
            <w:tcW w:w="1725" w:type="dxa"/>
            <w:tcBorders>
              <w:top w:val="single" w:sz="4" w:space="0" w:color="000000"/>
              <w:left w:val="single" w:sz="4" w:space="0" w:color="000000"/>
              <w:bottom w:val="single" w:sz="4" w:space="0" w:color="000000"/>
              <w:right w:val="single" w:sz="4" w:space="0" w:color="000000"/>
            </w:tcBorders>
            <w:vAlign w:val="center"/>
          </w:tcPr>
          <w:p w14:paraId="56CD4B11" w14:textId="77777777" w:rsidR="002449C2" w:rsidRDefault="00123961">
            <w:pPr>
              <w:widowControl w:val="0"/>
              <w:spacing w:after="0" w:line="240" w:lineRule="auto"/>
              <w:jc w:val="center"/>
              <w:rPr>
                <w:rFonts w:ascii="Times New Roman" w:hAnsi="Times New Roman"/>
                <w:b/>
                <w:sz w:val="24"/>
                <w:szCs w:val="24"/>
              </w:rPr>
            </w:pPr>
            <w:r>
              <w:rPr>
                <w:rFonts w:ascii="Times New Roman" w:hAnsi="Times New Roman"/>
                <w:b/>
                <w:sz w:val="24"/>
                <w:szCs w:val="24"/>
              </w:rPr>
              <w:t>4,6</w:t>
            </w:r>
          </w:p>
        </w:tc>
        <w:tc>
          <w:tcPr>
            <w:tcW w:w="1687" w:type="dxa"/>
            <w:tcBorders>
              <w:top w:val="single" w:sz="4" w:space="0" w:color="000000"/>
              <w:left w:val="single" w:sz="4" w:space="0" w:color="000000"/>
              <w:bottom w:val="single" w:sz="4" w:space="0" w:color="000000"/>
              <w:right w:val="single" w:sz="4" w:space="0" w:color="000000"/>
            </w:tcBorders>
            <w:vAlign w:val="center"/>
          </w:tcPr>
          <w:p w14:paraId="1CC5A132" w14:textId="77777777" w:rsidR="002449C2" w:rsidRDefault="00123961">
            <w:pPr>
              <w:widowControl w:val="0"/>
              <w:spacing w:after="0" w:line="240" w:lineRule="auto"/>
              <w:jc w:val="center"/>
              <w:rPr>
                <w:rFonts w:ascii="Times New Roman" w:hAnsi="Times New Roman"/>
                <w:b/>
                <w:sz w:val="24"/>
                <w:szCs w:val="24"/>
              </w:rPr>
            </w:pPr>
            <w:r>
              <w:rPr>
                <w:rFonts w:ascii="Times New Roman" w:hAnsi="Times New Roman"/>
                <w:b/>
                <w:sz w:val="24"/>
                <w:szCs w:val="24"/>
              </w:rPr>
              <w:t>4,7</w:t>
            </w:r>
          </w:p>
        </w:tc>
      </w:tr>
      <w:tr w:rsidR="002449C2" w14:paraId="65DD557A" w14:textId="77777777">
        <w:trPr>
          <w:trHeight w:val="20"/>
        </w:trPr>
        <w:tc>
          <w:tcPr>
            <w:tcW w:w="6076" w:type="dxa"/>
            <w:tcBorders>
              <w:top w:val="single" w:sz="4" w:space="0" w:color="000000"/>
              <w:left w:val="single" w:sz="4" w:space="0" w:color="000000"/>
              <w:bottom w:val="single" w:sz="4" w:space="0" w:color="000000"/>
              <w:right w:val="single" w:sz="4" w:space="0" w:color="000000"/>
            </w:tcBorders>
            <w:vAlign w:val="center"/>
          </w:tcPr>
          <w:p w14:paraId="11CBF898" w14:textId="77777777" w:rsidR="002449C2" w:rsidRDefault="00123961">
            <w:pPr>
              <w:widowControl w:val="0"/>
              <w:numPr>
                <w:ilvl w:val="1"/>
                <w:numId w:val="36"/>
              </w:numPr>
              <w:tabs>
                <w:tab w:val="left" w:pos="447"/>
              </w:tabs>
              <w:spacing w:after="0" w:line="240" w:lineRule="auto"/>
              <w:ind w:left="0" w:firstLine="22"/>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 xml:space="preserve"> Формирование и контроль за реализацией стратегии развития Общества</w:t>
            </w:r>
          </w:p>
        </w:tc>
        <w:tc>
          <w:tcPr>
            <w:tcW w:w="1725" w:type="dxa"/>
            <w:tcBorders>
              <w:top w:val="single" w:sz="4" w:space="0" w:color="000000"/>
              <w:left w:val="single" w:sz="4" w:space="0" w:color="000000"/>
              <w:bottom w:val="single" w:sz="4" w:space="0" w:color="000000"/>
              <w:right w:val="single" w:sz="4" w:space="0" w:color="000000"/>
            </w:tcBorders>
            <w:vAlign w:val="center"/>
          </w:tcPr>
          <w:p w14:paraId="590C9A56" w14:textId="77777777" w:rsidR="002449C2" w:rsidRDefault="00123961">
            <w:pPr>
              <w:widowControl w:val="0"/>
              <w:spacing w:after="0" w:line="240" w:lineRule="auto"/>
              <w:jc w:val="center"/>
              <w:rPr>
                <w:rFonts w:ascii="Times New Roman" w:hAnsi="Times New Roman"/>
                <w:i/>
                <w:sz w:val="24"/>
                <w:szCs w:val="24"/>
              </w:rPr>
            </w:pPr>
            <w:r>
              <w:rPr>
                <w:rFonts w:ascii="Times New Roman" w:hAnsi="Times New Roman"/>
                <w:i/>
                <w:sz w:val="24"/>
                <w:szCs w:val="24"/>
              </w:rPr>
              <w:t>4,6</w:t>
            </w:r>
          </w:p>
        </w:tc>
        <w:tc>
          <w:tcPr>
            <w:tcW w:w="1687" w:type="dxa"/>
            <w:tcBorders>
              <w:top w:val="single" w:sz="4" w:space="0" w:color="000000"/>
              <w:left w:val="single" w:sz="4" w:space="0" w:color="000000"/>
              <w:bottom w:val="single" w:sz="4" w:space="0" w:color="000000"/>
              <w:right w:val="single" w:sz="4" w:space="0" w:color="000000"/>
            </w:tcBorders>
            <w:vAlign w:val="center"/>
          </w:tcPr>
          <w:p w14:paraId="5389BB25" w14:textId="77777777" w:rsidR="002449C2" w:rsidRDefault="00123961">
            <w:pPr>
              <w:widowControl w:val="0"/>
              <w:spacing w:after="0" w:line="240" w:lineRule="auto"/>
              <w:jc w:val="center"/>
              <w:rPr>
                <w:rFonts w:ascii="Times New Roman" w:hAnsi="Times New Roman"/>
                <w:i/>
                <w:sz w:val="24"/>
                <w:szCs w:val="24"/>
              </w:rPr>
            </w:pPr>
            <w:r>
              <w:rPr>
                <w:rFonts w:ascii="Times New Roman" w:hAnsi="Times New Roman"/>
                <w:i/>
                <w:sz w:val="24"/>
                <w:szCs w:val="24"/>
              </w:rPr>
              <w:t>4,8</w:t>
            </w:r>
          </w:p>
        </w:tc>
      </w:tr>
      <w:tr w:rsidR="002449C2" w14:paraId="2DFF6B41" w14:textId="77777777">
        <w:trPr>
          <w:trHeight w:val="20"/>
        </w:trPr>
        <w:tc>
          <w:tcPr>
            <w:tcW w:w="6076" w:type="dxa"/>
            <w:tcBorders>
              <w:top w:val="single" w:sz="4" w:space="0" w:color="000000"/>
              <w:left w:val="single" w:sz="4" w:space="0" w:color="000000"/>
              <w:bottom w:val="single" w:sz="4" w:space="0" w:color="000000"/>
              <w:right w:val="single" w:sz="4" w:space="0" w:color="000000"/>
            </w:tcBorders>
            <w:vAlign w:val="center"/>
          </w:tcPr>
          <w:p w14:paraId="77251DC1" w14:textId="77777777" w:rsidR="002449C2" w:rsidRDefault="00123961">
            <w:pPr>
              <w:widowControl w:val="0"/>
              <w:numPr>
                <w:ilvl w:val="1"/>
                <w:numId w:val="36"/>
              </w:numPr>
              <w:tabs>
                <w:tab w:val="left" w:pos="447"/>
              </w:tabs>
              <w:spacing w:after="0" w:line="240" w:lineRule="auto"/>
              <w:ind w:left="0" w:firstLine="22"/>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 xml:space="preserve"> Определение принципов и подходов к организации внутреннего аудита, систем управления рисками и внутреннего контроля.</w:t>
            </w:r>
          </w:p>
        </w:tc>
        <w:tc>
          <w:tcPr>
            <w:tcW w:w="1725" w:type="dxa"/>
            <w:tcBorders>
              <w:top w:val="single" w:sz="4" w:space="0" w:color="000000"/>
              <w:left w:val="single" w:sz="4" w:space="0" w:color="000000"/>
              <w:bottom w:val="single" w:sz="4" w:space="0" w:color="000000"/>
              <w:right w:val="single" w:sz="4" w:space="0" w:color="000000"/>
            </w:tcBorders>
            <w:vAlign w:val="center"/>
          </w:tcPr>
          <w:p w14:paraId="65F37FA7" w14:textId="77777777" w:rsidR="002449C2" w:rsidRDefault="00123961">
            <w:pPr>
              <w:widowControl w:val="0"/>
              <w:spacing w:after="0" w:line="240" w:lineRule="auto"/>
              <w:jc w:val="center"/>
              <w:rPr>
                <w:rFonts w:ascii="Times New Roman" w:hAnsi="Times New Roman"/>
                <w:i/>
                <w:sz w:val="24"/>
                <w:szCs w:val="24"/>
              </w:rPr>
            </w:pPr>
            <w:r>
              <w:rPr>
                <w:rFonts w:ascii="Times New Roman" w:hAnsi="Times New Roman"/>
                <w:i/>
                <w:sz w:val="24"/>
                <w:szCs w:val="24"/>
              </w:rPr>
              <w:t>4,7</w:t>
            </w:r>
          </w:p>
        </w:tc>
        <w:tc>
          <w:tcPr>
            <w:tcW w:w="1687" w:type="dxa"/>
            <w:tcBorders>
              <w:top w:val="single" w:sz="4" w:space="0" w:color="000000"/>
              <w:left w:val="single" w:sz="4" w:space="0" w:color="000000"/>
              <w:bottom w:val="single" w:sz="4" w:space="0" w:color="000000"/>
              <w:right w:val="single" w:sz="4" w:space="0" w:color="000000"/>
            </w:tcBorders>
            <w:vAlign w:val="center"/>
          </w:tcPr>
          <w:p w14:paraId="49752453" w14:textId="77777777" w:rsidR="002449C2" w:rsidRDefault="00123961">
            <w:pPr>
              <w:widowControl w:val="0"/>
              <w:spacing w:after="0" w:line="240" w:lineRule="auto"/>
              <w:jc w:val="center"/>
              <w:rPr>
                <w:rFonts w:ascii="Times New Roman" w:hAnsi="Times New Roman"/>
                <w:i/>
                <w:sz w:val="24"/>
                <w:szCs w:val="24"/>
              </w:rPr>
            </w:pPr>
            <w:r>
              <w:rPr>
                <w:rFonts w:ascii="Times New Roman" w:hAnsi="Times New Roman"/>
                <w:i/>
                <w:sz w:val="24"/>
                <w:szCs w:val="24"/>
              </w:rPr>
              <w:t>4,7</w:t>
            </w:r>
          </w:p>
        </w:tc>
      </w:tr>
      <w:tr w:rsidR="002449C2" w14:paraId="10962561" w14:textId="77777777">
        <w:trPr>
          <w:trHeight w:val="20"/>
        </w:trPr>
        <w:tc>
          <w:tcPr>
            <w:tcW w:w="6076" w:type="dxa"/>
            <w:tcBorders>
              <w:top w:val="single" w:sz="4" w:space="0" w:color="000000"/>
              <w:left w:val="single" w:sz="4" w:space="0" w:color="000000"/>
              <w:bottom w:val="single" w:sz="4" w:space="0" w:color="000000"/>
              <w:right w:val="single" w:sz="4" w:space="0" w:color="000000"/>
            </w:tcBorders>
            <w:vAlign w:val="center"/>
          </w:tcPr>
          <w:p w14:paraId="3AC2740E" w14:textId="77777777" w:rsidR="002449C2" w:rsidRDefault="00123961">
            <w:pPr>
              <w:widowControl w:val="0"/>
              <w:numPr>
                <w:ilvl w:val="1"/>
                <w:numId w:val="36"/>
              </w:numPr>
              <w:tabs>
                <w:tab w:val="left" w:pos="447"/>
              </w:tabs>
              <w:spacing w:after="0" w:line="240" w:lineRule="auto"/>
              <w:ind w:left="0" w:firstLine="22"/>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Оценка эффективности работы высшего менеджмента и внедрение эффективной системы его мотивации</w:t>
            </w:r>
          </w:p>
        </w:tc>
        <w:tc>
          <w:tcPr>
            <w:tcW w:w="1725" w:type="dxa"/>
            <w:tcBorders>
              <w:top w:val="single" w:sz="4" w:space="0" w:color="000000"/>
              <w:left w:val="single" w:sz="4" w:space="0" w:color="000000"/>
              <w:bottom w:val="single" w:sz="4" w:space="0" w:color="000000"/>
              <w:right w:val="single" w:sz="4" w:space="0" w:color="000000"/>
            </w:tcBorders>
            <w:vAlign w:val="center"/>
          </w:tcPr>
          <w:p w14:paraId="50EB15F3" w14:textId="77777777" w:rsidR="002449C2" w:rsidRDefault="00123961">
            <w:pPr>
              <w:widowControl w:val="0"/>
              <w:spacing w:after="0" w:line="240" w:lineRule="auto"/>
              <w:jc w:val="center"/>
              <w:rPr>
                <w:rFonts w:ascii="Times New Roman" w:hAnsi="Times New Roman"/>
                <w:i/>
                <w:sz w:val="24"/>
                <w:szCs w:val="24"/>
              </w:rPr>
            </w:pPr>
            <w:r>
              <w:rPr>
                <w:rFonts w:ascii="Times New Roman" w:hAnsi="Times New Roman"/>
                <w:i/>
                <w:sz w:val="24"/>
                <w:szCs w:val="24"/>
              </w:rPr>
              <w:t>4,5</w:t>
            </w:r>
          </w:p>
        </w:tc>
        <w:tc>
          <w:tcPr>
            <w:tcW w:w="1687" w:type="dxa"/>
            <w:tcBorders>
              <w:top w:val="single" w:sz="4" w:space="0" w:color="000000"/>
              <w:left w:val="single" w:sz="4" w:space="0" w:color="000000"/>
              <w:bottom w:val="single" w:sz="4" w:space="0" w:color="000000"/>
              <w:right w:val="single" w:sz="4" w:space="0" w:color="000000"/>
            </w:tcBorders>
            <w:vAlign w:val="center"/>
          </w:tcPr>
          <w:p w14:paraId="65B5F573" w14:textId="77777777" w:rsidR="002449C2" w:rsidRDefault="00123961">
            <w:pPr>
              <w:widowControl w:val="0"/>
              <w:spacing w:after="0" w:line="240" w:lineRule="auto"/>
              <w:jc w:val="center"/>
              <w:rPr>
                <w:rFonts w:ascii="Times New Roman" w:hAnsi="Times New Roman"/>
                <w:i/>
                <w:sz w:val="24"/>
                <w:szCs w:val="24"/>
              </w:rPr>
            </w:pPr>
            <w:r>
              <w:rPr>
                <w:rFonts w:ascii="Times New Roman" w:hAnsi="Times New Roman"/>
                <w:i/>
                <w:sz w:val="24"/>
                <w:szCs w:val="24"/>
              </w:rPr>
              <w:t>4,6</w:t>
            </w:r>
          </w:p>
        </w:tc>
      </w:tr>
      <w:tr w:rsidR="002449C2" w14:paraId="1A81D333" w14:textId="77777777">
        <w:trPr>
          <w:trHeight w:val="20"/>
        </w:trPr>
        <w:tc>
          <w:tcPr>
            <w:tcW w:w="6076" w:type="dxa"/>
            <w:tcBorders>
              <w:top w:val="single" w:sz="4" w:space="0" w:color="000000"/>
              <w:left w:val="single" w:sz="4" w:space="0" w:color="000000"/>
              <w:bottom w:val="single" w:sz="4" w:space="0" w:color="000000"/>
              <w:right w:val="single" w:sz="4" w:space="0" w:color="000000"/>
            </w:tcBorders>
            <w:vAlign w:val="center"/>
          </w:tcPr>
          <w:p w14:paraId="6B24C397" w14:textId="77777777" w:rsidR="002449C2" w:rsidRDefault="00123961">
            <w:pPr>
              <w:widowControl w:val="0"/>
              <w:numPr>
                <w:ilvl w:val="1"/>
                <w:numId w:val="36"/>
              </w:numPr>
              <w:tabs>
                <w:tab w:val="left" w:pos="447"/>
              </w:tabs>
              <w:spacing w:after="0" w:line="240" w:lineRule="auto"/>
              <w:ind w:left="0" w:firstLine="22"/>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Обеспечение сохранности активов Общества</w:t>
            </w:r>
          </w:p>
        </w:tc>
        <w:tc>
          <w:tcPr>
            <w:tcW w:w="1725" w:type="dxa"/>
            <w:tcBorders>
              <w:top w:val="single" w:sz="4" w:space="0" w:color="000000"/>
              <w:left w:val="single" w:sz="4" w:space="0" w:color="000000"/>
              <w:bottom w:val="single" w:sz="4" w:space="0" w:color="000000"/>
              <w:right w:val="single" w:sz="4" w:space="0" w:color="000000"/>
            </w:tcBorders>
            <w:vAlign w:val="center"/>
          </w:tcPr>
          <w:p w14:paraId="7C707163" w14:textId="77777777" w:rsidR="002449C2" w:rsidRDefault="00123961">
            <w:pPr>
              <w:widowControl w:val="0"/>
              <w:spacing w:after="0" w:line="240" w:lineRule="auto"/>
              <w:jc w:val="center"/>
              <w:rPr>
                <w:rFonts w:ascii="Times New Roman" w:hAnsi="Times New Roman"/>
                <w:i/>
                <w:sz w:val="24"/>
                <w:szCs w:val="24"/>
              </w:rPr>
            </w:pPr>
            <w:r>
              <w:rPr>
                <w:rFonts w:ascii="Times New Roman" w:hAnsi="Times New Roman"/>
                <w:i/>
                <w:sz w:val="24"/>
                <w:szCs w:val="24"/>
              </w:rPr>
              <w:t>4,8</w:t>
            </w:r>
          </w:p>
        </w:tc>
        <w:tc>
          <w:tcPr>
            <w:tcW w:w="1687" w:type="dxa"/>
            <w:tcBorders>
              <w:top w:val="single" w:sz="4" w:space="0" w:color="000000"/>
              <w:left w:val="single" w:sz="4" w:space="0" w:color="000000"/>
              <w:bottom w:val="single" w:sz="4" w:space="0" w:color="000000"/>
              <w:right w:val="single" w:sz="4" w:space="0" w:color="000000"/>
            </w:tcBorders>
            <w:vAlign w:val="center"/>
          </w:tcPr>
          <w:p w14:paraId="00BAD4C9" w14:textId="77777777" w:rsidR="002449C2" w:rsidRDefault="00123961">
            <w:pPr>
              <w:widowControl w:val="0"/>
              <w:spacing w:after="0" w:line="240" w:lineRule="auto"/>
              <w:jc w:val="center"/>
              <w:rPr>
                <w:rFonts w:ascii="Times New Roman" w:hAnsi="Times New Roman"/>
                <w:i/>
                <w:sz w:val="24"/>
                <w:szCs w:val="24"/>
              </w:rPr>
            </w:pPr>
            <w:r>
              <w:rPr>
                <w:rFonts w:ascii="Times New Roman" w:hAnsi="Times New Roman"/>
                <w:i/>
                <w:sz w:val="24"/>
                <w:szCs w:val="24"/>
              </w:rPr>
              <w:t>4,8</w:t>
            </w:r>
          </w:p>
        </w:tc>
      </w:tr>
      <w:tr w:rsidR="002449C2" w14:paraId="74950ADC" w14:textId="77777777">
        <w:trPr>
          <w:trHeight w:val="20"/>
        </w:trPr>
        <w:tc>
          <w:tcPr>
            <w:tcW w:w="6076" w:type="dxa"/>
            <w:tcBorders>
              <w:top w:val="single" w:sz="4" w:space="0" w:color="000000"/>
              <w:left w:val="single" w:sz="4" w:space="0" w:color="000000"/>
              <w:bottom w:val="single" w:sz="4" w:space="0" w:color="000000"/>
              <w:right w:val="single" w:sz="4" w:space="0" w:color="000000"/>
            </w:tcBorders>
            <w:vAlign w:val="center"/>
          </w:tcPr>
          <w:p w14:paraId="01901D81" w14:textId="77777777" w:rsidR="002449C2" w:rsidRDefault="00123961">
            <w:pPr>
              <w:widowControl w:val="0"/>
              <w:tabs>
                <w:tab w:val="left" w:pos="300"/>
              </w:tabs>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 Состав и структура Совета директоров</w:t>
            </w:r>
          </w:p>
        </w:tc>
        <w:tc>
          <w:tcPr>
            <w:tcW w:w="1725" w:type="dxa"/>
            <w:tcBorders>
              <w:top w:val="single" w:sz="4" w:space="0" w:color="000000"/>
              <w:left w:val="single" w:sz="4" w:space="0" w:color="000000"/>
              <w:bottom w:val="single" w:sz="4" w:space="0" w:color="000000"/>
              <w:right w:val="single" w:sz="4" w:space="0" w:color="000000"/>
            </w:tcBorders>
            <w:vAlign w:val="center"/>
          </w:tcPr>
          <w:p w14:paraId="10C891E7" w14:textId="77777777" w:rsidR="002449C2" w:rsidRDefault="00123961">
            <w:pPr>
              <w:widowControl w:val="0"/>
              <w:spacing w:after="0" w:line="240" w:lineRule="auto"/>
              <w:jc w:val="center"/>
              <w:rPr>
                <w:rFonts w:ascii="Times New Roman" w:hAnsi="Times New Roman"/>
                <w:b/>
                <w:sz w:val="24"/>
                <w:szCs w:val="24"/>
              </w:rPr>
            </w:pPr>
            <w:r>
              <w:rPr>
                <w:rFonts w:ascii="Times New Roman" w:hAnsi="Times New Roman"/>
                <w:b/>
                <w:sz w:val="24"/>
                <w:szCs w:val="24"/>
              </w:rPr>
              <w:t>4,8</w:t>
            </w:r>
          </w:p>
        </w:tc>
        <w:tc>
          <w:tcPr>
            <w:tcW w:w="1687" w:type="dxa"/>
            <w:tcBorders>
              <w:top w:val="single" w:sz="4" w:space="0" w:color="000000"/>
              <w:left w:val="single" w:sz="4" w:space="0" w:color="000000"/>
              <w:bottom w:val="single" w:sz="4" w:space="0" w:color="000000"/>
              <w:right w:val="single" w:sz="4" w:space="0" w:color="000000"/>
            </w:tcBorders>
            <w:vAlign w:val="center"/>
          </w:tcPr>
          <w:p w14:paraId="7992174E" w14:textId="77777777" w:rsidR="002449C2" w:rsidRDefault="00123961">
            <w:pPr>
              <w:widowControl w:val="0"/>
              <w:spacing w:after="0" w:line="240" w:lineRule="auto"/>
              <w:jc w:val="center"/>
              <w:rPr>
                <w:rFonts w:ascii="Times New Roman" w:hAnsi="Times New Roman"/>
                <w:b/>
                <w:sz w:val="24"/>
                <w:szCs w:val="24"/>
              </w:rPr>
            </w:pPr>
            <w:r>
              <w:rPr>
                <w:rFonts w:ascii="Times New Roman" w:hAnsi="Times New Roman"/>
                <w:b/>
                <w:sz w:val="24"/>
                <w:szCs w:val="24"/>
              </w:rPr>
              <w:t>4,9</w:t>
            </w:r>
          </w:p>
        </w:tc>
      </w:tr>
      <w:tr w:rsidR="002449C2" w14:paraId="251EB857" w14:textId="77777777">
        <w:trPr>
          <w:trHeight w:val="20"/>
        </w:trPr>
        <w:tc>
          <w:tcPr>
            <w:tcW w:w="6076" w:type="dxa"/>
            <w:tcBorders>
              <w:top w:val="single" w:sz="4" w:space="0" w:color="000000"/>
              <w:left w:val="single" w:sz="4" w:space="0" w:color="000000"/>
              <w:bottom w:val="single" w:sz="4" w:space="0" w:color="000000"/>
              <w:right w:val="single" w:sz="4" w:space="0" w:color="000000"/>
            </w:tcBorders>
            <w:vAlign w:val="center"/>
          </w:tcPr>
          <w:p w14:paraId="14CEA01F" w14:textId="77777777" w:rsidR="002449C2" w:rsidRDefault="00123961">
            <w:pPr>
              <w:widowControl w:val="0"/>
              <w:tabs>
                <w:tab w:val="left" w:pos="300"/>
              </w:tabs>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 Организация работы Совета директоров</w:t>
            </w:r>
          </w:p>
        </w:tc>
        <w:tc>
          <w:tcPr>
            <w:tcW w:w="1725" w:type="dxa"/>
            <w:tcBorders>
              <w:top w:val="single" w:sz="4" w:space="0" w:color="000000"/>
              <w:left w:val="single" w:sz="4" w:space="0" w:color="000000"/>
              <w:bottom w:val="single" w:sz="4" w:space="0" w:color="000000"/>
              <w:right w:val="single" w:sz="4" w:space="0" w:color="000000"/>
            </w:tcBorders>
            <w:vAlign w:val="center"/>
          </w:tcPr>
          <w:p w14:paraId="55E18506" w14:textId="77777777" w:rsidR="002449C2" w:rsidRDefault="00123961">
            <w:pPr>
              <w:widowControl w:val="0"/>
              <w:spacing w:after="0" w:line="240" w:lineRule="auto"/>
              <w:jc w:val="center"/>
              <w:rPr>
                <w:rFonts w:ascii="Times New Roman" w:hAnsi="Times New Roman"/>
                <w:b/>
                <w:sz w:val="24"/>
                <w:szCs w:val="24"/>
              </w:rPr>
            </w:pPr>
            <w:r>
              <w:rPr>
                <w:rFonts w:ascii="Times New Roman" w:hAnsi="Times New Roman"/>
                <w:b/>
                <w:sz w:val="24"/>
                <w:szCs w:val="24"/>
              </w:rPr>
              <w:t>4,7</w:t>
            </w:r>
          </w:p>
        </w:tc>
        <w:tc>
          <w:tcPr>
            <w:tcW w:w="1687" w:type="dxa"/>
            <w:tcBorders>
              <w:top w:val="single" w:sz="4" w:space="0" w:color="000000"/>
              <w:left w:val="single" w:sz="4" w:space="0" w:color="000000"/>
              <w:bottom w:val="single" w:sz="4" w:space="0" w:color="000000"/>
              <w:right w:val="single" w:sz="4" w:space="0" w:color="000000"/>
            </w:tcBorders>
            <w:vAlign w:val="center"/>
          </w:tcPr>
          <w:p w14:paraId="47B9271F" w14:textId="77777777" w:rsidR="002449C2" w:rsidRDefault="00123961">
            <w:pPr>
              <w:widowControl w:val="0"/>
              <w:spacing w:after="0" w:line="240" w:lineRule="auto"/>
              <w:jc w:val="center"/>
              <w:rPr>
                <w:rFonts w:ascii="Times New Roman" w:hAnsi="Times New Roman"/>
                <w:b/>
                <w:sz w:val="24"/>
                <w:szCs w:val="24"/>
              </w:rPr>
            </w:pPr>
            <w:r>
              <w:rPr>
                <w:rFonts w:ascii="Times New Roman" w:hAnsi="Times New Roman"/>
                <w:b/>
                <w:sz w:val="24"/>
                <w:szCs w:val="24"/>
              </w:rPr>
              <w:t>4,8</w:t>
            </w:r>
          </w:p>
        </w:tc>
      </w:tr>
      <w:tr w:rsidR="002449C2" w14:paraId="706D7C08" w14:textId="77777777">
        <w:trPr>
          <w:trHeight w:val="20"/>
        </w:trPr>
        <w:tc>
          <w:tcPr>
            <w:tcW w:w="6076" w:type="dxa"/>
            <w:tcBorders>
              <w:top w:val="single" w:sz="4" w:space="0" w:color="000000"/>
              <w:left w:val="single" w:sz="4" w:space="0" w:color="000000"/>
              <w:bottom w:val="single" w:sz="4" w:space="0" w:color="000000"/>
              <w:right w:val="single" w:sz="4" w:space="0" w:color="000000"/>
            </w:tcBorders>
            <w:vAlign w:val="center"/>
          </w:tcPr>
          <w:p w14:paraId="2692A08C" w14:textId="77777777" w:rsidR="002449C2" w:rsidRDefault="00123961">
            <w:pPr>
              <w:widowControl w:val="0"/>
              <w:tabs>
                <w:tab w:val="left" w:pos="300"/>
              </w:tabs>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 Председатель Совета директоров</w:t>
            </w:r>
          </w:p>
        </w:tc>
        <w:tc>
          <w:tcPr>
            <w:tcW w:w="1725" w:type="dxa"/>
            <w:tcBorders>
              <w:top w:val="single" w:sz="4" w:space="0" w:color="000000"/>
              <w:left w:val="single" w:sz="4" w:space="0" w:color="000000"/>
              <w:bottom w:val="single" w:sz="4" w:space="0" w:color="000000"/>
              <w:right w:val="single" w:sz="4" w:space="0" w:color="000000"/>
            </w:tcBorders>
            <w:vAlign w:val="center"/>
          </w:tcPr>
          <w:p w14:paraId="6225E483" w14:textId="77777777" w:rsidR="002449C2" w:rsidRDefault="00123961">
            <w:pPr>
              <w:widowControl w:val="0"/>
              <w:spacing w:after="0" w:line="240" w:lineRule="auto"/>
              <w:jc w:val="center"/>
              <w:rPr>
                <w:rFonts w:ascii="Times New Roman" w:hAnsi="Times New Roman"/>
                <w:b/>
                <w:sz w:val="24"/>
                <w:szCs w:val="24"/>
              </w:rPr>
            </w:pPr>
            <w:r>
              <w:rPr>
                <w:rFonts w:ascii="Times New Roman" w:hAnsi="Times New Roman"/>
                <w:b/>
                <w:sz w:val="24"/>
                <w:szCs w:val="24"/>
              </w:rPr>
              <w:t>4,8</w:t>
            </w:r>
          </w:p>
        </w:tc>
        <w:tc>
          <w:tcPr>
            <w:tcW w:w="1687" w:type="dxa"/>
            <w:tcBorders>
              <w:top w:val="single" w:sz="4" w:space="0" w:color="000000"/>
              <w:left w:val="single" w:sz="4" w:space="0" w:color="000000"/>
              <w:bottom w:val="single" w:sz="4" w:space="0" w:color="000000"/>
              <w:right w:val="single" w:sz="4" w:space="0" w:color="000000"/>
            </w:tcBorders>
            <w:vAlign w:val="center"/>
          </w:tcPr>
          <w:p w14:paraId="62BC64A2" w14:textId="77777777" w:rsidR="002449C2" w:rsidRDefault="00123961">
            <w:pPr>
              <w:widowControl w:val="0"/>
              <w:spacing w:after="0" w:line="240" w:lineRule="auto"/>
              <w:jc w:val="center"/>
              <w:rPr>
                <w:rFonts w:ascii="Times New Roman" w:hAnsi="Times New Roman"/>
                <w:b/>
                <w:sz w:val="24"/>
                <w:szCs w:val="24"/>
              </w:rPr>
            </w:pPr>
            <w:r>
              <w:rPr>
                <w:rFonts w:ascii="Times New Roman" w:hAnsi="Times New Roman"/>
                <w:b/>
                <w:sz w:val="24"/>
                <w:szCs w:val="24"/>
              </w:rPr>
              <w:t>4,9</w:t>
            </w:r>
          </w:p>
        </w:tc>
      </w:tr>
      <w:tr w:rsidR="002449C2" w14:paraId="03D63C5E" w14:textId="77777777">
        <w:trPr>
          <w:trHeight w:val="20"/>
        </w:trPr>
        <w:tc>
          <w:tcPr>
            <w:tcW w:w="6076" w:type="dxa"/>
            <w:tcBorders>
              <w:top w:val="single" w:sz="4" w:space="0" w:color="000000"/>
              <w:left w:val="single" w:sz="4" w:space="0" w:color="000000"/>
              <w:bottom w:val="single" w:sz="4" w:space="0" w:color="000000"/>
              <w:right w:val="single" w:sz="4" w:space="0" w:color="000000"/>
            </w:tcBorders>
            <w:vAlign w:val="center"/>
          </w:tcPr>
          <w:p w14:paraId="333C2F4D" w14:textId="77777777" w:rsidR="002449C2" w:rsidRDefault="00123961">
            <w:pPr>
              <w:widowControl w:val="0"/>
              <w:tabs>
                <w:tab w:val="left" w:pos="300"/>
              </w:tabs>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5. Комитет по аудиту</w:t>
            </w:r>
          </w:p>
        </w:tc>
        <w:tc>
          <w:tcPr>
            <w:tcW w:w="1725" w:type="dxa"/>
            <w:tcBorders>
              <w:top w:val="single" w:sz="4" w:space="0" w:color="000000"/>
              <w:left w:val="single" w:sz="4" w:space="0" w:color="000000"/>
              <w:bottom w:val="single" w:sz="4" w:space="0" w:color="000000"/>
              <w:right w:val="single" w:sz="4" w:space="0" w:color="000000"/>
            </w:tcBorders>
            <w:vAlign w:val="center"/>
          </w:tcPr>
          <w:p w14:paraId="26EF6222" w14:textId="77777777" w:rsidR="002449C2" w:rsidRDefault="00123961">
            <w:pPr>
              <w:widowControl w:val="0"/>
              <w:spacing w:after="0" w:line="240" w:lineRule="auto"/>
              <w:jc w:val="center"/>
              <w:rPr>
                <w:rFonts w:ascii="Times New Roman" w:hAnsi="Times New Roman"/>
                <w:b/>
                <w:sz w:val="24"/>
                <w:szCs w:val="24"/>
              </w:rPr>
            </w:pPr>
            <w:r>
              <w:rPr>
                <w:rFonts w:ascii="Times New Roman" w:hAnsi="Times New Roman"/>
                <w:b/>
                <w:sz w:val="24"/>
                <w:szCs w:val="24"/>
              </w:rPr>
              <w:t>5,0</w:t>
            </w:r>
          </w:p>
        </w:tc>
        <w:tc>
          <w:tcPr>
            <w:tcW w:w="1687" w:type="dxa"/>
            <w:tcBorders>
              <w:top w:val="single" w:sz="4" w:space="0" w:color="000000"/>
              <w:left w:val="single" w:sz="4" w:space="0" w:color="000000"/>
              <w:bottom w:val="single" w:sz="4" w:space="0" w:color="000000"/>
              <w:right w:val="single" w:sz="4" w:space="0" w:color="000000"/>
            </w:tcBorders>
            <w:vAlign w:val="center"/>
          </w:tcPr>
          <w:p w14:paraId="48947EEE" w14:textId="77777777" w:rsidR="002449C2" w:rsidRDefault="00123961">
            <w:pPr>
              <w:widowControl w:val="0"/>
              <w:spacing w:after="0" w:line="240" w:lineRule="auto"/>
              <w:jc w:val="center"/>
              <w:rPr>
                <w:rFonts w:ascii="Times New Roman" w:hAnsi="Times New Roman"/>
                <w:b/>
                <w:sz w:val="24"/>
                <w:szCs w:val="24"/>
              </w:rPr>
            </w:pPr>
            <w:r>
              <w:rPr>
                <w:rFonts w:ascii="Times New Roman" w:hAnsi="Times New Roman"/>
                <w:b/>
                <w:sz w:val="24"/>
                <w:szCs w:val="24"/>
              </w:rPr>
              <w:t>4,9</w:t>
            </w:r>
          </w:p>
        </w:tc>
      </w:tr>
      <w:tr w:rsidR="002449C2" w14:paraId="516F77ED" w14:textId="77777777">
        <w:trPr>
          <w:trHeight w:val="20"/>
        </w:trPr>
        <w:tc>
          <w:tcPr>
            <w:tcW w:w="6076" w:type="dxa"/>
            <w:tcBorders>
              <w:top w:val="single" w:sz="4" w:space="0" w:color="000000"/>
              <w:left w:val="single" w:sz="4" w:space="0" w:color="000000"/>
              <w:bottom w:val="single" w:sz="4" w:space="0" w:color="000000"/>
              <w:right w:val="single" w:sz="4" w:space="0" w:color="000000"/>
            </w:tcBorders>
          </w:tcPr>
          <w:p w14:paraId="4CD695B3" w14:textId="77777777" w:rsidR="002449C2" w:rsidRDefault="00123961">
            <w:pPr>
              <w:widowControl w:val="0"/>
              <w:tabs>
                <w:tab w:val="left" w:pos="300"/>
                <w:tab w:val="left" w:pos="851"/>
              </w:tabs>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6. Комитет по кадрам и вознаграждениям</w:t>
            </w:r>
          </w:p>
        </w:tc>
        <w:tc>
          <w:tcPr>
            <w:tcW w:w="1725" w:type="dxa"/>
            <w:tcBorders>
              <w:top w:val="single" w:sz="4" w:space="0" w:color="000000"/>
              <w:left w:val="single" w:sz="4" w:space="0" w:color="000000"/>
              <w:bottom w:val="single" w:sz="4" w:space="0" w:color="000000"/>
              <w:right w:val="single" w:sz="4" w:space="0" w:color="000000"/>
            </w:tcBorders>
            <w:vAlign w:val="center"/>
          </w:tcPr>
          <w:p w14:paraId="5F39CCAA" w14:textId="77777777" w:rsidR="002449C2" w:rsidRDefault="00123961">
            <w:pPr>
              <w:widowControl w:val="0"/>
              <w:spacing w:after="0" w:line="240" w:lineRule="auto"/>
              <w:jc w:val="center"/>
              <w:rPr>
                <w:rFonts w:ascii="Times New Roman" w:hAnsi="Times New Roman"/>
                <w:b/>
                <w:sz w:val="24"/>
                <w:szCs w:val="24"/>
              </w:rPr>
            </w:pPr>
            <w:r>
              <w:rPr>
                <w:rFonts w:ascii="Times New Roman" w:hAnsi="Times New Roman"/>
                <w:b/>
                <w:sz w:val="24"/>
                <w:szCs w:val="24"/>
              </w:rPr>
              <w:t>4,6</w:t>
            </w:r>
          </w:p>
        </w:tc>
        <w:tc>
          <w:tcPr>
            <w:tcW w:w="1687" w:type="dxa"/>
            <w:tcBorders>
              <w:top w:val="single" w:sz="4" w:space="0" w:color="000000"/>
              <w:left w:val="single" w:sz="4" w:space="0" w:color="000000"/>
              <w:bottom w:val="single" w:sz="4" w:space="0" w:color="000000"/>
              <w:right w:val="single" w:sz="4" w:space="0" w:color="000000"/>
            </w:tcBorders>
            <w:vAlign w:val="center"/>
          </w:tcPr>
          <w:p w14:paraId="476D9164" w14:textId="77777777" w:rsidR="002449C2" w:rsidRDefault="00123961">
            <w:pPr>
              <w:widowControl w:val="0"/>
              <w:spacing w:after="0" w:line="240" w:lineRule="auto"/>
              <w:jc w:val="center"/>
              <w:rPr>
                <w:rFonts w:ascii="Times New Roman" w:hAnsi="Times New Roman"/>
                <w:b/>
                <w:sz w:val="24"/>
                <w:szCs w:val="24"/>
              </w:rPr>
            </w:pPr>
            <w:r>
              <w:rPr>
                <w:rFonts w:ascii="Times New Roman" w:hAnsi="Times New Roman"/>
                <w:b/>
                <w:sz w:val="24"/>
                <w:szCs w:val="24"/>
              </w:rPr>
              <w:t>4,5</w:t>
            </w:r>
          </w:p>
        </w:tc>
      </w:tr>
      <w:tr w:rsidR="002449C2" w14:paraId="1AC68075" w14:textId="77777777">
        <w:trPr>
          <w:trHeight w:val="20"/>
        </w:trPr>
        <w:tc>
          <w:tcPr>
            <w:tcW w:w="6076" w:type="dxa"/>
            <w:tcBorders>
              <w:top w:val="single" w:sz="4" w:space="0" w:color="000000"/>
              <w:left w:val="single" w:sz="4" w:space="0" w:color="000000"/>
              <w:bottom w:val="single" w:sz="4" w:space="0" w:color="000000"/>
              <w:right w:val="single" w:sz="4" w:space="0" w:color="000000"/>
            </w:tcBorders>
          </w:tcPr>
          <w:p w14:paraId="3C58ADB1" w14:textId="77777777" w:rsidR="002449C2" w:rsidRDefault="00123961">
            <w:pPr>
              <w:widowControl w:val="0"/>
              <w:tabs>
                <w:tab w:val="left" w:pos="300"/>
                <w:tab w:val="left" w:pos="851"/>
              </w:tabs>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7. Комитет по стратегии</w:t>
            </w:r>
          </w:p>
        </w:tc>
        <w:tc>
          <w:tcPr>
            <w:tcW w:w="1725" w:type="dxa"/>
            <w:tcBorders>
              <w:top w:val="single" w:sz="4" w:space="0" w:color="000000"/>
              <w:left w:val="single" w:sz="4" w:space="0" w:color="000000"/>
              <w:bottom w:val="single" w:sz="4" w:space="0" w:color="000000"/>
              <w:right w:val="single" w:sz="4" w:space="0" w:color="000000"/>
            </w:tcBorders>
            <w:vAlign w:val="center"/>
          </w:tcPr>
          <w:p w14:paraId="310C3D0A" w14:textId="77777777" w:rsidR="002449C2" w:rsidRDefault="00123961">
            <w:pPr>
              <w:widowControl w:val="0"/>
              <w:spacing w:after="0" w:line="240" w:lineRule="auto"/>
              <w:jc w:val="center"/>
              <w:rPr>
                <w:rFonts w:ascii="Times New Roman" w:hAnsi="Times New Roman"/>
                <w:b/>
                <w:sz w:val="24"/>
                <w:szCs w:val="24"/>
              </w:rPr>
            </w:pPr>
            <w:r>
              <w:rPr>
                <w:rFonts w:ascii="Times New Roman" w:hAnsi="Times New Roman"/>
                <w:b/>
                <w:sz w:val="24"/>
                <w:szCs w:val="24"/>
              </w:rPr>
              <w:t>3,7</w:t>
            </w:r>
          </w:p>
        </w:tc>
        <w:tc>
          <w:tcPr>
            <w:tcW w:w="1687" w:type="dxa"/>
            <w:tcBorders>
              <w:top w:val="single" w:sz="4" w:space="0" w:color="000000"/>
              <w:left w:val="single" w:sz="4" w:space="0" w:color="000000"/>
              <w:bottom w:val="single" w:sz="4" w:space="0" w:color="000000"/>
              <w:right w:val="single" w:sz="4" w:space="0" w:color="000000"/>
            </w:tcBorders>
            <w:vAlign w:val="center"/>
          </w:tcPr>
          <w:p w14:paraId="3D8E6507" w14:textId="77777777" w:rsidR="002449C2" w:rsidRDefault="00123961">
            <w:pPr>
              <w:widowControl w:val="0"/>
              <w:spacing w:after="0" w:line="240" w:lineRule="auto"/>
              <w:jc w:val="center"/>
              <w:rPr>
                <w:rFonts w:ascii="Times New Roman" w:hAnsi="Times New Roman"/>
                <w:b/>
                <w:sz w:val="24"/>
                <w:szCs w:val="24"/>
              </w:rPr>
            </w:pPr>
            <w:r>
              <w:rPr>
                <w:rFonts w:ascii="Times New Roman" w:hAnsi="Times New Roman"/>
                <w:b/>
                <w:sz w:val="24"/>
                <w:szCs w:val="24"/>
              </w:rPr>
              <w:t>4,8</w:t>
            </w:r>
          </w:p>
        </w:tc>
      </w:tr>
      <w:tr w:rsidR="002449C2" w14:paraId="445CE4CB" w14:textId="77777777">
        <w:trPr>
          <w:trHeight w:val="20"/>
        </w:trPr>
        <w:tc>
          <w:tcPr>
            <w:tcW w:w="6076" w:type="dxa"/>
            <w:tcBorders>
              <w:top w:val="single" w:sz="4" w:space="0" w:color="000000"/>
              <w:left w:val="single" w:sz="4" w:space="0" w:color="000000"/>
              <w:bottom w:val="single" w:sz="4" w:space="0" w:color="000000"/>
              <w:right w:val="single" w:sz="4" w:space="0" w:color="000000"/>
            </w:tcBorders>
          </w:tcPr>
          <w:p w14:paraId="4C3AC3D9" w14:textId="77777777" w:rsidR="002449C2" w:rsidRDefault="00123961">
            <w:pPr>
              <w:widowControl w:val="0"/>
              <w:tabs>
                <w:tab w:val="left" w:pos="300"/>
                <w:tab w:val="left" w:pos="851"/>
              </w:tabs>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8. Комитет по надежности</w:t>
            </w:r>
          </w:p>
        </w:tc>
        <w:tc>
          <w:tcPr>
            <w:tcW w:w="1725" w:type="dxa"/>
            <w:tcBorders>
              <w:top w:val="single" w:sz="4" w:space="0" w:color="000000"/>
              <w:left w:val="single" w:sz="4" w:space="0" w:color="000000"/>
              <w:bottom w:val="single" w:sz="4" w:space="0" w:color="000000"/>
              <w:right w:val="single" w:sz="4" w:space="0" w:color="000000"/>
            </w:tcBorders>
            <w:vAlign w:val="center"/>
          </w:tcPr>
          <w:p w14:paraId="05783048" w14:textId="77777777" w:rsidR="002449C2" w:rsidRDefault="00123961">
            <w:pPr>
              <w:widowControl w:val="0"/>
              <w:spacing w:after="0" w:line="240" w:lineRule="auto"/>
              <w:jc w:val="center"/>
              <w:rPr>
                <w:rFonts w:ascii="Times New Roman" w:hAnsi="Times New Roman"/>
                <w:b/>
                <w:sz w:val="24"/>
                <w:szCs w:val="24"/>
              </w:rPr>
            </w:pPr>
            <w:r>
              <w:rPr>
                <w:rFonts w:ascii="Times New Roman" w:hAnsi="Times New Roman"/>
                <w:b/>
                <w:sz w:val="24"/>
                <w:szCs w:val="24"/>
              </w:rPr>
              <w:t>5,0</w:t>
            </w:r>
          </w:p>
        </w:tc>
        <w:tc>
          <w:tcPr>
            <w:tcW w:w="1687" w:type="dxa"/>
            <w:tcBorders>
              <w:top w:val="single" w:sz="4" w:space="0" w:color="000000"/>
              <w:left w:val="single" w:sz="4" w:space="0" w:color="000000"/>
              <w:bottom w:val="single" w:sz="4" w:space="0" w:color="000000"/>
              <w:right w:val="single" w:sz="4" w:space="0" w:color="000000"/>
            </w:tcBorders>
            <w:vAlign w:val="center"/>
          </w:tcPr>
          <w:p w14:paraId="6EE0E277" w14:textId="77777777" w:rsidR="002449C2" w:rsidRDefault="00123961">
            <w:pPr>
              <w:widowControl w:val="0"/>
              <w:spacing w:after="0" w:line="240" w:lineRule="auto"/>
              <w:jc w:val="center"/>
              <w:rPr>
                <w:rFonts w:ascii="Times New Roman" w:hAnsi="Times New Roman"/>
                <w:b/>
                <w:sz w:val="24"/>
                <w:szCs w:val="24"/>
              </w:rPr>
            </w:pPr>
            <w:r>
              <w:rPr>
                <w:rFonts w:ascii="Times New Roman" w:hAnsi="Times New Roman"/>
                <w:b/>
                <w:sz w:val="24"/>
                <w:szCs w:val="24"/>
              </w:rPr>
              <w:t>4,8</w:t>
            </w:r>
          </w:p>
        </w:tc>
      </w:tr>
      <w:tr w:rsidR="002449C2" w14:paraId="37FE4B20" w14:textId="77777777">
        <w:trPr>
          <w:trHeight w:val="20"/>
        </w:trPr>
        <w:tc>
          <w:tcPr>
            <w:tcW w:w="6076" w:type="dxa"/>
            <w:tcBorders>
              <w:top w:val="single" w:sz="4" w:space="0" w:color="000000"/>
              <w:left w:val="single" w:sz="4" w:space="0" w:color="000000"/>
              <w:bottom w:val="single" w:sz="4" w:space="0" w:color="000000"/>
              <w:right w:val="single" w:sz="4" w:space="0" w:color="000000"/>
            </w:tcBorders>
          </w:tcPr>
          <w:p w14:paraId="3AC21970" w14:textId="77777777" w:rsidR="002449C2" w:rsidRDefault="00123961">
            <w:pPr>
              <w:widowControl w:val="0"/>
              <w:tabs>
                <w:tab w:val="left" w:pos="300"/>
                <w:tab w:val="left" w:pos="993"/>
              </w:tabs>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9. Комитет по технологическому присоединению к электрическим сетям</w:t>
            </w:r>
          </w:p>
        </w:tc>
        <w:tc>
          <w:tcPr>
            <w:tcW w:w="1725" w:type="dxa"/>
            <w:tcBorders>
              <w:top w:val="single" w:sz="4" w:space="0" w:color="000000"/>
              <w:left w:val="single" w:sz="4" w:space="0" w:color="000000"/>
              <w:bottom w:val="single" w:sz="4" w:space="0" w:color="000000"/>
              <w:right w:val="single" w:sz="4" w:space="0" w:color="000000"/>
            </w:tcBorders>
            <w:vAlign w:val="center"/>
          </w:tcPr>
          <w:p w14:paraId="4356A16C" w14:textId="77777777" w:rsidR="002449C2" w:rsidRDefault="00123961">
            <w:pPr>
              <w:widowControl w:val="0"/>
              <w:spacing w:after="0" w:line="240" w:lineRule="auto"/>
              <w:jc w:val="center"/>
              <w:rPr>
                <w:rFonts w:ascii="Times New Roman" w:hAnsi="Times New Roman"/>
                <w:b/>
                <w:sz w:val="24"/>
                <w:szCs w:val="24"/>
              </w:rPr>
            </w:pPr>
            <w:r>
              <w:rPr>
                <w:rFonts w:ascii="Times New Roman" w:hAnsi="Times New Roman"/>
                <w:b/>
                <w:sz w:val="24"/>
                <w:szCs w:val="24"/>
              </w:rPr>
              <w:t>4,9</w:t>
            </w:r>
          </w:p>
        </w:tc>
        <w:tc>
          <w:tcPr>
            <w:tcW w:w="1687" w:type="dxa"/>
            <w:tcBorders>
              <w:top w:val="single" w:sz="4" w:space="0" w:color="000000"/>
              <w:left w:val="single" w:sz="4" w:space="0" w:color="000000"/>
              <w:bottom w:val="single" w:sz="4" w:space="0" w:color="000000"/>
              <w:right w:val="single" w:sz="4" w:space="0" w:color="000000"/>
            </w:tcBorders>
            <w:vAlign w:val="center"/>
          </w:tcPr>
          <w:p w14:paraId="6D7B8DDD" w14:textId="77777777" w:rsidR="002449C2" w:rsidRDefault="00123961">
            <w:pPr>
              <w:widowControl w:val="0"/>
              <w:spacing w:after="0" w:line="240" w:lineRule="auto"/>
              <w:jc w:val="center"/>
              <w:rPr>
                <w:rFonts w:ascii="Times New Roman" w:hAnsi="Times New Roman"/>
                <w:b/>
                <w:sz w:val="24"/>
                <w:szCs w:val="24"/>
              </w:rPr>
            </w:pPr>
            <w:r>
              <w:rPr>
                <w:rFonts w:ascii="Times New Roman" w:hAnsi="Times New Roman"/>
                <w:b/>
                <w:sz w:val="24"/>
                <w:szCs w:val="24"/>
              </w:rPr>
              <w:t>5,0</w:t>
            </w:r>
          </w:p>
        </w:tc>
      </w:tr>
      <w:tr w:rsidR="002449C2" w14:paraId="533AD745" w14:textId="77777777">
        <w:trPr>
          <w:trHeight w:val="340"/>
        </w:trPr>
        <w:tc>
          <w:tcPr>
            <w:tcW w:w="6076" w:type="dxa"/>
            <w:tcBorders>
              <w:top w:val="single" w:sz="4" w:space="0" w:color="000000"/>
              <w:left w:val="single" w:sz="4" w:space="0" w:color="000000"/>
              <w:bottom w:val="single" w:sz="4" w:space="0" w:color="000000"/>
              <w:right w:val="single" w:sz="4" w:space="0" w:color="000000"/>
            </w:tcBorders>
          </w:tcPr>
          <w:p w14:paraId="3194DD92" w14:textId="77777777" w:rsidR="002449C2" w:rsidRDefault="00123961">
            <w:pPr>
              <w:widowControl w:val="0"/>
              <w:tabs>
                <w:tab w:val="left" w:pos="300"/>
                <w:tab w:val="left" w:pos="993"/>
              </w:tabs>
              <w:spacing w:after="0" w:line="240" w:lineRule="auto"/>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Общая оценка</w:t>
            </w:r>
          </w:p>
        </w:tc>
        <w:tc>
          <w:tcPr>
            <w:tcW w:w="1725" w:type="dxa"/>
            <w:tcBorders>
              <w:top w:val="single" w:sz="4" w:space="0" w:color="000000"/>
              <w:left w:val="single" w:sz="4" w:space="0" w:color="000000"/>
              <w:bottom w:val="single" w:sz="4" w:space="0" w:color="000000"/>
              <w:right w:val="single" w:sz="4" w:space="0" w:color="000000"/>
            </w:tcBorders>
            <w:vAlign w:val="center"/>
          </w:tcPr>
          <w:p w14:paraId="370506CD" w14:textId="77777777" w:rsidR="002449C2" w:rsidRDefault="00123961">
            <w:pPr>
              <w:widowControl w:val="0"/>
              <w:spacing w:after="0" w:line="240" w:lineRule="auto"/>
              <w:jc w:val="center"/>
              <w:rPr>
                <w:rFonts w:ascii="Times New Roman" w:hAnsi="Times New Roman"/>
                <w:b/>
                <w:sz w:val="24"/>
                <w:szCs w:val="24"/>
              </w:rPr>
            </w:pPr>
            <w:r>
              <w:rPr>
                <w:rFonts w:ascii="Times New Roman" w:hAnsi="Times New Roman"/>
                <w:b/>
                <w:sz w:val="24"/>
                <w:szCs w:val="24"/>
              </w:rPr>
              <w:t>4,7</w:t>
            </w:r>
          </w:p>
        </w:tc>
        <w:tc>
          <w:tcPr>
            <w:tcW w:w="1687" w:type="dxa"/>
            <w:tcBorders>
              <w:top w:val="single" w:sz="4" w:space="0" w:color="000000"/>
              <w:left w:val="single" w:sz="4" w:space="0" w:color="000000"/>
              <w:bottom w:val="single" w:sz="4" w:space="0" w:color="000000"/>
              <w:right w:val="single" w:sz="4" w:space="0" w:color="000000"/>
            </w:tcBorders>
            <w:vAlign w:val="center"/>
          </w:tcPr>
          <w:p w14:paraId="56E2BB5E" w14:textId="77777777" w:rsidR="002449C2" w:rsidRDefault="00123961">
            <w:pPr>
              <w:widowControl w:val="0"/>
              <w:spacing w:after="0" w:line="240" w:lineRule="auto"/>
              <w:jc w:val="center"/>
              <w:rPr>
                <w:rFonts w:ascii="Times New Roman" w:hAnsi="Times New Roman"/>
                <w:b/>
                <w:sz w:val="24"/>
                <w:szCs w:val="24"/>
              </w:rPr>
            </w:pPr>
            <w:r>
              <w:rPr>
                <w:rFonts w:ascii="Times New Roman" w:hAnsi="Times New Roman"/>
                <w:b/>
                <w:sz w:val="24"/>
                <w:szCs w:val="24"/>
              </w:rPr>
              <w:t>4,8</w:t>
            </w:r>
          </w:p>
        </w:tc>
      </w:tr>
    </w:tbl>
    <w:p w14:paraId="13614EE8" w14:textId="77777777" w:rsidR="002449C2" w:rsidRDefault="00123961">
      <w:pPr>
        <w:widowControl w:val="0"/>
        <w:shd w:val="clear" w:color="auto" w:fill="FFFFFF"/>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Результаты самооценки работы Совета директоров и Комитетов Совета директоров за 2023-2024 корпоративный год рассмотрены Советом директоров Общества 17.07.2024 (протокол №583/2024).</w:t>
      </w:r>
    </w:p>
    <w:p w14:paraId="171CCFC8" w14:textId="77777777" w:rsidR="002449C2" w:rsidRDefault="00123961">
      <w:pPr>
        <w:widowControl w:val="0"/>
        <w:shd w:val="clear" w:color="auto" w:fill="FFFFFF"/>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 сравнению с самооценкой Совета директоров 2022-2023 корпоративного года необходимо отменить ее уменьшение на 0,1 пункт.</w:t>
      </w:r>
    </w:p>
    <w:p w14:paraId="475BF9A8" w14:textId="77777777" w:rsidR="002449C2" w:rsidRDefault="002449C2">
      <w:pPr>
        <w:widowControl w:val="0"/>
        <w:shd w:val="clear" w:color="auto" w:fill="FFFFFF"/>
        <w:tabs>
          <w:tab w:val="left" w:pos="142"/>
        </w:tabs>
        <w:spacing w:after="0" w:line="240" w:lineRule="auto"/>
        <w:ind w:firstLine="567"/>
        <w:jc w:val="both"/>
        <w:rPr>
          <w:rFonts w:ascii="Times New Roman" w:eastAsia="Times New Roman" w:hAnsi="Times New Roman"/>
          <w:b/>
          <w:sz w:val="26"/>
          <w:szCs w:val="26"/>
          <w:lang w:eastAsia="en-US"/>
        </w:rPr>
      </w:pPr>
    </w:p>
    <w:p w14:paraId="2E857F3E" w14:textId="77777777" w:rsidR="002449C2" w:rsidRDefault="002449C2">
      <w:pPr>
        <w:widowControl w:val="0"/>
        <w:shd w:val="clear" w:color="auto" w:fill="FFFFFF"/>
        <w:tabs>
          <w:tab w:val="left" w:pos="142"/>
        </w:tabs>
        <w:spacing w:after="0" w:line="240" w:lineRule="auto"/>
        <w:ind w:firstLine="567"/>
        <w:jc w:val="both"/>
        <w:rPr>
          <w:rFonts w:ascii="Times New Roman" w:eastAsia="Times New Roman" w:hAnsi="Times New Roman"/>
          <w:b/>
          <w:sz w:val="26"/>
          <w:szCs w:val="26"/>
          <w:lang w:eastAsia="en-US"/>
        </w:rPr>
      </w:pPr>
    </w:p>
    <w:p w14:paraId="526F45DD" w14:textId="77777777" w:rsidR="002449C2" w:rsidRDefault="00123961">
      <w:pPr>
        <w:keepNext/>
        <w:keepLines/>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176" w:name="_Toc195174965"/>
      <w:bookmarkStart w:id="177" w:name="_Toc196143058"/>
      <w:r>
        <w:rPr>
          <w:rFonts w:ascii="Times New Roman" w:eastAsia="Times New Roman" w:hAnsi="Times New Roman"/>
          <w:color w:val="385623"/>
          <w:sz w:val="28"/>
          <w:szCs w:val="28"/>
          <w:lang w:eastAsia="en-US" w:bidi="en-US"/>
        </w:rPr>
        <w:t>Состав Совета директоров</w:t>
      </w:r>
      <w:bookmarkEnd w:id="176"/>
      <w:bookmarkEnd w:id="177"/>
    </w:p>
    <w:p w14:paraId="11D80F0C"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Совет директоров ежегодно избирается Общим собранием акционеров на срок до следующего годового Общего собрания акционеров в количестве 11 человек. Такой количественный состав Совета директоров оптимально соответствует текущим целям и задачам Общества, отраслевой практике и позволяет обеспечить среди членов Совета директоров необходимый баланс компетенций, знаний и опыта. </w:t>
      </w:r>
    </w:p>
    <w:p w14:paraId="28C5F815"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В 2024 году действовало два состава Совета директоров, избранные годовым Общим собранием акционеров 09.06.2023 и годовым Общим собранием акционеров 19.06.2024.</w:t>
      </w:r>
    </w:p>
    <w:p w14:paraId="4DCB045C"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По итогам годового Общего собрания акционеров в 2024 году персональный состав Совета директоров не изменился. Соотношение лиц, предложенных в состав Совета директоров мажоритарным акционером ПАО «Россети» и миноритарным акционером Компанией «Зе Рашн Просперити Фанд» («The Russian Prosperity Fund»), и избранных в Совет директоров, сохранилось - 10 к 1, соответственно.</w:t>
      </w:r>
    </w:p>
    <w:p w14:paraId="0073293F" w14:textId="77777777" w:rsidR="002449C2" w:rsidRDefault="002449C2">
      <w:pPr>
        <w:widowControl w:val="0"/>
        <w:shd w:val="clear" w:color="auto" w:fill="FFFFFF"/>
        <w:tabs>
          <w:tab w:val="left" w:pos="142"/>
        </w:tabs>
        <w:spacing w:after="0" w:line="240" w:lineRule="auto"/>
        <w:ind w:firstLine="567"/>
        <w:jc w:val="both"/>
        <w:rPr>
          <w:rFonts w:ascii="Times New Roman" w:eastAsia="Times New Roman" w:hAnsi="Times New Roman"/>
          <w:bCs/>
          <w:color w:val="000000"/>
          <w:sz w:val="26"/>
          <w:szCs w:val="26"/>
          <w:lang w:eastAsia="en-US"/>
        </w:rPr>
      </w:pPr>
    </w:p>
    <w:p w14:paraId="5D0217F9"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bCs/>
          <w:color w:val="000000"/>
          <w:sz w:val="26"/>
          <w:szCs w:val="26"/>
          <w:lang w:eastAsia="en-US"/>
        </w:rPr>
      </w:pPr>
      <w:r>
        <w:rPr>
          <w:rFonts w:ascii="Times New Roman" w:eastAsia="Times New Roman" w:hAnsi="Times New Roman"/>
          <w:bCs/>
          <w:color w:val="000000"/>
          <w:sz w:val="26"/>
          <w:szCs w:val="26"/>
          <w:lang w:eastAsia="en-US"/>
        </w:rPr>
        <w:t>На конец 2024 года Совет директоров Общества осуществлял деятельность в следующем составе:</w:t>
      </w:r>
    </w:p>
    <w:tbl>
      <w:tblPr>
        <w:tblW w:w="9493" w:type="dxa"/>
        <w:tblLayout w:type="fixed"/>
        <w:tblLook w:val="04A0" w:firstRow="1" w:lastRow="0" w:firstColumn="1" w:lastColumn="0" w:noHBand="0" w:noVBand="1"/>
      </w:tblPr>
      <w:tblGrid>
        <w:gridCol w:w="1684"/>
        <w:gridCol w:w="1574"/>
        <w:gridCol w:w="2124"/>
        <w:gridCol w:w="1846"/>
        <w:gridCol w:w="1273"/>
        <w:gridCol w:w="992"/>
      </w:tblGrid>
      <w:tr w:rsidR="002449C2" w14:paraId="218D59BA" w14:textId="77777777">
        <w:tc>
          <w:tcPr>
            <w:tcW w:w="1683" w:type="dxa"/>
            <w:tcBorders>
              <w:top w:val="single" w:sz="4" w:space="0" w:color="000000"/>
              <w:left w:val="single" w:sz="4" w:space="0" w:color="000000"/>
              <w:bottom w:val="single" w:sz="4" w:space="0" w:color="000000"/>
              <w:right w:val="single" w:sz="4" w:space="0" w:color="000000"/>
            </w:tcBorders>
          </w:tcPr>
          <w:p w14:paraId="345E8D3E" w14:textId="77777777" w:rsidR="002449C2" w:rsidRDefault="00123961">
            <w:pPr>
              <w:widowControl w:val="0"/>
              <w:tabs>
                <w:tab w:val="left" w:pos="142"/>
              </w:tabs>
              <w:spacing w:after="0" w:line="240" w:lineRule="auto"/>
              <w:jc w:val="both"/>
              <w:rPr>
                <w:rFonts w:ascii="Times New Roman" w:eastAsia="Times New Roman" w:hAnsi="Times New Roman"/>
                <w:b/>
                <w:bCs/>
                <w:color w:val="000000"/>
                <w:sz w:val="21"/>
                <w:szCs w:val="21"/>
                <w:lang w:eastAsia="ru-RU"/>
              </w:rPr>
            </w:pPr>
            <w:r>
              <w:rPr>
                <w:rFonts w:ascii="Times New Roman" w:eastAsia="Times New Roman" w:hAnsi="Times New Roman"/>
                <w:b/>
                <w:bCs/>
                <w:color w:val="000000"/>
                <w:sz w:val="21"/>
                <w:szCs w:val="21"/>
                <w:lang w:eastAsia="ru-RU"/>
              </w:rPr>
              <w:t>ФИО</w:t>
            </w:r>
          </w:p>
        </w:tc>
        <w:tc>
          <w:tcPr>
            <w:tcW w:w="1574" w:type="dxa"/>
            <w:tcBorders>
              <w:top w:val="single" w:sz="4" w:space="0" w:color="000000"/>
              <w:left w:val="single" w:sz="4" w:space="0" w:color="000000"/>
              <w:bottom w:val="single" w:sz="4" w:space="0" w:color="000000"/>
              <w:right w:val="single" w:sz="4" w:space="0" w:color="000000"/>
            </w:tcBorders>
          </w:tcPr>
          <w:p w14:paraId="2A5D440A" w14:textId="77777777" w:rsidR="002449C2" w:rsidRDefault="00123961">
            <w:pPr>
              <w:widowControl w:val="0"/>
              <w:tabs>
                <w:tab w:val="left" w:pos="142"/>
              </w:tabs>
              <w:spacing w:after="0" w:line="240" w:lineRule="auto"/>
              <w:jc w:val="both"/>
              <w:rPr>
                <w:rFonts w:ascii="Times New Roman" w:eastAsia="Times New Roman" w:hAnsi="Times New Roman"/>
                <w:b/>
                <w:bCs/>
                <w:color w:val="000000"/>
                <w:sz w:val="21"/>
                <w:szCs w:val="21"/>
                <w:lang w:eastAsia="ru-RU"/>
              </w:rPr>
            </w:pPr>
            <w:r>
              <w:rPr>
                <w:rFonts w:ascii="Times New Roman" w:eastAsia="Times New Roman" w:hAnsi="Times New Roman"/>
                <w:b/>
                <w:bCs/>
                <w:color w:val="000000"/>
                <w:sz w:val="21"/>
                <w:szCs w:val="21"/>
                <w:lang w:eastAsia="ru-RU"/>
              </w:rPr>
              <w:t>Статус в Совете директоров</w:t>
            </w:r>
          </w:p>
        </w:tc>
        <w:tc>
          <w:tcPr>
            <w:tcW w:w="2124" w:type="dxa"/>
            <w:tcBorders>
              <w:top w:val="single" w:sz="4" w:space="0" w:color="000000"/>
              <w:left w:val="single" w:sz="4" w:space="0" w:color="000000"/>
              <w:bottom w:val="single" w:sz="4" w:space="0" w:color="000000"/>
              <w:right w:val="single" w:sz="4" w:space="0" w:color="000000"/>
            </w:tcBorders>
          </w:tcPr>
          <w:p w14:paraId="5707F62B" w14:textId="77777777" w:rsidR="002449C2" w:rsidRDefault="00123961">
            <w:pPr>
              <w:widowControl w:val="0"/>
              <w:tabs>
                <w:tab w:val="left" w:pos="142"/>
              </w:tabs>
              <w:spacing w:after="0" w:line="240" w:lineRule="auto"/>
              <w:jc w:val="both"/>
              <w:rPr>
                <w:rFonts w:ascii="Times New Roman" w:eastAsia="Times New Roman" w:hAnsi="Times New Roman"/>
                <w:b/>
                <w:bCs/>
                <w:color w:val="000000"/>
                <w:sz w:val="21"/>
                <w:szCs w:val="21"/>
                <w:lang w:eastAsia="ru-RU"/>
              </w:rPr>
            </w:pPr>
            <w:r>
              <w:rPr>
                <w:rFonts w:ascii="Times New Roman" w:eastAsia="Times New Roman" w:hAnsi="Times New Roman"/>
                <w:b/>
                <w:bCs/>
                <w:color w:val="000000"/>
                <w:sz w:val="21"/>
                <w:szCs w:val="21"/>
                <w:lang w:eastAsia="ru-RU"/>
              </w:rPr>
              <w:t>Ключевые компетенции</w:t>
            </w:r>
          </w:p>
        </w:tc>
        <w:tc>
          <w:tcPr>
            <w:tcW w:w="1846" w:type="dxa"/>
            <w:tcBorders>
              <w:top w:val="single" w:sz="4" w:space="0" w:color="000000"/>
              <w:left w:val="single" w:sz="4" w:space="0" w:color="000000"/>
              <w:bottom w:val="single" w:sz="4" w:space="0" w:color="000000"/>
              <w:right w:val="single" w:sz="4" w:space="0" w:color="000000"/>
            </w:tcBorders>
          </w:tcPr>
          <w:p w14:paraId="677BB4D9" w14:textId="77777777" w:rsidR="002449C2" w:rsidRDefault="00123961">
            <w:pPr>
              <w:widowControl w:val="0"/>
              <w:tabs>
                <w:tab w:val="left" w:pos="142"/>
              </w:tabs>
              <w:spacing w:after="0" w:line="240" w:lineRule="auto"/>
              <w:jc w:val="both"/>
              <w:rPr>
                <w:rFonts w:ascii="Times New Roman" w:eastAsia="Times New Roman" w:hAnsi="Times New Roman"/>
                <w:b/>
                <w:bCs/>
                <w:color w:val="000000"/>
                <w:sz w:val="21"/>
                <w:szCs w:val="21"/>
                <w:lang w:eastAsia="ru-RU"/>
              </w:rPr>
            </w:pPr>
            <w:r>
              <w:rPr>
                <w:rFonts w:ascii="Times New Roman" w:eastAsia="Times New Roman" w:hAnsi="Times New Roman"/>
                <w:b/>
                <w:bCs/>
                <w:color w:val="000000"/>
                <w:sz w:val="21"/>
                <w:szCs w:val="21"/>
                <w:lang w:eastAsia="ru-RU"/>
              </w:rPr>
              <w:t>Участие в Комитете Совета директоров</w:t>
            </w:r>
          </w:p>
        </w:tc>
        <w:tc>
          <w:tcPr>
            <w:tcW w:w="1273" w:type="dxa"/>
            <w:tcBorders>
              <w:top w:val="single" w:sz="4" w:space="0" w:color="000000"/>
              <w:left w:val="single" w:sz="4" w:space="0" w:color="000000"/>
              <w:bottom w:val="single" w:sz="4" w:space="0" w:color="000000"/>
              <w:right w:val="single" w:sz="4" w:space="0" w:color="000000"/>
            </w:tcBorders>
          </w:tcPr>
          <w:p w14:paraId="0FD5D1E2" w14:textId="77777777" w:rsidR="002449C2" w:rsidRDefault="00123961">
            <w:pPr>
              <w:widowControl w:val="0"/>
              <w:tabs>
                <w:tab w:val="left" w:pos="142"/>
              </w:tabs>
              <w:spacing w:after="0" w:line="240" w:lineRule="auto"/>
              <w:jc w:val="both"/>
              <w:rPr>
                <w:rFonts w:ascii="Times New Roman" w:eastAsia="Times New Roman" w:hAnsi="Times New Roman"/>
                <w:b/>
                <w:bCs/>
                <w:color w:val="000000"/>
                <w:sz w:val="21"/>
                <w:szCs w:val="21"/>
                <w:lang w:eastAsia="ru-RU"/>
              </w:rPr>
            </w:pPr>
            <w:r>
              <w:rPr>
                <w:rFonts w:ascii="Times New Roman" w:eastAsia="Times New Roman" w:hAnsi="Times New Roman"/>
                <w:b/>
                <w:bCs/>
                <w:color w:val="000000"/>
                <w:sz w:val="21"/>
                <w:szCs w:val="21"/>
                <w:lang w:eastAsia="ru-RU"/>
              </w:rPr>
              <w:t>Кем предложен</w:t>
            </w:r>
          </w:p>
        </w:tc>
        <w:tc>
          <w:tcPr>
            <w:tcW w:w="992" w:type="dxa"/>
            <w:tcBorders>
              <w:top w:val="single" w:sz="4" w:space="0" w:color="000000"/>
              <w:left w:val="single" w:sz="4" w:space="0" w:color="000000"/>
              <w:bottom w:val="single" w:sz="4" w:space="0" w:color="000000"/>
              <w:right w:val="single" w:sz="4" w:space="0" w:color="000000"/>
            </w:tcBorders>
          </w:tcPr>
          <w:p w14:paraId="18E197E8" w14:textId="77777777" w:rsidR="002449C2" w:rsidRDefault="00123961">
            <w:pPr>
              <w:widowControl w:val="0"/>
              <w:tabs>
                <w:tab w:val="left" w:pos="142"/>
              </w:tabs>
              <w:spacing w:after="0" w:line="240" w:lineRule="auto"/>
              <w:jc w:val="both"/>
              <w:rPr>
                <w:rFonts w:ascii="Times New Roman" w:eastAsia="Times New Roman" w:hAnsi="Times New Roman"/>
                <w:b/>
                <w:bCs/>
                <w:color w:val="000000"/>
                <w:sz w:val="21"/>
                <w:szCs w:val="21"/>
                <w:lang w:eastAsia="ru-RU"/>
              </w:rPr>
            </w:pPr>
            <w:r>
              <w:rPr>
                <w:rFonts w:ascii="Times New Roman" w:eastAsia="Times New Roman" w:hAnsi="Times New Roman"/>
                <w:b/>
                <w:bCs/>
                <w:color w:val="000000"/>
                <w:sz w:val="21"/>
                <w:szCs w:val="21"/>
                <w:lang w:eastAsia="ru-RU"/>
              </w:rPr>
              <w:t>Год первого избра-ния</w:t>
            </w:r>
          </w:p>
        </w:tc>
      </w:tr>
      <w:tr w:rsidR="002449C2" w14:paraId="1C363907" w14:textId="77777777">
        <w:tc>
          <w:tcPr>
            <w:tcW w:w="9492" w:type="dxa"/>
            <w:gridSpan w:val="6"/>
            <w:tcBorders>
              <w:top w:val="single" w:sz="4" w:space="0" w:color="000000"/>
              <w:left w:val="single" w:sz="4" w:space="0" w:color="000000"/>
              <w:bottom w:val="single" w:sz="4" w:space="0" w:color="000000"/>
              <w:right w:val="single" w:sz="4" w:space="0" w:color="000000"/>
            </w:tcBorders>
          </w:tcPr>
          <w:p w14:paraId="46B8021F"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Председатель Совета директоров</w:t>
            </w:r>
          </w:p>
        </w:tc>
      </w:tr>
      <w:tr w:rsidR="002449C2" w14:paraId="51F2359D" w14:textId="77777777">
        <w:tc>
          <w:tcPr>
            <w:tcW w:w="1683" w:type="dxa"/>
            <w:tcBorders>
              <w:top w:val="single" w:sz="4" w:space="0" w:color="000000"/>
              <w:left w:val="single" w:sz="4" w:space="0" w:color="000000"/>
              <w:bottom w:val="single" w:sz="4" w:space="0" w:color="000000"/>
              <w:right w:val="single" w:sz="4" w:space="0" w:color="000000"/>
            </w:tcBorders>
          </w:tcPr>
          <w:p w14:paraId="67368C3F"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Краинский Даниил Владимирович</w:t>
            </w:r>
          </w:p>
        </w:tc>
        <w:tc>
          <w:tcPr>
            <w:tcW w:w="1574" w:type="dxa"/>
            <w:tcBorders>
              <w:top w:val="single" w:sz="4" w:space="0" w:color="000000"/>
              <w:left w:val="single" w:sz="4" w:space="0" w:color="000000"/>
              <w:bottom w:val="single" w:sz="4" w:space="0" w:color="000000"/>
              <w:right w:val="single" w:sz="4" w:space="0" w:color="000000"/>
            </w:tcBorders>
          </w:tcPr>
          <w:p w14:paraId="32AF2A66"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неисполнительный директор</w:t>
            </w:r>
          </w:p>
        </w:tc>
        <w:tc>
          <w:tcPr>
            <w:tcW w:w="2124" w:type="dxa"/>
            <w:tcBorders>
              <w:top w:val="single" w:sz="4" w:space="0" w:color="000000"/>
              <w:left w:val="single" w:sz="4" w:space="0" w:color="000000"/>
              <w:bottom w:val="single" w:sz="4" w:space="0" w:color="000000"/>
              <w:right w:val="single" w:sz="4" w:space="0" w:color="000000"/>
            </w:tcBorders>
          </w:tcPr>
          <w:p w14:paraId="04FA58E9" w14:textId="77777777" w:rsidR="002449C2" w:rsidRDefault="00123961">
            <w:pPr>
              <w:widowControl w:val="0"/>
              <w:tabs>
                <w:tab w:val="left" w:pos="142"/>
              </w:tabs>
              <w:spacing w:after="0" w:line="240" w:lineRule="auto"/>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 xml:space="preserve">юриспруденция, корпоративное управление, управление собственностью, </w:t>
            </w:r>
            <w:r>
              <w:rPr>
                <w:rFonts w:ascii="Times New Roman" w:eastAsia="Times New Roman" w:hAnsi="Times New Roman"/>
                <w:bCs/>
                <w:color w:val="000000"/>
                <w:sz w:val="21"/>
                <w:szCs w:val="21"/>
                <w:lang w:val="en-US" w:eastAsia="ru-RU"/>
              </w:rPr>
              <w:t>ESG</w:t>
            </w:r>
          </w:p>
        </w:tc>
        <w:tc>
          <w:tcPr>
            <w:tcW w:w="1846" w:type="dxa"/>
            <w:tcBorders>
              <w:top w:val="single" w:sz="4" w:space="0" w:color="000000"/>
              <w:left w:val="single" w:sz="4" w:space="0" w:color="000000"/>
              <w:bottom w:val="single" w:sz="4" w:space="0" w:color="000000"/>
              <w:right w:val="single" w:sz="4" w:space="0" w:color="000000"/>
            </w:tcBorders>
          </w:tcPr>
          <w:p w14:paraId="13318B8F"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Член Комитета по стратегии</w:t>
            </w:r>
          </w:p>
        </w:tc>
        <w:tc>
          <w:tcPr>
            <w:tcW w:w="1273" w:type="dxa"/>
            <w:tcBorders>
              <w:top w:val="single" w:sz="4" w:space="0" w:color="000000"/>
              <w:left w:val="single" w:sz="4" w:space="0" w:color="000000"/>
              <w:bottom w:val="single" w:sz="4" w:space="0" w:color="000000"/>
              <w:right w:val="single" w:sz="4" w:space="0" w:color="000000"/>
            </w:tcBorders>
          </w:tcPr>
          <w:p w14:paraId="6EC3A72A"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ПАО «Россети»</w:t>
            </w:r>
          </w:p>
        </w:tc>
        <w:tc>
          <w:tcPr>
            <w:tcW w:w="992" w:type="dxa"/>
            <w:tcBorders>
              <w:top w:val="single" w:sz="4" w:space="0" w:color="000000"/>
              <w:left w:val="single" w:sz="4" w:space="0" w:color="000000"/>
              <w:bottom w:val="single" w:sz="4" w:space="0" w:color="000000"/>
              <w:right w:val="single" w:sz="4" w:space="0" w:color="000000"/>
            </w:tcBorders>
          </w:tcPr>
          <w:p w14:paraId="62F0FBA1"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2021</w:t>
            </w:r>
          </w:p>
        </w:tc>
      </w:tr>
      <w:tr w:rsidR="002449C2" w14:paraId="1441D9E6" w14:textId="77777777">
        <w:tc>
          <w:tcPr>
            <w:tcW w:w="9492" w:type="dxa"/>
            <w:gridSpan w:val="6"/>
            <w:tcBorders>
              <w:top w:val="single" w:sz="4" w:space="0" w:color="000000"/>
              <w:left w:val="single" w:sz="4" w:space="0" w:color="000000"/>
              <w:bottom w:val="single" w:sz="4" w:space="0" w:color="000000"/>
              <w:right w:val="single" w:sz="4" w:space="0" w:color="000000"/>
            </w:tcBorders>
          </w:tcPr>
          <w:p w14:paraId="53FFB7FA"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Члены Совета директоров</w:t>
            </w:r>
          </w:p>
        </w:tc>
      </w:tr>
      <w:tr w:rsidR="002449C2" w14:paraId="6C5160A8" w14:textId="77777777">
        <w:tc>
          <w:tcPr>
            <w:tcW w:w="1683" w:type="dxa"/>
            <w:tcBorders>
              <w:top w:val="single" w:sz="4" w:space="0" w:color="000000"/>
              <w:left w:val="single" w:sz="4" w:space="0" w:color="000000"/>
              <w:bottom w:val="single" w:sz="4" w:space="0" w:color="000000"/>
              <w:right w:val="single" w:sz="4" w:space="0" w:color="000000"/>
            </w:tcBorders>
          </w:tcPr>
          <w:p w14:paraId="3D510B7F"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Докучаева Мария Александровна</w:t>
            </w:r>
          </w:p>
        </w:tc>
        <w:tc>
          <w:tcPr>
            <w:tcW w:w="1574" w:type="dxa"/>
            <w:tcBorders>
              <w:top w:val="single" w:sz="4" w:space="0" w:color="000000"/>
              <w:left w:val="single" w:sz="4" w:space="0" w:color="000000"/>
              <w:bottom w:val="single" w:sz="4" w:space="0" w:color="000000"/>
              <w:right w:val="single" w:sz="4" w:space="0" w:color="000000"/>
            </w:tcBorders>
          </w:tcPr>
          <w:p w14:paraId="6932D0CA"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неисполнительный директор</w:t>
            </w:r>
          </w:p>
        </w:tc>
        <w:tc>
          <w:tcPr>
            <w:tcW w:w="2124" w:type="dxa"/>
            <w:tcBorders>
              <w:top w:val="single" w:sz="4" w:space="0" w:color="000000"/>
              <w:left w:val="single" w:sz="4" w:space="0" w:color="000000"/>
              <w:bottom w:val="single" w:sz="4" w:space="0" w:color="000000"/>
              <w:right w:val="single" w:sz="4" w:space="0" w:color="000000"/>
            </w:tcBorders>
          </w:tcPr>
          <w:p w14:paraId="5D80C46D" w14:textId="77777777" w:rsidR="002449C2" w:rsidRDefault="00123961">
            <w:pPr>
              <w:widowControl w:val="0"/>
              <w:tabs>
                <w:tab w:val="left" w:pos="142"/>
              </w:tabs>
              <w:spacing w:after="0" w:line="240" w:lineRule="auto"/>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связи с общественностью и СМИ</w:t>
            </w:r>
          </w:p>
        </w:tc>
        <w:tc>
          <w:tcPr>
            <w:tcW w:w="1846" w:type="dxa"/>
            <w:tcBorders>
              <w:top w:val="single" w:sz="4" w:space="0" w:color="000000"/>
              <w:left w:val="single" w:sz="4" w:space="0" w:color="000000"/>
              <w:bottom w:val="single" w:sz="4" w:space="0" w:color="000000"/>
              <w:right w:val="single" w:sz="4" w:space="0" w:color="000000"/>
            </w:tcBorders>
          </w:tcPr>
          <w:p w14:paraId="2FFC6AC8"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w:t>
            </w:r>
          </w:p>
        </w:tc>
        <w:tc>
          <w:tcPr>
            <w:tcW w:w="1273" w:type="dxa"/>
            <w:tcBorders>
              <w:top w:val="single" w:sz="4" w:space="0" w:color="000000"/>
              <w:left w:val="single" w:sz="4" w:space="0" w:color="000000"/>
              <w:bottom w:val="single" w:sz="4" w:space="0" w:color="000000"/>
              <w:right w:val="single" w:sz="4" w:space="0" w:color="000000"/>
            </w:tcBorders>
          </w:tcPr>
          <w:p w14:paraId="019944B1"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ПАО «Россети»</w:t>
            </w:r>
          </w:p>
        </w:tc>
        <w:tc>
          <w:tcPr>
            <w:tcW w:w="992" w:type="dxa"/>
            <w:tcBorders>
              <w:top w:val="single" w:sz="4" w:space="0" w:color="000000"/>
              <w:left w:val="single" w:sz="4" w:space="0" w:color="000000"/>
              <w:bottom w:val="single" w:sz="4" w:space="0" w:color="000000"/>
              <w:right w:val="single" w:sz="4" w:space="0" w:color="000000"/>
            </w:tcBorders>
          </w:tcPr>
          <w:p w14:paraId="6FECD918"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2022</w:t>
            </w:r>
          </w:p>
        </w:tc>
      </w:tr>
      <w:tr w:rsidR="002449C2" w14:paraId="5753E9F1" w14:textId="77777777">
        <w:tc>
          <w:tcPr>
            <w:tcW w:w="1683" w:type="dxa"/>
            <w:tcBorders>
              <w:top w:val="single" w:sz="4" w:space="0" w:color="000000"/>
              <w:left w:val="single" w:sz="4" w:space="0" w:color="000000"/>
              <w:bottom w:val="single" w:sz="4" w:space="0" w:color="000000"/>
              <w:right w:val="single" w:sz="4" w:space="0" w:color="000000"/>
            </w:tcBorders>
          </w:tcPr>
          <w:p w14:paraId="08F60AD7"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Зархин Виталий Юрьевич</w:t>
            </w:r>
          </w:p>
        </w:tc>
        <w:tc>
          <w:tcPr>
            <w:tcW w:w="1574" w:type="dxa"/>
            <w:tcBorders>
              <w:top w:val="single" w:sz="4" w:space="0" w:color="000000"/>
              <w:left w:val="single" w:sz="4" w:space="0" w:color="000000"/>
              <w:bottom w:val="single" w:sz="4" w:space="0" w:color="000000"/>
              <w:right w:val="single" w:sz="4" w:space="0" w:color="000000"/>
            </w:tcBorders>
          </w:tcPr>
          <w:p w14:paraId="620A8CAE"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независимый директор</w:t>
            </w:r>
          </w:p>
        </w:tc>
        <w:tc>
          <w:tcPr>
            <w:tcW w:w="2124" w:type="dxa"/>
            <w:tcBorders>
              <w:top w:val="single" w:sz="4" w:space="0" w:color="000000"/>
              <w:left w:val="single" w:sz="4" w:space="0" w:color="000000"/>
              <w:bottom w:val="single" w:sz="4" w:space="0" w:color="000000"/>
              <w:right w:val="single" w:sz="4" w:space="0" w:color="000000"/>
            </w:tcBorders>
          </w:tcPr>
          <w:p w14:paraId="49C3E05A" w14:textId="77777777" w:rsidR="002449C2" w:rsidRDefault="00123961">
            <w:pPr>
              <w:widowControl w:val="0"/>
              <w:tabs>
                <w:tab w:val="left" w:pos="142"/>
              </w:tabs>
              <w:spacing w:after="0" w:line="240" w:lineRule="auto"/>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 xml:space="preserve">стратегическое планирование и развитие, финансы, корпоративное управление, </w:t>
            </w:r>
            <w:r>
              <w:rPr>
                <w:rFonts w:ascii="Times New Roman" w:eastAsia="Times New Roman" w:hAnsi="Times New Roman"/>
                <w:bCs/>
                <w:color w:val="000000"/>
                <w:sz w:val="21"/>
                <w:szCs w:val="21"/>
                <w:lang w:val="en-US" w:eastAsia="ru-RU"/>
              </w:rPr>
              <w:t>ESG</w:t>
            </w:r>
          </w:p>
        </w:tc>
        <w:tc>
          <w:tcPr>
            <w:tcW w:w="1846" w:type="dxa"/>
            <w:tcBorders>
              <w:top w:val="single" w:sz="4" w:space="0" w:color="000000"/>
              <w:left w:val="single" w:sz="4" w:space="0" w:color="000000"/>
              <w:bottom w:val="single" w:sz="4" w:space="0" w:color="000000"/>
              <w:right w:val="single" w:sz="4" w:space="0" w:color="000000"/>
            </w:tcBorders>
          </w:tcPr>
          <w:p w14:paraId="7A82C12C"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Член Комитета по стратегии,</w:t>
            </w:r>
          </w:p>
          <w:p w14:paraId="0539A515"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член Комитета надежности</w:t>
            </w:r>
          </w:p>
        </w:tc>
        <w:tc>
          <w:tcPr>
            <w:tcW w:w="1273" w:type="dxa"/>
            <w:tcBorders>
              <w:top w:val="single" w:sz="4" w:space="0" w:color="000000"/>
              <w:left w:val="single" w:sz="4" w:space="0" w:color="000000"/>
              <w:bottom w:val="single" w:sz="4" w:space="0" w:color="000000"/>
              <w:right w:val="single" w:sz="4" w:space="0" w:color="000000"/>
            </w:tcBorders>
          </w:tcPr>
          <w:p w14:paraId="0F7EBFEB"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The Russian Prosperity Fund</w:t>
            </w:r>
          </w:p>
        </w:tc>
        <w:tc>
          <w:tcPr>
            <w:tcW w:w="992" w:type="dxa"/>
            <w:tcBorders>
              <w:top w:val="single" w:sz="4" w:space="0" w:color="000000"/>
              <w:left w:val="single" w:sz="4" w:space="0" w:color="000000"/>
              <w:bottom w:val="single" w:sz="4" w:space="0" w:color="000000"/>
              <w:right w:val="single" w:sz="4" w:space="0" w:color="000000"/>
            </w:tcBorders>
          </w:tcPr>
          <w:p w14:paraId="0C955112"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2019</w:t>
            </w:r>
          </w:p>
        </w:tc>
      </w:tr>
      <w:tr w:rsidR="002449C2" w14:paraId="40AB6B34" w14:textId="77777777">
        <w:tc>
          <w:tcPr>
            <w:tcW w:w="1683" w:type="dxa"/>
            <w:tcBorders>
              <w:top w:val="single" w:sz="4" w:space="0" w:color="000000"/>
              <w:left w:val="single" w:sz="4" w:space="0" w:color="000000"/>
              <w:bottom w:val="single" w:sz="4" w:space="0" w:color="000000"/>
              <w:right w:val="single" w:sz="4" w:space="0" w:color="000000"/>
            </w:tcBorders>
          </w:tcPr>
          <w:p w14:paraId="4942AA8D"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Казаков Александр Иванович</w:t>
            </w:r>
          </w:p>
        </w:tc>
        <w:tc>
          <w:tcPr>
            <w:tcW w:w="1574" w:type="dxa"/>
            <w:tcBorders>
              <w:top w:val="single" w:sz="4" w:space="0" w:color="000000"/>
              <w:left w:val="single" w:sz="4" w:space="0" w:color="000000"/>
              <w:bottom w:val="single" w:sz="4" w:space="0" w:color="000000"/>
              <w:right w:val="single" w:sz="4" w:space="0" w:color="000000"/>
            </w:tcBorders>
          </w:tcPr>
          <w:p w14:paraId="1D95C18F"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независимый директор</w:t>
            </w:r>
          </w:p>
        </w:tc>
        <w:tc>
          <w:tcPr>
            <w:tcW w:w="2124" w:type="dxa"/>
            <w:tcBorders>
              <w:top w:val="single" w:sz="4" w:space="0" w:color="000000"/>
              <w:left w:val="single" w:sz="4" w:space="0" w:color="000000"/>
              <w:bottom w:val="single" w:sz="4" w:space="0" w:color="000000"/>
              <w:right w:val="single" w:sz="4" w:space="0" w:color="000000"/>
            </w:tcBorders>
          </w:tcPr>
          <w:p w14:paraId="152F58BA" w14:textId="77777777" w:rsidR="002449C2" w:rsidRDefault="00123961">
            <w:pPr>
              <w:widowControl w:val="0"/>
              <w:tabs>
                <w:tab w:val="left" w:pos="142"/>
              </w:tabs>
              <w:spacing w:after="0" w:line="240" w:lineRule="auto"/>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 xml:space="preserve">организация и управление промышленностью стратегическое планирование, финансы, аудит, корпоративное управление, </w:t>
            </w:r>
            <w:r>
              <w:rPr>
                <w:rFonts w:ascii="Times New Roman" w:eastAsia="Times New Roman" w:hAnsi="Times New Roman"/>
                <w:bCs/>
                <w:color w:val="000000"/>
                <w:sz w:val="21"/>
                <w:szCs w:val="21"/>
                <w:lang w:val="en-US" w:eastAsia="ru-RU"/>
              </w:rPr>
              <w:t>ESG</w:t>
            </w:r>
          </w:p>
        </w:tc>
        <w:tc>
          <w:tcPr>
            <w:tcW w:w="1846" w:type="dxa"/>
            <w:tcBorders>
              <w:top w:val="single" w:sz="4" w:space="0" w:color="000000"/>
              <w:left w:val="single" w:sz="4" w:space="0" w:color="000000"/>
              <w:bottom w:val="single" w:sz="4" w:space="0" w:color="000000"/>
              <w:right w:val="single" w:sz="4" w:space="0" w:color="000000"/>
            </w:tcBorders>
          </w:tcPr>
          <w:p w14:paraId="546B9FE0"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Член Комитета по аудиту</w:t>
            </w:r>
          </w:p>
        </w:tc>
        <w:tc>
          <w:tcPr>
            <w:tcW w:w="1273" w:type="dxa"/>
            <w:tcBorders>
              <w:top w:val="single" w:sz="4" w:space="0" w:color="000000"/>
              <w:left w:val="single" w:sz="4" w:space="0" w:color="000000"/>
              <w:bottom w:val="single" w:sz="4" w:space="0" w:color="000000"/>
              <w:right w:val="single" w:sz="4" w:space="0" w:color="000000"/>
            </w:tcBorders>
          </w:tcPr>
          <w:p w14:paraId="3FE13914"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ПАО «Россети»</w:t>
            </w:r>
          </w:p>
        </w:tc>
        <w:tc>
          <w:tcPr>
            <w:tcW w:w="992" w:type="dxa"/>
            <w:tcBorders>
              <w:top w:val="single" w:sz="4" w:space="0" w:color="000000"/>
              <w:left w:val="single" w:sz="4" w:space="0" w:color="000000"/>
              <w:bottom w:val="single" w:sz="4" w:space="0" w:color="000000"/>
              <w:right w:val="single" w:sz="4" w:space="0" w:color="000000"/>
            </w:tcBorders>
          </w:tcPr>
          <w:p w14:paraId="3E5792E7"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2021</w:t>
            </w:r>
          </w:p>
        </w:tc>
      </w:tr>
      <w:tr w:rsidR="002449C2" w14:paraId="46A13E57" w14:textId="77777777">
        <w:tc>
          <w:tcPr>
            <w:tcW w:w="1683" w:type="dxa"/>
            <w:tcBorders>
              <w:top w:val="single" w:sz="4" w:space="0" w:color="000000"/>
              <w:left w:val="single" w:sz="4" w:space="0" w:color="000000"/>
              <w:bottom w:val="single" w:sz="4" w:space="0" w:color="000000"/>
              <w:right w:val="single" w:sz="4" w:space="0" w:color="000000"/>
            </w:tcBorders>
          </w:tcPr>
          <w:p w14:paraId="0B3C8814"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Клинков Олег Юрьевич</w:t>
            </w:r>
          </w:p>
        </w:tc>
        <w:tc>
          <w:tcPr>
            <w:tcW w:w="1574" w:type="dxa"/>
            <w:tcBorders>
              <w:top w:val="single" w:sz="4" w:space="0" w:color="000000"/>
              <w:left w:val="single" w:sz="4" w:space="0" w:color="000000"/>
              <w:bottom w:val="single" w:sz="4" w:space="0" w:color="000000"/>
              <w:right w:val="single" w:sz="4" w:space="0" w:color="000000"/>
            </w:tcBorders>
          </w:tcPr>
          <w:p w14:paraId="2C3D271B"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неисполнительный директор</w:t>
            </w:r>
          </w:p>
        </w:tc>
        <w:tc>
          <w:tcPr>
            <w:tcW w:w="2124" w:type="dxa"/>
            <w:tcBorders>
              <w:top w:val="single" w:sz="4" w:space="0" w:color="000000"/>
              <w:left w:val="single" w:sz="4" w:space="0" w:color="000000"/>
              <w:bottom w:val="single" w:sz="4" w:space="0" w:color="000000"/>
              <w:right w:val="single" w:sz="4" w:space="0" w:color="000000"/>
            </w:tcBorders>
          </w:tcPr>
          <w:p w14:paraId="4112075B" w14:textId="77777777" w:rsidR="002449C2" w:rsidRDefault="00123961">
            <w:pPr>
              <w:widowControl w:val="0"/>
              <w:tabs>
                <w:tab w:val="left" w:pos="142"/>
              </w:tabs>
              <w:spacing w:after="0" w:line="240" w:lineRule="auto"/>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технологическое развитие, обслуживание потребителей</w:t>
            </w:r>
          </w:p>
        </w:tc>
        <w:tc>
          <w:tcPr>
            <w:tcW w:w="1846" w:type="dxa"/>
            <w:tcBorders>
              <w:top w:val="single" w:sz="4" w:space="0" w:color="000000"/>
              <w:left w:val="single" w:sz="4" w:space="0" w:color="000000"/>
              <w:bottom w:val="single" w:sz="4" w:space="0" w:color="000000"/>
              <w:right w:val="single" w:sz="4" w:space="0" w:color="000000"/>
            </w:tcBorders>
          </w:tcPr>
          <w:p w14:paraId="6BB11203"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Член Комитета по тех. присоединению к электрическим сетям</w:t>
            </w:r>
          </w:p>
        </w:tc>
        <w:tc>
          <w:tcPr>
            <w:tcW w:w="1273" w:type="dxa"/>
            <w:tcBorders>
              <w:top w:val="single" w:sz="4" w:space="0" w:color="000000"/>
              <w:left w:val="single" w:sz="4" w:space="0" w:color="000000"/>
              <w:bottom w:val="single" w:sz="4" w:space="0" w:color="000000"/>
              <w:right w:val="single" w:sz="4" w:space="0" w:color="000000"/>
            </w:tcBorders>
          </w:tcPr>
          <w:p w14:paraId="030CE2C6"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ПАО «Россети»</w:t>
            </w:r>
          </w:p>
        </w:tc>
        <w:tc>
          <w:tcPr>
            <w:tcW w:w="992" w:type="dxa"/>
            <w:tcBorders>
              <w:top w:val="single" w:sz="4" w:space="0" w:color="000000"/>
              <w:left w:val="single" w:sz="4" w:space="0" w:color="000000"/>
              <w:bottom w:val="single" w:sz="4" w:space="0" w:color="000000"/>
              <w:right w:val="single" w:sz="4" w:space="0" w:color="000000"/>
            </w:tcBorders>
          </w:tcPr>
          <w:p w14:paraId="206465C7"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2021</w:t>
            </w:r>
          </w:p>
        </w:tc>
      </w:tr>
      <w:tr w:rsidR="002449C2" w14:paraId="42214B13" w14:textId="77777777">
        <w:tc>
          <w:tcPr>
            <w:tcW w:w="1683" w:type="dxa"/>
            <w:tcBorders>
              <w:top w:val="single" w:sz="4" w:space="0" w:color="000000"/>
              <w:left w:val="single" w:sz="4" w:space="0" w:color="000000"/>
              <w:bottom w:val="single" w:sz="4" w:space="0" w:color="000000"/>
              <w:right w:val="single" w:sz="4" w:space="0" w:color="000000"/>
            </w:tcBorders>
          </w:tcPr>
          <w:p w14:paraId="32E15F2E"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Короткова Мария Вячеславна</w:t>
            </w:r>
          </w:p>
        </w:tc>
        <w:tc>
          <w:tcPr>
            <w:tcW w:w="1574" w:type="dxa"/>
            <w:tcBorders>
              <w:top w:val="single" w:sz="4" w:space="0" w:color="000000"/>
              <w:left w:val="single" w:sz="4" w:space="0" w:color="000000"/>
              <w:bottom w:val="single" w:sz="4" w:space="0" w:color="000000"/>
              <w:right w:val="single" w:sz="4" w:space="0" w:color="000000"/>
            </w:tcBorders>
          </w:tcPr>
          <w:p w14:paraId="0B0D3DCF"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независимый директор</w:t>
            </w:r>
          </w:p>
        </w:tc>
        <w:tc>
          <w:tcPr>
            <w:tcW w:w="2124" w:type="dxa"/>
            <w:tcBorders>
              <w:top w:val="single" w:sz="4" w:space="0" w:color="000000"/>
              <w:left w:val="single" w:sz="4" w:space="0" w:color="000000"/>
              <w:bottom w:val="single" w:sz="4" w:space="0" w:color="000000"/>
              <w:right w:val="single" w:sz="4" w:space="0" w:color="000000"/>
            </w:tcBorders>
          </w:tcPr>
          <w:p w14:paraId="1608D65D" w14:textId="77777777" w:rsidR="002449C2" w:rsidRDefault="00123961">
            <w:pPr>
              <w:widowControl w:val="0"/>
              <w:tabs>
                <w:tab w:val="left" w:pos="142"/>
              </w:tabs>
              <w:spacing w:after="0" w:line="240" w:lineRule="auto"/>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 xml:space="preserve">управление предприятием, стратегическое планирование, финансы, аудит, </w:t>
            </w:r>
            <w:r>
              <w:rPr>
                <w:rFonts w:ascii="Times New Roman" w:eastAsia="Times New Roman" w:hAnsi="Times New Roman"/>
                <w:bCs/>
                <w:color w:val="000000"/>
                <w:sz w:val="21"/>
                <w:szCs w:val="21"/>
                <w:lang w:val="en-US" w:eastAsia="ru-RU"/>
              </w:rPr>
              <w:t>ESG</w:t>
            </w:r>
          </w:p>
        </w:tc>
        <w:tc>
          <w:tcPr>
            <w:tcW w:w="1846" w:type="dxa"/>
            <w:tcBorders>
              <w:top w:val="single" w:sz="4" w:space="0" w:color="000000"/>
              <w:left w:val="single" w:sz="4" w:space="0" w:color="000000"/>
              <w:bottom w:val="single" w:sz="4" w:space="0" w:color="000000"/>
              <w:right w:val="single" w:sz="4" w:space="0" w:color="000000"/>
            </w:tcBorders>
          </w:tcPr>
          <w:p w14:paraId="6C146F0C"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Председатель Комитета по аудиту,</w:t>
            </w:r>
          </w:p>
          <w:p w14:paraId="66F50137"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член Комитета по стратегии</w:t>
            </w:r>
          </w:p>
        </w:tc>
        <w:tc>
          <w:tcPr>
            <w:tcW w:w="1273" w:type="dxa"/>
            <w:tcBorders>
              <w:top w:val="single" w:sz="4" w:space="0" w:color="000000"/>
              <w:left w:val="single" w:sz="4" w:space="0" w:color="000000"/>
              <w:bottom w:val="single" w:sz="4" w:space="0" w:color="000000"/>
              <w:right w:val="single" w:sz="4" w:space="0" w:color="000000"/>
            </w:tcBorders>
          </w:tcPr>
          <w:p w14:paraId="603C7D82"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ПАО «Россети»</w:t>
            </w:r>
          </w:p>
        </w:tc>
        <w:tc>
          <w:tcPr>
            <w:tcW w:w="992" w:type="dxa"/>
            <w:tcBorders>
              <w:top w:val="single" w:sz="4" w:space="0" w:color="000000"/>
              <w:left w:val="single" w:sz="4" w:space="0" w:color="000000"/>
              <w:bottom w:val="single" w:sz="4" w:space="0" w:color="000000"/>
              <w:right w:val="single" w:sz="4" w:space="0" w:color="000000"/>
            </w:tcBorders>
          </w:tcPr>
          <w:p w14:paraId="0BA7DEF6"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2020</w:t>
            </w:r>
          </w:p>
        </w:tc>
      </w:tr>
      <w:tr w:rsidR="002449C2" w14:paraId="351EB670" w14:textId="77777777">
        <w:tc>
          <w:tcPr>
            <w:tcW w:w="1683" w:type="dxa"/>
            <w:tcBorders>
              <w:top w:val="single" w:sz="4" w:space="0" w:color="000000"/>
              <w:left w:val="single" w:sz="4" w:space="0" w:color="000000"/>
              <w:bottom w:val="single" w:sz="4" w:space="0" w:color="000000"/>
              <w:right w:val="single" w:sz="4" w:space="0" w:color="000000"/>
            </w:tcBorders>
          </w:tcPr>
          <w:p w14:paraId="1249EB3A"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Кравченко Константин Юрьевич</w:t>
            </w:r>
          </w:p>
        </w:tc>
        <w:tc>
          <w:tcPr>
            <w:tcW w:w="1574" w:type="dxa"/>
            <w:tcBorders>
              <w:top w:val="single" w:sz="4" w:space="0" w:color="000000"/>
              <w:left w:val="single" w:sz="4" w:space="0" w:color="000000"/>
              <w:bottom w:val="single" w:sz="4" w:space="0" w:color="000000"/>
              <w:right w:val="single" w:sz="4" w:space="0" w:color="000000"/>
            </w:tcBorders>
          </w:tcPr>
          <w:p w14:paraId="38D1C2F3"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неисполнительный директор</w:t>
            </w:r>
          </w:p>
        </w:tc>
        <w:tc>
          <w:tcPr>
            <w:tcW w:w="2124" w:type="dxa"/>
            <w:tcBorders>
              <w:top w:val="single" w:sz="4" w:space="0" w:color="000000"/>
              <w:left w:val="single" w:sz="4" w:space="0" w:color="000000"/>
              <w:bottom w:val="single" w:sz="4" w:space="0" w:color="000000"/>
              <w:right w:val="single" w:sz="4" w:space="0" w:color="000000"/>
            </w:tcBorders>
          </w:tcPr>
          <w:p w14:paraId="6230A490" w14:textId="77777777" w:rsidR="002449C2" w:rsidRDefault="00123961">
            <w:pPr>
              <w:widowControl w:val="0"/>
              <w:tabs>
                <w:tab w:val="left" w:pos="142"/>
              </w:tabs>
              <w:spacing w:after="0" w:line="240" w:lineRule="auto"/>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 xml:space="preserve">развитие информационных технологий, цифровизация сети, </w:t>
            </w:r>
            <w:r>
              <w:rPr>
                <w:rFonts w:ascii="Times New Roman" w:eastAsia="Times New Roman" w:hAnsi="Times New Roman"/>
                <w:bCs/>
                <w:color w:val="000000"/>
                <w:sz w:val="21"/>
                <w:szCs w:val="21"/>
                <w:lang w:val="en-US" w:eastAsia="ru-RU"/>
              </w:rPr>
              <w:t>ESG</w:t>
            </w:r>
          </w:p>
        </w:tc>
        <w:tc>
          <w:tcPr>
            <w:tcW w:w="1846" w:type="dxa"/>
            <w:tcBorders>
              <w:top w:val="single" w:sz="4" w:space="0" w:color="000000"/>
              <w:left w:val="single" w:sz="4" w:space="0" w:color="000000"/>
              <w:bottom w:val="single" w:sz="4" w:space="0" w:color="000000"/>
              <w:right w:val="single" w:sz="4" w:space="0" w:color="000000"/>
            </w:tcBorders>
          </w:tcPr>
          <w:p w14:paraId="7F2622AB"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w:t>
            </w:r>
          </w:p>
        </w:tc>
        <w:tc>
          <w:tcPr>
            <w:tcW w:w="1273" w:type="dxa"/>
            <w:tcBorders>
              <w:top w:val="single" w:sz="4" w:space="0" w:color="000000"/>
              <w:left w:val="single" w:sz="4" w:space="0" w:color="000000"/>
              <w:bottom w:val="single" w:sz="4" w:space="0" w:color="000000"/>
              <w:right w:val="single" w:sz="4" w:space="0" w:color="000000"/>
            </w:tcBorders>
          </w:tcPr>
          <w:p w14:paraId="750CEBB6"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ПАО «Россети»</w:t>
            </w:r>
          </w:p>
        </w:tc>
        <w:tc>
          <w:tcPr>
            <w:tcW w:w="992" w:type="dxa"/>
            <w:tcBorders>
              <w:top w:val="single" w:sz="4" w:space="0" w:color="000000"/>
              <w:left w:val="single" w:sz="4" w:space="0" w:color="000000"/>
              <w:bottom w:val="single" w:sz="4" w:space="0" w:color="000000"/>
              <w:right w:val="single" w:sz="4" w:space="0" w:color="000000"/>
            </w:tcBorders>
          </w:tcPr>
          <w:p w14:paraId="0BBB8D0C"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2022</w:t>
            </w:r>
          </w:p>
        </w:tc>
      </w:tr>
      <w:tr w:rsidR="002449C2" w14:paraId="062A9AF2" w14:textId="77777777">
        <w:tc>
          <w:tcPr>
            <w:tcW w:w="1683" w:type="dxa"/>
            <w:tcBorders>
              <w:top w:val="single" w:sz="4" w:space="0" w:color="000000"/>
              <w:left w:val="single" w:sz="4" w:space="0" w:color="000000"/>
              <w:bottom w:val="single" w:sz="4" w:space="0" w:color="000000"/>
              <w:right w:val="single" w:sz="4" w:space="0" w:color="000000"/>
            </w:tcBorders>
          </w:tcPr>
          <w:p w14:paraId="7649BF8D"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Никитчанова Екатерина Владимировна</w:t>
            </w:r>
          </w:p>
        </w:tc>
        <w:tc>
          <w:tcPr>
            <w:tcW w:w="1574" w:type="dxa"/>
            <w:tcBorders>
              <w:top w:val="single" w:sz="4" w:space="0" w:color="000000"/>
              <w:left w:val="single" w:sz="4" w:space="0" w:color="000000"/>
              <w:bottom w:val="single" w:sz="4" w:space="0" w:color="000000"/>
              <w:right w:val="single" w:sz="4" w:space="0" w:color="000000"/>
            </w:tcBorders>
          </w:tcPr>
          <w:p w14:paraId="06466E66"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независимый директор</w:t>
            </w:r>
          </w:p>
        </w:tc>
        <w:tc>
          <w:tcPr>
            <w:tcW w:w="2124" w:type="dxa"/>
            <w:tcBorders>
              <w:top w:val="single" w:sz="4" w:space="0" w:color="000000"/>
              <w:left w:val="single" w:sz="4" w:space="0" w:color="000000"/>
              <w:bottom w:val="single" w:sz="4" w:space="0" w:color="000000"/>
              <w:right w:val="single" w:sz="4" w:space="0" w:color="000000"/>
            </w:tcBorders>
          </w:tcPr>
          <w:p w14:paraId="5706015D" w14:textId="77777777" w:rsidR="002449C2" w:rsidRDefault="00123961">
            <w:pPr>
              <w:widowControl w:val="0"/>
              <w:tabs>
                <w:tab w:val="left" w:pos="142"/>
              </w:tabs>
              <w:spacing w:after="0" w:line="240" w:lineRule="auto"/>
              <w:rPr>
                <w:rFonts w:ascii="Times New Roman" w:eastAsia="Times New Roman" w:hAnsi="Times New Roman"/>
                <w:bCs/>
                <w:color w:val="000000"/>
                <w:sz w:val="21"/>
                <w:szCs w:val="21"/>
                <w:lang w:val="en-US" w:eastAsia="ru-RU"/>
              </w:rPr>
            </w:pPr>
            <w:r>
              <w:rPr>
                <w:rFonts w:ascii="Times New Roman" w:eastAsia="Times New Roman" w:hAnsi="Times New Roman"/>
                <w:bCs/>
                <w:color w:val="000000"/>
                <w:sz w:val="21"/>
                <w:szCs w:val="21"/>
                <w:lang w:eastAsia="ru-RU"/>
              </w:rPr>
              <w:t xml:space="preserve">корпоративное управление, юриспруденция, </w:t>
            </w:r>
            <w:r>
              <w:rPr>
                <w:rFonts w:ascii="Times New Roman" w:eastAsia="Times New Roman" w:hAnsi="Times New Roman"/>
                <w:bCs/>
                <w:color w:val="000000"/>
                <w:sz w:val="21"/>
                <w:szCs w:val="21"/>
                <w:lang w:val="en-US" w:eastAsia="ru-RU"/>
              </w:rPr>
              <w:t>ESG</w:t>
            </w:r>
          </w:p>
        </w:tc>
        <w:tc>
          <w:tcPr>
            <w:tcW w:w="1846" w:type="dxa"/>
            <w:tcBorders>
              <w:top w:val="single" w:sz="4" w:space="0" w:color="000000"/>
              <w:left w:val="single" w:sz="4" w:space="0" w:color="000000"/>
              <w:bottom w:val="single" w:sz="4" w:space="0" w:color="000000"/>
              <w:right w:val="single" w:sz="4" w:space="0" w:color="000000"/>
            </w:tcBorders>
          </w:tcPr>
          <w:p w14:paraId="1C6F4379"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Член Комитета по кадрам и вознаграждениям</w:t>
            </w:r>
          </w:p>
        </w:tc>
        <w:tc>
          <w:tcPr>
            <w:tcW w:w="1273" w:type="dxa"/>
            <w:tcBorders>
              <w:top w:val="single" w:sz="4" w:space="0" w:color="000000"/>
              <w:left w:val="single" w:sz="4" w:space="0" w:color="000000"/>
              <w:bottom w:val="single" w:sz="4" w:space="0" w:color="000000"/>
              <w:right w:val="single" w:sz="4" w:space="0" w:color="000000"/>
            </w:tcBorders>
          </w:tcPr>
          <w:p w14:paraId="737C4801"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ПАО «Россети»</w:t>
            </w:r>
          </w:p>
        </w:tc>
        <w:tc>
          <w:tcPr>
            <w:tcW w:w="992" w:type="dxa"/>
            <w:tcBorders>
              <w:top w:val="single" w:sz="4" w:space="0" w:color="000000"/>
              <w:left w:val="single" w:sz="4" w:space="0" w:color="000000"/>
              <w:bottom w:val="single" w:sz="4" w:space="0" w:color="000000"/>
              <w:right w:val="single" w:sz="4" w:space="0" w:color="000000"/>
            </w:tcBorders>
          </w:tcPr>
          <w:p w14:paraId="01E34069"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2021</w:t>
            </w:r>
          </w:p>
        </w:tc>
      </w:tr>
      <w:tr w:rsidR="002449C2" w14:paraId="1B925881" w14:textId="77777777">
        <w:tc>
          <w:tcPr>
            <w:tcW w:w="1683" w:type="dxa"/>
            <w:tcBorders>
              <w:top w:val="single" w:sz="4" w:space="0" w:color="000000"/>
              <w:left w:val="single" w:sz="4" w:space="0" w:color="000000"/>
              <w:bottom w:val="single" w:sz="4" w:space="0" w:color="000000"/>
              <w:right w:val="single" w:sz="4" w:space="0" w:color="000000"/>
            </w:tcBorders>
          </w:tcPr>
          <w:p w14:paraId="2B86DC22"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Парамонова Наталья Владимировна</w:t>
            </w:r>
          </w:p>
        </w:tc>
        <w:tc>
          <w:tcPr>
            <w:tcW w:w="1574" w:type="dxa"/>
            <w:tcBorders>
              <w:top w:val="single" w:sz="4" w:space="0" w:color="000000"/>
              <w:left w:val="single" w:sz="4" w:space="0" w:color="000000"/>
              <w:bottom w:val="single" w:sz="4" w:space="0" w:color="000000"/>
              <w:right w:val="single" w:sz="4" w:space="0" w:color="000000"/>
            </w:tcBorders>
          </w:tcPr>
          <w:p w14:paraId="6FB7C0E2"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неисполнительный директор</w:t>
            </w:r>
          </w:p>
        </w:tc>
        <w:tc>
          <w:tcPr>
            <w:tcW w:w="2124" w:type="dxa"/>
            <w:tcBorders>
              <w:top w:val="single" w:sz="4" w:space="0" w:color="000000"/>
              <w:left w:val="single" w:sz="4" w:space="0" w:color="000000"/>
              <w:bottom w:val="single" w:sz="4" w:space="0" w:color="000000"/>
              <w:right w:val="single" w:sz="4" w:space="0" w:color="000000"/>
            </w:tcBorders>
          </w:tcPr>
          <w:p w14:paraId="776F8610" w14:textId="77777777" w:rsidR="002449C2" w:rsidRDefault="00123961">
            <w:pPr>
              <w:widowControl w:val="0"/>
              <w:tabs>
                <w:tab w:val="left" w:pos="142"/>
              </w:tabs>
              <w:spacing w:after="0" w:line="240" w:lineRule="auto"/>
              <w:rPr>
                <w:rFonts w:ascii="Times New Roman" w:eastAsia="Times New Roman" w:hAnsi="Times New Roman"/>
                <w:bCs/>
                <w:color w:val="000000"/>
                <w:sz w:val="21"/>
                <w:szCs w:val="21"/>
                <w:lang w:val="en-US" w:eastAsia="ru-RU"/>
              </w:rPr>
            </w:pPr>
            <w:r>
              <w:rPr>
                <w:rFonts w:ascii="Times New Roman" w:eastAsia="Times New Roman" w:hAnsi="Times New Roman"/>
                <w:bCs/>
                <w:color w:val="000000"/>
                <w:sz w:val="21"/>
                <w:szCs w:val="21"/>
                <w:lang w:eastAsia="ru-RU"/>
              </w:rPr>
              <w:t xml:space="preserve">бизнес-планирование, финансы, </w:t>
            </w:r>
            <w:r>
              <w:rPr>
                <w:rFonts w:ascii="Times New Roman" w:eastAsia="Times New Roman" w:hAnsi="Times New Roman"/>
                <w:bCs/>
                <w:color w:val="000000"/>
                <w:sz w:val="21"/>
                <w:szCs w:val="21"/>
                <w:lang w:val="en-US" w:eastAsia="ru-RU"/>
              </w:rPr>
              <w:t>ESG</w:t>
            </w:r>
          </w:p>
        </w:tc>
        <w:tc>
          <w:tcPr>
            <w:tcW w:w="1846" w:type="dxa"/>
            <w:tcBorders>
              <w:top w:val="single" w:sz="4" w:space="0" w:color="000000"/>
              <w:left w:val="single" w:sz="4" w:space="0" w:color="000000"/>
              <w:bottom w:val="single" w:sz="4" w:space="0" w:color="000000"/>
              <w:right w:val="single" w:sz="4" w:space="0" w:color="000000"/>
            </w:tcBorders>
          </w:tcPr>
          <w:p w14:paraId="0C7701E3"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w:t>
            </w:r>
          </w:p>
        </w:tc>
        <w:tc>
          <w:tcPr>
            <w:tcW w:w="1273" w:type="dxa"/>
            <w:tcBorders>
              <w:top w:val="single" w:sz="4" w:space="0" w:color="000000"/>
              <w:left w:val="single" w:sz="4" w:space="0" w:color="000000"/>
              <w:bottom w:val="single" w:sz="4" w:space="0" w:color="000000"/>
              <w:right w:val="single" w:sz="4" w:space="0" w:color="000000"/>
            </w:tcBorders>
          </w:tcPr>
          <w:p w14:paraId="4C900E7F"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ПАО «Россети»</w:t>
            </w:r>
          </w:p>
        </w:tc>
        <w:tc>
          <w:tcPr>
            <w:tcW w:w="992" w:type="dxa"/>
            <w:tcBorders>
              <w:top w:val="single" w:sz="4" w:space="0" w:color="000000"/>
              <w:left w:val="single" w:sz="4" w:space="0" w:color="000000"/>
              <w:bottom w:val="single" w:sz="4" w:space="0" w:color="000000"/>
              <w:right w:val="single" w:sz="4" w:space="0" w:color="000000"/>
            </w:tcBorders>
          </w:tcPr>
          <w:p w14:paraId="4D88FE58"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2023</w:t>
            </w:r>
          </w:p>
        </w:tc>
      </w:tr>
      <w:tr w:rsidR="002449C2" w14:paraId="552BF58A" w14:textId="77777777">
        <w:tc>
          <w:tcPr>
            <w:tcW w:w="1683" w:type="dxa"/>
            <w:tcBorders>
              <w:top w:val="single" w:sz="4" w:space="0" w:color="000000"/>
              <w:left w:val="single" w:sz="4" w:space="0" w:color="000000"/>
              <w:bottom w:val="single" w:sz="4" w:space="0" w:color="000000"/>
              <w:right w:val="single" w:sz="4" w:space="0" w:color="000000"/>
            </w:tcBorders>
          </w:tcPr>
          <w:p w14:paraId="5859FADE"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Тихонова Мария Геннадьевна</w:t>
            </w:r>
          </w:p>
        </w:tc>
        <w:tc>
          <w:tcPr>
            <w:tcW w:w="1574" w:type="dxa"/>
            <w:tcBorders>
              <w:top w:val="single" w:sz="4" w:space="0" w:color="000000"/>
              <w:left w:val="single" w:sz="4" w:space="0" w:color="000000"/>
              <w:bottom w:val="single" w:sz="4" w:space="0" w:color="000000"/>
              <w:right w:val="single" w:sz="4" w:space="0" w:color="000000"/>
            </w:tcBorders>
          </w:tcPr>
          <w:p w14:paraId="0EFA04B9"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неисполнительный директор</w:t>
            </w:r>
          </w:p>
        </w:tc>
        <w:tc>
          <w:tcPr>
            <w:tcW w:w="2124" w:type="dxa"/>
            <w:tcBorders>
              <w:top w:val="single" w:sz="4" w:space="0" w:color="000000"/>
              <w:left w:val="single" w:sz="4" w:space="0" w:color="000000"/>
              <w:bottom w:val="single" w:sz="4" w:space="0" w:color="000000"/>
              <w:right w:val="single" w:sz="4" w:space="0" w:color="000000"/>
            </w:tcBorders>
          </w:tcPr>
          <w:p w14:paraId="2893DA2A" w14:textId="77777777" w:rsidR="002449C2" w:rsidRDefault="00123961">
            <w:pPr>
              <w:widowControl w:val="0"/>
              <w:tabs>
                <w:tab w:val="left" w:pos="142"/>
              </w:tabs>
              <w:spacing w:after="0" w:line="240" w:lineRule="auto"/>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корпоративное управление, управление собственностью</w:t>
            </w:r>
          </w:p>
        </w:tc>
        <w:tc>
          <w:tcPr>
            <w:tcW w:w="1846" w:type="dxa"/>
            <w:tcBorders>
              <w:top w:val="single" w:sz="4" w:space="0" w:color="000000"/>
              <w:left w:val="single" w:sz="4" w:space="0" w:color="000000"/>
              <w:bottom w:val="single" w:sz="4" w:space="0" w:color="000000"/>
              <w:right w:val="single" w:sz="4" w:space="0" w:color="000000"/>
            </w:tcBorders>
          </w:tcPr>
          <w:p w14:paraId="4B25567F"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w:t>
            </w:r>
          </w:p>
        </w:tc>
        <w:tc>
          <w:tcPr>
            <w:tcW w:w="1273" w:type="dxa"/>
            <w:tcBorders>
              <w:top w:val="single" w:sz="4" w:space="0" w:color="000000"/>
              <w:left w:val="single" w:sz="4" w:space="0" w:color="000000"/>
              <w:bottom w:val="single" w:sz="4" w:space="0" w:color="000000"/>
              <w:right w:val="single" w:sz="4" w:space="0" w:color="000000"/>
            </w:tcBorders>
          </w:tcPr>
          <w:p w14:paraId="72742CC9"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ПАО «Россети»</w:t>
            </w:r>
          </w:p>
        </w:tc>
        <w:tc>
          <w:tcPr>
            <w:tcW w:w="992" w:type="dxa"/>
            <w:tcBorders>
              <w:top w:val="single" w:sz="4" w:space="0" w:color="000000"/>
              <w:left w:val="single" w:sz="4" w:space="0" w:color="000000"/>
              <w:bottom w:val="single" w:sz="4" w:space="0" w:color="000000"/>
              <w:right w:val="single" w:sz="4" w:space="0" w:color="000000"/>
            </w:tcBorders>
          </w:tcPr>
          <w:p w14:paraId="6DE71560"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2022</w:t>
            </w:r>
          </w:p>
        </w:tc>
      </w:tr>
      <w:tr w:rsidR="002449C2" w14:paraId="4302641E" w14:textId="77777777">
        <w:tc>
          <w:tcPr>
            <w:tcW w:w="1683" w:type="dxa"/>
            <w:tcBorders>
              <w:top w:val="single" w:sz="4" w:space="0" w:color="000000"/>
              <w:left w:val="single" w:sz="4" w:space="0" w:color="000000"/>
              <w:bottom w:val="single" w:sz="4" w:space="0" w:color="000000"/>
              <w:right w:val="single" w:sz="4" w:space="0" w:color="000000"/>
            </w:tcBorders>
          </w:tcPr>
          <w:p w14:paraId="12779E1B"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Эбзеев Борис Борисович</w:t>
            </w:r>
          </w:p>
        </w:tc>
        <w:tc>
          <w:tcPr>
            <w:tcW w:w="1574" w:type="dxa"/>
            <w:tcBorders>
              <w:top w:val="single" w:sz="4" w:space="0" w:color="000000"/>
              <w:left w:val="single" w:sz="4" w:space="0" w:color="000000"/>
              <w:bottom w:val="single" w:sz="4" w:space="0" w:color="000000"/>
              <w:right w:val="single" w:sz="4" w:space="0" w:color="000000"/>
            </w:tcBorders>
          </w:tcPr>
          <w:p w14:paraId="11F925AA"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исполнительный директор</w:t>
            </w:r>
          </w:p>
        </w:tc>
        <w:tc>
          <w:tcPr>
            <w:tcW w:w="2124" w:type="dxa"/>
            <w:tcBorders>
              <w:top w:val="single" w:sz="4" w:space="0" w:color="000000"/>
              <w:left w:val="single" w:sz="4" w:space="0" w:color="000000"/>
              <w:bottom w:val="single" w:sz="4" w:space="0" w:color="000000"/>
              <w:right w:val="single" w:sz="4" w:space="0" w:color="000000"/>
            </w:tcBorders>
          </w:tcPr>
          <w:p w14:paraId="1E26928C" w14:textId="77777777" w:rsidR="002449C2" w:rsidRDefault="00123961">
            <w:pPr>
              <w:widowControl w:val="0"/>
              <w:tabs>
                <w:tab w:val="left" w:pos="142"/>
              </w:tabs>
              <w:spacing w:after="0" w:line="240" w:lineRule="auto"/>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 xml:space="preserve">стратегическое планирование и развитие, технологии производства и передачи электроэнергии, юриспруденция, </w:t>
            </w:r>
            <w:r>
              <w:rPr>
                <w:rFonts w:ascii="Times New Roman" w:eastAsia="Times New Roman" w:hAnsi="Times New Roman"/>
                <w:bCs/>
                <w:color w:val="000000"/>
                <w:sz w:val="21"/>
                <w:szCs w:val="21"/>
                <w:lang w:val="en-US" w:eastAsia="ru-RU"/>
              </w:rPr>
              <w:t>ESG</w:t>
            </w:r>
          </w:p>
        </w:tc>
        <w:tc>
          <w:tcPr>
            <w:tcW w:w="1846" w:type="dxa"/>
            <w:tcBorders>
              <w:top w:val="single" w:sz="4" w:space="0" w:color="000000"/>
              <w:left w:val="single" w:sz="4" w:space="0" w:color="000000"/>
              <w:bottom w:val="single" w:sz="4" w:space="0" w:color="000000"/>
              <w:right w:val="single" w:sz="4" w:space="0" w:color="000000"/>
            </w:tcBorders>
          </w:tcPr>
          <w:p w14:paraId="48D0C9A5"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w:t>
            </w:r>
          </w:p>
        </w:tc>
        <w:tc>
          <w:tcPr>
            <w:tcW w:w="1273" w:type="dxa"/>
            <w:tcBorders>
              <w:top w:val="single" w:sz="4" w:space="0" w:color="000000"/>
              <w:left w:val="single" w:sz="4" w:space="0" w:color="000000"/>
              <w:bottom w:val="single" w:sz="4" w:space="0" w:color="000000"/>
              <w:right w:val="single" w:sz="4" w:space="0" w:color="000000"/>
            </w:tcBorders>
          </w:tcPr>
          <w:p w14:paraId="0CD48F0B"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ПАО «Россети»</w:t>
            </w:r>
          </w:p>
        </w:tc>
        <w:tc>
          <w:tcPr>
            <w:tcW w:w="992" w:type="dxa"/>
            <w:tcBorders>
              <w:top w:val="single" w:sz="4" w:space="0" w:color="000000"/>
              <w:left w:val="single" w:sz="4" w:space="0" w:color="000000"/>
              <w:bottom w:val="single" w:sz="4" w:space="0" w:color="000000"/>
              <w:right w:val="single" w:sz="4" w:space="0" w:color="000000"/>
            </w:tcBorders>
          </w:tcPr>
          <w:p w14:paraId="51805324" w14:textId="77777777" w:rsidR="002449C2" w:rsidRDefault="00123961">
            <w:pPr>
              <w:widowControl w:val="0"/>
              <w:tabs>
                <w:tab w:val="left" w:pos="142"/>
              </w:tabs>
              <w:spacing w:after="0" w:line="240" w:lineRule="auto"/>
              <w:jc w:val="both"/>
              <w:rPr>
                <w:rFonts w:ascii="Times New Roman" w:eastAsia="Times New Roman" w:hAnsi="Times New Roman"/>
                <w:bCs/>
                <w:color w:val="000000"/>
                <w:sz w:val="21"/>
                <w:szCs w:val="21"/>
                <w:lang w:eastAsia="ru-RU"/>
              </w:rPr>
            </w:pPr>
            <w:r>
              <w:rPr>
                <w:rFonts w:ascii="Times New Roman" w:eastAsia="Times New Roman" w:hAnsi="Times New Roman"/>
                <w:bCs/>
                <w:color w:val="000000"/>
                <w:sz w:val="21"/>
                <w:szCs w:val="21"/>
                <w:lang w:eastAsia="ru-RU"/>
              </w:rPr>
              <w:t>2015</w:t>
            </w:r>
          </w:p>
        </w:tc>
      </w:tr>
    </w:tbl>
    <w:p w14:paraId="4DC7BD25" w14:textId="77777777" w:rsidR="002449C2" w:rsidRDefault="00123961">
      <w:pPr>
        <w:widowControl w:val="0"/>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noProof/>
          <w:sz w:val="26"/>
          <w:szCs w:val="26"/>
          <w:lang w:eastAsia="ru-RU"/>
        </w:rPr>
        <w:drawing>
          <wp:anchor distT="0" distB="0" distL="0" distR="0" simplePos="0" relativeHeight="14" behindDoc="0" locked="0" layoutInCell="1" allowOverlap="1" wp14:anchorId="1EA54217" wp14:editId="44E51EC8">
            <wp:simplePos x="0" y="0"/>
            <wp:positionH relativeFrom="column">
              <wp:posOffset>2900045</wp:posOffset>
            </wp:positionH>
            <wp:positionV relativeFrom="paragraph">
              <wp:posOffset>363220</wp:posOffset>
            </wp:positionV>
            <wp:extent cx="3105150" cy="1962150"/>
            <wp:effectExtent l="0" t="0" r="0" b="0"/>
            <wp:wrapSquare wrapText="bothSides"/>
            <wp:docPr id="108"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anchor>
        </w:drawing>
      </w:r>
      <w:r>
        <w:rPr>
          <w:rFonts w:ascii="Times New Roman" w:eastAsia="Times New Roman" w:hAnsi="Times New Roman"/>
          <w:noProof/>
          <w:sz w:val="26"/>
          <w:szCs w:val="26"/>
          <w:lang w:eastAsia="ru-RU"/>
        </w:rPr>
        <w:drawing>
          <wp:anchor distT="0" distB="0" distL="0" distR="0" simplePos="0" relativeHeight="84" behindDoc="0" locked="0" layoutInCell="1" allowOverlap="1" wp14:anchorId="24DAC1DD" wp14:editId="774C01A4">
            <wp:simplePos x="0" y="0"/>
            <wp:positionH relativeFrom="column">
              <wp:posOffset>4445</wp:posOffset>
            </wp:positionH>
            <wp:positionV relativeFrom="paragraph">
              <wp:posOffset>362585</wp:posOffset>
            </wp:positionV>
            <wp:extent cx="2794635" cy="1857375"/>
            <wp:effectExtent l="0" t="0" r="0" b="0"/>
            <wp:wrapSquare wrapText="bothSides"/>
            <wp:docPr id="109"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anchor>
        </w:drawing>
      </w:r>
    </w:p>
    <w:p w14:paraId="02B02404" w14:textId="77777777" w:rsidR="002449C2" w:rsidRDefault="00123961">
      <w:pPr>
        <w:pStyle w:val="E"/>
      </w:pPr>
      <w:r>
        <w:rPr>
          <w:noProof/>
        </w:rPr>
        <w:drawing>
          <wp:anchor distT="0" distB="0" distL="0" distR="0" simplePos="0" relativeHeight="9" behindDoc="0" locked="0" layoutInCell="1" allowOverlap="1" wp14:anchorId="39E7DFEC" wp14:editId="0F863794">
            <wp:simplePos x="0" y="0"/>
            <wp:positionH relativeFrom="column">
              <wp:posOffset>3195320</wp:posOffset>
            </wp:positionH>
            <wp:positionV relativeFrom="paragraph">
              <wp:posOffset>2364105</wp:posOffset>
            </wp:positionV>
            <wp:extent cx="2802255" cy="1981200"/>
            <wp:effectExtent l="0" t="0" r="0" b="0"/>
            <wp:wrapSquare wrapText="bothSides"/>
            <wp:docPr id="110" name="Диаграмма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anchor>
        </w:drawing>
      </w:r>
      <w:r>
        <w:rPr>
          <w:noProof/>
        </w:rPr>
        <w:drawing>
          <wp:anchor distT="0" distB="0" distL="0" distR="0" simplePos="0" relativeHeight="12" behindDoc="0" locked="0" layoutInCell="1" allowOverlap="1" wp14:anchorId="2B0EF040" wp14:editId="772385AA">
            <wp:simplePos x="0" y="0"/>
            <wp:positionH relativeFrom="column">
              <wp:posOffset>4445</wp:posOffset>
            </wp:positionH>
            <wp:positionV relativeFrom="paragraph">
              <wp:posOffset>2449830</wp:posOffset>
            </wp:positionV>
            <wp:extent cx="2880360" cy="1943100"/>
            <wp:effectExtent l="0" t="0" r="0" b="0"/>
            <wp:wrapSquare wrapText="bothSides"/>
            <wp:docPr id="111"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anchor>
        </w:drawing>
      </w:r>
    </w:p>
    <w:p w14:paraId="3A624C53" w14:textId="77777777" w:rsidR="002449C2" w:rsidRDefault="002449C2">
      <w:pPr>
        <w:pStyle w:val="E"/>
      </w:pPr>
    </w:p>
    <w:p w14:paraId="6816DFB3" w14:textId="77777777" w:rsidR="002449C2" w:rsidRDefault="002449C2">
      <w:pPr>
        <w:pStyle w:val="E"/>
      </w:pPr>
    </w:p>
    <w:p w14:paraId="5090B4D0" w14:textId="77777777" w:rsidR="002449C2" w:rsidRDefault="002449C2">
      <w:pPr>
        <w:pStyle w:val="E"/>
      </w:pPr>
    </w:p>
    <w:p w14:paraId="5A7560C9" w14:textId="77777777" w:rsidR="002449C2" w:rsidRDefault="002449C2">
      <w:pPr>
        <w:pStyle w:val="E"/>
      </w:pPr>
    </w:p>
    <w:p w14:paraId="7B8DEDB2" w14:textId="77777777" w:rsidR="002449C2" w:rsidRDefault="00123961">
      <w:pPr>
        <w:pStyle w:val="E"/>
        <w:rPr>
          <w:sz w:val="20"/>
          <w:szCs w:val="20"/>
        </w:rPr>
      </w:pPr>
      <w:r>
        <w:br w:type="page"/>
      </w:r>
    </w:p>
    <w:p w14:paraId="0EE4BB88" w14:textId="77777777" w:rsidR="002449C2" w:rsidRDefault="00123961">
      <w:pPr>
        <w:keepNext/>
        <w:keepLines/>
        <w:spacing w:after="120" w:line="240" w:lineRule="auto"/>
        <w:ind w:left="567"/>
        <w:jc w:val="both"/>
        <w:outlineLvl w:val="2"/>
        <w:rPr>
          <w:rFonts w:ascii="Times New Roman" w:eastAsia="Times New Roman" w:hAnsi="Times New Roman"/>
          <w:color w:val="385623"/>
          <w:sz w:val="28"/>
          <w:szCs w:val="28"/>
          <w:lang w:eastAsia="en-US" w:bidi="en-US"/>
        </w:rPr>
      </w:pPr>
      <w:bookmarkStart w:id="178" w:name="_Toc132118342"/>
      <w:bookmarkStart w:id="179" w:name="_Toc195174966"/>
      <w:bookmarkStart w:id="180" w:name="_Toc196143059"/>
      <w:r>
        <w:rPr>
          <w:rFonts w:ascii="Times New Roman" w:eastAsia="Times New Roman" w:hAnsi="Times New Roman"/>
          <w:color w:val="385623"/>
          <w:sz w:val="28"/>
          <w:szCs w:val="28"/>
          <w:lang w:eastAsia="en-US" w:bidi="en-US"/>
        </w:rPr>
        <w:t>Председатель Совета директоров</w:t>
      </w:r>
      <w:bookmarkEnd w:id="178"/>
      <w:bookmarkEnd w:id="179"/>
      <w:bookmarkEnd w:id="180"/>
    </w:p>
    <w:p w14:paraId="77FAF93D" w14:textId="1EC09D4D"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Председатель Совета директоров избирается членами Совета директоров Общества из их числа большинством голосов</w:t>
      </w:r>
      <w:r w:rsidR="00170DFF">
        <w:rPr>
          <w:rFonts w:ascii="Times New Roman" w:eastAsia="Times New Roman" w:hAnsi="Times New Roman"/>
          <w:sz w:val="26"/>
          <w:szCs w:val="26"/>
          <w:lang w:eastAsia="en-US"/>
        </w:rPr>
        <w:t xml:space="preserve"> от общего числа членов Совета директоров</w:t>
      </w:r>
      <w:r>
        <w:rPr>
          <w:rFonts w:ascii="Times New Roman" w:eastAsia="Times New Roman" w:hAnsi="Times New Roman"/>
          <w:sz w:val="26"/>
          <w:szCs w:val="26"/>
          <w:lang w:eastAsia="en-US"/>
        </w:rPr>
        <w:t xml:space="preserve">. Совет директоров вправе в любое время переизбрать Председателя Совета директоров большинством голосов от общего числа членов Совета директоров Общества. Председатель Совета директоров выполняет функции, закрепленные Положением о Совете директоров Общества. </w:t>
      </w:r>
    </w:p>
    <w:p w14:paraId="72389923"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В действующем составе Совета директоров Председателем избран Краинский Даниил Владимирович, который с сентября 2017 года занимал должность заместителя Генерального директора по правовому обеспечению в Публичном акционерном обществе «Российские сети» (до момента завершения реорганизации компании в 2023 году), а с апреля 2020 года в Публичном акционерном обществе «Федеральная сетевая компания - Россети» (предыдущее наименование Публичное акционерное общество «Федеральная сетевая компания Единой энергетической системы»).</w:t>
      </w:r>
    </w:p>
    <w:p w14:paraId="0057B6D9"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Председатель Совета директоров ПАО «Россети Юг» Краинский Д.В. имеет статус неисполнительного директора. Краинский Д.В. не является независимым директором, при этом члены Совета директоров неоднократно голосовали за его избрание (2021-2023 годы), руководствуясь знаниями и профессиональным опытом кандидата. </w:t>
      </w:r>
    </w:p>
    <w:p w14:paraId="400E624C" w14:textId="77777777" w:rsidR="002449C2" w:rsidRDefault="00123961">
      <w:pPr>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В ходе проведенной независимой оценки Совета директоров за 2023-2024 корпоративный год деятельность Краинского Д.В. на посту Председателя Совета директоров была высоко оценена членами Совета директоров, в том числе оценку получили качество организации работы Совета директоров, модерации очных заседаний Совета директоров, вклад в обеспечение эффективной коммуникации между членами Совета директоров, между Советом директоров и менеджментом, создание конструктивной атмосферы в работе Совета директоров. </w:t>
      </w:r>
    </w:p>
    <w:p w14:paraId="02DDD1AF" w14:textId="77777777" w:rsidR="002449C2" w:rsidRDefault="00123961">
      <w:pPr>
        <w:keepNext/>
        <w:keepLines/>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181" w:name="_Toc195174967"/>
      <w:bookmarkStart w:id="182" w:name="_Toc196143060"/>
      <w:r>
        <w:rPr>
          <w:rFonts w:ascii="Times New Roman" w:eastAsia="Times New Roman" w:hAnsi="Times New Roman"/>
          <w:color w:val="385623"/>
          <w:sz w:val="28"/>
          <w:szCs w:val="28"/>
          <w:lang w:eastAsia="en-US" w:bidi="en-US"/>
        </w:rPr>
        <w:t>Независимые директора</w:t>
      </w:r>
      <w:bookmarkEnd w:id="181"/>
      <w:bookmarkEnd w:id="182"/>
    </w:p>
    <w:p w14:paraId="12C1E0CC"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color w:val="000000"/>
          <w:sz w:val="26"/>
          <w:szCs w:val="26"/>
          <w:lang w:eastAsia="en-US"/>
        </w:rPr>
      </w:pPr>
      <w:r>
        <w:rPr>
          <w:rFonts w:ascii="Times New Roman" w:eastAsia="Times New Roman" w:hAnsi="Times New Roman"/>
          <w:color w:val="000000"/>
          <w:sz w:val="26"/>
          <w:szCs w:val="26"/>
          <w:lang w:eastAsia="en-US"/>
        </w:rPr>
        <w:t xml:space="preserve">Кодексом корпоративного управления </w:t>
      </w:r>
      <w:r>
        <w:rPr>
          <w:rFonts w:ascii="Times New Roman" w:eastAsia="Times New Roman" w:hAnsi="Times New Roman"/>
          <w:bCs/>
          <w:color w:val="000000"/>
          <w:sz w:val="26"/>
          <w:szCs w:val="26"/>
          <w:lang w:eastAsia="en-US"/>
        </w:rPr>
        <w:t>Банка России предусмотрено, что в состав Совета директоров должно входить достаточное количество независимых директоров.</w:t>
      </w:r>
      <w:r>
        <w:rPr>
          <w:rFonts w:ascii="Times New Roman" w:eastAsia="Times New Roman" w:hAnsi="Times New Roman"/>
          <w:color w:val="000000"/>
          <w:sz w:val="26"/>
          <w:szCs w:val="26"/>
          <w:lang w:eastAsia="en-US"/>
        </w:rPr>
        <w:t xml:space="preserve"> Общество считает важным наличие в составе Совета директоров независимых директоров.</w:t>
      </w:r>
    </w:p>
    <w:p w14:paraId="32D9AAC2" w14:textId="77777777" w:rsidR="002449C2" w:rsidRDefault="00123961">
      <w:pPr>
        <w:widowControl w:val="0"/>
        <w:shd w:val="clear" w:color="auto" w:fill="FFFFFF"/>
        <w:tabs>
          <w:tab w:val="left" w:pos="142"/>
        </w:tabs>
        <w:spacing w:after="0" w:line="240" w:lineRule="auto"/>
        <w:ind w:firstLine="624"/>
        <w:jc w:val="both"/>
        <w:rPr>
          <w:rFonts w:ascii="Times New Roman" w:eastAsia="Times New Roman" w:hAnsi="Times New Roman"/>
          <w:bCs/>
          <w:color w:val="000000"/>
          <w:sz w:val="26"/>
          <w:szCs w:val="26"/>
          <w:lang w:eastAsia="en-US"/>
        </w:rPr>
      </w:pPr>
      <w:r>
        <w:rPr>
          <w:rFonts w:ascii="Times New Roman" w:eastAsia="Times New Roman" w:hAnsi="Times New Roman"/>
          <w:bCs/>
          <w:color w:val="000000"/>
          <w:sz w:val="26"/>
          <w:szCs w:val="26"/>
          <w:lang w:eastAsia="en-US"/>
        </w:rPr>
        <w:t>В целях обеспечения соответствия ПАО «Россети Юг» рекомендациям Кодекса корпоративного управления Банка России, а также принимая во внимание наличие необходимых оснований Советом директоров Общества принималось решение о признании членов Совета директоров Общества Коротковой М.В., Казакова А.И., Никитчановой Е.В. независимыми директорами, несмотря на наличие у них формальных критериев зависимости (связанности с Обществом, существенным акционером Общества, существенным контрагентом Общества), поскольку такая связанность не будет оказывать влияния на способность соответствующего члена Совета директоров выносить независимые, объективные и добросовестные суждения.</w:t>
      </w:r>
    </w:p>
    <w:p w14:paraId="6378AB3E"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color w:val="000000"/>
          <w:sz w:val="26"/>
          <w:szCs w:val="26"/>
          <w:lang w:eastAsia="en-US"/>
        </w:rPr>
      </w:pPr>
      <w:r>
        <w:rPr>
          <w:rFonts w:ascii="Times New Roman" w:eastAsia="Times New Roman" w:hAnsi="Times New Roman"/>
          <w:color w:val="000000"/>
          <w:sz w:val="26"/>
          <w:szCs w:val="26"/>
          <w:lang w:eastAsia="en-US"/>
        </w:rPr>
        <w:t xml:space="preserve">Существующая структура Совета директоров обеспечивает надлежащий уровень независимости Совета директоров от менеджмента Общества, что позволяет обеспечить должный контроль за его работой. В частности, в Совет директоров ПАО «Россети Юг» входил только один представитель менеджмента – до 26.12.2024 Генеральный директор Общества (Эбзеев Б.Б.). </w:t>
      </w:r>
    </w:p>
    <w:p w14:paraId="274E5067"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color w:val="000000"/>
          <w:sz w:val="26"/>
          <w:szCs w:val="26"/>
          <w:lang w:eastAsia="en-US"/>
        </w:rPr>
      </w:pPr>
      <w:r>
        <w:rPr>
          <w:rFonts w:ascii="Times New Roman" w:eastAsia="Times New Roman" w:hAnsi="Times New Roman"/>
          <w:color w:val="000000"/>
          <w:sz w:val="26"/>
          <w:szCs w:val="26"/>
          <w:lang w:eastAsia="en-US"/>
        </w:rPr>
        <w:t>Кодекс корпоративного управления Банка России рекомендует определять из числа избранных независимых директоров старшего независимого директора, координирующего работу независимых директоров и осуществляющего взаимодействие с председателем совета директоров.</w:t>
      </w:r>
    </w:p>
    <w:p w14:paraId="026F41F5"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color w:val="000000"/>
          <w:sz w:val="26"/>
          <w:szCs w:val="26"/>
          <w:lang w:eastAsia="en-US"/>
        </w:rPr>
      </w:pPr>
      <w:r>
        <w:rPr>
          <w:rFonts w:ascii="Times New Roman" w:eastAsia="Times New Roman" w:hAnsi="Times New Roman"/>
          <w:color w:val="000000"/>
          <w:sz w:val="26"/>
          <w:szCs w:val="26"/>
          <w:lang w:eastAsia="en-US"/>
        </w:rPr>
        <w:t>Старший независимый директор в Обществе не избран. Однако стоить отметить, что практика назначения председателем совета директоров независимого директора в российских компаниях, как в частных, так и с государственным участием, не является распространенной.</w:t>
      </w:r>
    </w:p>
    <w:p w14:paraId="014212DF" w14:textId="77777777" w:rsidR="002449C2" w:rsidRDefault="00123961">
      <w:pPr>
        <w:widowControl w:val="0"/>
        <w:shd w:val="clear" w:color="auto" w:fill="FFFFFF"/>
        <w:tabs>
          <w:tab w:val="left" w:pos="142"/>
        </w:tabs>
        <w:spacing w:before="120" w:after="120" w:line="240" w:lineRule="auto"/>
        <w:ind w:firstLine="567"/>
        <w:jc w:val="both"/>
        <w:rPr>
          <w:rFonts w:ascii="Times New Roman" w:eastAsia="Times New Roman" w:hAnsi="Times New Roman"/>
          <w:b/>
          <w:color w:val="000000"/>
          <w:sz w:val="26"/>
          <w:szCs w:val="26"/>
          <w:lang w:eastAsia="en-US"/>
        </w:rPr>
      </w:pPr>
      <w:r>
        <w:rPr>
          <w:rFonts w:ascii="Times New Roman" w:eastAsia="Times New Roman" w:hAnsi="Times New Roman"/>
          <w:b/>
          <w:color w:val="000000"/>
          <w:sz w:val="26"/>
          <w:szCs w:val="26"/>
          <w:lang w:eastAsia="en-US"/>
        </w:rPr>
        <w:t>Порядок введения в должность новых членов Совета директоров</w:t>
      </w:r>
    </w:p>
    <w:p w14:paraId="5EDAB7B3"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color w:val="000000"/>
          <w:sz w:val="26"/>
          <w:szCs w:val="26"/>
          <w:lang w:eastAsia="en-US"/>
        </w:rPr>
      </w:pPr>
      <w:r>
        <w:rPr>
          <w:rFonts w:ascii="Times New Roman" w:eastAsia="Times New Roman" w:hAnsi="Times New Roman"/>
          <w:color w:val="000000"/>
          <w:sz w:val="26"/>
          <w:szCs w:val="26"/>
          <w:lang w:eastAsia="en-US"/>
        </w:rPr>
        <w:t xml:space="preserve">Положением о Совете директоров предусмотрено, что впервые избранным членам Совета директоров предоставляется возможность получить представление о стратегии Общества, принятой в Обществе системе корпоративного управления, системе управления рисками и внутреннего контроля, распределении обязанностей между исполнительными органами Общества и иную существенную информацию о производственной и финансово-хозяйственной деятельности Общества. </w:t>
      </w:r>
    </w:p>
    <w:p w14:paraId="07C631D4" w14:textId="77777777" w:rsidR="002449C2" w:rsidRDefault="00123961">
      <w:pPr>
        <w:widowControl w:val="0"/>
        <w:shd w:val="clear" w:color="auto" w:fill="FFFFFF"/>
        <w:tabs>
          <w:tab w:val="left" w:pos="142"/>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Приказом ПАО «Россети Юг» от 27.11.2023 №724 утверждено Руководство «Введение в должность вновь избранного(ых) члена(ов) Совета директоров, Комитетов Совета директоров ПАО «Россети Юг». Члены Совета директоров Общества, избранные в 2024 году, были ознакомлены с данным Руководством.</w:t>
      </w:r>
    </w:p>
    <w:p w14:paraId="597256A6" w14:textId="77777777" w:rsidR="002449C2" w:rsidRDefault="00123961">
      <w:pPr>
        <w:widowControl w:val="0"/>
        <w:shd w:val="clear" w:color="auto" w:fill="FFFFFF"/>
        <w:tabs>
          <w:tab w:val="left" w:pos="142"/>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xml:space="preserve">Введение в должность вновь избранных членов Совета директоров включает мероприятия: </w:t>
      </w:r>
    </w:p>
    <w:p w14:paraId="127306D5" w14:textId="77777777" w:rsidR="002449C2" w:rsidRDefault="00123961">
      <w:pPr>
        <w:widowControl w:val="0"/>
        <w:shd w:val="clear" w:color="auto" w:fill="FFFFFF"/>
        <w:tabs>
          <w:tab w:val="left" w:pos="142"/>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1. Ознакомление с Уставом и ключевыми внутренними документами Общества.</w:t>
      </w:r>
    </w:p>
    <w:p w14:paraId="61D9DBC3" w14:textId="77777777" w:rsidR="002449C2" w:rsidRDefault="00123961">
      <w:pPr>
        <w:widowControl w:val="0"/>
        <w:shd w:val="clear" w:color="auto" w:fill="FFFFFF"/>
        <w:tabs>
          <w:tab w:val="left" w:pos="142"/>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2. Ознакомление с правами, обязанностями и ответственностью, информирование о деятельности Общества и организации работы Совета директоров включая:</w:t>
      </w:r>
    </w:p>
    <w:p w14:paraId="7DD0C57E" w14:textId="77777777" w:rsidR="002449C2" w:rsidRDefault="00123961">
      <w:pPr>
        <w:numPr>
          <w:ilvl w:val="0"/>
          <w:numId w:val="37"/>
        </w:numPr>
        <w:tabs>
          <w:tab w:val="left" w:pos="567"/>
          <w:tab w:val="left" w:pos="1069"/>
          <w:tab w:val="left" w:pos="1701"/>
        </w:tabs>
        <w:spacing w:after="0" w:line="240" w:lineRule="auto"/>
        <w:ind w:left="0" w:firstLine="284"/>
        <w:contextualSpacing/>
        <w:jc w:val="both"/>
        <w:rPr>
          <w:rFonts w:ascii="Times New Roman" w:hAnsi="Times New Roman"/>
          <w:sz w:val="26"/>
          <w:szCs w:val="26"/>
          <w:lang w:eastAsia="en-US"/>
        </w:rPr>
      </w:pPr>
      <w:r>
        <w:rPr>
          <w:rFonts w:ascii="Times New Roman" w:hAnsi="Times New Roman"/>
          <w:sz w:val="26"/>
          <w:szCs w:val="26"/>
          <w:lang w:eastAsia="en-US"/>
        </w:rPr>
        <w:t>ознакомление с планом работы Совета директоров и его Комитетов;</w:t>
      </w:r>
    </w:p>
    <w:p w14:paraId="4D356411" w14:textId="77777777" w:rsidR="002449C2" w:rsidRDefault="00123961">
      <w:pPr>
        <w:numPr>
          <w:ilvl w:val="0"/>
          <w:numId w:val="37"/>
        </w:numPr>
        <w:tabs>
          <w:tab w:val="left" w:pos="567"/>
          <w:tab w:val="left" w:pos="1069"/>
          <w:tab w:val="left" w:pos="1701"/>
        </w:tabs>
        <w:spacing w:after="0" w:line="240" w:lineRule="auto"/>
        <w:ind w:left="0" w:firstLine="284"/>
        <w:contextualSpacing/>
        <w:jc w:val="both"/>
        <w:rPr>
          <w:rFonts w:ascii="Times New Roman" w:hAnsi="Times New Roman"/>
          <w:sz w:val="26"/>
          <w:szCs w:val="26"/>
          <w:lang w:eastAsia="en-US"/>
        </w:rPr>
      </w:pPr>
      <w:r>
        <w:rPr>
          <w:rFonts w:ascii="Times New Roman" w:hAnsi="Times New Roman"/>
          <w:sz w:val="26"/>
          <w:szCs w:val="26"/>
          <w:lang w:eastAsia="en-US"/>
        </w:rPr>
        <w:t>предоставление отчетной информации об итогах деятельности Совета директоров за корпоративный год;</w:t>
      </w:r>
    </w:p>
    <w:p w14:paraId="144CAC3B" w14:textId="77777777" w:rsidR="002449C2" w:rsidRDefault="00123961">
      <w:pPr>
        <w:numPr>
          <w:ilvl w:val="0"/>
          <w:numId w:val="37"/>
        </w:numPr>
        <w:tabs>
          <w:tab w:val="left" w:pos="567"/>
          <w:tab w:val="left" w:pos="1069"/>
          <w:tab w:val="left" w:pos="1701"/>
        </w:tabs>
        <w:spacing w:after="0" w:line="240" w:lineRule="auto"/>
        <w:ind w:left="0" w:firstLine="284"/>
        <w:contextualSpacing/>
        <w:jc w:val="both"/>
        <w:rPr>
          <w:rFonts w:ascii="Times New Roman" w:hAnsi="Times New Roman"/>
          <w:sz w:val="26"/>
          <w:szCs w:val="26"/>
          <w:lang w:eastAsia="en-US"/>
        </w:rPr>
      </w:pPr>
      <w:r>
        <w:rPr>
          <w:rFonts w:ascii="Times New Roman" w:hAnsi="Times New Roman"/>
          <w:sz w:val="26"/>
          <w:szCs w:val="26"/>
          <w:lang w:eastAsia="en-US"/>
        </w:rPr>
        <w:t>информирование об условиях страхования ответственности членов Совета директоров;</w:t>
      </w:r>
    </w:p>
    <w:p w14:paraId="5C7814EB" w14:textId="77777777" w:rsidR="002449C2" w:rsidRDefault="00123961">
      <w:pPr>
        <w:numPr>
          <w:ilvl w:val="0"/>
          <w:numId w:val="37"/>
        </w:numPr>
        <w:tabs>
          <w:tab w:val="left" w:pos="567"/>
          <w:tab w:val="left" w:pos="1069"/>
          <w:tab w:val="left" w:pos="1701"/>
        </w:tabs>
        <w:spacing w:after="0" w:line="240" w:lineRule="auto"/>
        <w:ind w:left="0" w:firstLine="284"/>
        <w:contextualSpacing/>
        <w:jc w:val="both"/>
        <w:rPr>
          <w:rFonts w:ascii="Times New Roman" w:hAnsi="Times New Roman"/>
          <w:sz w:val="26"/>
          <w:szCs w:val="26"/>
          <w:lang w:eastAsia="en-US"/>
        </w:rPr>
      </w:pPr>
      <w:r>
        <w:rPr>
          <w:rFonts w:ascii="Times New Roman" w:hAnsi="Times New Roman"/>
          <w:sz w:val="26"/>
          <w:szCs w:val="26"/>
          <w:lang w:eastAsia="en-US"/>
        </w:rPr>
        <w:t>информирование о порядке обращения с материалами, содержащими конфиденциальную информацию, порядке доступа членов Совета директоров и их помощников к инсайдерской информации и порядке его прекращения;</w:t>
      </w:r>
    </w:p>
    <w:p w14:paraId="05C77223" w14:textId="77777777" w:rsidR="002449C2" w:rsidRDefault="00123961">
      <w:pPr>
        <w:numPr>
          <w:ilvl w:val="0"/>
          <w:numId w:val="37"/>
        </w:numPr>
        <w:tabs>
          <w:tab w:val="left" w:pos="567"/>
          <w:tab w:val="left" w:pos="1069"/>
          <w:tab w:val="left" w:pos="1701"/>
        </w:tabs>
        <w:spacing w:after="0" w:line="240" w:lineRule="auto"/>
        <w:ind w:left="0" w:firstLine="284"/>
        <w:contextualSpacing/>
        <w:jc w:val="both"/>
        <w:rPr>
          <w:rFonts w:ascii="Times New Roman" w:hAnsi="Times New Roman"/>
          <w:sz w:val="26"/>
          <w:szCs w:val="26"/>
          <w:lang w:eastAsia="en-US"/>
        </w:rPr>
      </w:pPr>
      <w:r>
        <w:rPr>
          <w:rFonts w:ascii="Times New Roman" w:hAnsi="Times New Roman"/>
          <w:sz w:val="26"/>
          <w:szCs w:val="26"/>
          <w:lang w:eastAsia="en-US"/>
        </w:rPr>
        <w:t>информирование об органах управления Общества.</w:t>
      </w:r>
    </w:p>
    <w:p w14:paraId="4F72585E" w14:textId="77777777" w:rsidR="002449C2" w:rsidRDefault="00123961">
      <w:pPr>
        <w:widowControl w:val="0"/>
        <w:shd w:val="clear" w:color="auto" w:fill="FFFFFF"/>
        <w:tabs>
          <w:tab w:val="left" w:pos="142"/>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3. Знакомство с деятельностью Общества и Совета директоров, в том числе проведение встреч с Председателем Совета директоров, исполнительными органами, менеджментом Общества, а также посещение объектов электросетевого хозяйства Общества, получение подробных ответов на все интересующие вопросы.</w:t>
      </w:r>
    </w:p>
    <w:p w14:paraId="70B4FC11" w14:textId="77777777" w:rsidR="002449C2" w:rsidRDefault="00123961">
      <w:pPr>
        <w:keepNext/>
        <w:keepLines/>
        <w:shd w:val="clear" w:color="auto" w:fill="FFFFFF"/>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183" w:name="_Toc195174968"/>
      <w:bookmarkStart w:id="184" w:name="_Toc196143061"/>
      <w:r>
        <w:rPr>
          <w:rFonts w:ascii="Times New Roman" w:eastAsia="Times New Roman" w:hAnsi="Times New Roman"/>
          <w:color w:val="385623"/>
          <w:sz w:val="28"/>
          <w:szCs w:val="28"/>
          <w:lang w:eastAsia="en-US" w:bidi="en-US"/>
        </w:rPr>
        <w:t>Страхование ответственности членов Совета директоров</w:t>
      </w:r>
      <w:bookmarkEnd w:id="183"/>
      <w:bookmarkEnd w:id="184"/>
    </w:p>
    <w:p w14:paraId="6A3703EC" w14:textId="77777777" w:rsidR="002449C2" w:rsidRDefault="00123961">
      <w:pPr>
        <w:widowControl w:val="0"/>
        <w:shd w:val="clear" w:color="auto" w:fill="FFFFFF"/>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 25.09.2023 страхование осуществляется в рамках договора страхования ответственности директоров, должностных лиц и компаний, заключенного между ПАО «Россети» и Лидером коллективного участника: Акционерное общество «Страховое общество газовой промышленности» (АО «СОГАЗ»), действующее от имени участников консорциума: Страховое акционерное общество «ВСК» (САО «ВСК»), Акционерное общество  «АльфаСтрахование» (АО «АльфаСтрахование»), Общество с ограниченной ответственностью Страховая компания «Сбербанк страхование» (ООО СК «Сбербанк страхование»).</w:t>
      </w:r>
    </w:p>
    <w:p w14:paraId="5B9E565D" w14:textId="77777777" w:rsidR="002449C2" w:rsidRDefault="00123961">
      <w:pPr>
        <w:keepNext/>
        <w:keepLines/>
        <w:shd w:val="clear" w:color="auto" w:fill="FFFFFF"/>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185" w:name="_Toc195174969"/>
      <w:bookmarkStart w:id="186" w:name="_Toc196143062"/>
      <w:r>
        <w:rPr>
          <w:rFonts w:ascii="Times New Roman" w:eastAsia="Times New Roman" w:hAnsi="Times New Roman"/>
          <w:color w:val="385623"/>
          <w:sz w:val="28"/>
          <w:szCs w:val="28"/>
          <w:lang w:eastAsia="en-US" w:bidi="en-US"/>
        </w:rPr>
        <w:t>Регулирование конфликта интересов члена Совета директоров</w:t>
      </w:r>
      <w:bookmarkEnd w:id="185"/>
      <w:bookmarkEnd w:id="186"/>
    </w:p>
    <w:p w14:paraId="6464219F" w14:textId="77777777" w:rsidR="002449C2" w:rsidRDefault="002449C2">
      <w:pPr>
        <w:widowControl w:val="0"/>
        <w:shd w:val="clear" w:color="auto" w:fill="FFFFFF"/>
        <w:spacing w:after="0" w:line="240" w:lineRule="auto"/>
        <w:ind w:firstLine="567"/>
        <w:jc w:val="both"/>
        <w:rPr>
          <w:rFonts w:ascii="Times New Roman" w:eastAsia="Times New Roman" w:hAnsi="Times New Roman"/>
          <w:sz w:val="26"/>
          <w:szCs w:val="26"/>
          <w:lang w:eastAsia="ru-RU"/>
        </w:rPr>
      </w:pPr>
    </w:p>
    <w:p w14:paraId="706AC9EB" w14:textId="77777777" w:rsidR="002449C2" w:rsidRDefault="00123961">
      <w:pPr>
        <w:widowControl w:val="0"/>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соответствии с Положением о Совете директоров члены Совета директоров должны воздерживаться от действий, которые приведут или могут привести к возникновению конфликта между их интересами и интересами Общества. </w:t>
      </w:r>
    </w:p>
    <w:p w14:paraId="4BD1318F" w14:textId="77777777" w:rsidR="002449C2" w:rsidRDefault="00123961">
      <w:pPr>
        <w:widowControl w:val="0"/>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При возникновении потенциального конфликта интересов у члена Совета директоров, в том числе при наличии заинтересованности в совершении Обществом сделки, такой член Совета директоров обязан незамедлительно сообщить об этом Совету директоров Общества и в любом случае ставить интересы Общества выше собственных интересов. Такое сообщение должно быть в любом случае сделано до начала обсуждения вопроса, по которому у такого члена Совета директоров имеется конфликт интересов, на заседании Совета директоров.</w:t>
      </w:r>
    </w:p>
    <w:p w14:paraId="33671816" w14:textId="77777777" w:rsidR="002449C2" w:rsidRDefault="002449C2">
      <w:pPr>
        <w:shd w:val="clear" w:color="auto" w:fill="FFFFFF"/>
        <w:spacing w:before="120" w:after="120" w:line="240" w:lineRule="auto"/>
        <w:jc w:val="center"/>
        <w:rPr>
          <w:rFonts w:ascii="Times New Roman" w:eastAsia="Times New Roman" w:hAnsi="Times New Roman"/>
          <w:b/>
          <w:sz w:val="26"/>
          <w:szCs w:val="26"/>
          <w:lang w:eastAsia="ru-RU"/>
        </w:rPr>
      </w:pPr>
    </w:p>
    <w:p w14:paraId="1513D55E" w14:textId="77777777" w:rsidR="002449C2" w:rsidRDefault="00123961">
      <w:pPr>
        <w:keepNext/>
        <w:keepLines/>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187" w:name="_Toc195174970"/>
      <w:bookmarkStart w:id="188" w:name="_Toc196143063"/>
      <w:r>
        <w:rPr>
          <w:rFonts w:ascii="Times New Roman" w:eastAsia="Times New Roman" w:hAnsi="Times New Roman"/>
          <w:color w:val="385623"/>
          <w:sz w:val="28"/>
          <w:szCs w:val="28"/>
          <w:lang w:eastAsia="en-US" w:bidi="en-US"/>
        </w:rPr>
        <w:t>Биографии членов Совета директоров</w:t>
      </w:r>
      <w:bookmarkEnd w:id="187"/>
      <w:bookmarkEnd w:id="188"/>
    </w:p>
    <w:p w14:paraId="34ED34AA"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Состав Совета директоров Общества сбалансирован с точки зрения наличия у его членов ключевых навыков, необходимых для эффективной работы. Члены Совета директоров обладают навыками в области бухгалтерского учета и корпоративных финансов, стратегического менеджмента, корпоративного управления и в областях, специфических для сферы деятельности Общества.</w:t>
      </w:r>
    </w:p>
    <w:p w14:paraId="0B0A3C79"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Действующий по состоянию на 31.12.2024 состав Совета директоров Общества избран годовым Общим собранием акционеров 19.06.2024 (протокол от 19.06.2024 №27). Все члены Совета директоров являются гражданами Российской Федерации.</w:t>
      </w:r>
    </w:p>
    <w:p w14:paraId="22BE91DA"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Избрание членов Совета директоров происходит посредством прозрачной процедуры, позволяющей акционерами получить информацию о кандидатах, достаточную для формирования представления об их личных и профессиональных качествах.</w:t>
      </w:r>
    </w:p>
    <w:p w14:paraId="03EE0BE6"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Информационные материалы к собраниям (включая сведения о кандидатах) размещаются на сайте Общества на русском и английском языках. </w:t>
      </w:r>
    </w:p>
    <w:p w14:paraId="5E4B36C4"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Члены Совета директоров Компании имеют значительный управленческий и отраслевой опыт, являются авторитетными специалистами в области электроэнергетики, вносят ценный вклад в работу Совета директоров и его Комитетов.</w:t>
      </w:r>
    </w:p>
    <w:p w14:paraId="0680F099" w14:textId="77777777" w:rsidR="002449C2" w:rsidRDefault="002449C2">
      <w:pPr>
        <w:shd w:val="clear" w:color="auto" w:fill="FFFFFF"/>
        <w:spacing w:after="0" w:line="240" w:lineRule="auto"/>
        <w:ind w:firstLine="567"/>
        <w:jc w:val="both"/>
        <w:rPr>
          <w:rFonts w:ascii="Times New Roman" w:eastAsia="Times New Roman" w:hAnsi="Times New Roman"/>
          <w:b/>
          <w:sz w:val="26"/>
          <w:szCs w:val="26"/>
          <w:lang w:eastAsia="ru-RU"/>
        </w:rPr>
      </w:pPr>
    </w:p>
    <w:p w14:paraId="1B9AC692" w14:textId="77777777" w:rsidR="002449C2" w:rsidRDefault="00123961">
      <w:pPr>
        <w:spacing w:after="160" w:line="259" w:lineRule="auto"/>
        <w:ind w:left="142"/>
        <w:rPr>
          <w:rFonts w:ascii="Times New Roman" w:hAnsi="Times New Roman"/>
          <w:b/>
          <w:sz w:val="26"/>
          <w:szCs w:val="26"/>
          <w:lang w:eastAsia="en-US"/>
        </w:rPr>
      </w:pPr>
      <w:r>
        <w:rPr>
          <w:rFonts w:ascii="Times New Roman" w:hAnsi="Times New Roman"/>
          <w:b/>
          <w:bCs/>
          <w:sz w:val="26"/>
          <w:szCs w:val="26"/>
          <w:lang w:eastAsia="en-US"/>
        </w:rPr>
        <w:t xml:space="preserve">Краинский Даниил Владимирович, </w:t>
      </w:r>
      <w:r>
        <w:rPr>
          <w:rFonts w:ascii="Times New Roman" w:hAnsi="Times New Roman"/>
          <w:bCs/>
          <w:i/>
          <w:sz w:val="26"/>
          <w:szCs w:val="26"/>
          <w:lang w:eastAsia="en-US"/>
        </w:rPr>
        <w:t>Председатель Совета директоров</w:t>
      </w:r>
      <w:r>
        <w:rPr>
          <w:rFonts w:ascii="Times New Roman" w:hAnsi="Times New Roman"/>
          <w:b/>
          <w:sz w:val="26"/>
          <w:szCs w:val="26"/>
          <w:lang w:eastAsia="en-US"/>
        </w:rPr>
        <w:t xml:space="preserve">  </w:t>
      </w:r>
    </w:p>
    <w:tbl>
      <w:tblPr>
        <w:tblW w:w="932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1"/>
        <w:gridCol w:w="1210"/>
        <w:gridCol w:w="2347"/>
        <w:gridCol w:w="1385"/>
        <w:gridCol w:w="3515"/>
      </w:tblGrid>
      <w:tr w:rsidR="002449C2" w14:paraId="4569DBF5" w14:textId="77777777" w:rsidTr="00C62121">
        <w:trPr>
          <w:trHeight w:val="20"/>
        </w:trPr>
        <w:tc>
          <w:tcPr>
            <w:tcW w:w="9328" w:type="dxa"/>
            <w:gridSpan w:val="5"/>
            <w:vAlign w:val="center"/>
          </w:tcPr>
          <w:p w14:paraId="1BC0903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Общая информация о члене Совета директоров ПАО «Россети Юг»</w:t>
            </w:r>
          </w:p>
        </w:tc>
      </w:tr>
      <w:tr w:rsidR="00C62121" w14:paraId="693F8D16" w14:textId="77777777" w:rsidTr="00E50F6F">
        <w:trPr>
          <w:trHeight w:val="20"/>
        </w:trPr>
        <w:tc>
          <w:tcPr>
            <w:tcW w:w="4428" w:type="dxa"/>
            <w:gridSpan w:val="3"/>
            <w:vAlign w:val="center"/>
          </w:tcPr>
          <w:p w14:paraId="09282C82" w14:textId="77777777" w:rsidR="00C62121" w:rsidRDefault="00C6212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Год рождения</w:t>
            </w:r>
          </w:p>
        </w:tc>
        <w:tc>
          <w:tcPr>
            <w:tcW w:w="4900" w:type="dxa"/>
            <w:gridSpan w:val="2"/>
            <w:vAlign w:val="center"/>
          </w:tcPr>
          <w:p w14:paraId="6C7BECFD" w14:textId="136C5E3B" w:rsidR="00C62121" w:rsidRDefault="00C62121">
            <w:r>
              <w:rPr>
                <w:rFonts w:ascii="Times New Roman" w:eastAsia="Times New Roman" w:hAnsi="Times New Roman"/>
                <w:color w:val="000000"/>
                <w:sz w:val="20"/>
                <w:szCs w:val="20"/>
                <w:lang w:eastAsia="ru-RU"/>
              </w:rPr>
              <w:t>1979</w:t>
            </w:r>
          </w:p>
        </w:tc>
      </w:tr>
      <w:tr w:rsidR="00C62121" w14:paraId="46666065" w14:textId="77777777" w:rsidTr="00E50F6F">
        <w:trPr>
          <w:trHeight w:val="435"/>
        </w:trPr>
        <w:tc>
          <w:tcPr>
            <w:tcW w:w="4428" w:type="dxa"/>
            <w:gridSpan w:val="3"/>
            <w:vAlign w:val="center"/>
          </w:tcPr>
          <w:p w14:paraId="4614637A" w14:textId="77777777" w:rsidR="00C62121" w:rsidRDefault="00C6212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Сведения об образовании</w:t>
            </w:r>
          </w:p>
          <w:p w14:paraId="17391B09" w14:textId="77777777" w:rsidR="00C62121" w:rsidRDefault="00C62121" w:rsidP="00A61B74">
            <w:pPr>
              <w:spacing w:after="0" w:line="240" w:lineRule="auto"/>
              <w:ind w:right="-81"/>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(год, университет, квалификация, специальность)</w:t>
            </w:r>
          </w:p>
        </w:tc>
        <w:tc>
          <w:tcPr>
            <w:tcW w:w="4900" w:type="dxa"/>
            <w:gridSpan w:val="2"/>
            <w:vAlign w:val="center"/>
          </w:tcPr>
          <w:p w14:paraId="2E64CD41" w14:textId="77777777" w:rsidR="00C62121" w:rsidRDefault="00C6212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Высшее.</w:t>
            </w:r>
          </w:p>
          <w:p w14:paraId="61319678" w14:textId="6C231180" w:rsidR="00C62121" w:rsidRDefault="00C62121">
            <w:r>
              <w:rPr>
                <w:rFonts w:ascii="Times New Roman" w:eastAsia="Times New Roman" w:hAnsi="Times New Roman"/>
                <w:color w:val="000000"/>
                <w:sz w:val="20"/>
                <w:szCs w:val="20"/>
                <w:lang w:eastAsia="ru-RU"/>
              </w:rPr>
              <w:t>2002, Московская государственная юридическая академия, квалификация «юрист», специальность «юриспруденция».</w:t>
            </w:r>
          </w:p>
        </w:tc>
      </w:tr>
      <w:tr w:rsidR="00C62121" w14:paraId="4D81A028" w14:textId="77777777" w:rsidTr="00E50F6F">
        <w:trPr>
          <w:trHeight w:val="20"/>
        </w:trPr>
        <w:tc>
          <w:tcPr>
            <w:tcW w:w="4428" w:type="dxa"/>
            <w:gridSpan w:val="3"/>
            <w:vAlign w:val="center"/>
          </w:tcPr>
          <w:p w14:paraId="608CE49F" w14:textId="77777777" w:rsidR="00C62121" w:rsidRDefault="00C6212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Основное место работы, должность</w:t>
            </w:r>
          </w:p>
        </w:tc>
        <w:tc>
          <w:tcPr>
            <w:tcW w:w="4900" w:type="dxa"/>
            <w:gridSpan w:val="2"/>
            <w:vAlign w:val="center"/>
          </w:tcPr>
          <w:p w14:paraId="5A6AC7D8" w14:textId="07497537" w:rsidR="00C62121" w:rsidRDefault="00C62121">
            <w:r>
              <w:rPr>
                <w:rFonts w:ascii="Times New Roman" w:eastAsia="Times New Roman" w:hAnsi="Times New Roman"/>
                <w:bCs/>
                <w:color w:val="000000"/>
                <w:sz w:val="20"/>
                <w:szCs w:val="20"/>
                <w:lang w:eastAsia="ru-RU"/>
              </w:rPr>
              <w:t>ПАО «Россети», Заместитель Генерального директора по правовому обеспечению</w:t>
            </w:r>
          </w:p>
        </w:tc>
      </w:tr>
      <w:tr w:rsidR="002449C2" w14:paraId="294C38CF" w14:textId="77777777" w:rsidTr="00C62121">
        <w:trPr>
          <w:trHeight w:val="20"/>
        </w:trPr>
        <w:tc>
          <w:tcPr>
            <w:tcW w:w="9328" w:type="dxa"/>
            <w:gridSpan w:val="5"/>
            <w:vAlign w:val="center"/>
          </w:tcPr>
          <w:p w14:paraId="00E9ED9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Участие в органах управления и контроля</w:t>
            </w:r>
          </w:p>
        </w:tc>
      </w:tr>
      <w:tr w:rsidR="002449C2" w14:paraId="5DA2F4A7" w14:textId="77777777" w:rsidTr="00C62121">
        <w:trPr>
          <w:trHeight w:val="20"/>
        </w:trPr>
        <w:tc>
          <w:tcPr>
            <w:tcW w:w="2081" w:type="dxa"/>
            <w:gridSpan w:val="2"/>
            <w:vAlign w:val="center"/>
          </w:tcPr>
          <w:p w14:paraId="6C2C223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Период</w:t>
            </w:r>
          </w:p>
        </w:tc>
        <w:tc>
          <w:tcPr>
            <w:tcW w:w="3732" w:type="dxa"/>
            <w:gridSpan w:val="2"/>
            <w:vMerge w:val="restart"/>
            <w:vAlign w:val="center"/>
          </w:tcPr>
          <w:p w14:paraId="74293BC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Наименование организации</w:t>
            </w:r>
          </w:p>
        </w:tc>
        <w:tc>
          <w:tcPr>
            <w:tcW w:w="3515" w:type="dxa"/>
            <w:vMerge w:val="restart"/>
            <w:vAlign w:val="center"/>
          </w:tcPr>
          <w:p w14:paraId="6CE6644E"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Должность</w:t>
            </w:r>
          </w:p>
        </w:tc>
      </w:tr>
      <w:tr w:rsidR="002449C2" w14:paraId="765CCFE9" w14:textId="77777777" w:rsidTr="00C62121">
        <w:trPr>
          <w:trHeight w:val="20"/>
        </w:trPr>
        <w:tc>
          <w:tcPr>
            <w:tcW w:w="871" w:type="dxa"/>
            <w:vAlign w:val="center"/>
          </w:tcPr>
          <w:p w14:paraId="4F908F4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с</w:t>
            </w:r>
          </w:p>
        </w:tc>
        <w:tc>
          <w:tcPr>
            <w:tcW w:w="1210" w:type="dxa"/>
            <w:vAlign w:val="center"/>
          </w:tcPr>
          <w:p w14:paraId="77D62E4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по</w:t>
            </w:r>
          </w:p>
        </w:tc>
        <w:tc>
          <w:tcPr>
            <w:tcW w:w="3732" w:type="dxa"/>
            <w:gridSpan w:val="2"/>
            <w:vMerge/>
            <w:vAlign w:val="center"/>
          </w:tcPr>
          <w:p w14:paraId="6EBA2132" w14:textId="77777777" w:rsidR="002449C2" w:rsidRDefault="002449C2">
            <w:pPr>
              <w:spacing w:after="0" w:line="240" w:lineRule="auto"/>
              <w:jc w:val="both"/>
              <w:rPr>
                <w:rFonts w:ascii="Times New Roman" w:eastAsia="Times New Roman" w:hAnsi="Times New Roman"/>
                <w:color w:val="000000"/>
                <w:sz w:val="20"/>
                <w:szCs w:val="20"/>
                <w:lang w:eastAsia="ru-RU"/>
              </w:rPr>
            </w:pPr>
          </w:p>
        </w:tc>
        <w:tc>
          <w:tcPr>
            <w:tcW w:w="3515" w:type="dxa"/>
            <w:vMerge/>
            <w:vAlign w:val="center"/>
          </w:tcPr>
          <w:p w14:paraId="75987F69" w14:textId="77777777" w:rsidR="002449C2" w:rsidRDefault="002449C2">
            <w:pPr>
              <w:spacing w:after="0" w:line="240" w:lineRule="auto"/>
              <w:jc w:val="both"/>
              <w:rPr>
                <w:rFonts w:ascii="Times New Roman" w:eastAsia="Times New Roman" w:hAnsi="Times New Roman"/>
                <w:color w:val="000000"/>
                <w:sz w:val="20"/>
                <w:szCs w:val="20"/>
                <w:lang w:eastAsia="ru-RU"/>
              </w:rPr>
            </w:pPr>
          </w:p>
        </w:tc>
      </w:tr>
      <w:tr w:rsidR="002449C2" w14:paraId="547D673E" w14:textId="77777777" w:rsidTr="00C62121">
        <w:trPr>
          <w:trHeight w:val="20"/>
        </w:trPr>
        <w:tc>
          <w:tcPr>
            <w:tcW w:w="871" w:type="dxa"/>
            <w:vAlign w:val="center"/>
          </w:tcPr>
          <w:p w14:paraId="61A105B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2017</w:t>
            </w:r>
          </w:p>
        </w:tc>
        <w:tc>
          <w:tcPr>
            <w:tcW w:w="1210" w:type="dxa"/>
            <w:vAlign w:val="center"/>
          </w:tcPr>
          <w:p w14:paraId="7965493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3DB6E05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«Российские сети»</w:t>
            </w:r>
          </w:p>
        </w:tc>
        <w:tc>
          <w:tcPr>
            <w:tcW w:w="3515" w:type="dxa"/>
            <w:vAlign w:val="center"/>
          </w:tcPr>
          <w:p w14:paraId="2BC8E171"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Заместитель Генерального директора по правовому обеспечению, ранее – Советник, главный советник</w:t>
            </w:r>
          </w:p>
        </w:tc>
      </w:tr>
      <w:tr w:rsidR="002449C2" w14:paraId="7D7B8B59" w14:textId="77777777" w:rsidTr="00C62121">
        <w:trPr>
          <w:trHeight w:val="20"/>
        </w:trPr>
        <w:tc>
          <w:tcPr>
            <w:tcW w:w="871" w:type="dxa"/>
            <w:vAlign w:val="center"/>
          </w:tcPr>
          <w:p w14:paraId="69EEA26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2018</w:t>
            </w:r>
          </w:p>
        </w:tc>
        <w:tc>
          <w:tcPr>
            <w:tcW w:w="1210" w:type="dxa"/>
            <w:vAlign w:val="center"/>
          </w:tcPr>
          <w:p w14:paraId="02D8D39D"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533AD61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Ленэнерго»</w:t>
            </w:r>
          </w:p>
        </w:tc>
        <w:tc>
          <w:tcPr>
            <w:tcW w:w="3515" w:type="dxa"/>
            <w:vAlign w:val="center"/>
          </w:tcPr>
          <w:p w14:paraId="133543ED"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Советник генерального директора (по совместительству), ранее - Заместитель генерального директора по правовому и корпоративному управлению</w:t>
            </w:r>
          </w:p>
        </w:tc>
      </w:tr>
      <w:tr w:rsidR="002449C2" w14:paraId="5A7BFA52" w14:textId="77777777" w:rsidTr="00C62121">
        <w:trPr>
          <w:trHeight w:val="20"/>
        </w:trPr>
        <w:tc>
          <w:tcPr>
            <w:tcW w:w="871" w:type="dxa"/>
            <w:vAlign w:val="center"/>
          </w:tcPr>
          <w:p w14:paraId="079DD4A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2020</w:t>
            </w:r>
          </w:p>
        </w:tc>
        <w:tc>
          <w:tcPr>
            <w:tcW w:w="1210" w:type="dxa"/>
            <w:vAlign w:val="center"/>
          </w:tcPr>
          <w:p w14:paraId="4CF33C11"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2A5443A0"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«Федеральная сетевая компания – Россети»</w:t>
            </w:r>
          </w:p>
        </w:tc>
        <w:tc>
          <w:tcPr>
            <w:tcW w:w="3515" w:type="dxa"/>
            <w:vAlign w:val="center"/>
          </w:tcPr>
          <w:p w14:paraId="7DB316B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Заместитель Генерального директора по правовому обеспечению (ранее – по совместительству)</w:t>
            </w:r>
          </w:p>
        </w:tc>
      </w:tr>
      <w:tr w:rsidR="002449C2" w14:paraId="5BAB40A9" w14:textId="77777777" w:rsidTr="00C62121">
        <w:trPr>
          <w:trHeight w:val="20"/>
        </w:trPr>
        <w:tc>
          <w:tcPr>
            <w:tcW w:w="871" w:type="dxa"/>
            <w:vAlign w:val="center"/>
          </w:tcPr>
          <w:p w14:paraId="613EF55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2018</w:t>
            </w:r>
          </w:p>
        </w:tc>
        <w:tc>
          <w:tcPr>
            <w:tcW w:w="1210" w:type="dxa"/>
            <w:vAlign w:val="center"/>
          </w:tcPr>
          <w:p w14:paraId="475673AD"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3732" w:type="dxa"/>
            <w:gridSpan w:val="2"/>
            <w:vAlign w:val="center"/>
          </w:tcPr>
          <w:p w14:paraId="5AA09DB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«Энергосервисная компания Ленэнерго»</w:t>
            </w:r>
          </w:p>
        </w:tc>
        <w:tc>
          <w:tcPr>
            <w:tcW w:w="3515" w:type="dxa"/>
            <w:vAlign w:val="center"/>
          </w:tcPr>
          <w:p w14:paraId="5ECF8EE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Председатель Совета директоров</w:t>
            </w:r>
          </w:p>
        </w:tc>
      </w:tr>
      <w:tr w:rsidR="002449C2" w14:paraId="1BEFAA64" w14:textId="77777777" w:rsidTr="00C62121">
        <w:trPr>
          <w:trHeight w:val="20"/>
        </w:trPr>
        <w:tc>
          <w:tcPr>
            <w:tcW w:w="871" w:type="dxa"/>
            <w:vAlign w:val="center"/>
          </w:tcPr>
          <w:p w14:paraId="53DC8B6E"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2018</w:t>
            </w:r>
          </w:p>
        </w:tc>
        <w:tc>
          <w:tcPr>
            <w:tcW w:w="1210" w:type="dxa"/>
            <w:vAlign w:val="center"/>
          </w:tcPr>
          <w:p w14:paraId="4EDDD45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2F284EE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Ленэнерго»</w:t>
            </w:r>
          </w:p>
        </w:tc>
        <w:tc>
          <w:tcPr>
            <w:tcW w:w="3515" w:type="dxa"/>
            <w:vAlign w:val="center"/>
          </w:tcPr>
          <w:p w14:paraId="38687F7D"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6F322E8F" w14:textId="77777777" w:rsidTr="00C62121">
        <w:trPr>
          <w:trHeight w:val="20"/>
        </w:trPr>
        <w:tc>
          <w:tcPr>
            <w:tcW w:w="871" w:type="dxa"/>
            <w:vAlign w:val="center"/>
          </w:tcPr>
          <w:p w14:paraId="546878D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2019</w:t>
            </w:r>
          </w:p>
        </w:tc>
        <w:tc>
          <w:tcPr>
            <w:tcW w:w="1210" w:type="dxa"/>
            <w:vAlign w:val="center"/>
          </w:tcPr>
          <w:p w14:paraId="46F0F15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2467DF5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Ленэнерго»</w:t>
            </w:r>
          </w:p>
        </w:tc>
        <w:tc>
          <w:tcPr>
            <w:tcW w:w="3515" w:type="dxa"/>
            <w:vAlign w:val="center"/>
          </w:tcPr>
          <w:p w14:paraId="3FEFD7A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Правления</w:t>
            </w:r>
          </w:p>
        </w:tc>
      </w:tr>
      <w:tr w:rsidR="002449C2" w14:paraId="1E05B4FE" w14:textId="77777777" w:rsidTr="00C62121">
        <w:trPr>
          <w:trHeight w:val="20"/>
        </w:trPr>
        <w:tc>
          <w:tcPr>
            <w:tcW w:w="871" w:type="dxa"/>
            <w:vAlign w:val="center"/>
          </w:tcPr>
          <w:p w14:paraId="733129E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2020</w:t>
            </w:r>
          </w:p>
        </w:tc>
        <w:tc>
          <w:tcPr>
            <w:tcW w:w="1210" w:type="dxa"/>
            <w:vAlign w:val="center"/>
          </w:tcPr>
          <w:p w14:paraId="402213E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7661942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Урал»</w:t>
            </w:r>
          </w:p>
        </w:tc>
        <w:tc>
          <w:tcPr>
            <w:tcW w:w="3515" w:type="dxa"/>
            <w:vAlign w:val="center"/>
          </w:tcPr>
          <w:p w14:paraId="187D67D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 Председатель Совета директоров</w:t>
            </w:r>
          </w:p>
        </w:tc>
      </w:tr>
      <w:tr w:rsidR="002449C2" w14:paraId="1979D710" w14:textId="77777777" w:rsidTr="00C62121">
        <w:trPr>
          <w:trHeight w:val="20"/>
        </w:trPr>
        <w:tc>
          <w:tcPr>
            <w:tcW w:w="871" w:type="dxa"/>
            <w:vAlign w:val="center"/>
          </w:tcPr>
          <w:p w14:paraId="5BFD40D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2020</w:t>
            </w:r>
          </w:p>
        </w:tc>
        <w:tc>
          <w:tcPr>
            <w:tcW w:w="1210" w:type="dxa"/>
            <w:vAlign w:val="center"/>
          </w:tcPr>
          <w:p w14:paraId="1DADB71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2C5613F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Сибирь»</w:t>
            </w:r>
          </w:p>
        </w:tc>
        <w:tc>
          <w:tcPr>
            <w:tcW w:w="3515" w:type="dxa"/>
            <w:vAlign w:val="center"/>
          </w:tcPr>
          <w:p w14:paraId="7D49F64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0403D336" w14:textId="77777777" w:rsidTr="00C62121">
        <w:trPr>
          <w:trHeight w:val="20"/>
        </w:trPr>
        <w:tc>
          <w:tcPr>
            <w:tcW w:w="871" w:type="dxa"/>
            <w:vAlign w:val="center"/>
          </w:tcPr>
          <w:p w14:paraId="723C4F8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2020</w:t>
            </w:r>
          </w:p>
        </w:tc>
        <w:tc>
          <w:tcPr>
            <w:tcW w:w="1210" w:type="dxa"/>
            <w:vAlign w:val="center"/>
          </w:tcPr>
          <w:p w14:paraId="0EC51D7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3B08CD5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Центр»</w:t>
            </w:r>
          </w:p>
        </w:tc>
        <w:tc>
          <w:tcPr>
            <w:tcW w:w="3515" w:type="dxa"/>
            <w:vAlign w:val="center"/>
          </w:tcPr>
          <w:p w14:paraId="5BB9DA9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37E9A372" w14:textId="77777777" w:rsidTr="00C62121">
        <w:trPr>
          <w:trHeight w:val="20"/>
        </w:trPr>
        <w:tc>
          <w:tcPr>
            <w:tcW w:w="871" w:type="dxa"/>
            <w:vAlign w:val="center"/>
          </w:tcPr>
          <w:p w14:paraId="21CA77DD"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2020</w:t>
            </w:r>
          </w:p>
        </w:tc>
        <w:tc>
          <w:tcPr>
            <w:tcW w:w="1210" w:type="dxa"/>
            <w:vAlign w:val="center"/>
          </w:tcPr>
          <w:p w14:paraId="6F652A6E"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1719B34D"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Северный Кавказ»</w:t>
            </w:r>
          </w:p>
        </w:tc>
        <w:tc>
          <w:tcPr>
            <w:tcW w:w="3515" w:type="dxa"/>
            <w:vAlign w:val="center"/>
          </w:tcPr>
          <w:p w14:paraId="500055D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72044B4F" w14:textId="77777777" w:rsidTr="00C62121">
        <w:trPr>
          <w:trHeight w:val="20"/>
        </w:trPr>
        <w:tc>
          <w:tcPr>
            <w:tcW w:w="871" w:type="dxa"/>
            <w:vAlign w:val="center"/>
          </w:tcPr>
          <w:p w14:paraId="193028CE"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2020</w:t>
            </w:r>
          </w:p>
        </w:tc>
        <w:tc>
          <w:tcPr>
            <w:tcW w:w="1210" w:type="dxa"/>
            <w:vAlign w:val="center"/>
          </w:tcPr>
          <w:p w14:paraId="679A18E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1DB9A33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Московский регион»</w:t>
            </w:r>
          </w:p>
        </w:tc>
        <w:tc>
          <w:tcPr>
            <w:tcW w:w="3515" w:type="dxa"/>
            <w:vAlign w:val="center"/>
          </w:tcPr>
          <w:p w14:paraId="75B669C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2D00EA27" w14:textId="77777777" w:rsidTr="00C62121">
        <w:trPr>
          <w:trHeight w:val="20"/>
        </w:trPr>
        <w:tc>
          <w:tcPr>
            <w:tcW w:w="871" w:type="dxa"/>
            <w:vAlign w:val="center"/>
          </w:tcPr>
          <w:p w14:paraId="29C9FE1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2020</w:t>
            </w:r>
          </w:p>
        </w:tc>
        <w:tc>
          <w:tcPr>
            <w:tcW w:w="1210" w:type="dxa"/>
            <w:vAlign w:val="center"/>
          </w:tcPr>
          <w:p w14:paraId="4524F9C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368FA0E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Общество с ограниченной ответственностью «Энерготранс»</w:t>
            </w:r>
          </w:p>
        </w:tc>
        <w:tc>
          <w:tcPr>
            <w:tcW w:w="3515" w:type="dxa"/>
            <w:vAlign w:val="center"/>
          </w:tcPr>
          <w:p w14:paraId="3F1BEA8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органов управления (Совета директоров, Правления) Управляющей организации (ПАО «Россети Ленэнерго»)</w:t>
            </w:r>
          </w:p>
        </w:tc>
      </w:tr>
      <w:tr w:rsidR="002449C2" w14:paraId="6D4E1515" w14:textId="77777777" w:rsidTr="00C62121">
        <w:trPr>
          <w:trHeight w:val="20"/>
        </w:trPr>
        <w:tc>
          <w:tcPr>
            <w:tcW w:w="871" w:type="dxa"/>
            <w:vAlign w:val="center"/>
          </w:tcPr>
          <w:p w14:paraId="17239AF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4BFD6D9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546234F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Юг»</w:t>
            </w:r>
          </w:p>
        </w:tc>
        <w:tc>
          <w:tcPr>
            <w:tcW w:w="3515" w:type="dxa"/>
            <w:vAlign w:val="center"/>
          </w:tcPr>
          <w:p w14:paraId="5696ABE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Председатель Совета директоров</w:t>
            </w:r>
          </w:p>
        </w:tc>
      </w:tr>
      <w:tr w:rsidR="002449C2" w14:paraId="1445629C" w14:textId="77777777" w:rsidTr="00C62121">
        <w:trPr>
          <w:trHeight w:val="20"/>
        </w:trPr>
        <w:tc>
          <w:tcPr>
            <w:tcW w:w="871" w:type="dxa"/>
            <w:vAlign w:val="center"/>
          </w:tcPr>
          <w:p w14:paraId="678BC81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788888D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28F6F341"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«Россети Тюмень»</w:t>
            </w:r>
          </w:p>
        </w:tc>
        <w:tc>
          <w:tcPr>
            <w:tcW w:w="3515" w:type="dxa"/>
            <w:vAlign w:val="center"/>
          </w:tcPr>
          <w:p w14:paraId="24DED95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2B15F712" w14:textId="77777777" w:rsidTr="00C62121">
        <w:trPr>
          <w:trHeight w:val="433"/>
        </w:trPr>
        <w:tc>
          <w:tcPr>
            <w:tcW w:w="871" w:type="dxa"/>
            <w:vAlign w:val="center"/>
          </w:tcPr>
          <w:p w14:paraId="44E4B96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15A8E61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0B8F6250"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«Россети Янтарь»</w:t>
            </w:r>
          </w:p>
        </w:tc>
        <w:tc>
          <w:tcPr>
            <w:tcW w:w="3515" w:type="dxa"/>
            <w:vAlign w:val="center"/>
          </w:tcPr>
          <w:p w14:paraId="16BB50C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2A19BC8B" w14:textId="77777777" w:rsidTr="00C62121">
        <w:trPr>
          <w:trHeight w:val="20"/>
        </w:trPr>
        <w:tc>
          <w:tcPr>
            <w:tcW w:w="871" w:type="dxa"/>
            <w:vAlign w:val="center"/>
          </w:tcPr>
          <w:p w14:paraId="04B44A2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138D8121"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369F82FD"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«Россети Сибирь Тываэнерго»</w:t>
            </w:r>
          </w:p>
        </w:tc>
        <w:tc>
          <w:tcPr>
            <w:tcW w:w="3515" w:type="dxa"/>
            <w:vAlign w:val="center"/>
          </w:tcPr>
          <w:p w14:paraId="20710000"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663654A1" w14:textId="77777777" w:rsidTr="00C62121">
        <w:trPr>
          <w:trHeight w:val="402"/>
        </w:trPr>
        <w:tc>
          <w:tcPr>
            <w:tcW w:w="871" w:type="dxa"/>
            <w:vAlign w:val="center"/>
          </w:tcPr>
          <w:p w14:paraId="3862F15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46D1966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7184F58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«Россети Цифра»</w:t>
            </w:r>
          </w:p>
        </w:tc>
        <w:tc>
          <w:tcPr>
            <w:tcW w:w="3515" w:type="dxa"/>
            <w:vAlign w:val="center"/>
          </w:tcPr>
          <w:p w14:paraId="14CBB6F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543FC79E" w14:textId="77777777" w:rsidTr="00C62121">
        <w:trPr>
          <w:trHeight w:val="20"/>
        </w:trPr>
        <w:tc>
          <w:tcPr>
            <w:tcW w:w="871" w:type="dxa"/>
            <w:vAlign w:val="center"/>
          </w:tcPr>
          <w:p w14:paraId="4D5981D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7DD7481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46F631B0"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«Недвижимость ИЦ ЕЭС»</w:t>
            </w:r>
          </w:p>
        </w:tc>
        <w:tc>
          <w:tcPr>
            <w:tcW w:w="3515" w:type="dxa"/>
            <w:vAlign w:val="center"/>
          </w:tcPr>
          <w:p w14:paraId="6DDD0CC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Председатель Совета директоров</w:t>
            </w:r>
          </w:p>
        </w:tc>
      </w:tr>
      <w:tr w:rsidR="002449C2" w14:paraId="190B1CC7" w14:textId="77777777" w:rsidTr="00C62121">
        <w:trPr>
          <w:trHeight w:val="20"/>
        </w:trPr>
        <w:tc>
          <w:tcPr>
            <w:tcW w:w="871" w:type="dxa"/>
            <w:vAlign w:val="center"/>
          </w:tcPr>
          <w:p w14:paraId="2DD9E18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1AADA57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12B1097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Волга»</w:t>
            </w:r>
          </w:p>
        </w:tc>
        <w:tc>
          <w:tcPr>
            <w:tcW w:w="3515" w:type="dxa"/>
            <w:vAlign w:val="center"/>
          </w:tcPr>
          <w:p w14:paraId="2CC4E82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44D42572" w14:textId="77777777" w:rsidTr="00C62121">
        <w:trPr>
          <w:trHeight w:val="20"/>
        </w:trPr>
        <w:tc>
          <w:tcPr>
            <w:tcW w:w="871" w:type="dxa"/>
            <w:vAlign w:val="center"/>
          </w:tcPr>
          <w:p w14:paraId="5A5BB46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0B243FB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3732" w:type="dxa"/>
            <w:gridSpan w:val="2"/>
            <w:vAlign w:val="center"/>
          </w:tcPr>
          <w:p w14:paraId="08AD0BB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Северо-Запад»</w:t>
            </w:r>
          </w:p>
        </w:tc>
        <w:tc>
          <w:tcPr>
            <w:tcW w:w="3515" w:type="dxa"/>
            <w:vAlign w:val="center"/>
          </w:tcPr>
          <w:p w14:paraId="71A7938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06F6BD40" w14:textId="77777777" w:rsidTr="00C62121">
        <w:trPr>
          <w:trHeight w:val="20"/>
        </w:trPr>
        <w:tc>
          <w:tcPr>
            <w:tcW w:w="871" w:type="dxa"/>
            <w:vAlign w:val="center"/>
          </w:tcPr>
          <w:p w14:paraId="19AD5A4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2A6C79A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1E8305A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Кубань»</w:t>
            </w:r>
          </w:p>
        </w:tc>
        <w:tc>
          <w:tcPr>
            <w:tcW w:w="3515" w:type="dxa"/>
            <w:vAlign w:val="center"/>
          </w:tcPr>
          <w:p w14:paraId="237CD4A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Председатель Совета директоров</w:t>
            </w:r>
          </w:p>
        </w:tc>
      </w:tr>
      <w:tr w:rsidR="002449C2" w14:paraId="40C80662" w14:textId="77777777" w:rsidTr="00C62121">
        <w:trPr>
          <w:trHeight w:val="20"/>
        </w:trPr>
        <w:tc>
          <w:tcPr>
            <w:tcW w:w="871" w:type="dxa"/>
            <w:vAlign w:val="center"/>
          </w:tcPr>
          <w:p w14:paraId="42C6E4A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633F323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0A7717E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«Томская распределительная компания»</w:t>
            </w:r>
          </w:p>
        </w:tc>
        <w:tc>
          <w:tcPr>
            <w:tcW w:w="3515" w:type="dxa"/>
            <w:vAlign w:val="center"/>
          </w:tcPr>
          <w:p w14:paraId="15DC557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70E43B16" w14:textId="77777777" w:rsidTr="00C62121">
        <w:trPr>
          <w:trHeight w:val="20"/>
        </w:trPr>
        <w:tc>
          <w:tcPr>
            <w:tcW w:w="871" w:type="dxa"/>
            <w:vAlign w:val="center"/>
          </w:tcPr>
          <w:p w14:paraId="54A9A801"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0B9F165E"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7129CC1E"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«Научно-технический центр Федеральной сетевой компании Единой энергетической системы»</w:t>
            </w:r>
          </w:p>
        </w:tc>
        <w:tc>
          <w:tcPr>
            <w:tcW w:w="3515" w:type="dxa"/>
            <w:vAlign w:val="center"/>
          </w:tcPr>
          <w:p w14:paraId="6B888F0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17A497B2" w14:textId="77777777" w:rsidTr="00C62121">
        <w:trPr>
          <w:trHeight w:val="20"/>
        </w:trPr>
        <w:tc>
          <w:tcPr>
            <w:tcW w:w="871" w:type="dxa"/>
            <w:vAlign w:val="center"/>
          </w:tcPr>
          <w:p w14:paraId="7EBBADB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1210" w:type="dxa"/>
            <w:vAlign w:val="center"/>
          </w:tcPr>
          <w:p w14:paraId="0103D63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0B3CDCC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«Центр инжиниринга и управления строительством Единой энергетической системы»</w:t>
            </w:r>
          </w:p>
        </w:tc>
        <w:tc>
          <w:tcPr>
            <w:tcW w:w="3515" w:type="dxa"/>
            <w:vAlign w:val="center"/>
          </w:tcPr>
          <w:p w14:paraId="38EDD8D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3316C310" w14:textId="77777777" w:rsidTr="00C62121">
        <w:trPr>
          <w:trHeight w:val="20"/>
        </w:trPr>
        <w:tc>
          <w:tcPr>
            <w:tcW w:w="871" w:type="dxa"/>
            <w:vAlign w:val="center"/>
          </w:tcPr>
          <w:p w14:paraId="205C52E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1210" w:type="dxa"/>
            <w:vAlign w:val="center"/>
          </w:tcPr>
          <w:p w14:paraId="10E4DCC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36F5AF7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«Федеральная сетевая компания – Россети»</w:t>
            </w:r>
          </w:p>
        </w:tc>
        <w:tc>
          <w:tcPr>
            <w:tcW w:w="3515" w:type="dxa"/>
            <w:vAlign w:val="center"/>
          </w:tcPr>
          <w:p w14:paraId="0A59D39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0EFCC7F6" w14:textId="77777777" w:rsidTr="00C62121">
        <w:trPr>
          <w:trHeight w:val="20"/>
        </w:trPr>
        <w:tc>
          <w:tcPr>
            <w:tcW w:w="871" w:type="dxa"/>
            <w:vAlign w:val="center"/>
          </w:tcPr>
          <w:p w14:paraId="0B45FEAE"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1210" w:type="dxa"/>
            <w:vAlign w:val="center"/>
          </w:tcPr>
          <w:p w14:paraId="1747FFB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402A43F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«Российские сети»</w:t>
            </w:r>
          </w:p>
        </w:tc>
        <w:tc>
          <w:tcPr>
            <w:tcW w:w="3515" w:type="dxa"/>
            <w:vAlign w:val="center"/>
          </w:tcPr>
          <w:p w14:paraId="307EE3F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Правления</w:t>
            </w:r>
          </w:p>
        </w:tc>
      </w:tr>
      <w:tr w:rsidR="002449C2" w14:paraId="1F77F417" w14:textId="77777777" w:rsidTr="00C62121">
        <w:trPr>
          <w:trHeight w:val="20"/>
        </w:trPr>
        <w:tc>
          <w:tcPr>
            <w:tcW w:w="871" w:type="dxa"/>
            <w:vAlign w:val="center"/>
          </w:tcPr>
          <w:p w14:paraId="128FEF8D"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1210" w:type="dxa"/>
            <w:vAlign w:val="center"/>
          </w:tcPr>
          <w:p w14:paraId="36E5BD21"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26956AB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«Федеральная сетевая компания – Россети»</w:t>
            </w:r>
          </w:p>
        </w:tc>
        <w:tc>
          <w:tcPr>
            <w:tcW w:w="3515" w:type="dxa"/>
            <w:vAlign w:val="center"/>
          </w:tcPr>
          <w:p w14:paraId="4D2BAC2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Правления</w:t>
            </w:r>
          </w:p>
        </w:tc>
      </w:tr>
      <w:tr w:rsidR="002449C2" w14:paraId="6BFBFE2D" w14:textId="77777777" w:rsidTr="00C62121">
        <w:trPr>
          <w:trHeight w:val="20"/>
        </w:trPr>
        <w:tc>
          <w:tcPr>
            <w:tcW w:w="871" w:type="dxa"/>
            <w:vAlign w:val="center"/>
          </w:tcPr>
          <w:p w14:paraId="57DBD85E"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1210" w:type="dxa"/>
            <w:vAlign w:val="center"/>
          </w:tcPr>
          <w:p w14:paraId="280868F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65AF84E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«Энергетик»</w:t>
            </w:r>
          </w:p>
        </w:tc>
        <w:tc>
          <w:tcPr>
            <w:tcW w:w="3515" w:type="dxa"/>
            <w:vAlign w:val="center"/>
          </w:tcPr>
          <w:p w14:paraId="198A5C1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Председатель Совета директоров</w:t>
            </w:r>
          </w:p>
        </w:tc>
      </w:tr>
      <w:tr w:rsidR="002449C2" w14:paraId="4BA181F6" w14:textId="77777777" w:rsidTr="00C62121">
        <w:trPr>
          <w:trHeight w:val="20"/>
        </w:trPr>
        <w:tc>
          <w:tcPr>
            <w:tcW w:w="5813" w:type="dxa"/>
            <w:gridSpan w:val="4"/>
            <w:vAlign w:val="center"/>
          </w:tcPr>
          <w:p w14:paraId="3D52EF0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Дата первого избрания в состав Совета директоров Общества</w:t>
            </w:r>
          </w:p>
        </w:tc>
        <w:tc>
          <w:tcPr>
            <w:tcW w:w="3515" w:type="dxa"/>
            <w:vAlign w:val="center"/>
          </w:tcPr>
          <w:p w14:paraId="31A96C0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02.06.2021</w:t>
            </w:r>
          </w:p>
        </w:tc>
      </w:tr>
      <w:tr w:rsidR="002449C2" w14:paraId="54BFB564" w14:textId="77777777" w:rsidTr="00C62121">
        <w:trPr>
          <w:trHeight w:val="20"/>
        </w:trPr>
        <w:tc>
          <w:tcPr>
            <w:tcW w:w="5813" w:type="dxa"/>
            <w:gridSpan w:val="4"/>
            <w:vAlign w:val="center"/>
          </w:tcPr>
          <w:p w14:paraId="0E03902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Дата первого избрания Председателем Совета директоров ПАО «Россети Юг»</w:t>
            </w:r>
          </w:p>
        </w:tc>
        <w:tc>
          <w:tcPr>
            <w:tcW w:w="3515" w:type="dxa"/>
            <w:vAlign w:val="center"/>
          </w:tcPr>
          <w:p w14:paraId="39BE4DE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28.06.2021</w:t>
            </w:r>
          </w:p>
        </w:tc>
      </w:tr>
    </w:tbl>
    <w:p w14:paraId="599E9DAF" w14:textId="77777777" w:rsidR="002449C2" w:rsidRDefault="002449C2">
      <w:pPr>
        <w:spacing w:after="160" w:line="259" w:lineRule="auto"/>
        <w:rPr>
          <w:rFonts w:ascii="Times New Roman" w:hAnsi="Times New Roman"/>
        </w:rPr>
      </w:pPr>
    </w:p>
    <w:p w14:paraId="3514330B" w14:textId="77777777" w:rsidR="002449C2" w:rsidRDefault="00123961">
      <w:pPr>
        <w:spacing w:after="160" w:line="259" w:lineRule="auto"/>
        <w:ind w:left="142"/>
        <w:rPr>
          <w:rFonts w:ascii="Times New Roman" w:hAnsi="Times New Roman"/>
          <w:b/>
          <w:sz w:val="26"/>
          <w:szCs w:val="26"/>
        </w:rPr>
      </w:pPr>
      <w:r>
        <w:rPr>
          <w:rFonts w:ascii="Times New Roman" w:eastAsia="Times New Roman" w:hAnsi="Times New Roman"/>
          <w:b/>
          <w:bCs/>
          <w:sz w:val="26"/>
          <w:szCs w:val="26"/>
          <w:lang w:eastAsia="en-US"/>
        </w:rPr>
        <w:t>Докучаева Мария Александровна</w:t>
      </w:r>
      <w:r>
        <w:rPr>
          <w:rFonts w:ascii="Times New Roman" w:eastAsia="Times New Roman" w:hAnsi="Times New Roman"/>
          <w:b/>
          <w:sz w:val="26"/>
          <w:szCs w:val="26"/>
          <w:lang w:eastAsia="en-US"/>
        </w:rPr>
        <w:t xml:space="preserve">  </w:t>
      </w:r>
    </w:p>
    <w:tbl>
      <w:tblPr>
        <w:tblW w:w="932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1"/>
        <w:gridCol w:w="1210"/>
        <w:gridCol w:w="2455"/>
        <w:gridCol w:w="1280"/>
        <w:gridCol w:w="3512"/>
      </w:tblGrid>
      <w:tr w:rsidR="002449C2" w14:paraId="37C00915" w14:textId="77777777" w:rsidTr="00C62121">
        <w:trPr>
          <w:trHeight w:val="20"/>
        </w:trPr>
        <w:tc>
          <w:tcPr>
            <w:tcW w:w="9328" w:type="dxa"/>
            <w:gridSpan w:val="5"/>
            <w:vAlign w:val="center"/>
          </w:tcPr>
          <w:p w14:paraId="62F6F91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Общая информация о члене Совета директоров ПАО «Россети Юг»</w:t>
            </w:r>
          </w:p>
        </w:tc>
      </w:tr>
      <w:tr w:rsidR="00C62121" w14:paraId="1F6C9D3F" w14:textId="77777777" w:rsidTr="00C62121">
        <w:trPr>
          <w:trHeight w:val="20"/>
        </w:trPr>
        <w:tc>
          <w:tcPr>
            <w:tcW w:w="4536" w:type="dxa"/>
            <w:gridSpan w:val="3"/>
            <w:vAlign w:val="center"/>
          </w:tcPr>
          <w:p w14:paraId="5D2936E8" w14:textId="77777777" w:rsidR="00C62121" w:rsidRDefault="00C6212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Год рождения</w:t>
            </w:r>
          </w:p>
        </w:tc>
        <w:tc>
          <w:tcPr>
            <w:tcW w:w="4792" w:type="dxa"/>
            <w:gridSpan w:val="2"/>
            <w:vAlign w:val="center"/>
          </w:tcPr>
          <w:p w14:paraId="688708E1" w14:textId="25EDD8A3" w:rsidR="00C62121" w:rsidRDefault="00C62121">
            <w:r>
              <w:rPr>
                <w:rFonts w:ascii="Times New Roman" w:eastAsia="Times New Roman" w:hAnsi="Times New Roman"/>
                <w:color w:val="000000"/>
                <w:sz w:val="20"/>
                <w:szCs w:val="20"/>
                <w:lang w:eastAsia="ru-RU"/>
              </w:rPr>
              <w:t>1979</w:t>
            </w:r>
          </w:p>
        </w:tc>
      </w:tr>
      <w:tr w:rsidR="00C62121" w14:paraId="64C6C3FB" w14:textId="77777777" w:rsidTr="00E50F6F">
        <w:trPr>
          <w:trHeight w:val="435"/>
        </w:trPr>
        <w:tc>
          <w:tcPr>
            <w:tcW w:w="4536" w:type="dxa"/>
            <w:gridSpan w:val="3"/>
            <w:vAlign w:val="center"/>
          </w:tcPr>
          <w:p w14:paraId="24D936E1" w14:textId="77777777" w:rsidR="00C62121" w:rsidRDefault="00C6212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Сведения об образовании</w:t>
            </w:r>
          </w:p>
          <w:p w14:paraId="3C1B2A08" w14:textId="77777777" w:rsidR="00C62121" w:rsidRDefault="00C6212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(год, университет, квалификация, специальность)</w:t>
            </w:r>
          </w:p>
        </w:tc>
        <w:tc>
          <w:tcPr>
            <w:tcW w:w="4792" w:type="dxa"/>
            <w:gridSpan w:val="2"/>
            <w:vAlign w:val="center"/>
          </w:tcPr>
          <w:p w14:paraId="7656E5D3" w14:textId="77777777" w:rsidR="00C62121" w:rsidRDefault="00C6212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Высшее.</w:t>
            </w:r>
          </w:p>
          <w:p w14:paraId="7EBBB746" w14:textId="77777777" w:rsidR="00C62121" w:rsidRDefault="00C6212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2000, МГУ им. М.В. Ломоносова, квалификация «бакалавр», специальность «экономика»;</w:t>
            </w:r>
          </w:p>
          <w:p w14:paraId="54AF5117" w14:textId="027300BA" w:rsidR="00C62121" w:rsidRDefault="00C62121">
            <w:r>
              <w:rPr>
                <w:rFonts w:ascii="Times New Roman" w:eastAsia="Times New Roman" w:hAnsi="Times New Roman"/>
                <w:color w:val="000000"/>
                <w:sz w:val="20"/>
                <w:szCs w:val="20"/>
                <w:lang w:eastAsia="ru-RU"/>
              </w:rPr>
              <w:t>2002, МГУ им. М.В. Ломоносова, квалификация «магистр», специальность «менеджмент».</w:t>
            </w:r>
          </w:p>
        </w:tc>
      </w:tr>
      <w:tr w:rsidR="00C62121" w14:paraId="04CDC3A8" w14:textId="77777777" w:rsidTr="00E50F6F">
        <w:trPr>
          <w:trHeight w:val="20"/>
        </w:trPr>
        <w:tc>
          <w:tcPr>
            <w:tcW w:w="4536" w:type="dxa"/>
            <w:gridSpan w:val="3"/>
            <w:vAlign w:val="center"/>
          </w:tcPr>
          <w:p w14:paraId="38597237" w14:textId="77777777" w:rsidR="00C62121" w:rsidRDefault="00C6212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Основное место работы, должность</w:t>
            </w:r>
          </w:p>
        </w:tc>
        <w:tc>
          <w:tcPr>
            <w:tcW w:w="4792" w:type="dxa"/>
            <w:gridSpan w:val="2"/>
            <w:vAlign w:val="center"/>
          </w:tcPr>
          <w:p w14:paraId="65E106C6" w14:textId="0D55F264" w:rsidR="00C62121" w:rsidRDefault="00C62121">
            <w:r>
              <w:rPr>
                <w:rFonts w:ascii="Times New Roman" w:eastAsia="Times New Roman" w:hAnsi="Times New Roman"/>
                <w:bCs/>
                <w:color w:val="000000"/>
                <w:sz w:val="20"/>
                <w:szCs w:val="20"/>
                <w:lang w:eastAsia="ru-RU"/>
              </w:rPr>
              <w:t>ПАО «Россети», Главный советник</w:t>
            </w:r>
          </w:p>
        </w:tc>
      </w:tr>
      <w:tr w:rsidR="002449C2" w14:paraId="4459D45F" w14:textId="77777777" w:rsidTr="00C62121">
        <w:trPr>
          <w:trHeight w:val="20"/>
        </w:trPr>
        <w:tc>
          <w:tcPr>
            <w:tcW w:w="9328" w:type="dxa"/>
            <w:gridSpan w:val="5"/>
            <w:vAlign w:val="center"/>
          </w:tcPr>
          <w:p w14:paraId="64D7C2D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Участие в органах управления и контроля</w:t>
            </w:r>
          </w:p>
        </w:tc>
      </w:tr>
      <w:tr w:rsidR="002449C2" w14:paraId="1481C73B" w14:textId="77777777" w:rsidTr="00C62121">
        <w:trPr>
          <w:trHeight w:val="20"/>
        </w:trPr>
        <w:tc>
          <w:tcPr>
            <w:tcW w:w="2081" w:type="dxa"/>
            <w:gridSpan w:val="2"/>
            <w:vAlign w:val="center"/>
          </w:tcPr>
          <w:p w14:paraId="4535116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Период</w:t>
            </w:r>
          </w:p>
        </w:tc>
        <w:tc>
          <w:tcPr>
            <w:tcW w:w="3735" w:type="dxa"/>
            <w:gridSpan w:val="2"/>
            <w:vMerge w:val="restart"/>
            <w:vAlign w:val="center"/>
          </w:tcPr>
          <w:p w14:paraId="1FEAAFC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Наименование организации</w:t>
            </w:r>
          </w:p>
        </w:tc>
        <w:tc>
          <w:tcPr>
            <w:tcW w:w="3512" w:type="dxa"/>
            <w:vMerge w:val="restart"/>
            <w:vAlign w:val="center"/>
          </w:tcPr>
          <w:p w14:paraId="0965768D"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Должность</w:t>
            </w:r>
          </w:p>
        </w:tc>
      </w:tr>
      <w:tr w:rsidR="002449C2" w14:paraId="7EC77515" w14:textId="77777777" w:rsidTr="00C62121">
        <w:trPr>
          <w:trHeight w:val="20"/>
        </w:trPr>
        <w:tc>
          <w:tcPr>
            <w:tcW w:w="871" w:type="dxa"/>
            <w:vAlign w:val="center"/>
          </w:tcPr>
          <w:p w14:paraId="51C4EB4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с</w:t>
            </w:r>
          </w:p>
        </w:tc>
        <w:tc>
          <w:tcPr>
            <w:tcW w:w="1210" w:type="dxa"/>
            <w:vAlign w:val="center"/>
          </w:tcPr>
          <w:p w14:paraId="0A82587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по</w:t>
            </w:r>
          </w:p>
        </w:tc>
        <w:tc>
          <w:tcPr>
            <w:tcW w:w="3735" w:type="dxa"/>
            <w:gridSpan w:val="2"/>
            <w:vMerge/>
            <w:vAlign w:val="center"/>
          </w:tcPr>
          <w:p w14:paraId="458868A7" w14:textId="77777777" w:rsidR="002449C2" w:rsidRDefault="002449C2">
            <w:pPr>
              <w:spacing w:after="0" w:line="240" w:lineRule="auto"/>
              <w:jc w:val="both"/>
              <w:rPr>
                <w:rFonts w:ascii="Times New Roman" w:eastAsia="Times New Roman" w:hAnsi="Times New Roman"/>
                <w:color w:val="000000"/>
                <w:sz w:val="20"/>
                <w:szCs w:val="20"/>
                <w:lang w:eastAsia="ru-RU"/>
              </w:rPr>
            </w:pPr>
          </w:p>
        </w:tc>
        <w:tc>
          <w:tcPr>
            <w:tcW w:w="3512" w:type="dxa"/>
            <w:vMerge/>
            <w:vAlign w:val="center"/>
          </w:tcPr>
          <w:p w14:paraId="1D23BAF1" w14:textId="77777777" w:rsidR="002449C2" w:rsidRDefault="002449C2">
            <w:pPr>
              <w:spacing w:after="0" w:line="240" w:lineRule="auto"/>
              <w:jc w:val="both"/>
              <w:rPr>
                <w:rFonts w:ascii="Times New Roman" w:eastAsia="Times New Roman" w:hAnsi="Times New Roman"/>
                <w:color w:val="000000"/>
                <w:sz w:val="20"/>
                <w:szCs w:val="20"/>
                <w:lang w:eastAsia="ru-RU"/>
              </w:rPr>
            </w:pPr>
          </w:p>
        </w:tc>
      </w:tr>
      <w:tr w:rsidR="002449C2" w14:paraId="69FF1323" w14:textId="77777777" w:rsidTr="00C62121">
        <w:trPr>
          <w:trHeight w:val="20"/>
        </w:trPr>
        <w:tc>
          <w:tcPr>
            <w:tcW w:w="871" w:type="dxa"/>
            <w:vAlign w:val="center"/>
          </w:tcPr>
          <w:p w14:paraId="44E3960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2018</w:t>
            </w:r>
          </w:p>
        </w:tc>
        <w:tc>
          <w:tcPr>
            <w:tcW w:w="1210" w:type="dxa"/>
            <w:vAlign w:val="center"/>
          </w:tcPr>
          <w:p w14:paraId="6A00281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3735" w:type="dxa"/>
            <w:gridSpan w:val="2"/>
            <w:vAlign w:val="center"/>
          </w:tcPr>
          <w:p w14:paraId="230F037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«Новатэк»</w:t>
            </w:r>
          </w:p>
        </w:tc>
        <w:tc>
          <w:tcPr>
            <w:tcW w:w="3512" w:type="dxa"/>
            <w:vAlign w:val="center"/>
          </w:tcPr>
          <w:p w14:paraId="1205223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Пресс-секретарь</w:t>
            </w:r>
          </w:p>
        </w:tc>
      </w:tr>
      <w:tr w:rsidR="002449C2" w14:paraId="48D311C4" w14:textId="77777777" w:rsidTr="00C62121">
        <w:trPr>
          <w:trHeight w:val="20"/>
        </w:trPr>
        <w:tc>
          <w:tcPr>
            <w:tcW w:w="871" w:type="dxa"/>
            <w:vAlign w:val="center"/>
          </w:tcPr>
          <w:p w14:paraId="798E208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5C82835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5" w:type="dxa"/>
            <w:gridSpan w:val="2"/>
            <w:vAlign w:val="center"/>
          </w:tcPr>
          <w:p w14:paraId="15F6096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«Российские сети»</w:t>
            </w:r>
          </w:p>
        </w:tc>
        <w:tc>
          <w:tcPr>
            <w:tcW w:w="3512" w:type="dxa"/>
            <w:vAlign w:val="center"/>
          </w:tcPr>
          <w:p w14:paraId="1AD3C25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Главный Советник</w:t>
            </w:r>
          </w:p>
        </w:tc>
      </w:tr>
      <w:tr w:rsidR="002449C2" w14:paraId="53B6F7C7" w14:textId="77777777" w:rsidTr="00C62121">
        <w:trPr>
          <w:trHeight w:val="20"/>
        </w:trPr>
        <w:tc>
          <w:tcPr>
            <w:tcW w:w="871" w:type="dxa"/>
            <w:vAlign w:val="center"/>
          </w:tcPr>
          <w:p w14:paraId="645D72B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1210" w:type="dxa"/>
            <w:vAlign w:val="center"/>
          </w:tcPr>
          <w:p w14:paraId="70064FC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5" w:type="dxa"/>
            <w:gridSpan w:val="2"/>
            <w:vAlign w:val="center"/>
          </w:tcPr>
          <w:p w14:paraId="3D30B20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«Федеральная сетевая компания – Россети»</w:t>
            </w:r>
          </w:p>
        </w:tc>
        <w:tc>
          <w:tcPr>
            <w:tcW w:w="3512" w:type="dxa"/>
            <w:vAlign w:val="center"/>
          </w:tcPr>
          <w:p w14:paraId="102AC43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Главный Советник</w:t>
            </w:r>
          </w:p>
        </w:tc>
      </w:tr>
      <w:tr w:rsidR="002449C2" w14:paraId="244F0C93" w14:textId="77777777" w:rsidTr="00C62121">
        <w:trPr>
          <w:trHeight w:val="20"/>
        </w:trPr>
        <w:tc>
          <w:tcPr>
            <w:tcW w:w="871" w:type="dxa"/>
            <w:vAlign w:val="center"/>
          </w:tcPr>
          <w:p w14:paraId="2D4C802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1210" w:type="dxa"/>
            <w:vAlign w:val="center"/>
          </w:tcPr>
          <w:p w14:paraId="6ADD69D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5" w:type="dxa"/>
            <w:gridSpan w:val="2"/>
            <w:vAlign w:val="center"/>
          </w:tcPr>
          <w:p w14:paraId="4B31C80D"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Центр»</w:t>
            </w:r>
          </w:p>
        </w:tc>
        <w:tc>
          <w:tcPr>
            <w:tcW w:w="3512" w:type="dxa"/>
            <w:vAlign w:val="center"/>
          </w:tcPr>
          <w:p w14:paraId="4FD47310"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477B4717" w14:textId="77777777" w:rsidTr="00C62121">
        <w:trPr>
          <w:trHeight w:val="20"/>
        </w:trPr>
        <w:tc>
          <w:tcPr>
            <w:tcW w:w="871" w:type="dxa"/>
            <w:vAlign w:val="center"/>
          </w:tcPr>
          <w:p w14:paraId="07A21C20"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1210" w:type="dxa"/>
            <w:vAlign w:val="center"/>
          </w:tcPr>
          <w:p w14:paraId="711DBE5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5" w:type="dxa"/>
            <w:gridSpan w:val="2"/>
            <w:vAlign w:val="center"/>
          </w:tcPr>
          <w:p w14:paraId="1D1C94E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Юг»</w:t>
            </w:r>
          </w:p>
        </w:tc>
        <w:tc>
          <w:tcPr>
            <w:tcW w:w="3512" w:type="dxa"/>
            <w:vAlign w:val="center"/>
          </w:tcPr>
          <w:p w14:paraId="6C88644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624270A1" w14:textId="77777777" w:rsidTr="00C62121">
        <w:trPr>
          <w:trHeight w:val="20"/>
        </w:trPr>
        <w:tc>
          <w:tcPr>
            <w:tcW w:w="5816" w:type="dxa"/>
            <w:gridSpan w:val="4"/>
            <w:vAlign w:val="center"/>
          </w:tcPr>
          <w:p w14:paraId="5F6314C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Дата первого избрания в состав Совета директоров Общества</w:t>
            </w:r>
          </w:p>
        </w:tc>
        <w:tc>
          <w:tcPr>
            <w:tcW w:w="3512" w:type="dxa"/>
            <w:vAlign w:val="center"/>
          </w:tcPr>
          <w:p w14:paraId="7721AEF9" w14:textId="77777777" w:rsidR="002449C2" w:rsidRDefault="00123961">
            <w:pPr>
              <w:spacing w:after="0" w:line="240" w:lineRule="auto"/>
              <w:jc w:val="both"/>
              <w:rPr>
                <w:rFonts w:ascii="Times New Roman" w:hAnsi="Times New Roman"/>
                <w:color w:val="000000"/>
                <w:sz w:val="20"/>
                <w:szCs w:val="20"/>
                <w:highlight w:val="yellow"/>
              </w:rPr>
            </w:pPr>
            <w:r>
              <w:rPr>
                <w:rFonts w:ascii="Times New Roman" w:eastAsia="Times New Roman" w:hAnsi="Times New Roman"/>
                <w:color w:val="000000"/>
                <w:sz w:val="20"/>
                <w:szCs w:val="20"/>
                <w:lang w:eastAsia="ru-RU"/>
              </w:rPr>
              <w:t>16.06.2022</w:t>
            </w:r>
          </w:p>
        </w:tc>
      </w:tr>
    </w:tbl>
    <w:p w14:paraId="29E7B92A" w14:textId="77777777" w:rsidR="002449C2" w:rsidRDefault="002449C2">
      <w:pPr>
        <w:spacing w:after="160" w:line="259" w:lineRule="auto"/>
        <w:rPr>
          <w:rFonts w:ascii="Times New Roman" w:hAnsi="Times New Roman"/>
        </w:rPr>
      </w:pPr>
    </w:p>
    <w:p w14:paraId="39B75095" w14:textId="77777777" w:rsidR="002449C2" w:rsidRDefault="00123961">
      <w:pPr>
        <w:spacing w:after="160" w:line="259" w:lineRule="auto"/>
        <w:ind w:left="142"/>
        <w:rPr>
          <w:rFonts w:ascii="Times New Roman" w:hAnsi="Times New Roman"/>
          <w:b/>
          <w:sz w:val="26"/>
          <w:szCs w:val="26"/>
        </w:rPr>
      </w:pPr>
      <w:r>
        <w:rPr>
          <w:rFonts w:ascii="Times New Roman" w:eastAsia="Times New Roman" w:hAnsi="Times New Roman"/>
          <w:b/>
          <w:bCs/>
          <w:sz w:val="26"/>
          <w:szCs w:val="26"/>
          <w:lang w:eastAsia="en-US"/>
        </w:rPr>
        <w:t>Зархин Виталий Юрьевич</w:t>
      </w:r>
      <w:r>
        <w:rPr>
          <w:rFonts w:ascii="Times New Roman" w:eastAsia="Times New Roman" w:hAnsi="Times New Roman"/>
          <w:b/>
          <w:sz w:val="26"/>
          <w:szCs w:val="26"/>
          <w:lang w:eastAsia="en-US"/>
        </w:rPr>
        <w:t xml:space="preserve">  </w:t>
      </w:r>
    </w:p>
    <w:tbl>
      <w:tblPr>
        <w:tblW w:w="932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1"/>
        <w:gridCol w:w="1210"/>
        <w:gridCol w:w="2347"/>
        <w:gridCol w:w="1385"/>
        <w:gridCol w:w="3515"/>
      </w:tblGrid>
      <w:tr w:rsidR="002449C2" w14:paraId="05073764" w14:textId="77777777" w:rsidTr="00C62121">
        <w:trPr>
          <w:trHeight w:val="20"/>
        </w:trPr>
        <w:tc>
          <w:tcPr>
            <w:tcW w:w="9328" w:type="dxa"/>
            <w:gridSpan w:val="5"/>
            <w:vAlign w:val="center"/>
          </w:tcPr>
          <w:p w14:paraId="489B332E"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Общая информация о члене Совета директоров ПАО «Россети Юг»</w:t>
            </w:r>
          </w:p>
        </w:tc>
      </w:tr>
      <w:tr w:rsidR="00C62121" w14:paraId="73A0DC88" w14:textId="77777777" w:rsidTr="00E50F6F">
        <w:trPr>
          <w:trHeight w:val="20"/>
        </w:trPr>
        <w:tc>
          <w:tcPr>
            <w:tcW w:w="4428" w:type="dxa"/>
            <w:gridSpan w:val="3"/>
            <w:vAlign w:val="center"/>
          </w:tcPr>
          <w:p w14:paraId="00E4BC57" w14:textId="77777777" w:rsidR="00C62121" w:rsidRDefault="00C6212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Год рождения</w:t>
            </w:r>
          </w:p>
        </w:tc>
        <w:tc>
          <w:tcPr>
            <w:tcW w:w="4900" w:type="dxa"/>
            <w:gridSpan w:val="2"/>
            <w:vAlign w:val="center"/>
          </w:tcPr>
          <w:p w14:paraId="1D878909" w14:textId="56ADF9DE" w:rsidR="00C62121" w:rsidRDefault="00C62121">
            <w:r>
              <w:rPr>
                <w:rFonts w:ascii="Times New Roman" w:eastAsia="Times New Roman" w:hAnsi="Times New Roman"/>
                <w:color w:val="000000"/>
                <w:sz w:val="20"/>
                <w:szCs w:val="20"/>
                <w:lang w:eastAsia="ru-RU"/>
              </w:rPr>
              <w:t>1976</w:t>
            </w:r>
          </w:p>
        </w:tc>
      </w:tr>
      <w:tr w:rsidR="00C62121" w14:paraId="1A26C8F7" w14:textId="77777777" w:rsidTr="00E50F6F">
        <w:trPr>
          <w:trHeight w:val="435"/>
        </w:trPr>
        <w:tc>
          <w:tcPr>
            <w:tcW w:w="4428" w:type="dxa"/>
            <w:gridSpan w:val="3"/>
            <w:vAlign w:val="center"/>
          </w:tcPr>
          <w:p w14:paraId="7D394B6F" w14:textId="77777777" w:rsidR="00C62121" w:rsidRDefault="00C6212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Сведения об образовании</w:t>
            </w:r>
          </w:p>
          <w:p w14:paraId="1A0FCF3F" w14:textId="77777777" w:rsidR="00C62121" w:rsidRDefault="00C62121" w:rsidP="00752A88">
            <w:pPr>
              <w:spacing w:after="0" w:line="240" w:lineRule="auto"/>
              <w:ind w:right="-81"/>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(год, университет, квалификация, специальность)</w:t>
            </w:r>
          </w:p>
        </w:tc>
        <w:tc>
          <w:tcPr>
            <w:tcW w:w="4900" w:type="dxa"/>
            <w:gridSpan w:val="2"/>
            <w:vAlign w:val="center"/>
          </w:tcPr>
          <w:p w14:paraId="23430E02" w14:textId="77777777" w:rsidR="00C62121" w:rsidRDefault="00C62121">
            <w:pPr>
              <w:spacing w:after="0" w:line="240" w:lineRule="auto"/>
              <w:rPr>
                <w:rFonts w:ascii="Times New Roman" w:hAnsi="Times New Roman"/>
                <w:color w:val="000000"/>
                <w:sz w:val="20"/>
                <w:szCs w:val="20"/>
              </w:rPr>
            </w:pPr>
            <w:r>
              <w:rPr>
                <w:rFonts w:ascii="Times New Roman" w:eastAsia="Times New Roman" w:hAnsi="Times New Roman"/>
                <w:color w:val="000000"/>
                <w:sz w:val="20"/>
                <w:szCs w:val="20"/>
                <w:lang w:eastAsia="ru-RU"/>
              </w:rPr>
              <w:t>Высшее.</w:t>
            </w:r>
          </w:p>
          <w:p w14:paraId="5E7D208A" w14:textId="77777777" w:rsidR="00C62121" w:rsidRDefault="00C6212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1998, Государственный Университет – Высшая школа экономики, квалификация «бакалавр экономики», специальность «экономика»;</w:t>
            </w:r>
          </w:p>
          <w:p w14:paraId="196D88D3" w14:textId="015648B8" w:rsidR="00C62121" w:rsidRDefault="00C62121">
            <w:r>
              <w:rPr>
                <w:rFonts w:ascii="Times New Roman" w:eastAsia="Times New Roman" w:hAnsi="Times New Roman"/>
                <w:color w:val="000000"/>
                <w:sz w:val="20"/>
                <w:szCs w:val="20"/>
                <w:lang w:eastAsia="ru-RU"/>
              </w:rPr>
              <w:t>2000, Государственный Университет – Высшая школа экономики, квалификация «магистр менеджмента», специальность «менеджмент».</w:t>
            </w:r>
          </w:p>
        </w:tc>
      </w:tr>
      <w:tr w:rsidR="00C62121" w14:paraId="1BDC1DB4" w14:textId="77777777" w:rsidTr="00E50F6F">
        <w:trPr>
          <w:trHeight w:val="20"/>
        </w:trPr>
        <w:tc>
          <w:tcPr>
            <w:tcW w:w="4428" w:type="dxa"/>
            <w:gridSpan w:val="3"/>
            <w:vAlign w:val="center"/>
          </w:tcPr>
          <w:p w14:paraId="5CF87C0D" w14:textId="77777777" w:rsidR="00C62121" w:rsidRDefault="00C6212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Основное место работы, должность</w:t>
            </w:r>
          </w:p>
        </w:tc>
        <w:tc>
          <w:tcPr>
            <w:tcW w:w="4900" w:type="dxa"/>
            <w:gridSpan w:val="2"/>
            <w:vAlign w:val="center"/>
          </w:tcPr>
          <w:p w14:paraId="1C91AE65" w14:textId="5E59EE74" w:rsidR="00C62121" w:rsidRDefault="00C62121">
            <w:r>
              <w:rPr>
                <w:rFonts w:ascii="Times New Roman" w:eastAsia="Times New Roman" w:hAnsi="Times New Roman"/>
                <w:color w:val="000000"/>
                <w:sz w:val="20"/>
                <w:szCs w:val="20"/>
                <w:lang w:eastAsia="ru-RU"/>
              </w:rPr>
              <w:t>В настоящее время не работает</w:t>
            </w:r>
          </w:p>
        </w:tc>
      </w:tr>
      <w:tr w:rsidR="002449C2" w14:paraId="6207A40D" w14:textId="77777777" w:rsidTr="00C62121">
        <w:trPr>
          <w:trHeight w:val="20"/>
        </w:trPr>
        <w:tc>
          <w:tcPr>
            <w:tcW w:w="9328" w:type="dxa"/>
            <w:gridSpan w:val="5"/>
            <w:vAlign w:val="center"/>
          </w:tcPr>
          <w:p w14:paraId="666C410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Участие в органах управления и контроля</w:t>
            </w:r>
          </w:p>
        </w:tc>
      </w:tr>
      <w:tr w:rsidR="002449C2" w14:paraId="4581CC96" w14:textId="77777777" w:rsidTr="00C62121">
        <w:trPr>
          <w:trHeight w:val="20"/>
        </w:trPr>
        <w:tc>
          <w:tcPr>
            <w:tcW w:w="2081" w:type="dxa"/>
            <w:gridSpan w:val="2"/>
            <w:vAlign w:val="center"/>
          </w:tcPr>
          <w:p w14:paraId="5A2D5FE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Период</w:t>
            </w:r>
          </w:p>
        </w:tc>
        <w:tc>
          <w:tcPr>
            <w:tcW w:w="3732" w:type="dxa"/>
            <w:gridSpan w:val="2"/>
            <w:vMerge w:val="restart"/>
            <w:vAlign w:val="center"/>
          </w:tcPr>
          <w:p w14:paraId="19C4672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Наименование организации</w:t>
            </w:r>
          </w:p>
        </w:tc>
        <w:tc>
          <w:tcPr>
            <w:tcW w:w="3515" w:type="dxa"/>
            <w:vMerge w:val="restart"/>
            <w:vAlign w:val="center"/>
          </w:tcPr>
          <w:p w14:paraId="1EB5F4E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Должность</w:t>
            </w:r>
          </w:p>
        </w:tc>
      </w:tr>
      <w:tr w:rsidR="002449C2" w14:paraId="14D9EAE2" w14:textId="77777777" w:rsidTr="00C62121">
        <w:trPr>
          <w:trHeight w:val="20"/>
        </w:trPr>
        <w:tc>
          <w:tcPr>
            <w:tcW w:w="871" w:type="dxa"/>
            <w:vAlign w:val="center"/>
          </w:tcPr>
          <w:p w14:paraId="1F9281F1"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с</w:t>
            </w:r>
          </w:p>
        </w:tc>
        <w:tc>
          <w:tcPr>
            <w:tcW w:w="1210" w:type="dxa"/>
            <w:vAlign w:val="center"/>
          </w:tcPr>
          <w:p w14:paraId="528FC02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по</w:t>
            </w:r>
          </w:p>
        </w:tc>
        <w:tc>
          <w:tcPr>
            <w:tcW w:w="3732" w:type="dxa"/>
            <w:gridSpan w:val="2"/>
            <w:vMerge/>
            <w:vAlign w:val="center"/>
          </w:tcPr>
          <w:p w14:paraId="6FCBB4EA" w14:textId="77777777" w:rsidR="002449C2" w:rsidRDefault="002449C2">
            <w:pPr>
              <w:spacing w:after="0" w:line="240" w:lineRule="auto"/>
              <w:jc w:val="both"/>
              <w:rPr>
                <w:rFonts w:ascii="Times New Roman" w:eastAsia="Times New Roman" w:hAnsi="Times New Roman"/>
                <w:color w:val="000000"/>
                <w:sz w:val="20"/>
                <w:szCs w:val="20"/>
                <w:lang w:eastAsia="ru-RU"/>
              </w:rPr>
            </w:pPr>
          </w:p>
        </w:tc>
        <w:tc>
          <w:tcPr>
            <w:tcW w:w="3515" w:type="dxa"/>
            <w:vMerge/>
            <w:vAlign w:val="center"/>
          </w:tcPr>
          <w:p w14:paraId="74E874E8" w14:textId="77777777" w:rsidR="002449C2" w:rsidRDefault="002449C2">
            <w:pPr>
              <w:spacing w:after="0" w:line="240" w:lineRule="auto"/>
              <w:jc w:val="both"/>
              <w:rPr>
                <w:rFonts w:ascii="Times New Roman" w:eastAsia="Times New Roman" w:hAnsi="Times New Roman"/>
                <w:color w:val="000000"/>
                <w:sz w:val="20"/>
                <w:szCs w:val="20"/>
                <w:lang w:eastAsia="ru-RU"/>
              </w:rPr>
            </w:pPr>
          </w:p>
        </w:tc>
      </w:tr>
      <w:tr w:rsidR="002449C2" w14:paraId="4584742D" w14:textId="77777777" w:rsidTr="00C62121">
        <w:trPr>
          <w:trHeight w:val="20"/>
        </w:trPr>
        <w:tc>
          <w:tcPr>
            <w:tcW w:w="871" w:type="dxa"/>
            <w:vAlign w:val="center"/>
          </w:tcPr>
          <w:p w14:paraId="0714AAA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2019</w:t>
            </w:r>
          </w:p>
        </w:tc>
        <w:tc>
          <w:tcPr>
            <w:tcW w:w="1210" w:type="dxa"/>
            <w:vAlign w:val="center"/>
          </w:tcPr>
          <w:p w14:paraId="3EE3BE9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3732" w:type="dxa"/>
            <w:gridSpan w:val="2"/>
            <w:vAlign w:val="center"/>
          </w:tcPr>
          <w:p w14:paraId="4214166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«Энел Россия»</w:t>
            </w:r>
          </w:p>
        </w:tc>
        <w:tc>
          <w:tcPr>
            <w:tcW w:w="3515" w:type="dxa"/>
            <w:vAlign w:val="center"/>
          </w:tcPr>
          <w:p w14:paraId="17AC3BF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7998465D" w14:textId="77777777" w:rsidTr="00C62121">
        <w:trPr>
          <w:trHeight w:val="20"/>
        </w:trPr>
        <w:tc>
          <w:tcPr>
            <w:tcW w:w="871" w:type="dxa"/>
            <w:vAlign w:val="center"/>
          </w:tcPr>
          <w:p w14:paraId="0569C43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2019</w:t>
            </w:r>
          </w:p>
        </w:tc>
        <w:tc>
          <w:tcPr>
            <w:tcW w:w="1210" w:type="dxa"/>
            <w:vAlign w:val="center"/>
          </w:tcPr>
          <w:p w14:paraId="4598E14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150700DD"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Центр и Приволжье»</w:t>
            </w:r>
          </w:p>
        </w:tc>
        <w:tc>
          <w:tcPr>
            <w:tcW w:w="3515" w:type="dxa"/>
            <w:vAlign w:val="center"/>
          </w:tcPr>
          <w:p w14:paraId="48B8EE3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04B67F30" w14:textId="77777777" w:rsidTr="00C62121">
        <w:trPr>
          <w:trHeight w:val="20"/>
        </w:trPr>
        <w:tc>
          <w:tcPr>
            <w:tcW w:w="871" w:type="dxa"/>
            <w:vAlign w:val="center"/>
          </w:tcPr>
          <w:p w14:paraId="61D0646E"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2019</w:t>
            </w:r>
          </w:p>
        </w:tc>
        <w:tc>
          <w:tcPr>
            <w:tcW w:w="1210" w:type="dxa"/>
            <w:vAlign w:val="center"/>
          </w:tcPr>
          <w:p w14:paraId="12A9B98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143F93FD"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Центр»</w:t>
            </w:r>
          </w:p>
        </w:tc>
        <w:tc>
          <w:tcPr>
            <w:tcW w:w="3515" w:type="dxa"/>
            <w:vAlign w:val="center"/>
          </w:tcPr>
          <w:p w14:paraId="661D14DE"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297D07E5" w14:textId="77777777" w:rsidTr="00C62121">
        <w:trPr>
          <w:trHeight w:val="20"/>
        </w:trPr>
        <w:tc>
          <w:tcPr>
            <w:tcW w:w="871" w:type="dxa"/>
            <w:vAlign w:val="center"/>
          </w:tcPr>
          <w:p w14:paraId="683A158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2019</w:t>
            </w:r>
          </w:p>
        </w:tc>
        <w:tc>
          <w:tcPr>
            <w:tcW w:w="1210" w:type="dxa"/>
            <w:vAlign w:val="center"/>
          </w:tcPr>
          <w:p w14:paraId="1759962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62E1CDB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Юг»</w:t>
            </w:r>
          </w:p>
        </w:tc>
        <w:tc>
          <w:tcPr>
            <w:tcW w:w="3515" w:type="dxa"/>
            <w:vAlign w:val="center"/>
          </w:tcPr>
          <w:p w14:paraId="0B9D381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65F88075" w14:textId="77777777" w:rsidTr="00C62121">
        <w:trPr>
          <w:trHeight w:val="20"/>
        </w:trPr>
        <w:tc>
          <w:tcPr>
            <w:tcW w:w="871" w:type="dxa"/>
            <w:vAlign w:val="center"/>
          </w:tcPr>
          <w:p w14:paraId="3CA4B19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153E8A3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1B48F99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Сибирь»</w:t>
            </w:r>
          </w:p>
        </w:tc>
        <w:tc>
          <w:tcPr>
            <w:tcW w:w="3515" w:type="dxa"/>
            <w:vAlign w:val="center"/>
          </w:tcPr>
          <w:p w14:paraId="599C8DC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734FE4EB" w14:textId="77777777" w:rsidTr="00C62121">
        <w:trPr>
          <w:trHeight w:val="20"/>
        </w:trPr>
        <w:tc>
          <w:tcPr>
            <w:tcW w:w="871" w:type="dxa"/>
            <w:vAlign w:val="center"/>
          </w:tcPr>
          <w:p w14:paraId="0964EEE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1210" w:type="dxa"/>
            <w:vAlign w:val="center"/>
          </w:tcPr>
          <w:p w14:paraId="002F05E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2702B99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«ЭЛ5-Энерго»</w:t>
            </w:r>
          </w:p>
        </w:tc>
        <w:tc>
          <w:tcPr>
            <w:tcW w:w="3515" w:type="dxa"/>
            <w:vAlign w:val="center"/>
          </w:tcPr>
          <w:p w14:paraId="2E97096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409B4861" w14:textId="77777777" w:rsidTr="00C62121">
        <w:trPr>
          <w:trHeight w:val="221"/>
        </w:trPr>
        <w:tc>
          <w:tcPr>
            <w:tcW w:w="5813" w:type="dxa"/>
            <w:gridSpan w:val="4"/>
            <w:vAlign w:val="center"/>
          </w:tcPr>
          <w:p w14:paraId="5B0DEFE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Дата первого избрания в состав Совета директоров Общества</w:t>
            </w:r>
          </w:p>
        </w:tc>
        <w:tc>
          <w:tcPr>
            <w:tcW w:w="3515" w:type="dxa"/>
            <w:vAlign w:val="center"/>
          </w:tcPr>
          <w:p w14:paraId="40BA27F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31.05.2019</w:t>
            </w:r>
          </w:p>
        </w:tc>
      </w:tr>
    </w:tbl>
    <w:p w14:paraId="5CA1DE5B" w14:textId="77777777" w:rsidR="002449C2" w:rsidRDefault="002449C2">
      <w:pPr>
        <w:spacing w:after="160" w:line="259" w:lineRule="auto"/>
        <w:rPr>
          <w:rFonts w:ascii="Times New Roman" w:hAnsi="Times New Roman"/>
        </w:rPr>
      </w:pPr>
    </w:p>
    <w:p w14:paraId="48DC266B" w14:textId="77777777" w:rsidR="002449C2" w:rsidRDefault="00123961">
      <w:pPr>
        <w:spacing w:after="160" w:line="259" w:lineRule="auto"/>
        <w:ind w:left="142"/>
        <w:rPr>
          <w:rFonts w:ascii="Times New Roman" w:hAnsi="Times New Roman"/>
          <w:b/>
          <w:sz w:val="26"/>
          <w:szCs w:val="26"/>
        </w:rPr>
      </w:pPr>
      <w:r>
        <w:rPr>
          <w:rFonts w:ascii="Times New Roman" w:eastAsia="Times New Roman" w:hAnsi="Times New Roman"/>
          <w:b/>
          <w:bCs/>
          <w:sz w:val="26"/>
          <w:szCs w:val="26"/>
          <w:lang w:eastAsia="en-US"/>
        </w:rPr>
        <w:t>Казаков Александр Иванович</w:t>
      </w:r>
      <w:r>
        <w:rPr>
          <w:rFonts w:ascii="Times New Roman" w:eastAsia="Times New Roman" w:hAnsi="Times New Roman"/>
          <w:b/>
          <w:sz w:val="26"/>
          <w:szCs w:val="26"/>
          <w:lang w:eastAsia="en-US"/>
        </w:rPr>
        <w:t xml:space="preserve">  </w:t>
      </w:r>
    </w:p>
    <w:tbl>
      <w:tblPr>
        <w:tblW w:w="932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1185"/>
        <w:gridCol w:w="2297"/>
        <w:gridCol w:w="1352"/>
        <w:gridCol w:w="3636"/>
      </w:tblGrid>
      <w:tr w:rsidR="00246323" w14:paraId="455EE0D0" w14:textId="77777777" w:rsidTr="00E50F6F">
        <w:trPr>
          <w:trHeight w:val="20"/>
        </w:trPr>
        <w:tc>
          <w:tcPr>
            <w:tcW w:w="9326" w:type="dxa"/>
            <w:gridSpan w:val="5"/>
            <w:vAlign w:val="center"/>
          </w:tcPr>
          <w:p w14:paraId="6452539F" w14:textId="406C81BE" w:rsidR="00246323" w:rsidRDefault="00246323">
            <w:r>
              <w:rPr>
                <w:rFonts w:ascii="Times New Roman" w:eastAsia="Times New Roman" w:hAnsi="Times New Roman"/>
                <w:color w:val="000000"/>
                <w:sz w:val="20"/>
                <w:szCs w:val="20"/>
                <w:lang w:eastAsia="ru-RU"/>
              </w:rPr>
              <w:t>Общая информация о члене Совета директоров ПАО «Россети Юг»</w:t>
            </w:r>
          </w:p>
        </w:tc>
      </w:tr>
      <w:tr w:rsidR="00246323" w14:paraId="72F2F791" w14:textId="77777777" w:rsidTr="00E50F6F">
        <w:trPr>
          <w:trHeight w:val="20"/>
        </w:trPr>
        <w:tc>
          <w:tcPr>
            <w:tcW w:w="4338" w:type="dxa"/>
            <w:gridSpan w:val="3"/>
            <w:vAlign w:val="center"/>
          </w:tcPr>
          <w:p w14:paraId="63E37489"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Год рождения</w:t>
            </w:r>
          </w:p>
        </w:tc>
        <w:tc>
          <w:tcPr>
            <w:tcW w:w="4988" w:type="dxa"/>
            <w:gridSpan w:val="2"/>
            <w:vAlign w:val="center"/>
          </w:tcPr>
          <w:p w14:paraId="53A4C3A8" w14:textId="0BFD11E0" w:rsidR="00246323" w:rsidRDefault="00246323">
            <w:r>
              <w:rPr>
                <w:rFonts w:ascii="Times New Roman" w:eastAsia="Times New Roman" w:hAnsi="Times New Roman"/>
                <w:color w:val="000000"/>
                <w:sz w:val="20"/>
                <w:szCs w:val="20"/>
                <w:lang w:eastAsia="ru-RU"/>
              </w:rPr>
              <w:t>1948</w:t>
            </w:r>
          </w:p>
        </w:tc>
      </w:tr>
      <w:tr w:rsidR="00246323" w14:paraId="41DBFC9A" w14:textId="77777777" w:rsidTr="00E50F6F">
        <w:trPr>
          <w:trHeight w:val="435"/>
        </w:trPr>
        <w:tc>
          <w:tcPr>
            <w:tcW w:w="4338" w:type="dxa"/>
            <w:gridSpan w:val="3"/>
            <w:vAlign w:val="center"/>
          </w:tcPr>
          <w:p w14:paraId="6E107953"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Сведения об образовании</w:t>
            </w:r>
          </w:p>
          <w:p w14:paraId="090B448A"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(год, университет, квалификация, специальность)</w:t>
            </w:r>
          </w:p>
        </w:tc>
        <w:tc>
          <w:tcPr>
            <w:tcW w:w="4988" w:type="dxa"/>
            <w:gridSpan w:val="2"/>
            <w:vAlign w:val="center"/>
          </w:tcPr>
          <w:p w14:paraId="4BADF4A6"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Высшее.</w:t>
            </w:r>
          </w:p>
          <w:p w14:paraId="6B8F6DE0"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1971, Московский инженерно-экономический институт им. Серго Орджоникидзе, квалификация «инженер-экономист», специальность «экономика и организация машиностроительной промышленности».</w:t>
            </w:r>
          </w:p>
          <w:p w14:paraId="25657F93" w14:textId="787727F4" w:rsidR="00246323" w:rsidRDefault="00246323">
            <w:r>
              <w:rPr>
                <w:rFonts w:ascii="Times New Roman" w:eastAsia="Times New Roman" w:hAnsi="Times New Roman"/>
                <w:color w:val="000000"/>
                <w:sz w:val="20"/>
                <w:szCs w:val="20"/>
                <w:lang w:eastAsia="ru-RU"/>
              </w:rPr>
              <w:t>Ученая степень: доктор экономических наук.</w:t>
            </w:r>
          </w:p>
        </w:tc>
      </w:tr>
      <w:tr w:rsidR="00246323" w14:paraId="31D71601" w14:textId="77777777" w:rsidTr="00E50F6F">
        <w:trPr>
          <w:trHeight w:val="20"/>
        </w:trPr>
        <w:tc>
          <w:tcPr>
            <w:tcW w:w="4338" w:type="dxa"/>
            <w:gridSpan w:val="3"/>
            <w:vAlign w:val="center"/>
          </w:tcPr>
          <w:p w14:paraId="2F767464"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Основное место работы, должность</w:t>
            </w:r>
          </w:p>
        </w:tc>
        <w:tc>
          <w:tcPr>
            <w:tcW w:w="4988" w:type="dxa"/>
            <w:gridSpan w:val="2"/>
            <w:vAlign w:val="center"/>
          </w:tcPr>
          <w:p w14:paraId="57ECC890" w14:textId="3D305A9B" w:rsidR="00246323" w:rsidRDefault="00246323">
            <w:r>
              <w:rPr>
                <w:rFonts w:ascii="Times New Roman" w:eastAsia="Times New Roman" w:hAnsi="Times New Roman"/>
                <w:color w:val="000000"/>
                <w:sz w:val="20"/>
                <w:szCs w:val="20"/>
                <w:lang w:eastAsia="ru-RU"/>
              </w:rPr>
              <w:t>В настоящее время не работает</w:t>
            </w:r>
          </w:p>
        </w:tc>
      </w:tr>
      <w:tr w:rsidR="00246323" w14:paraId="4DF566CD" w14:textId="77777777" w:rsidTr="00E50F6F">
        <w:trPr>
          <w:trHeight w:val="20"/>
        </w:trPr>
        <w:tc>
          <w:tcPr>
            <w:tcW w:w="9326" w:type="dxa"/>
            <w:gridSpan w:val="5"/>
            <w:vAlign w:val="center"/>
          </w:tcPr>
          <w:p w14:paraId="683B81F4" w14:textId="10EFA719" w:rsidR="00246323" w:rsidRDefault="00246323">
            <w:r>
              <w:rPr>
                <w:rFonts w:ascii="Times New Roman" w:eastAsia="Times New Roman" w:hAnsi="Times New Roman"/>
                <w:color w:val="000000"/>
                <w:sz w:val="20"/>
                <w:szCs w:val="20"/>
                <w:lang w:eastAsia="ru-RU"/>
              </w:rPr>
              <w:t>Участие в органах управления и контроля</w:t>
            </w:r>
          </w:p>
        </w:tc>
      </w:tr>
      <w:tr w:rsidR="00246323" w14:paraId="0E3087C1" w14:textId="77777777" w:rsidTr="00E50F6F">
        <w:trPr>
          <w:trHeight w:val="20"/>
        </w:trPr>
        <w:tc>
          <w:tcPr>
            <w:tcW w:w="2041" w:type="dxa"/>
            <w:gridSpan w:val="2"/>
            <w:vAlign w:val="center"/>
          </w:tcPr>
          <w:p w14:paraId="5A75954C"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Период</w:t>
            </w:r>
          </w:p>
        </w:tc>
        <w:tc>
          <w:tcPr>
            <w:tcW w:w="3649" w:type="dxa"/>
            <w:gridSpan w:val="2"/>
            <w:vMerge w:val="restart"/>
            <w:vAlign w:val="center"/>
          </w:tcPr>
          <w:p w14:paraId="6BED61BE"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Наименование организации</w:t>
            </w:r>
          </w:p>
        </w:tc>
        <w:tc>
          <w:tcPr>
            <w:tcW w:w="3636" w:type="dxa"/>
            <w:vMerge w:val="restart"/>
            <w:vAlign w:val="center"/>
          </w:tcPr>
          <w:p w14:paraId="31867483" w14:textId="0A048F53" w:rsidR="00246323" w:rsidRDefault="00246323">
            <w:r>
              <w:rPr>
                <w:rFonts w:ascii="Times New Roman" w:eastAsia="Times New Roman" w:hAnsi="Times New Roman"/>
                <w:color w:val="000000"/>
                <w:sz w:val="20"/>
                <w:szCs w:val="20"/>
                <w:lang w:eastAsia="ru-RU"/>
              </w:rPr>
              <w:t>Должность</w:t>
            </w:r>
          </w:p>
        </w:tc>
      </w:tr>
      <w:tr w:rsidR="00246323" w14:paraId="39679719" w14:textId="77777777" w:rsidTr="00E50F6F">
        <w:trPr>
          <w:trHeight w:val="20"/>
        </w:trPr>
        <w:tc>
          <w:tcPr>
            <w:tcW w:w="856" w:type="dxa"/>
            <w:vAlign w:val="center"/>
          </w:tcPr>
          <w:p w14:paraId="76D4B97F"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с</w:t>
            </w:r>
          </w:p>
        </w:tc>
        <w:tc>
          <w:tcPr>
            <w:tcW w:w="1185" w:type="dxa"/>
            <w:vAlign w:val="center"/>
          </w:tcPr>
          <w:p w14:paraId="59DD3ACA"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по</w:t>
            </w:r>
          </w:p>
        </w:tc>
        <w:tc>
          <w:tcPr>
            <w:tcW w:w="3649" w:type="dxa"/>
            <w:gridSpan w:val="2"/>
            <w:vMerge/>
            <w:vAlign w:val="center"/>
          </w:tcPr>
          <w:p w14:paraId="172548C1" w14:textId="77777777" w:rsidR="00246323" w:rsidRDefault="00246323">
            <w:pPr>
              <w:spacing w:after="0" w:line="240" w:lineRule="auto"/>
              <w:jc w:val="both"/>
              <w:rPr>
                <w:rFonts w:ascii="Times New Roman" w:eastAsia="Times New Roman" w:hAnsi="Times New Roman"/>
                <w:color w:val="000000"/>
                <w:sz w:val="20"/>
                <w:szCs w:val="20"/>
                <w:lang w:eastAsia="ru-RU"/>
              </w:rPr>
            </w:pPr>
          </w:p>
        </w:tc>
        <w:tc>
          <w:tcPr>
            <w:tcW w:w="3636" w:type="dxa"/>
            <w:vMerge/>
            <w:vAlign w:val="center"/>
          </w:tcPr>
          <w:p w14:paraId="21F11962" w14:textId="77777777" w:rsidR="00246323" w:rsidRDefault="00246323"/>
        </w:tc>
      </w:tr>
      <w:tr w:rsidR="00246323" w14:paraId="1ED4D937" w14:textId="77777777" w:rsidTr="00E50F6F">
        <w:trPr>
          <w:trHeight w:val="20"/>
        </w:trPr>
        <w:tc>
          <w:tcPr>
            <w:tcW w:w="856" w:type="dxa"/>
            <w:vAlign w:val="center"/>
          </w:tcPr>
          <w:p w14:paraId="561C7365"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2011</w:t>
            </w:r>
          </w:p>
        </w:tc>
        <w:tc>
          <w:tcPr>
            <w:tcW w:w="1185" w:type="dxa"/>
            <w:vAlign w:val="center"/>
          </w:tcPr>
          <w:p w14:paraId="1C83D750"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2019</w:t>
            </w:r>
          </w:p>
        </w:tc>
        <w:tc>
          <w:tcPr>
            <w:tcW w:w="3649" w:type="dxa"/>
            <w:gridSpan w:val="2"/>
            <w:vAlign w:val="center"/>
          </w:tcPr>
          <w:p w14:paraId="08E7E7F1"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Открытое акционерное общество «Дальневосточная энергетическая управляющая компания»</w:t>
            </w:r>
          </w:p>
        </w:tc>
        <w:tc>
          <w:tcPr>
            <w:tcW w:w="3636" w:type="dxa"/>
            <w:vAlign w:val="center"/>
          </w:tcPr>
          <w:p w14:paraId="3670C225" w14:textId="1DA5AB21" w:rsidR="00246323" w:rsidRDefault="00246323">
            <w:r>
              <w:rPr>
                <w:rFonts w:ascii="Times New Roman" w:eastAsia="Times New Roman" w:hAnsi="Times New Roman"/>
                <w:color w:val="000000"/>
                <w:sz w:val="20"/>
                <w:szCs w:val="20"/>
                <w:lang w:eastAsia="ru-RU"/>
              </w:rPr>
              <w:t>Председатель Совета директоров, член Совета директоров</w:t>
            </w:r>
          </w:p>
        </w:tc>
      </w:tr>
      <w:tr w:rsidR="00246323" w14:paraId="7E57FF8A" w14:textId="77777777" w:rsidTr="00E50F6F">
        <w:trPr>
          <w:trHeight w:val="20"/>
        </w:trPr>
        <w:tc>
          <w:tcPr>
            <w:tcW w:w="856" w:type="dxa"/>
            <w:vAlign w:val="center"/>
          </w:tcPr>
          <w:p w14:paraId="669DC94D"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2018</w:t>
            </w:r>
          </w:p>
        </w:tc>
        <w:tc>
          <w:tcPr>
            <w:tcW w:w="1185" w:type="dxa"/>
            <w:vAlign w:val="center"/>
          </w:tcPr>
          <w:p w14:paraId="4E408343"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3649" w:type="dxa"/>
            <w:gridSpan w:val="2"/>
            <w:vAlign w:val="center"/>
          </w:tcPr>
          <w:p w14:paraId="1BF87796"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Центр»</w:t>
            </w:r>
          </w:p>
        </w:tc>
        <w:tc>
          <w:tcPr>
            <w:tcW w:w="3636" w:type="dxa"/>
            <w:vAlign w:val="center"/>
          </w:tcPr>
          <w:p w14:paraId="12DE89C5" w14:textId="35185A25" w:rsidR="00246323" w:rsidRDefault="00246323">
            <w:r>
              <w:rPr>
                <w:rFonts w:ascii="Times New Roman" w:eastAsia="Times New Roman" w:hAnsi="Times New Roman"/>
                <w:color w:val="000000"/>
                <w:sz w:val="20"/>
                <w:szCs w:val="20"/>
                <w:lang w:eastAsia="ru-RU"/>
              </w:rPr>
              <w:t>Председатель Совета директоров, член Совета директоров</w:t>
            </w:r>
          </w:p>
        </w:tc>
      </w:tr>
      <w:tr w:rsidR="00246323" w14:paraId="15137196" w14:textId="77777777" w:rsidTr="00E50F6F">
        <w:trPr>
          <w:trHeight w:val="20"/>
        </w:trPr>
        <w:tc>
          <w:tcPr>
            <w:tcW w:w="856" w:type="dxa"/>
            <w:vAlign w:val="center"/>
          </w:tcPr>
          <w:p w14:paraId="10F33B16"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2018</w:t>
            </w:r>
          </w:p>
        </w:tc>
        <w:tc>
          <w:tcPr>
            <w:tcW w:w="1185" w:type="dxa"/>
            <w:vAlign w:val="center"/>
          </w:tcPr>
          <w:p w14:paraId="5E2E6879"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649" w:type="dxa"/>
            <w:gridSpan w:val="2"/>
            <w:vAlign w:val="center"/>
          </w:tcPr>
          <w:p w14:paraId="356ACD9D"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Центр и Приволжье»</w:t>
            </w:r>
          </w:p>
        </w:tc>
        <w:tc>
          <w:tcPr>
            <w:tcW w:w="3636" w:type="dxa"/>
            <w:vAlign w:val="center"/>
          </w:tcPr>
          <w:p w14:paraId="6B6B7925" w14:textId="1FF16D21" w:rsidR="00246323" w:rsidRDefault="00246323">
            <w:r>
              <w:rPr>
                <w:rFonts w:ascii="Times New Roman" w:eastAsia="Times New Roman" w:hAnsi="Times New Roman"/>
                <w:color w:val="000000"/>
                <w:sz w:val="20"/>
                <w:szCs w:val="20"/>
                <w:lang w:eastAsia="ru-RU"/>
              </w:rPr>
              <w:t>Председатель Совета директоров, член Совета директоров</w:t>
            </w:r>
          </w:p>
        </w:tc>
      </w:tr>
      <w:tr w:rsidR="00246323" w14:paraId="5F9760B4" w14:textId="77777777" w:rsidTr="00E50F6F">
        <w:trPr>
          <w:trHeight w:val="20"/>
        </w:trPr>
        <w:tc>
          <w:tcPr>
            <w:tcW w:w="856" w:type="dxa"/>
            <w:vAlign w:val="center"/>
          </w:tcPr>
          <w:p w14:paraId="25F945C2"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2020</w:t>
            </w:r>
          </w:p>
        </w:tc>
        <w:tc>
          <w:tcPr>
            <w:tcW w:w="1185" w:type="dxa"/>
            <w:vAlign w:val="center"/>
          </w:tcPr>
          <w:p w14:paraId="66F5FB24"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3649" w:type="dxa"/>
            <w:gridSpan w:val="2"/>
            <w:vAlign w:val="center"/>
          </w:tcPr>
          <w:p w14:paraId="05B081DA"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Волга»</w:t>
            </w:r>
          </w:p>
        </w:tc>
        <w:tc>
          <w:tcPr>
            <w:tcW w:w="3636" w:type="dxa"/>
            <w:vAlign w:val="center"/>
          </w:tcPr>
          <w:p w14:paraId="527B4F20" w14:textId="78E99089" w:rsidR="00246323" w:rsidRDefault="00246323">
            <w:r>
              <w:rPr>
                <w:rFonts w:ascii="Times New Roman" w:eastAsia="Times New Roman" w:hAnsi="Times New Roman"/>
                <w:color w:val="000000"/>
                <w:sz w:val="20"/>
                <w:szCs w:val="20"/>
                <w:lang w:eastAsia="ru-RU"/>
              </w:rPr>
              <w:t>Член Совета директоров</w:t>
            </w:r>
          </w:p>
        </w:tc>
      </w:tr>
      <w:tr w:rsidR="00246323" w14:paraId="70E375C8" w14:textId="77777777" w:rsidTr="00E50F6F">
        <w:trPr>
          <w:trHeight w:val="20"/>
        </w:trPr>
        <w:tc>
          <w:tcPr>
            <w:tcW w:w="856" w:type="dxa"/>
            <w:vAlign w:val="center"/>
          </w:tcPr>
          <w:p w14:paraId="4D65D0AD"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1185" w:type="dxa"/>
            <w:vAlign w:val="center"/>
          </w:tcPr>
          <w:p w14:paraId="56035D48"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649" w:type="dxa"/>
            <w:gridSpan w:val="2"/>
            <w:vAlign w:val="center"/>
          </w:tcPr>
          <w:p w14:paraId="5A1E643A"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Волга»</w:t>
            </w:r>
          </w:p>
        </w:tc>
        <w:tc>
          <w:tcPr>
            <w:tcW w:w="3636" w:type="dxa"/>
            <w:vAlign w:val="center"/>
          </w:tcPr>
          <w:p w14:paraId="2638ECDC" w14:textId="01503830" w:rsidR="00246323" w:rsidRDefault="00246323">
            <w:r>
              <w:rPr>
                <w:rFonts w:ascii="Times New Roman" w:eastAsia="Times New Roman" w:hAnsi="Times New Roman"/>
                <w:color w:val="000000"/>
                <w:sz w:val="20"/>
                <w:szCs w:val="20"/>
                <w:lang w:eastAsia="ru-RU"/>
              </w:rPr>
              <w:t>Член Совета директоров</w:t>
            </w:r>
          </w:p>
        </w:tc>
      </w:tr>
      <w:tr w:rsidR="00246323" w14:paraId="2F0E59D3" w14:textId="77777777" w:rsidTr="00E50F6F">
        <w:trPr>
          <w:trHeight w:val="20"/>
        </w:trPr>
        <w:tc>
          <w:tcPr>
            <w:tcW w:w="856" w:type="dxa"/>
            <w:vAlign w:val="center"/>
          </w:tcPr>
          <w:p w14:paraId="612A6CE5"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185" w:type="dxa"/>
            <w:vAlign w:val="center"/>
          </w:tcPr>
          <w:p w14:paraId="33A0751E"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649" w:type="dxa"/>
            <w:gridSpan w:val="2"/>
            <w:vAlign w:val="center"/>
          </w:tcPr>
          <w:p w14:paraId="2DB9D744"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Кубань»</w:t>
            </w:r>
          </w:p>
        </w:tc>
        <w:tc>
          <w:tcPr>
            <w:tcW w:w="3636" w:type="dxa"/>
            <w:vAlign w:val="center"/>
          </w:tcPr>
          <w:p w14:paraId="52DACD99" w14:textId="1729744C" w:rsidR="00246323" w:rsidRDefault="00246323">
            <w:r>
              <w:rPr>
                <w:rFonts w:ascii="Times New Roman" w:eastAsia="Times New Roman" w:hAnsi="Times New Roman"/>
                <w:color w:val="000000"/>
                <w:sz w:val="20"/>
                <w:szCs w:val="20"/>
                <w:lang w:eastAsia="ru-RU"/>
              </w:rPr>
              <w:t>Член Совета директоров</w:t>
            </w:r>
          </w:p>
        </w:tc>
      </w:tr>
      <w:tr w:rsidR="00246323" w14:paraId="5A1D5A4E" w14:textId="77777777" w:rsidTr="00E50F6F">
        <w:trPr>
          <w:trHeight w:val="20"/>
        </w:trPr>
        <w:tc>
          <w:tcPr>
            <w:tcW w:w="856" w:type="dxa"/>
            <w:vAlign w:val="center"/>
          </w:tcPr>
          <w:p w14:paraId="5498B510"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185" w:type="dxa"/>
            <w:vAlign w:val="center"/>
          </w:tcPr>
          <w:p w14:paraId="0167169C"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649" w:type="dxa"/>
            <w:gridSpan w:val="2"/>
            <w:vAlign w:val="center"/>
          </w:tcPr>
          <w:p w14:paraId="6ADB1272"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Юг»</w:t>
            </w:r>
          </w:p>
        </w:tc>
        <w:tc>
          <w:tcPr>
            <w:tcW w:w="3636" w:type="dxa"/>
            <w:vAlign w:val="center"/>
          </w:tcPr>
          <w:p w14:paraId="5EE03350" w14:textId="12402ED5" w:rsidR="00246323" w:rsidRDefault="00246323">
            <w:r>
              <w:rPr>
                <w:rFonts w:ascii="Times New Roman" w:eastAsia="Times New Roman" w:hAnsi="Times New Roman"/>
                <w:color w:val="000000"/>
                <w:sz w:val="20"/>
                <w:szCs w:val="20"/>
                <w:lang w:eastAsia="ru-RU"/>
              </w:rPr>
              <w:t>Член Совета директоров</w:t>
            </w:r>
          </w:p>
        </w:tc>
      </w:tr>
      <w:tr w:rsidR="00246323" w14:paraId="4256FC5A" w14:textId="77777777" w:rsidTr="00E50F6F">
        <w:trPr>
          <w:trHeight w:val="244"/>
        </w:trPr>
        <w:tc>
          <w:tcPr>
            <w:tcW w:w="5690" w:type="dxa"/>
            <w:gridSpan w:val="4"/>
            <w:vAlign w:val="center"/>
          </w:tcPr>
          <w:p w14:paraId="331E3ECC" w14:textId="77777777" w:rsidR="00246323" w:rsidRDefault="0024632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Дата первого избрания в состав Совета директоров Общества</w:t>
            </w:r>
          </w:p>
        </w:tc>
        <w:tc>
          <w:tcPr>
            <w:tcW w:w="3636" w:type="dxa"/>
            <w:vAlign w:val="center"/>
          </w:tcPr>
          <w:p w14:paraId="1D4D8794" w14:textId="6343609D" w:rsidR="00246323" w:rsidRDefault="00246323">
            <w:r>
              <w:rPr>
                <w:rFonts w:ascii="Times New Roman" w:eastAsia="Times New Roman" w:hAnsi="Times New Roman"/>
                <w:color w:val="000000"/>
                <w:sz w:val="20"/>
                <w:szCs w:val="20"/>
                <w:lang w:eastAsia="ru-RU"/>
              </w:rPr>
              <w:t>31.08.2021</w:t>
            </w:r>
          </w:p>
        </w:tc>
      </w:tr>
      <w:tr w:rsidR="00246323" w14:paraId="4A2CFFA6" w14:textId="77777777" w:rsidTr="00E50F6F">
        <w:trPr>
          <w:trHeight w:val="244"/>
        </w:trPr>
        <w:tc>
          <w:tcPr>
            <w:tcW w:w="9326" w:type="dxa"/>
            <w:gridSpan w:val="5"/>
            <w:vAlign w:val="center"/>
          </w:tcPr>
          <w:p w14:paraId="6EA1A467" w14:textId="4C9E8603" w:rsidR="00246323" w:rsidRDefault="00246323">
            <w:r w:rsidRPr="00246323">
              <w:rPr>
                <w:rFonts w:ascii="Times New Roman" w:eastAsia="Times New Roman" w:hAnsi="Times New Roman"/>
                <w:color w:val="000000"/>
                <w:sz w:val="20"/>
                <w:szCs w:val="20"/>
                <w:lang w:eastAsia="ru-RU"/>
              </w:rPr>
              <w:t>Признан независимым директором в соответствии с решением Совета директоров ПАО «Россети Юг» 14.08.2024 (</w:t>
            </w:r>
            <w:hyperlink r:id="rId154">
              <w:r w:rsidRPr="00246323">
                <w:rPr>
                  <w:rFonts w:ascii="Times New Roman" w:eastAsia="Times New Roman" w:hAnsi="Times New Roman"/>
                  <w:color w:val="000000"/>
                  <w:sz w:val="20"/>
                  <w:szCs w:val="20"/>
                  <w:lang w:eastAsia="ru-RU"/>
                </w:rPr>
                <w:t>протокол заседания Совета директоров №586/202</w:t>
              </w:r>
            </w:hyperlink>
            <w:r w:rsidRPr="00246323">
              <w:rPr>
                <w:rFonts w:ascii="Times New Roman" w:eastAsia="Times New Roman" w:hAnsi="Times New Roman"/>
                <w:color w:val="000000"/>
                <w:sz w:val="20"/>
                <w:szCs w:val="20"/>
                <w:lang w:eastAsia="ru-RU"/>
              </w:rPr>
              <w:t>4)</w:t>
            </w:r>
          </w:p>
        </w:tc>
      </w:tr>
    </w:tbl>
    <w:p w14:paraId="3B586370" w14:textId="237D4BD0" w:rsidR="00FC6862" w:rsidRDefault="00FC6862">
      <w:pPr>
        <w:spacing w:after="160" w:line="259" w:lineRule="auto"/>
        <w:ind w:left="142"/>
        <w:rPr>
          <w:rFonts w:ascii="Times New Roman" w:hAnsi="Times New Roman"/>
          <w:b/>
          <w:bCs/>
          <w:sz w:val="26"/>
          <w:szCs w:val="26"/>
        </w:rPr>
      </w:pPr>
    </w:p>
    <w:p w14:paraId="18D23AAA" w14:textId="77777777" w:rsidR="00FC6862" w:rsidRDefault="00FC6862">
      <w:pPr>
        <w:spacing w:after="0" w:line="240" w:lineRule="auto"/>
        <w:rPr>
          <w:rFonts w:ascii="Times New Roman" w:hAnsi="Times New Roman"/>
          <w:b/>
          <w:bCs/>
          <w:sz w:val="26"/>
          <w:szCs w:val="26"/>
        </w:rPr>
      </w:pPr>
      <w:r>
        <w:rPr>
          <w:rFonts w:ascii="Times New Roman" w:hAnsi="Times New Roman"/>
          <w:b/>
          <w:bCs/>
          <w:sz w:val="26"/>
          <w:szCs w:val="26"/>
        </w:rPr>
        <w:br w:type="page"/>
      </w:r>
    </w:p>
    <w:p w14:paraId="2A6944B3" w14:textId="77777777" w:rsidR="002449C2" w:rsidRDefault="002449C2">
      <w:pPr>
        <w:spacing w:after="160" w:line="259" w:lineRule="auto"/>
        <w:ind w:left="142"/>
        <w:rPr>
          <w:rFonts w:ascii="Times New Roman" w:hAnsi="Times New Roman"/>
          <w:b/>
          <w:bCs/>
          <w:sz w:val="26"/>
          <w:szCs w:val="26"/>
        </w:rPr>
      </w:pPr>
    </w:p>
    <w:p w14:paraId="48EB9B40" w14:textId="77777777" w:rsidR="002449C2" w:rsidRDefault="00123961">
      <w:pPr>
        <w:spacing w:after="160" w:line="259" w:lineRule="auto"/>
        <w:ind w:left="142"/>
        <w:rPr>
          <w:rFonts w:ascii="Times New Roman" w:hAnsi="Times New Roman"/>
          <w:b/>
          <w:sz w:val="26"/>
          <w:szCs w:val="26"/>
        </w:rPr>
      </w:pPr>
      <w:r>
        <w:rPr>
          <w:rFonts w:ascii="Times New Roman" w:eastAsia="Times New Roman" w:hAnsi="Times New Roman"/>
          <w:b/>
          <w:bCs/>
          <w:sz w:val="26"/>
          <w:szCs w:val="26"/>
          <w:lang w:eastAsia="en-US"/>
        </w:rPr>
        <w:t>Клинков Олег Юрьевич</w:t>
      </w:r>
      <w:r>
        <w:rPr>
          <w:rFonts w:ascii="Times New Roman" w:eastAsia="Times New Roman" w:hAnsi="Times New Roman"/>
          <w:b/>
          <w:sz w:val="26"/>
          <w:szCs w:val="26"/>
          <w:lang w:eastAsia="en-US"/>
        </w:rPr>
        <w:t xml:space="preserve">  </w:t>
      </w:r>
    </w:p>
    <w:tbl>
      <w:tblPr>
        <w:tblW w:w="949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1186"/>
        <w:gridCol w:w="2299"/>
        <w:gridCol w:w="1354"/>
        <w:gridCol w:w="3802"/>
      </w:tblGrid>
      <w:tr w:rsidR="005E3908" w14:paraId="28455067" w14:textId="77777777" w:rsidTr="005E3908">
        <w:trPr>
          <w:trHeight w:val="20"/>
        </w:trPr>
        <w:tc>
          <w:tcPr>
            <w:tcW w:w="9497" w:type="dxa"/>
            <w:gridSpan w:val="5"/>
            <w:vAlign w:val="center"/>
          </w:tcPr>
          <w:p w14:paraId="7CD8E7E6" w14:textId="055782F0" w:rsidR="005E3908" w:rsidRDefault="005E3908">
            <w:r>
              <w:rPr>
                <w:rFonts w:ascii="Times New Roman" w:eastAsia="Times New Roman" w:hAnsi="Times New Roman"/>
                <w:color w:val="000000"/>
                <w:sz w:val="20"/>
                <w:szCs w:val="20"/>
                <w:lang w:eastAsia="ru-RU"/>
              </w:rPr>
              <w:t>Общая информация о члене Совета директоров ПАО «Россети Юг»</w:t>
            </w:r>
          </w:p>
        </w:tc>
      </w:tr>
      <w:tr w:rsidR="005E3908" w14:paraId="03A08016" w14:textId="77777777" w:rsidTr="005E3908">
        <w:trPr>
          <w:trHeight w:val="20"/>
        </w:trPr>
        <w:tc>
          <w:tcPr>
            <w:tcW w:w="4341" w:type="dxa"/>
            <w:gridSpan w:val="3"/>
            <w:vAlign w:val="center"/>
          </w:tcPr>
          <w:p w14:paraId="062A3DFD"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Год рождения</w:t>
            </w:r>
          </w:p>
        </w:tc>
        <w:tc>
          <w:tcPr>
            <w:tcW w:w="5156" w:type="dxa"/>
            <w:gridSpan w:val="2"/>
            <w:vAlign w:val="center"/>
          </w:tcPr>
          <w:p w14:paraId="0719CB7F" w14:textId="2213BE1E" w:rsidR="005E3908" w:rsidRDefault="005E3908">
            <w:r>
              <w:rPr>
                <w:rFonts w:ascii="Times New Roman" w:eastAsia="Times New Roman" w:hAnsi="Times New Roman"/>
                <w:color w:val="000000"/>
                <w:sz w:val="20"/>
                <w:szCs w:val="20"/>
                <w:lang w:eastAsia="ru-RU"/>
              </w:rPr>
              <w:t>1972</w:t>
            </w:r>
          </w:p>
        </w:tc>
      </w:tr>
      <w:tr w:rsidR="005E3908" w14:paraId="529A5CDA" w14:textId="77777777" w:rsidTr="005E3908">
        <w:trPr>
          <w:trHeight w:val="701"/>
        </w:trPr>
        <w:tc>
          <w:tcPr>
            <w:tcW w:w="4341" w:type="dxa"/>
            <w:gridSpan w:val="3"/>
            <w:vAlign w:val="center"/>
          </w:tcPr>
          <w:p w14:paraId="3F5E8144"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Сведения об образовании</w:t>
            </w:r>
          </w:p>
          <w:p w14:paraId="2791ED2A"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(год, университет, квалификация, специальность)</w:t>
            </w:r>
          </w:p>
        </w:tc>
        <w:tc>
          <w:tcPr>
            <w:tcW w:w="5156" w:type="dxa"/>
            <w:gridSpan w:val="2"/>
            <w:vAlign w:val="center"/>
          </w:tcPr>
          <w:p w14:paraId="75A19AA3"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Высшее.</w:t>
            </w:r>
          </w:p>
          <w:p w14:paraId="6BD7D885" w14:textId="53B6511B" w:rsidR="005E3908" w:rsidRDefault="005E3908">
            <w:r>
              <w:rPr>
                <w:rFonts w:ascii="Times New Roman" w:eastAsia="Times New Roman" w:hAnsi="Times New Roman"/>
                <w:color w:val="000000"/>
                <w:sz w:val="20"/>
                <w:szCs w:val="20"/>
                <w:lang w:eastAsia="ru-RU"/>
              </w:rPr>
              <w:t>1994, Военная инженерно-космическая академия им. А.Ф. Можайского, квалификация «инженер-электрик», специальность «системы автоматического управления летательных аппаратов».</w:t>
            </w:r>
          </w:p>
        </w:tc>
      </w:tr>
      <w:tr w:rsidR="005E3908" w14:paraId="6A4D9E15" w14:textId="77777777" w:rsidTr="005E3908">
        <w:trPr>
          <w:trHeight w:val="20"/>
        </w:trPr>
        <w:tc>
          <w:tcPr>
            <w:tcW w:w="4341" w:type="dxa"/>
            <w:gridSpan w:val="3"/>
            <w:vAlign w:val="center"/>
          </w:tcPr>
          <w:p w14:paraId="06E8FED3"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Основное место работы, должность</w:t>
            </w:r>
          </w:p>
        </w:tc>
        <w:tc>
          <w:tcPr>
            <w:tcW w:w="5156" w:type="dxa"/>
            <w:gridSpan w:val="2"/>
            <w:vAlign w:val="center"/>
          </w:tcPr>
          <w:p w14:paraId="02008DD4" w14:textId="47117FC3" w:rsidR="005E3908" w:rsidRDefault="005E3908">
            <w:r>
              <w:rPr>
                <w:rFonts w:ascii="Times New Roman" w:eastAsia="Times New Roman" w:hAnsi="Times New Roman"/>
                <w:color w:val="000000"/>
                <w:sz w:val="20"/>
                <w:szCs w:val="20"/>
                <w:lang w:eastAsia="ru-RU"/>
              </w:rPr>
              <w:t>ПАО «Россети», Директор по взаимодействию с потребителями-начальник Департамента технологического развития.</w:t>
            </w:r>
          </w:p>
        </w:tc>
      </w:tr>
      <w:tr w:rsidR="005E3908" w14:paraId="74A3006D" w14:textId="77777777" w:rsidTr="005E3908">
        <w:trPr>
          <w:trHeight w:val="20"/>
        </w:trPr>
        <w:tc>
          <w:tcPr>
            <w:tcW w:w="9497" w:type="dxa"/>
            <w:gridSpan w:val="5"/>
            <w:vAlign w:val="center"/>
          </w:tcPr>
          <w:p w14:paraId="7C7376D7" w14:textId="3641482D" w:rsidR="005E3908" w:rsidRDefault="005E3908">
            <w:r>
              <w:rPr>
                <w:rFonts w:ascii="Times New Roman" w:eastAsia="Times New Roman" w:hAnsi="Times New Roman"/>
                <w:color w:val="000000"/>
                <w:sz w:val="20"/>
                <w:szCs w:val="20"/>
                <w:lang w:eastAsia="ru-RU"/>
              </w:rPr>
              <w:t>Участие в органах управления и контроля</w:t>
            </w:r>
          </w:p>
        </w:tc>
      </w:tr>
      <w:tr w:rsidR="005E3908" w14:paraId="08475323" w14:textId="77777777" w:rsidTr="005E3908">
        <w:trPr>
          <w:trHeight w:val="20"/>
        </w:trPr>
        <w:tc>
          <w:tcPr>
            <w:tcW w:w="2042" w:type="dxa"/>
            <w:gridSpan w:val="2"/>
            <w:vAlign w:val="center"/>
          </w:tcPr>
          <w:p w14:paraId="2C544C36"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Период</w:t>
            </w:r>
          </w:p>
        </w:tc>
        <w:tc>
          <w:tcPr>
            <w:tcW w:w="3653" w:type="dxa"/>
            <w:gridSpan w:val="2"/>
            <w:vMerge w:val="restart"/>
            <w:vAlign w:val="center"/>
          </w:tcPr>
          <w:p w14:paraId="38FC7BC6"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Наименование организации</w:t>
            </w:r>
          </w:p>
        </w:tc>
        <w:tc>
          <w:tcPr>
            <w:tcW w:w="3802" w:type="dxa"/>
            <w:vMerge w:val="restart"/>
            <w:vAlign w:val="center"/>
          </w:tcPr>
          <w:p w14:paraId="4AB47708" w14:textId="51C5E86E" w:rsidR="005E3908" w:rsidRDefault="005E3908">
            <w:r>
              <w:rPr>
                <w:rFonts w:ascii="Times New Roman" w:eastAsia="Times New Roman" w:hAnsi="Times New Roman"/>
                <w:color w:val="000000"/>
                <w:sz w:val="20"/>
                <w:szCs w:val="20"/>
                <w:lang w:eastAsia="ru-RU"/>
              </w:rPr>
              <w:t>Должность</w:t>
            </w:r>
          </w:p>
        </w:tc>
      </w:tr>
      <w:tr w:rsidR="005E3908" w14:paraId="0EBBAD64" w14:textId="77777777" w:rsidTr="005E3908">
        <w:trPr>
          <w:trHeight w:val="20"/>
        </w:trPr>
        <w:tc>
          <w:tcPr>
            <w:tcW w:w="856" w:type="dxa"/>
            <w:vAlign w:val="center"/>
          </w:tcPr>
          <w:p w14:paraId="334D2867"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с</w:t>
            </w:r>
          </w:p>
        </w:tc>
        <w:tc>
          <w:tcPr>
            <w:tcW w:w="1186" w:type="dxa"/>
            <w:vAlign w:val="center"/>
          </w:tcPr>
          <w:p w14:paraId="3213C438"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по</w:t>
            </w:r>
          </w:p>
        </w:tc>
        <w:tc>
          <w:tcPr>
            <w:tcW w:w="3653" w:type="dxa"/>
            <w:gridSpan w:val="2"/>
            <w:vMerge/>
            <w:vAlign w:val="center"/>
          </w:tcPr>
          <w:p w14:paraId="3B5B7927" w14:textId="77777777" w:rsidR="005E3908" w:rsidRDefault="005E3908">
            <w:pPr>
              <w:spacing w:after="0" w:line="240" w:lineRule="auto"/>
              <w:jc w:val="both"/>
              <w:rPr>
                <w:rFonts w:ascii="Times New Roman" w:eastAsia="Times New Roman" w:hAnsi="Times New Roman"/>
                <w:color w:val="000000"/>
                <w:sz w:val="20"/>
                <w:szCs w:val="20"/>
                <w:lang w:eastAsia="ru-RU"/>
              </w:rPr>
            </w:pPr>
          </w:p>
        </w:tc>
        <w:tc>
          <w:tcPr>
            <w:tcW w:w="3802" w:type="dxa"/>
            <w:vMerge/>
            <w:vAlign w:val="center"/>
          </w:tcPr>
          <w:p w14:paraId="73A1515F" w14:textId="77777777" w:rsidR="005E3908" w:rsidRDefault="005E3908"/>
        </w:tc>
      </w:tr>
      <w:tr w:rsidR="005E3908" w14:paraId="0134ABCE" w14:textId="77777777" w:rsidTr="005E3908">
        <w:trPr>
          <w:trHeight w:val="20"/>
        </w:trPr>
        <w:tc>
          <w:tcPr>
            <w:tcW w:w="856" w:type="dxa"/>
            <w:vAlign w:val="center"/>
          </w:tcPr>
          <w:p w14:paraId="50F77CD1"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2015</w:t>
            </w:r>
          </w:p>
        </w:tc>
        <w:tc>
          <w:tcPr>
            <w:tcW w:w="1186" w:type="dxa"/>
            <w:vAlign w:val="center"/>
          </w:tcPr>
          <w:p w14:paraId="417C2D33"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3653" w:type="dxa"/>
            <w:gridSpan w:val="2"/>
            <w:vAlign w:val="center"/>
          </w:tcPr>
          <w:p w14:paraId="53DEDE1C"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«Федеральная сетевая компания Единой энергетической системы»</w:t>
            </w:r>
          </w:p>
        </w:tc>
        <w:tc>
          <w:tcPr>
            <w:tcW w:w="3802" w:type="dxa"/>
            <w:vAlign w:val="center"/>
          </w:tcPr>
          <w:p w14:paraId="251712B0" w14:textId="41D9D1BD" w:rsidR="005E3908" w:rsidRDefault="005E3908">
            <w:r>
              <w:rPr>
                <w:rFonts w:ascii="Times New Roman" w:eastAsia="Times New Roman" w:hAnsi="Times New Roman"/>
                <w:color w:val="000000"/>
                <w:sz w:val="20"/>
                <w:szCs w:val="20"/>
                <w:lang w:eastAsia="ru-RU"/>
              </w:rPr>
              <w:t>Начальник Департамента технологического развития, Директор по взаимодействию с потребителями - Начальник Департамента технологического развития</w:t>
            </w:r>
          </w:p>
        </w:tc>
      </w:tr>
      <w:tr w:rsidR="005E3908" w14:paraId="20B735CC" w14:textId="77777777" w:rsidTr="005E3908">
        <w:trPr>
          <w:trHeight w:val="20"/>
        </w:trPr>
        <w:tc>
          <w:tcPr>
            <w:tcW w:w="856" w:type="dxa"/>
            <w:vAlign w:val="center"/>
          </w:tcPr>
          <w:p w14:paraId="5CAFA459"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2020</w:t>
            </w:r>
          </w:p>
        </w:tc>
        <w:tc>
          <w:tcPr>
            <w:tcW w:w="1186" w:type="dxa"/>
            <w:vAlign w:val="center"/>
          </w:tcPr>
          <w:p w14:paraId="5940D21C"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3653" w:type="dxa"/>
            <w:gridSpan w:val="2"/>
            <w:vAlign w:val="center"/>
          </w:tcPr>
          <w:p w14:paraId="26C95111"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«Российские сети»</w:t>
            </w:r>
          </w:p>
        </w:tc>
        <w:tc>
          <w:tcPr>
            <w:tcW w:w="3802" w:type="dxa"/>
            <w:vAlign w:val="center"/>
          </w:tcPr>
          <w:p w14:paraId="121A9447" w14:textId="7CC88C0A" w:rsidR="005E3908" w:rsidRDefault="005E3908">
            <w:r>
              <w:rPr>
                <w:rFonts w:ascii="Times New Roman" w:eastAsia="Times New Roman" w:hAnsi="Times New Roman"/>
                <w:color w:val="000000"/>
                <w:sz w:val="20"/>
                <w:szCs w:val="20"/>
                <w:lang w:eastAsia="ru-RU"/>
              </w:rPr>
              <w:t>Директор по взаимодействию с потребителями - Начальник Департамента технологического развития (по совместительству)</w:t>
            </w:r>
          </w:p>
        </w:tc>
      </w:tr>
      <w:tr w:rsidR="005E3908" w14:paraId="058CD3D9" w14:textId="77777777" w:rsidTr="005E3908">
        <w:trPr>
          <w:trHeight w:val="20"/>
        </w:trPr>
        <w:tc>
          <w:tcPr>
            <w:tcW w:w="856" w:type="dxa"/>
            <w:vAlign w:val="center"/>
          </w:tcPr>
          <w:p w14:paraId="2F9789F5"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1186" w:type="dxa"/>
            <w:vAlign w:val="center"/>
          </w:tcPr>
          <w:p w14:paraId="63945458"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653" w:type="dxa"/>
            <w:gridSpan w:val="2"/>
            <w:vAlign w:val="center"/>
          </w:tcPr>
          <w:p w14:paraId="4C7493BA"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«Федеральная сетевая компания – Россети»</w:t>
            </w:r>
          </w:p>
        </w:tc>
        <w:tc>
          <w:tcPr>
            <w:tcW w:w="3802" w:type="dxa"/>
            <w:vAlign w:val="center"/>
          </w:tcPr>
          <w:p w14:paraId="7D6778A9" w14:textId="787EC246" w:rsidR="005E3908" w:rsidRDefault="005E3908">
            <w:r>
              <w:rPr>
                <w:rFonts w:ascii="Times New Roman" w:eastAsia="Times New Roman" w:hAnsi="Times New Roman"/>
                <w:color w:val="000000"/>
                <w:sz w:val="20"/>
                <w:szCs w:val="20"/>
                <w:lang w:eastAsia="ru-RU"/>
              </w:rPr>
              <w:t>Директор по взаимодействию с потребителями - Начальник Департамента технологического развития</w:t>
            </w:r>
          </w:p>
        </w:tc>
      </w:tr>
      <w:tr w:rsidR="005E3908" w14:paraId="1FC067D9" w14:textId="77777777" w:rsidTr="005E3908">
        <w:trPr>
          <w:trHeight w:val="683"/>
        </w:trPr>
        <w:tc>
          <w:tcPr>
            <w:tcW w:w="856" w:type="dxa"/>
            <w:vAlign w:val="center"/>
          </w:tcPr>
          <w:p w14:paraId="06A7E767"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186" w:type="dxa"/>
            <w:vAlign w:val="center"/>
          </w:tcPr>
          <w:p w14:paraId="72651D67"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653" w:type="dxa"/>
            <w:gridSpan w:val="2"/>
            <w:vAlign w:val="center"/>
          </w:tcPr>
          <w:p w14:paraId="2C25E118"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Открытое акционерное общество «Томские магистральные сети»</w:t>
            </w:r>
          </w:p>
        </w:tc>
        <w:tc>
          <w:tcPr>
            <w:tcW w:w="3802" w:type="dxa"/>
            <w:vAlign w:val="center"/>
          </w:tcPr>
          <w:p w14:paraId="1EE058EE" w14:textId="50CA11A6" w:rsidR="005E3908" w:rsidRDefault="005E3908">
            <w:r>
              <w:rPr>
                <w:rFonts w:ascii="Times New Roman" w:eastAsia="Times New Roman" w:hAnsi="Times New Roman"/>
                <w:color w:val="000000"/>
                <w:sz w:val="20"/>
                <w:szCs w:val="20"/>
                <w:lang w:eastAsia="ru-RU"/>
              </w:rPr>
              <w:t>Член Совета директоров</w:t>
            </w:r>
          </w:p>
        </w:tc>
      </w:tr>
      <w:tr w:rsidR="005E3908" w14:paraId="4ADEBAB7" w14:textId="77777777" w:rsidTr="005E3908">
        <w:trPr>
          <w:trHeight w:val="20"/>
        </w:trPr>
        <w:tc>
          <w:tcPr>
            <w:tcW w:w="856" w:type="dxa"/>
            <w:vAlign w:val="center"/>
          </w:tcPr>
          <w:p w14:paraId="335CAAF4"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186" w:type="dxa"/>
            <w:vAlign w:val="center"/>
          </w:tcPr>
          <w:p w14:paraId="0517122F"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653" w:type="dxa"/>
            <w:gridSpan w:val="2"/>
            <w:vAlign w:val="center"/>
          </w:tcPr>
          <w:p w14:paraId="612149BF"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Юг»</w:t>
            </w:r>
          </w:p>
        </w:tc>
        <w:tc>
          <w:tcPr>
            <w:tcW w:w="3802" w:type="dxa"/>
            <w:vAlign w:val="center"/>
          </w:tcPr>
          <w:p w14:paraId="597DD199" w14:textId="47B4D8BC" w:rsidR="005E3908" w:rsidRDefault="005E3908">
            <w:r>
              <w:rPr>
                <w:rFonts w:ascii="Times New Roman" w:eastAsia="Times New Roman" w:hAnsi="Times New Roman"/>
                <w:color w:val="000000"/>
                <w:sz w:val="20"/>
                <w:szCs w:val="20"/>
                <w:lang w:eastAsia="ru-RU"/>
              </w:rPr>
              <w:t>Член Совета директоров</w:t>
            </w:r>
          </w:p>
        </w:tc>
      </w:tr>
      <w:tr w:rsidR="005E3908" w14:paraId="5B0CCB8C" w14:textId="77777777" w:rsidTr="005E3908">
        <w:trPr>
          <w:trHeight w:val="20"/>
        </w:trPr>
        <w:tc>
          <w:tcPr>
            <w:tcW w:w="856" w:type="dxa"/>
            <w:vAlign w:val="center"/>
          </w:tcPr>
          <w:p w14:paraId="5DADDA0B"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1186" w:type="dxa"/>
            <w:vAlign w:val="center"/>
          </w:tcPr>
          <w:p w14:paraId="7192B07C"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653" w:type="dxa"/>
            <w:gridSpan w:val="2"/>
            <w:vAlign w:val="center"/>
          </w:tcPr>
          <w:p w14:paraId="238972BE"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Сибирь»</w:t>
            </w:r>
          </w:p>
        </w:tc>
        <w:tc>
          <w:tcPr>
            <w:tcW w:w="3802" w:type="dxa"/>
            <w:vAlign w:val="center"/>
          </w:tcPr>
          <w:p w14:paraId="1D1573EB" w14:textId="767E6962" w:rsidR="005E3908" w:rsidRDefault="005E3908">
            <w:r>
              <w:rPr>
                <w:rFonts w:ascii="Times New Roman" w:eastAsia="Times New Roman" w:hAnsi="Times New Roman"/>
                <w:color w:val="000000"/>
                <w:sz w:val="20"/>
                <w:szCs w:val="20"/>
                <w:lang w:eastAsia="ru-RU"/>
              </w:rPr>
              <w:t>Член Совета директоров</w:t>
            </w:r>
          </w:p>
        </w:tc>
      </w:tr>
      <w:tr w:rsidR="005E3908" w14:paraId="7C604BC6" w14:textId="77777777" w:rsidTr="005E3908">
        <w:trPr>
          <w:trHeight w:val="20"/>
        </w:trPr>
        <w:tc>
          <w:tcPr>
            <w:tcW w:w="856" w:type="dxa"/>
            <w:vAlign w:val="center"/>
          </w:tcPr>
          <w:p w14:paraId="14E99726"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1186" w:type="dxa"/>
            <w:vAlign w:val="center"/>
          </w:tcPr>
          <w:p w14:paraId="605845C0"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653" w:type="dxa"/>
            <w:gridSpan w:val="2"/>
            <w:vAlign w:val="center"/>
          </w:tcPr>
          <w:p w14:paraId="3578B263"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Сибирь Тываэнерго»</w:t>
            </w:r>
          </w:p>
        </w:tc>
        <w:tc>
          <w:tcPr>
            <w:tcW w:w="3802" w:type="dxa"/>
            <w:vAlign w:val="center"/>
          </w:tcPr>
          <w:p w14:paraId="1B1B2B7E" w14:textId="1A7C62FC" w:rsidR="005E3908" w:rsidRDefault="005E3908">
            <w:r>
              <w:rPr>
                <w:rFonts w:ascii="Times New Roman" w:eastAsia="Times New Roman" w:hAnsi="Times New Roman"/>
                <w:color w:val="000000"/>
                <w:sz w:val="20"/>
                <w:szCs w:val="20"/>
                <w:lang w:eastAsia="ru-RU"/>
              </w:rPr>
              <w:t>Член Совета директоров</w:t>
            </w:r>
          </w:p>
        </w:tc>
      </w:tr>
      <w:tr w:rsidR="005E3908" w14:paraId="39B97BDF" w14:textId="77777777" w:rsidTr="005E3908">
        <w:trPr>
          <w:trHeight w:val="20"/>
        </w:trPr>
        <w:tc>
          <w:tcPr>
            <w:tcW w:w="5695" w:type="dxa"/>
            <w:gridSpan w:val="4"/>
            <w:vAlign w:val="center"/>
          </w:tcPr>
          <w:p w14:paraId="1547E451" w14:textId="77777777" w:rsidR="005E3908" w:rsidRDefault="005E3908">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Дата первого избрания в состав Совета директоров Общества</w:t>
            </w:r>
          </w:p>
        </w:tc>
        <w:tc>
          <w:tcPr>
            <w:tcW w:w="3802" w:type="dxa"/>
            <w:vAlign w:val="center"/>
          </w:tcPr>
          <w:p w14:paraId="292CE0D1" w14:textId="1DE0B8DC" w:rsidR="005E3908" w:rsidRDefault="005E3908">
            <w:r>
              <w:rPr>
                <w:rFonts w:ascii="Times New Roman" w:eastAsia="Times New Roman" w:hAnsi="Times New Roman"/>
                <w:color w:val="000000"/>
                <w:sz w:val="20"/>
                <w:szCs w:val="20"/>
                <w:lang w:eastAsia="ru-RU"/>
              </w:rPr>
              <w:t>31.08.2021</w:t>
            </w:r>
          </w:p>
        </w:tc>
      </w:tr>
    </w:tbl>
    <w:p w14:paraId="1BD1EF52" w14:textId="77777777" w:rsidR="002449C2" w:rsidRDefault="002449C2">
      <w:pPr>
        <w:spacing w:after="160" w:line="259" w:lineRule="auto"/>
        <w:rPr>
          <w:rFonts w:ascii="Times New Roman" w:hAnsi="Times New Roman"/>
        </w:rPr>
      </w:pPr>
    </w:p>
    <w:p w14:paraId="5FD6DBBA" w14:textId="77777777" w:rsidR="002449C2" w:rsidRDefault="00123961">
      <w:pPr>
        <w:spacing w:after="160" w:line="259" w:lineRule="auto"/>
        <w:ind w:left="142"/>
        <w:rPr>
          <w:rFonts w:ascii="Times New Roman" w:hAnsi="Times New Roman"/>
          <w:b/>
          <w:sz w:val="26"/>
          <w:szCs w:val="26"/>
        </w:rPr>
      </w:pPr>
      <w:r>
        <w:rPr>
          <w:rFonts w:ascii="Times New Roman" w:eastAsia="Times New Roman" w:hAnsi="Times New Roman"/>
          <w:b/>
          <w:bCs/>
          <w:sz w:val="26"/>
          <w:szCs w:val="26"/>
          <w:lang w:eastAsia="en-US"/>
        </w:rPr>
        <w:t>Короткова Мария Вячеславна</w:t>
      </w:r>
      <w:r>
        <w:rPr>
          <w:rFonts w:ascii="Times New Roman" w:eastAsia="Times New Roman" w:hAnsi="Times New Roman"/>
          <w:b/>
          <w:sz w:val="26"/>
          <w:szCs w:val="26"/>
          <w:lang w:eastAsia="en-US"/>
        </w:rPr>
        <w:t xml:space="preserve">  </w:t>
      </w:r>
    </w:p>
    <w:tbl>
      <w:tblPr>
        <w:tblW w:w="932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1186"/>
        <w:gridCol w:w="2494"/>
        <w:gridCol w:w="1159"/>
        <w:gridCol w:w="3633"/>
      </w:tblGrid>
      <w:tr w:rsidR="00B77085" w14:paraId="4D2069AB" w14:textId="77777777" w:rsidTr="00E50F6F">
        <w:trPr>
          <w:trHeight w:val="20"/>
        </w:trPr>
        <w:tc>
          <w:tcPr>
            <w:tcW w:w="9328" w:type="dxa"/>
            <w:gridSpan w:val="5"/>
            <w:vAlign w:val="center"/>
          </w:tcPr>
          <w:p w14:paraId="58BC5BF3" w14:textId="52EBCB2B" w:rsidR="00B77085" w:rsidRDefault="00B77085">
            <w:r>
              <w:rPr>
                <w:rFonts w:ascii="Times New Roman" w:eastAsia="Times New Roman" w:hAnsi="Times New Roman"/>
                <w:color w:val="000000"/>
                <w:sz w:val="20"/>
                <w:szCs w:val="20"/>
                <w:lang w:eastAsia="ru-RU"/>
              </w:rPr>
              <w:t>Общая информация о члене Совета директоров ПАО «Россети Юг»</w:t>
            </w:r>
          </w:p>
        </w:tc>
      </w:tr>
      <w:tr w:rsidR="00B77085" w14:paraId="270C3600" w14:textId="77777777" w:rsidTr="00B77085">
        <w:trPr>
          <w:trHeight w:val="20"/>
        </w:trPr>
        <w:tc>
          <w:tcPr>
            <w:tcW w:w="4536" w:type="dxa"/>
            <w:gridSpan w:val="3"/>
            <w:vAlign w:val="center"/>
          </w:tcPr>
          <w:p w14:paraId="6F82B0A4"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Год рождения</w:t>
            </w:r>
          </w:p>
        </w:tc>
        <w:tc>
          <w:tcPr>
            <w:tcW w:w="4792" w:type="dxa"/>
            <w:gridSpan w:val="2"/>
            <w:vAlign w:val="center"/>
          </w:tcPr>
          <w:p w14:paraId="6332985E" w14:textId="7786CE02" w:rsidR="00B77085" w:rsidRDefault="00B77085">
            <w:r>
              <w:rPr>
                <w:rFonts w:ascii="Times New Roman" w:eastAsia="Times New Roman" w:hAnsi="Times New Roman"/>
                <w:color w:val="000000"/>
                <w:sz w:val="20"/>
                <w:szCs w:val="20"/>
                <w:lang w:eastAsia="ru-RU"/>
              </w:rPr>
              <w:t>1984</w:t>
            </w:r>
          </w:p>
        </w:tc>
      </w:tr>
      <w:tr w:rsidR="00B77085" w14:paraId="2719DCEA" w14:textId="77777777" w:rsidTr="00B77085">
        <w:trPr>
          <w:trHeight w:val="435"/>
        </w:trPr>
        <w:tc>
          <w:tcPr>
            <w:tcW w:w="4536" w:type="dxa"/>
            <w:gridSpan w:val="3"/>
            <w:vAlign w:val="center"/>
          </w:tcPr>
          <w:p w14:paraId="1A806E67"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Сведения об образовании</w:t>
            </w:r>
          </w:p>
          <w:p w14:paraId="4C181512"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(год, университет, квалификация, специальность)</w:t>
            </w:r>
          </w:p>
        </w:tc>
        <w:tc>
          <w:tcPr>
            <w:tcW w:w="4792" w:type="dxa"/>
            <w:gridSpan w:val="2"/>
            <w:vAlign w:val="center"/>
          </w:tcPr>
          <w:p w14:paraId="654846E9"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Высшее.</w:t>
            </w:r>
          </w:p>
          <w:p w14:paraId="3EA3A5BB" w14:textId="20D532C9" w:rsidR="00B77085" w:rsidRDefault="00B77085">
            <w:r>
              <w:rPr>
                <w:rFonts w:ascii="Times New Roman" w:eastAsia="Times New Roman" w:hAnsi="Times New Roman"/>
                <w:color w:val="000000"/>
                <w:sz w:val="20"/>
                <w:szCs w:val="20"/>
                <w:lang w:eastAsia="ru-RU"/>
              </w:rPr>
              <w:t>2006, Нижегородский государственный университет (ННГУ) им. Н.И. Лобачевского, квалификация «менеджер», специальность «менеджмент организаций».</w:t>
            </w:r>
          </w:p>
        </w:tc>
      </w:tr>
      <w:tr w:rsidR="00B77085" w14:paraId="2CEFB421" w14:textId="77777777" w:rsidTr="00E50F6F">
        <w:trPr>
          <w:trHeight w:val="20"/>
        </w:trPr>
        <w:tc>
          <w:tcPr>
            <w:tcW w:w="4536" w:type="dxa"/>
            <w:gridSpan w:val="3"/>
            <w:vAlign w:val="center"/>
          </w:tcPr>
          <w:p w14:paraId="263CB8A7"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Основное место работы, должность</w:t>
            </w:r>
          </w:p>
        </w:tc>
        <w:tc>
          <w:tcPr>
            <w:tcW w:w="4792" w:type="dxa"/>
            <w:gridSpan w:val="2"/>
            <w:vAlign w:val="center"/>
          </w:tcPr>
          <w:p w14:paraId="3645C051" w14:textId="32A66CAF" w:rsidR="00B77085" w:rsidRDefault="00B77085">
            <w:r>
              <w:rPr>
                <w:rFonts w:ascii="Times New Roman" w:eastAsia="Times New Roman" w:hAnsi="Times New Roman"/>
                <w:color w:val="000000"/>
                <w:sz w:val="20"/>
                <w:szCs w:val="20"/>
                <w:lang w:eastAsia="ru-RU"/>
              </w:rPr>
              <w:t>ООО «Техноинновация», Директор по развитию</w:t>
            </w:r>
          </w:p>
        </w:tc>
      </w:tr>
      <w:tr w:rsidR="00B77085" w14:paraId="3B91D173" w14:textId="77777777" w:rsidTr="00E50F6F">
        <w:trPr>
          <w:trHeight w:val="20"/>
        </w:trPr>
        <w:tc>
          <w:tcPr>
            <w:tcW w:w="9328" w:type="dxa"/>
            <w:gridSpan w:val="5"/>
            <w:vAlign w:val="center"/>
          </w:tcPr>
          <w:p w14:paraId="5DD7D1A0" w14:textId="0C41C297" w:rsidR="00B77085" w:rsidRDefault="00B77085">
            <w:r>
              <w:rPr>
                <w:rFonts w:ascii="Times New Roman" w:eastAsia="Times New Roman" w:hAnsi="Times New Roman"/>
                <w:color w:val="000000"/>
                <w:sz w:val="20"/>
                <w:szCs w:val="20"/>
                <w:lang w:eastAsia="ru-RU"/>
              </w:rPr>
              <w:t>Участие в органах управления и контроля</w:t>
            </w:r>
          </w:p>
        </w:tc>
      </w:tr>
      <w:tr w:rsidR="00B77085" w14:paraId="43FFB259" w14:textId="77777777" w:rsidTr="00E50F6F">
        <w:trPr>
          <w:trHeight w:val="20"/>
        </w:trPr>
        <w:tc>
          <w:tcPr>
            <w:tcW w:w="2042" w:type="dxa"/>
            <w:gridSpan w:val="2"/>
            <w:vAlign w:val="center"/>
          </w:tcPr>
          <w:p w14:paraId="641CF8F3"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Период</w:t>
            </w:r>
          </w:p>
        </w:tc>
        <w:tc>
          <w:tcPr>
            <w:tcW w:w="3653" w:type="dxa"/>
            <w:gridSpan w:val="2"/>
            <w:vMerge w:val="restart"/>
            <w:vAlign w:val="center"/>
          </w:tcPr>
          <w:p w14:paraId="468769C1"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Наименование организации</w:t>
            </w:r>
          </w:p>
        </w:tc>
        <w:tc>
          <w:tcPr>
            <w:tcW w:w="3633" w:type="dxa"/>
            <w:vMerge w:val="restart"/>
            <w:vAlign w:val="center"/>
          </w:tcPr>
          <w:p w14:paraId="23C47D17" w14:textId="5D757BDC" w:rsidR="00B77085" w:rsidRDefault="00B77085">
            <w:r>
              <w:rPr>
                <w:rFonts w:ascii="Times New Roman" w:eastAsia="Times New Roman" w:hAnsi="Times New Roman"/>
                <w:color w:val="000000"/>
                <w:sz w:val="20"/>
                <w:szCs w:val="20"/>
                <w:lang w:eastAsia="ru-RU"/>
              </w:rPr>
              <w:t>Должность</w:t>
            </w:r>
          </w:p>
        </w:tc>
      </w:tr>
      <w:tr w:rsidR="00B77085" w14:paraId="4D80CD6E" w14:textId="77777777" w:rsidTr="00E50F6F">
        <w:trPr>
          <w:trHeight w:val="20"/>
        </w:trPr>
        <w:tc>
          <w:tcPr>
            <w:tcW w:w="856" w:type="dxa"/>
            <w:vAlign w:val="center"/>
          </w:tcPr>
          <w:p w14:paraId="4369D5C0"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с</w:t>
            </w:r>
          </w:p>
        </w:tc>
        <w:tc>
          <w:tcPr>
            <w:tcW w:w="1186" w:type="dxa"/>
            <w:vAlign w:val="center"/>
          </w:tcPr>
          <w:p w14:paraId="4E3A0349"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по</w:t>
            </w:r>
          </w:p>
        </w:tc>
        <w:tc>
          <w:tcPr>
            <w:tcW w:w="3653" w:type="dxa"/>
            <w:gridSpan w:val="2"/>
            <w:vMerge/>
            <w:vAlign w:val="center"/>
          </w:tcPr>
          <w:p w14:paraId="229CEDE0" w14:textId="77777777" w:rsidR="00B77085" w:rsidRDefault="00B77085">
            <w:pPr>
              <w:spacing w:after="0" w:line="240" w:lineRule="auto"/>
              <w:jc w:val="both"/>
              <w:rPr>
                <w:rFonts w:ascii="Times New Roman" w:eastAsia="Times New Roman" w:hAnsi="Times New Roman"/>
                <w:color w:val="000000"/>
                <w:sz w:val="20"/>
                <w:szCs w:val="20"/>
                <w:lang w:eastAsia="ru-RU"/>
              </w:rPr>
            </w:pPr>
          </w:p>
        </w:tc>
        <w:tc>
          <w:tcPr>
            <w:tcW w:w="3633" w:type="dxa"/>
            <w:vMerge/>
            <w:vAlign w:val="center"/>
          </w:tcPr>
          <w:p w14:paraId="48E9D442" w14:textId="77777777" w:rsidR="00B77085" w:rsidRDefault="00B77085"/>
        </w:tc>
      </w:tr>
      <w:tr w:rsidR="00B77085" w14:paraId="21DCF949" w14:textId="77777777" w:rsidTr="00E50F6F">
        <w:trPr>
          <w:trHeight w:val="20"/>
        </w:trPr>
        <w:tc>
          <w:tcPr>
            <w:tcW w:w="856" w:type="dxa"/>
            <w:vAlign w:val="center"/>
          </w:tcPr>
          <w:p w14:paraId="6155CC8D"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2013</w:t>
            </w:r>
          </w:p>
        </w:tc>
        <w:tc>
          <w:tcPr>
            <w:tcW w:w="1186" w:type="dxa"/>
            <w:vAlign w:val="center"/>
          </w:tcPr>
          <w:p w14:paraId="33952406"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3653" w:type="dxa"/>
            <w:gridSpan w:val="2"/>
            <w:vAlign w:val="center"/>
          </w:tcPr>
          <w:p w14:paraId="7B93DC1C"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Общество с ограниченной ответственностью «МКС»</w:t>
            </w:r>
          </w:p>
        </w:tc>
        <w:tc>
          <w:tcPr>
            <w:tcW w:w="3633" w:type="dxa"/>
            <w:vAlign w:val="center"/>
          </w:tcPr>
          <w:p w14:paraId="1E0ADD6A" w14:textId="32DBF52B" w:rsidR="00B77085" w:rsidRDefault="00B77085">
            <w:r>
              <w:rPr>
                <w:rFonts w:ascii="Times New Roman" w:eastAsia="Times New Roman" w:hAnsi="Times New Roman"/>
                <w:color w:val="000000"/>
                <w:sz w:val="20"/>
                <w:szCs w:val="20"/>
                <w:lang w:eastAsia="ru-RU"/>
              </w:rPr>
              <w:t>Директор</w:t>
            </w:r>
          </w:p>
        </w:tc>
      </w:tr>
      <w:tr w:rsidR="00B77085" w14:paraId="11A8A44B" w14:textId="77777777" w:rsidTr="00E50F6F">
        <w:trPr>
          <w:trHeight w:val="20"/>
        </w:trPr>
        <w:tc>
          <w:tcPr>
            <w:tcW w:w="856" w:type="dxa"/>
            <w:vAlign w:val="center"/>
          </w:tcPr>
          <w:p w14:paraId="35542DD4"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2017</w:t>
            </w:r>
          </w:p>
        </w:tc>
        <w:tc>
          <w:tcPr>
            <w:tcW w:w="1186" w:type="dxa"/>
            <w:vAlign w:val="center"/>
          </w:tcPr>
          <w:p w14:paraId="796EDC5A"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653" w:type="dxa"/>
            <w:gridSpan w:val="2"/>
            <w:vAlign w:val="center"/>
          </w:tcPr>
          <w:p w14:paraId="2D086DB2"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Волга»</w:t>
            </w:r>
          </w:p>
        </w:tc>
        <w:tc>
          <w:tcPr>
            <w:tcW w:w="3633" w:type="dxa"/>
            <w:vAlign w:val="center"/>
          </w:tcPr>
          <w:p w14:paraId="48376EF6" w14:textId="570E9B00" w:rsidR="00B77085" w:rsidRDefault="00B77085">
            <w:r>
              <w:rPr>
                <w:rFonts w:ascii="Times New Roman" w:eastAsia="Times New Roman" w:hAnsi="Times New Roman"/>
                <w:color w:val="000000"/>
                <w:sz w:val="20"/>
                <w:szCs w:val="20"/>
                <w:lang w:eastAsia="ru-RU"/>
              </w:rPr>
              <w:t>Член Совета директоров</w:t>
            </w:r>
          </w:p>
        </w:tc>
      </w:tr>
      <w:tr w:rsidR="00B77085" w14:paraId="0D705BE8" w14:textId="77777777" w:rsidTr="00E50F6F">
        <w:trPr>
          <w:trHeight w:val="20"/>
        </w:trPr>
        <w:tc>
          <w:tcPr>
            <w:tcW w:w="856" w:type="dxa"/>
            <w:vAlign w:val="center"/>
          </w:tcPr>
          <w:p w14:paraId="0DB38B52"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2020</w:t>
            </w:r>
          </w:p>
        </w:tc>
        <w:tc>
          <w:tcPr>
            <w:tcW w:w="1186" w:type="dxa"/>
            <w:vAlign w:val="center"/>
          </w:tcPr>
          <w:p w14:paraId="3BF47380"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653" w:type="dxa"/>
            <w:gridSpan w:val="2"/>
            <w:vAlign w:val="center"/>
          </w:tcPr>
          <w:p w14:paraId="2BFFBD82"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Юг»</w:t>
            </w:r>
          </w:p>
        </w:tc>
        <w:tc>
          <w:tcPr>
            <w:tcW w:w="3633" w:type="dxa"/>
            <w:vAlign w:val="center"/>
          </w:tcPr>
          <w:p w14:paraId="73EAB00A" w14:textId="2B87871B" w:rsidR="00B77085" w:rsidRDefault="00B77085">
            <w:r>
              <w:rPr>
                <w:rFonts w:ascii="Times New Roman" w:eastAsia="Times New Roman" w:hAnsi="Times New Roman"/>
                <w:color w:val="000000"/>
                <w:sz w:val="20"/>
                <w:szCs w:val="20"/>
                <w:lang w:eastAsia="ru-RU"/>
              </w:rPr>
              <w:t>Член Совета директоров</w:t>
            </w:r>
          </w:p>
        </w:tc>
      </w:tr>
      <w:tr w:rsidR="00B77085" w14:paraId="57C98683" w14:textId="77777777" w:rsidTr="00E50F6F">
        <w:trPr>
          <w:trHeight w:val="20"/>
        </w:trPr>
        <w:tc>
          <w:tcPr>
            <w:tcW w:w="856" w:type="dxa"/>
            <w:vAlign w:val="center"/>
          </w:tcPr>
          <w:p w14:paraId="2A8298E4"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186" w:type="dxa"/>
            <w:vAlign w:val="center"/>
          </w:tcPr>
          <w:p w14:paraId="6F3032D9"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653" w:type="dxa"/>
            <w:gridSpan w:val="2"/>
            <w:vAlign w:val="center"/>
          </w:tcPr>
          <w:p w14:paraId="271BAEBD"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Общество с ограниченной ответственностью «Техноинновация»</w:t>
            </w:r>
          </w:p>
        </w:tc>
        <w:tc>
          <w:tcPr>
            <w:tcW w:w="3633" w:type="dxa"/>
            <w:vAlign w:val="center"/>
          </w:tcPr>
          <w:p w14:paraId="4BF6D801" w14:textId="76FDAB2D" w:rsidR="00B77085" w:rsidRDefault="00B77085">
            <w:r>
              <w:rPr>
                <w:rFonts w:ascii="Times New Roman" w:eastAsia="Times New Roman" w:hAnsi="Times New Roman"/>
                <w:color w:val="000000"/>
                <w:sz w:val="20"/>
                <w:szCs w:val="20"/>
                <w:lang w:eastAsia="ru-RU"/>
              </w:rPr>
              <w:t>Директор по развитию</w:t>
            </w:r>
          </w:p>
        </w:tc>
      </w:tr>
      <w:tr w:rsidR="00B77085" w14:paraId="19D3D415" w14:textId="77777777" w:rsidTr="00E50F6F">
        <w:trPr>
          <w:trHeight w:val="20"/>
        </w:trPr>
        <w:tc>
          <w:tcPr>
            <w:tcW w:w="856" w:type="dxa"/>
            <w:vAlign w:val="center"/>
          </w:tcPr>
          <w:p w14:paraId="693A3BDC"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186" w:type="dxa"/>
            <w:vAlign w:val="center"/>
          </w:tcPr>
          <w:p w14:paraId="7A1752D1"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2024</w:t>
            </w:r>
          </w:p>
        </w:tc>
        <w:tc>
          <w:tcPr>
            <w:tcW w:w="3653" w:type="dxa"/>
            <w:gridSpan w:val="2"/>
            <w:vAlign w:val="center"/>
          </w:tcPr>
          <w:p w14:paraId="6BD10B58"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Центр»</w:t>
            </w:r>
          </w:p>
        </w:tc>
        <w:tc>
          <w:tcPr>
            <w:tcW w:w="3633" w:type="dxa"/>
            <w:vAlign w:val="center"/>
          </w:tcPr>
          <w:p w14:paraId="15F2AC97" w14:textId="1934FE84" w:rsidR="00B77085" w:rsidRDefault="00B77085">
            <w:r>
              <w:rPr>
                <w:rFonts w:ascii="Times New Roman" w:eastAsia="Times New Roman" w:hAnsi="Times New Roman"/>
                <w:color w:val="000000"/>
                <w:sz w:val="20"/>
                <w:szCs w:val="20"/>
                <w:lang w:eastAsia="ru-RU"/>
              </w:rPr>
              <w:t>Член Совета директоров</w:t>
            </w:r>
          </w:p>
        </w:tc>
      </w:tr>
      <w:tr w:rsidR="00B77085" w14:paraId="75A06B14" w14:textId="77777777" w:rsidTr="00E50F6F">
        <w:trPr>
          <w:trHeight w:val="20"/>
        </w:trPr>
        <w:tc>
          <w:tcPr>
            <w:tcW w:w="5695" w:type="dxa"/>
            <w:gridSpan w:val="4"/>
            <w:vAlign w:val="center"/>
          </w:tcPr>
          <w:p w14:paraId="6E7BEF16" w14:textId="77777777" w:rsidR="00B77085" w:rsidRDefault="00B7708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Дата первого избрания в состав Совета директоров Общества</w:t>
            </w:r>
          </w:p>
        </w:tc>
        <w:tc>
          <w:tcPr>
            <w:tcW w:w="3633" w:type="dxa"/>
            <w:vAlign w:val="center"/>
          </w:tcPr>
          <w:p w14:paraId="5C279588" w14:textId="23A0E935" w:rsidR="00B77085" w:rsidRDefault="00B77085">
            <w:r>
              <w:rPr>
                <w:rFonts w:ascii="Times New Roman" w:eastAsia="Times New Roman" w:hAnsi="Times New Roman"/>
                <w:color w:val="000000"/>
                <w:sz w:val="20"/>
                <w:szCs w:val="20"/>
                <w:lang w:eastAsia="ru-RU"/>
              </w:rPr>
              <w:t>29.05.2020</w:t>
            </w:r>
          </w:p>
        </w:tc>
      </w:tr>
      <w:tr w:rsidR="00B77085" w14:paraId="5D238A57" w14:textId="77777777" w:rsidTr="00E50F6F">
        <w:trPr>
          <w:trHeight w:val="20"/>
        </w:trPr>
        <w:tc>
          <w:tcPr>
            <w:tcW w:w="9328" w:type="dxa"/>
            <w:gridSpan w:val="5"/>
            <w:vAlign w:val="center"/>
          </w:tcPr>
          <w:p w14:paraId="735348FA" w14:textId="6983E522" w:rsidR="00B77085" w:rsidRDefault="00B77085" w:rsidP="00B77085">
            <w:r>
              <w:rPr>
                <w:rFonts w:ascii="Times New Roman" w:eastAsia="Times New Roman" w:hAnsi="Times New Roman"/>
                <w:color w:val="000000"/>
                <w:sz w:val="20"/>
                <w:szCs w:val="20"/>
                <w:lang w:eastAsia="ru-RU"/>
              </w:rPr>
              <w:t>Признана независимым директором в соответствии с решением Совета директоров ПАО "Россети Юг" 14.08.2024 (</w:t>
            </w:r>
            <w:hyperlink r:id="rId155">
              <w:r>
                <w:rPr>
                  <w:rFonts w:ascii="Times New Roman" w:eastAsia="Times New Roman" w:hAnsi="Times New Roman"/>
                  <w:color w:val="000000"/>
                  <w:sz w:val="20"/>
                  <w:szCs w:val="20"/>
                  <w:lang w:eastAsia="ru-RU"/>
                </w:rPr>
                <w:t>протокол заседания Совета директоров №586/202</w:t>
              </w:r>
            </w:hyperlink>
            <w:r>
              <w:rPr>
                <w:rFonts w:ascii="Times New Roman" w:eastAsia="Times New Roman" w:hAnsi="Times New Roman"/>
                <w:color w:val="000000"/>
                <w:sz w:val="20"/>
                <w:szCs w:val="20"/>
                <w:lang w:eastAsia="ru-RU"/>
              </w:rPr>
              <w:t>4)</w:t>
            </w:r>
          </w:p>
        </w:tc>
      </w:tr>
    </w:tbl>
    <w:p w14:paraId="377F1E9F" w14:textId="77777777" w:rsidR="002449C2" w:rsidRDefault="002449C2">
      <w:pPr>
        <w:spacing w:after="160" w:line="259" w:lineRule="auto"/>
        <w:rPr>
          <w:rFonts w:ascii="Times New Roman" w:hAnsi="Times New Roman"/>
        </w:rPr>
      </w:pPr>
    </w:p>
    <w:p w14:paraId="22C68CA2" w14:textId="77777777" w:rsidR="002449C2" w:rsidRDefault="00123961">
      <w:pPr>
        <w:spacing w:after="160" w:line="259" w:lineRule="auto"/>
        <w:ind w:left="142"/>
        <w:rPr>
          <w:rFonts w:ascii="Times New Roman" w:hAnsi="Times New Roman"/>
          <w:b/>
          <w:sz w:val="26"/>
          <w:szCs w:val="26"/>
        </w:rPr>
      </w:pPr>
      <w:r>
        <w:rPr>
          <w:rFonts w:ascii="Times New Roman" w:eastAsia="Times New Roman" w:hAnsi="Times New Roman"/>
          <w:b/>
          <w:bCs/>
          <w:sz w:val="26"/>
          <w:szCs w:val="26"/>
          <w:lang w:eastAsia="en-US"/>
        </w:rPr>
        <w:t>Кравченко Константин Юрьевич</w:t>
      </w:r>
      <w:r>
        <w:rPr>
          <w:rFonts w:ascii="Times New Roman" w:eastAsia="Times New Roman" w:hAnsi="Times New Roman"/>
          <w:b/>
          <w:sz w:val="26"/>
          <w:szCs w:val="26"/>
          <w:lang w:eastAsia="en-US"/>
        </w:rPr>
        <w:t xml:space="preserve"> </w:t>
      </w:r>
    </w:p>
    <w:tbl>
      <w:tblPr>
        <w:tblW w:w="932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0"/>
        <w:gridCol w:w="1210"/>
        <w:gridCol w:w="2456"/>
        <w:gridCol w:w="1413"/>
        <w:gridCol w:w="3379"/>
      </w:tblGrid>
      <w:tr w:rsidR="002449C2" w14:paraId="5108AAF5" w14:textId="77777777" w:rsidTr="006E4DA5">
        <w:trPr>
          <w:trHeight w:val="20"/>
        </w:trPr>
        <w:tc>
          <w:tcPr>
            <w:tcW w:w="9328" w:type="dxa"/>
            <w:gridSpan w:val="5"/>
            <w:vAlign w:val="center"/>
          </w:tcPr>
          <w:p w14:paraId="360DF8A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Общая информация о члене Совета директоров ПАО «Россети Юг»</w:t>
            </w:r>
          </w:p>
        </w:tc>
      </w:tr>
      <w:tr w:rsidR="006E4DA5" w14:paraId="199CC3EC" w14:textId="77777777" w:rsidTr="006E4DA5">
        <w:trPr>
          <w:trHeight w:val="20"/>
        </w:trPr>
        <w:tc>
          <w:tcPr>
            <w:tcW w:w="4536" w:type="dxa"/>
            <w:gridSpan w:val="3"/>
            <w:vAlign w:val="center"/>
          </w:tcPr>
          <w:p w14:paraId="54934AC0"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Год рождения</w:t>
            </w:r>
          </w:p>
        </w:tc>
        <w:tc>
          <w:tcPr>
            <w:tcW w:w="4792" w:type="dxa"/>
            <w:gridSpan w:val="2"/>
            <w:vAlign w:val="center"/>
          </w:tcPr>
          <w:p w14:paraId="031D6448" w14:textId="2D5AEC33" w:rsidR="006E4DA5" w:rsidRDefault="006E4DA5">
            <w:r>
              <w:rPr>
                <w:rFonts w:ascii="Times New Roman" w:eastAsia="Times New Roman" w:hAnsi="Times New Roman"/>
                <w:color w:val="000000"/>
                <w:sz w:val="20"/>
                <w:szCs w:val="20"/>
                <w:lang w:eastAsia="ru-RU"/>
              </w:rPr>
              <w:t>1973</w:t>
            </w:r>
          </w:p>
        </w:tc>
      </w:tr>
      <w:tr w:rsidR="006E4DA5" w14:paraId="45EBFD0B" w14:textId="77777777" w:rsidTr="006E4DA5">
        <w:trPr>
          <w:trHeight w:val="850"/>
        </w:trPr>
        <w:tc>
          <w:tcPr>
            <w:tcW w:w="4536" w:type="dxa"/>
            <w:gridSpan w:val="3"/>
            <w:vAlign w:val="center"/>
          </w:tcPr>
          <w:p w14:paraId="2E14FD32"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Сведения об образовании</w:t>
            </w:r>
          </w:p>
          <w:p w14:paraId="76422414"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(год, университет, квалификация, специальность)</w:t>
            </w:r>
          </w:p>
        </w:tc>
        <w:tc>
          <w:tcPr>
            <w:tcW w:w="4792" w:type="dxa"/>
            <w:gridSpan w:val="2"/>
            <w:vAlign w:val="center"/>
          </w:tcPr>
          <w:p w14:paraId="25C0C0E7"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Высшее.</w:t>
            </w:r>
          </w:p>
          <w:p w14:paraId="6EB52FE3"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1995, Воронежский государственный технический университет, квалификация «инженер-конструктор-технолог», специальность «конструирование и технология РЭС».</w:t>
            </w:r>
          </w:p>
          <w:p w14:paraId="0EAE0B16" w14:textId="37FB0CBA" w:rsidR="006E4DA5" w:rsidRDefault="006E4DA5">
            <w:r>
              <w:rPr>
                <w:rFonts w:ascii="Times New Roman" w:eastAsia="Times New Roman" w:hAnsi="Times New Roman"/>
                <w:color w:val="000000"/>
                <w:sz w:val="20"/>
                <w:szCs w:val="20"/>
                <w:lang w:eastAsia="ru-RU"/>
              </w:rPr>
              <w:t>Ученая степень: кандидат технических наук.</w:t>
            </w:r>
          </w:p>
        </w:tc>
      </w:tr>
      <w:tr w:rsidR="006E4DA5" w14:paraId="76715ABA" w14:textId="77777777" w:rsidTr="006E4DA5">
        <w:trPr>
          <w:trHeight w:val="20"/>
        </w:trPr>
        <w:tc>
          <w:tcPr>
            <w:tcW w:w="4536" w:type="dxa"/>
            <w:gridSpan w:val="3"/>
            <w:vAlign w:val="center"/>
          </w:tcPr>
          <w:p w14:paraId="095775BA"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Основное место работы, должность</w:t>
            </w:r>
          </w:p>
        </w:tc>
        <w:tc>
          <w:tcPr>
            <w:tcW w:w="4792" w:type="dxa"/>
            <w:gridSpan w:val="2"/>
            <w:vAlign w:val="center"/>
          </w:tcPr>
          <w:p w14:paraId="30D50018" w14:textId="0A9FE2DA" w:rsidR="006E4DA5" w:rsidRDefault="006E4DA5">
            <w:r>
              <w:rPr>
                <w:rFonts w:ascii="Times New Roman" w:eastAsia="Times New Roman" w:hAnsi="Times New Roman"/>
                <w:color w:val="000000"/>
                <w:sz w:val="20"/>
                <w:szCs w:val="20"/>
                <w:lang w:eastAsia="ru-RU"/>
              </w:rPr>
              <w:t>ПАО «Россети», Заместитель Генерального директора по цифровой трансформации</w:t>
            </w:r>
          </w:p>
        </w:tc>
      </w:tr>
      <w:tr w:rsidR="002449C2" w14:paraId="5EB488EB" w14:textId="77777777" w:rsidTr="006E4DA5">
        <w:trPr>
          <w:trHeight w:val="20"/>
        </w:trPr>
        <w:tc>
          <w:tcPr>
            <w:tcW w:w="9328" w:type="dxa"/>
            <w:gridSpan w:val="5"/>
            <w:vAlign w:val="center"/>
          </w:tcPr>
          <w:p w14:paraId="75B292BE"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Участие в органах управления и контроля</w:t>
            </w:r>
          </w:p>
        </w:tc>
      </w:tr>
      <w:tr w:rsidR="002449C2" w14:paraId="01CC074D" w14:textId="77777777" w:rsidTr="006E4DA5">
        <w:trPr>
          <w:trHeight w:val="20"/>
        </w:trPr>
        <w:tc>
          <w:tcPr>
            <w:tcW w:w="2080" w:type="dxa"/>
            <w:gridSpan w:val="2"/>
            <w:vAlign w:val="center"/>
          </w:tcPr>
          <w:p w14:paraId="4EF58FFD"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Период</w:t>
            </w:r>
          </w:p>
        </w:tc>
        <w:tc>
          <w:tcPr>
            <w:tcW w:w="3869" w:type="dxa"/>
            <w:gridSpan w:val="2"/>
            <w:vMerge w:val="restart"/>
            <w:vAlign w:val="center"/>
          </w:tcPr>
          <w:p w14:paraId="3DA1B6F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Наименование организации</w:t>
            </w:r>
          </w:p>
        </w:tc>
        <w:tc>
          <w:tcPr>
            <w:tcW w:w="3379" w:type="dxa"/>
            <w:vMerge w:val="restart"/>
            <w:vAlign w:val="center"/>
          </w:tcPr>
          <w:p w14:paraId="7FF5550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Должность</w:t>
            </w:r>
          </w:p>
        </w:tc>
      </w:tr>
      <w:tr w:rsidR="002449C2" w14:paraId="016F8D40" w14:textId="77777777" w:rsidTr="006E4DA5">
        <w:trPr>
          <w:trHeight w:val="20"/>
        </w:trPr>
        <w:tc>
          <w:tcPr>
            <w:tcW w:w="870" w:type="dxa"/>
            <w:vAlign w:val="center"/>
          </w:tcPr>
          <w:p w14:paraId="0B40BDF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с</w:t>
            </w:r>
          </w:p>
        </w:tc>
        <w:tc>
          <w:tcPr>
            <w:tcW w:w="1210" w:type="dxa"/>
            <w:vAlign w:val="center"/>
          </w:tcPr>
          <w:p w14:paraId="4DC4478E"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по</w:t>
            </w:r>
          </w:p>
        </w:tc>
        <w:tc>
          <w:tcPr>
            <w:tcW w:w="3869" w:type="dxa"/>
            <w:gridSpan w:val="2"/>
            <w:vMerge/>
            <w:vAlign w:val="center"/>
          </w:tcPr>
          <w:p w14:paraId="7DFA0477" w14:textId="77777777" w:rsidR="002449C2" w:rsidRDefault="002449C2">
            <w:pPr>
              <w:spacing w:after="0" w:line="240" w:lineRule="auto"/>
              <w:jc w:val="both"/>
              <w:rPr>
                <w:rFonts w:ascii="Times New Roman" w:eastAsia="Times New Roman" w:hAnsi="Times New Roman"/>
                <w:color w:val="000000"/>
                <w:sz w:val="20"/>
                <w:szCs w:val="20"/>
                <w:lang w:eastAsia="ru-RU"/>
              </w:rPr>
            </w:pPr>
          </w:p>
        </w:tc>
        <w:tc>
          <w:tcPr>
            <w:tcW w:w="3379" w:type="dxa"/>
            <w:vMerge/>
            <w:vAlign w:val="center"/>
          </w:tcPr>
          <w:p w14:paraId="7B8A3DBE" w14:textId="77777777" w:rsidR="002449C2" w:rsidRDefault="002449C2">
            <w:pPr>
              <w:spacing w:after="0" w:line="240" w:lineRule="auto"/>
              <w:jc w:val="both"/>
              <w:rPr>
                <w:rFonts w:ascii="Times New Roman" w:eastAsia="Times New Roman" w:hAnsi="Times New Roman"/>
                <w:color w:val="000000"/>
                <w:sz w:val="20"/>
                <w:szCs w:val="20"/>
                <w:lang w:eastAsia="ru-RU"/>
              </w:rPr>
            </w:pPr>
          </w:p>
        </w:tc>
      </w:tr>
      <w:tr w:rsidR="002449C2" w14:paraId="2048344A" w14:textId="77777777" w:rsidTr="006E4DA5">
        <w:trPr>
          <w:trHeight w:val="20"/>
        </w:trPr>
        <w:tc>
          <w:tcPr>
            <w:tcW w:w="870" w:type="dxa"/>
            <w:vAlign w:val="center"/>
          </w:tcPr>
          <w:p w14:paraId="2F8A810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2018</w:t>
            </w:r>
          </w:p>
        </w:tc>
        <w:tc>
          <w:tcPr>
            <w:tcW w:w="1210" w:type="dxa"/>
            <w:vAlign w:val="center"/>
          </w:tcPr>
          <w:p w14:paraId="6F84CCE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2020</w:t>
            </w:r>
          </w:p>
        </w:tc>
        <w:tc>
          <w:tcPr>
            <w:tcW w:w="3869" w:type="dxa"/>
            <w:gridSpan w:val="2"/>
            <w:vAlign w:val="center"/>
          </w:tcPr>
          <w:p w14:paraId="54B5735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Московское представительство Акционерного общества «Научно-производственная корпорация «Уралвагонзавод» им. Ф.Э. Дзержинского</w:t>
            </w:r>
          </w:p>
        </w:tc>
        <w:tc>
          <w:tcPr>
            <w:tcW w:w="3379" w:type="dxa"/>
            <w:vAlign w:val="center"/>
          </w:tcPr>
          <w:p w14:paraId="5017133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Директор по информационным технологиям в Центре корпоративного управления - Московское представительство</w:t>
            </w:r>
          </w:p>
        </w:tc>
      </w:tr>
      <w:tr w:rsidR="002449C2" w14:paraId="7114852D" w14:textId="77777777" w:rsidTr="006E4DA5">
        <w:trPr>
          <w:trHeight w:val="20"/>
        </w:trPr>
        <w:tc>
          <w:tcPr>
            <w:tcW w:w="870" w:type="dxa"/>
            <w:vAlign w:val="center"/>
          </w:tcPr>
          <w:p w14:paraId="0D0ACD8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2020</w:t>
            </w:r>
          </w:p>
        </w:tc>
        <w:tc>
          <w:tcPr>
            <w:tcW w:w="1210" w:type="dxa"/>
            <w:vAlign w:val="center"/>
          </w:tcPr>
          <w:p w14:paraId="727B9B4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3869" w:type="dxa"/>
            <w:gridSpan w:val="2"/>
            <w:vAlign w:val="center"/>
          </w:tcPr>
          <w:p w14:paraId="0B0171A1"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«Концерн «Уралвагонзавод»</w:t>
            </w:r>
          </w:p>
        </w:tc>
        <w:tc>
          <w:tcPr>
            <w:tcW w:w="3379" w:type="dxa"/>
            <w:vAlign w:val="center"/>
          </w:tcPr>
          <w:p w14:paraId="5170D7D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Заместитель генерального директора по информационным технологиям</w:t>
            </w:r>
          </w:p>
        </w:tc>
      </w:tr>
      <w:tr w:rsidR="002449C2" w14:paraId="665D6DB9" w14:textId="77777777" w:rsidTr="006E4DA5">
        <w:trPr>
          <w:trHeight w:val="20"/>
        </w:trPr>
        <w:tc>
          <w:tcPr>
            <w:tcW w:w="870" w:type="dxa"/>
            <w:vAlign w:val="center"/>
          </w:tcPr>
          <w:p w14:paraId="3B46132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0A595FC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869" w:type="dxa"/>
            <w:gridSpan w:val="2"/>
            <w:vAlign w:val="center"/>
          </w:tcPr>
          <w:p w14:paraId="21BB963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«Российские сети»</w:t>
            </w:r>
          </w:p>
        </w:tc>
        <w:tc>
          <w:tcPr>
            <w:tcW w:w="3379" w:type="dxa"/>
            <w:vAlign w:val="center"/>
          </w:tcPr>
          <w:p w14:paraId="347E24F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Главный советник, врио заместителя Генерального директора по цифровой трансформации</w:t>
            </w:r>
          </w:p>
        </w:tc>
      </w:tr>
      <w:tr w:rsidR="002449C2" w14:paraId="43F1E124" w14:textId="77777777" w:rsidTr="006E4DA5">
        <w:trPr>
          <w:trHeight w:val="20"/>
        </w:trPr>
        <w:tc>
          <w:tcPr>
            <w:tcW w:w="870" w:type="dxa"/>
            <w:vAlign w:val="center"/>
          </w:tcPr>
          <w:p w14:paraId="2947496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2ED8675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3869" w:type="dxa"/>
            <w:gridSpan w:val="2"/>
            <w:vAlign w:val="center"/>
          </w:tcPr>
          <w:p w14:paraId="3F012370"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«Федеральная сетевая компания Единой энергетической системы»</w:t>
            </w:r>
          </w:p>
        </w:tc>
        <w:tc>
          <w:tcPr>
            <w:tcW w:w="3379" w:type="dxa"/>
            <w:vAlign w:val="center"/>
          </w:tcPr>
          <w:p w14:paraId="29B9475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Главный советник Генерального директора, врио заместителя Генерального директора по цифровой трансформации (по совместительству)</w:t>
            </w:r>
          </w:p>
        </w:tc>
      </w:tr>
      <w:tr w:rsidR="002449C2" w14:paraId="1A1B10E6" w14:textId="77777777" w:rsidTr="006E4DA5">
        <w:trPr>
          <w:trHeight w:val="20"/>
        </w:trPr>
        <w:tc>
          <w:tcPr>
            <w:tcW w:w="870" w:type="dxa"/>
            <w:vAlign w:val="center"/>
          </w:tcPr>
          <w:p w14:paraId="3156FF71"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1210" w:type="dxa"/>
            <w:vAlign w:val="center"/>
          </w:tcPr>
          <w:p w14:paraId="719251F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869" w:type="dxa"/>
            <w:gridSpan w:val="2"/>
            <w:vAlign w:val="center"/>
          </w:tcPr>
          <w:p w14:paraId="155F4840"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«Федеральная сетевая компания – Россети»</w:t>
            </w:r>
          </w:p>
        </w:tc>
        <w:tc>
          <w:tcPr>
            <w:tcW w:w="3379" w:type="dxa"/>
            <w:vAlign w:val="center"/>
          </w:tcPr>
          <w:p w14:paraId="036378B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Заместитель Генерального директора по цифровой трансформации (ранее - по совместительству)</w:t>
            </w:r>
          </w:p>
        </w:tc>
      </w:tr>
      <w:tr w:rsidR="002449C2" w14:paraId="16DE68C5" w14:textId="77777777" w:rsidTr="006E4DA5">
        <w:trPr>
          <w:trHeight w:val="20"/>
        </w:trPr>
        <w:tc>
          <w:tcPr>
            <w:tcW w:w="870" w:type="dxa"/>
            <w:vAlign w:val="center"/>
          </w:tcPr>
          <w:p w14:paraId="1B640A2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67E6D97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869" w:type="dxa"/>
            <w:gridSpan w:val="2"/>
            <w:vAlign w:val="center"/>
          </w:tcPr>
          <w:p w14:paraId="1E311C1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«Россети Цифра»</w:t>
            </w:r>
          </w:p>
        </w:tc>
        <w:tc>
          <w:tcPr>
            <w:tcW w:w="3379" w:type="dxa"/>
            <w:vAlign w:val="center"/>
          </w:tcPr>
          <w:p w14:paraId="5D0EABB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Исполняющий обязанности генерального директора (по совместительству)</w:t>
            </w:r>
          </w:p>
        </w:tc>
      </w:tr>
      <w:tr w:rsidR="002449C2" w14:paraId="7C0D4973" w14:textId="77777777" w:rsidTr="006E4DA5">
        <w:trPr>
          <w:trHeight w:val="20"/>
        </w:trPr>
        <w:tc>
          <w:tcPr>
            <w:tcW w:w="870" w:type="dxa"/>
            <w:vAlign w:val="center"/>
          </w:tcPr>
          <w:p w14:paraId="6D66068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7E14AB3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869" w:type="dxa"/>
            <w:gridSpan w:val="2"/>
            <w:vAlign w:val="center"/>
          </w:tcPr>
          <w:p w14:paraId="79F9AF9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«Читатехэнерго»</w:t>
            </w:r>
          </w:p>
        </w:tc>
        <w:tc>
          <w:tcPr>
            <w:tcW w:w="3379" w:type="dxa"/>
            <w:vAlign w:val="center"/>
          </w:tcPr>
          <w:p w14:paraId="7AD2978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4269854F" w14:textId="77777777" w:rsidTr="006E4DA5">
        <w:trPr>
          <w:trHeight w:val="20"/>
        </w:trPr>
        <w:tc>
          <w:tcPr>
            <w:tcW w:w="870" w:type="dxa"/>
            <w:vAlign w:val="center"/>
          </w:tcPr>
          <w:p w14:paraId="24C7AE6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1B7A4F01"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869" w:type="dxa"/>
            <w:gridSpan w:val="2"/>
            <w:vAlign w:val="center"/>
          </w:tcPr>
          <w:p w14:paraId="3E35ABE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«Московский узел связи энергетики»</w:t>
            </w:r>
          </w:p>
        </w:tc>
        <w:tc>
          <w:tcPr>
            <w:tcW w:w="3379" w:type="dxa"/>
            <w:vAlign w:val="center"/>
          </w:tcPr>
          <w:p w14:paraId="2C11D01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03B46722" w14:textId="77777777" w:rsidTr="006E4DA5">
        <w:trPr>
          <w:trHeight w:val="20"/>
        </w:trPr>
        <w:tc>
          <w:tcPr>
            <w:tcW w:w="870" w:type="dxa"/>
            <w:vAlign w:val="center"/>
          </w:tcPr>
          <w:p w14:paraId="652BF7F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62D3ED5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2024</w:t>
            </w:r>
          </w:p>
        </w:tc>
        <w:tc>
          <w:tcPr>
            <w:tcW w:w="3869" w:type="dxa"/>
            <w:gridSpan w:val="2"/>
            <w:vAlign w:val="center"/>
          </w:tcPr>
          <w:p w14:paraId="7745B23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«Россети Цифра»</w:t>
            </w:r>
          </w:p>
        </w:tc>
        <w:tc>
          <w:tcPr>
            <w:tcW w:w="3379" w:type="dxa"/>
            <w:vAlign w:val="center"/>
          </w:tcPr>
          <w:p w14:paraId="47D2F95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3A0CC835" w14:textId="77777777" w:rsidTr="006E4DA5">
        <w:trPr>
          <w:trHeight w:val="20"/>
        </w:trPr>
        <w:tc>
          <w:tcPr>
            <w:tcW w:w="870" w:type="dxa"/>
            <w:vAlign w:val="center"/>
          </w:tcPr>
          <w:p w14:paraId="3AE545BD"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08B13AF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2024</w:t>
            </w:r>
          </w:p>
        </w:tc>
        <w:tc>
          <w:tcPr>
            <w:tcW w:w="3869" w:type="dxa"/>
            <w:gridSpan w:val="2"/>
            <w:vAlign w:val="center"/>
          </w:tcPr>
          <w:p w14:paraId="122F6D9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Общество с ограниченной ответственностью «АйТи Энерджи Сервис»</w:t>
            </w:r>
          </w:p>
        </w:tc>
        <w:tc>
          <w:tcPr>
            <w:tcW w:w="3379" w:type="dxa"/>
            <w:vAlign w:val="center"/>
          </w:tcPr>
          <w:p w14:paraId="408B461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168FECCD" w14:textId="77777777" w:rsidTr="006E4DA5">
        <w:trPr>
          <w:trHeight w:val="20"/>
        </w:trPr>
        <w:tc>
          <w:tcPr>
            <w:tcW w:w="870" w:type="dxa"/>
            <w:vAlign w:val="center"/>
          </w:tcPr>
          <w:p w14:paraId="176969A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420701B0"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2024</w:t>
            </w:r>
          </w:p>
        </w:tc>
        <w:tc>
          <w:tcPr>
            <w:tcW w:w="3869" w:type="dxa"/>
            <w:gridSpan w:val="2"/>
            <w:vAlign w:val="center"/>
          </w:tcPr>
          <w:p w14:paraId="21D8847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«Россети Тюмень»</w:t>
            </w:r>
          </w:p>
        </w:tc>
        <w:tc>
          <w:tcPr>
            <w:tcW w:w="3379" w:type="dxa"/>
            <w:vAlign w:val="center"/>
          </w:tcPr>
          <w:p w14:paraId="0A5FC18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2ED0E33C" w14:textId="77777777" w:rsidTr="006E4DA5">
        <w:trPr>
          <w:trHeight w:val="20"/>
        </w:trPr>
        <w:tc>
          <w:tcPr>
            <w:tcW w:w="870" w:type="dxa"/>
            <w:vAlign w:val="center"/>
          </w:tcPr>
          <w:p w14:paraId="2A7C340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79E43220"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869" w:type="dxa"/>
            <w:gridSpan w:val="2"/>
            <w:vAlign w:val="center"/>
          </w:tcPr>
          <w:p w14:paraId="4263EA10"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Сибирь»</w:t>
            </w:r>
          </w:p>
        </w:tc>
        <w:tc>
          <w:tcPr>
            <w:tcW w:w="3379" w:type="dxa"/>
            <w:vAlign w:val="center"/>
          </w:tcPr>
          <w:p w14:paraId="0E174C2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708C372D" w14:textId="77777777" w:rsidTr="006E4DA5">
        <w:trPr>
          <w:trHeight w:val="20"/>
        </w:trPr>
        <w:tc>
          <w:tcPr>
            <w:tcW w:w="870" w:type="dxa"/>
            <w:vAlign w:val="center"/>
          </w:tcPr>
          <w:p w14:paraId="1EAA4CB1"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064CD841"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869" w:type="dxa"/>
            <w:gridSpan w:val="2"/>
            <w:vAlign w:val="center"/>
          </w:tcPr>
          <w:p w14:paraId="4D10E0B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Кубань»</w:t>
            </w:r>
          </w:p>
        </w:tc>
        <w:tc>
          <w:tcPr>
            <w:tcW w:w="3379" w:type="dxa"/>
            <w:vAlign w:val="center"/>
          </w:tcPr>
          <w:p w14:paraId="1B88F78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47E5BDE8" w14:textId="77777777" w:rsidTr="006E4DA5">
        <w:trPr>
          <w:trHeight w:val="20"/>
        </w:trPr>
        <w:tc>
          <w:tcPr>
            <w:tcW w:w="870" w:type="dxa"/>
            <w:vAlign w:val="center"/>
          </w:tcPr>
          <w:p w14:paraId="4E2DAA5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48ECA22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869" w:type="dxa"/>
            <w:gridSpan w:val="2"/>
            <w:vAlign w:val="center"/>
          </w:tcPr>
          <w:p w14:paraId="39155DC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Центр и Приволжье»</w:t>
            </w:r>
          </w:p>
        </w:tc>
        <w:tc>
          <w:tcPr>
            <w:tcW w:w="3379" w:type="dxa"/>
            <w:vAlign w:val="center"/>
          </w:tcPr>
          <w:p w14:paraId="03BB6A3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19218205" w14:textId="77777777" w:rsidTr="006E4DA5">
        <w:trPr>
          <w:trHeight w:val="20"/>
        </w:trPr>
        <w:tc>
          <w:tcPr>
            <w:tcW w:w="870" w:type="dxa"/>
            <w:vAlign w:val="center"/>
          </w:tcPr>
          <w:p w14:paraId="53B33A8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1DD957A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869" w:type="dxa"/>
            <w:gridSpan w:val="2"/>
            <w:vAlign w:val="center"/>
          </w:tcPr>
          <w:p w14:paraId="3604C99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«Федеральный испытательный центр»</w:t>
            </w:r>
          </w:p>
        </w:tc>
        <w:tc>
          <w:tcPr>
            <w:tcW w:w="3379" w:type="dxa"/>
            <w:vAlign w:val="center"/>
          </w:tcPr>
          <w:p w14:paraId="70B6352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49DA1E50" w14:textId="77777777" w:rsidTr="006E4DA5">
        <w:trPr>
          <w:trHeight w:val="20"/>
        </w:trPr>
        <w:tc>
          <w:tcPr>
            <w:tcW w:w="870" w:type="dxa"/>
            <w:vAlign w:val="center"/>
          </w:tcPr>
          <w:p w14:paraId="3585A87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639DF031"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3869" w:type="dxa"/>
            <w:gridSpan w:val="2"/>
            <w:vAlign w:val="center"/>
          </w:tcPr>
          <w:p w14:paraId="3D1482C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Общество с ограниченной ответственностью «Инфраструктурные инвестиции-3»</w:t>
            </w:r>
          </w:p>
        </w:tc>
        <w:tc>
          <w:tcPr>
            <w:tcW w:w="3379" w:type="dxa"/>
            <w:vAlign w:val="center"/>
          </w:tcPr>
          <w:p w14:paraId="56E9291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55CE5BDF" w14:textId="77777777" w:rsidTr="006E4DA5">
        <w:trPr>
          <w:trHeight w:val="20"/>
        </w:trPr>
        <w:tc>
          <w:tcPr>
            <w:tcW w:w="870" w:type="dxa"/>
            <w:vAlign w:val="center"/>
          </w:tcPr>
          <w:p w14:paraId="4FC9BD6D"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1210" w:type="dxa"/>
            <w:vAlign w:val="center"/>
          </w:tcPr>
          <w:p w14:paraId="0974DAB0"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869" w:type="dxa"/>
            <w:gridSpan w:val="2"/>
            <w:vAlign w:val="center"/>
          </w:tcPr>
          <w:p w14:paraId="62F64E7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Юг»</w:t>
            </w:r>
          </w:p>
        </w:tc>
        <w:tc>
          <w:tcPr>
            <w:tcW w:w="3379" w:type="dxa"/>
            <w:vAlign w:val="center"/>
          </w:tcPr>
          <w:p w14:paraId="1E2D958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20FB30AB" w14:textId="77777777" w:rsidTr="006E4DA5">
        <w:trPr>
          <w:trHeight w:val="20"/>
        </w:trPr>
        <w:tc>
          <w:tcPr>
            <w:tcW w:w="870" w:type="dxa"/>
            <w:vAlign w:val="center"/>
          </w:tcPr>
          <w:p w14:paraId="68A74F3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1210" w:type="dxa"/>
            <w:vAlign w:val="center"/>
          </w:tcPr>
          <w:p w14:paraId="75966BE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869" w:type="dxa"/>
            <w:gridSpan w:val="2"/>
            <w:vAlign w:val="center"/>
          </w:tcPr>
          <w:p w14:paraId="26B5AFD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 Акционерное общество «Северо-западная энергетическая управляющая компания»</w:t>
            </w:r>
          </w:p>
        </w:tc>
        <w:tc>
          <w:tcPr>
            <w:tcW w:w="3379" w:type="dxa"/>
            <w:vAlign w:val="center"/>
          </w:tcPr>
          <w:p w14:paraId="2326C25D"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425F4A6D" w14:textId="77777777" w:rsidTr="006E4DA5">
        <w:trPr>
          <w:trHeight w:val="20"/>
        </w:trPr>
        <w:tc>
          <w:tcPr>
            <w:tcW w:w="5949" w:type="dxa"/>
            <w:gridSpan w:val="4"/>
            <w:vAlign w:val="center"/>
          </w:tcPr>
          <w:p w14:paraId="5F86E38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Дата первого избрания в состав Совета директоров Общества</w:t>
            </w:r>
          </w:p>
        </w:tc>
        <w:tc>
          <w:tcPr>
            <w:tcW w:w="3379" w:type="dxa"/>
            <w:vAlign w:val="center"/>
          </w:tcPr>
          <w:p w14:paraId="54D31F2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16.06.2022</w:t>
            </w:r>
          </w:p>
        </w:tc>
      </w:tr>
    </w:tbl>
    <w:p w14:paraId="5CB70BF7" w14:textId="77777777" w:rsidR="002449C2" w:rsidRDefault="002449C2">
      <w:pPr>
        <w:spacing w:after="160" w:line="259" w:lineRule="auto"/>
        <w:rPr>
          <w:rFonts w:ascii="Times New Roman" w:hAnsi="Times New Roman"/>
        </w:rPr>
      </w:pPr>
    </w:p>
    <w:p w14:paraId="7552F0CC" w14:textId="77777777" w:rsidR="002449C2" w:rsidRDefault="00123961">
      <w:pPr>
        <w:spacing w:after="160" w:line="259" w:lineRule="auto"/>
        <w:ind w:left="142"/>
        <w:rPr>
          <w:rFonts w:ascii="Times New Roman" w:hAnsi="Times New Roman"/>
          <w:b/>
          <w:sz w:val="26"/>
          <w:szCs w:val="26"/>
        </w:rPr>
      </w:pPr>
      <w:r>
        <w:rPr>
          <w:rFonts w:ascii="Times New Roman" w:eastAsia="Times New Roman" w:hAnsi="Times New Roman"/>
          <w:b/>
          <w:bCs/>
          <w:sz w:val="26"/>
          <w:szCs w:val="26"/>
          <w:lang w:eastAsia="en-US"/>
        </w:rPr>
        <w:t>Никитчанова Екатерина Владимировна</w:t>
      </w:r>
      <w:r>
        <w:rPr>
          <w:rFonts w:ascii="Times New Roman" w:eastAsia="Times New Roman" w:hAnsi="Times New Roman"/>
          <w:b/>
          <w:sz w:val="26"/>
          <w:szCs w:val="26"/>
          <w:lang w:eastAsia="en-US"/>
        </w:rPr>
        <w:t xml:space="preserve">  </w:t>
      </w:r>
    </w:p>
    <w:tbl>
      <w:tblPr>
        <w:tblW w:w="932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1186"/>
        <w:gridCol w:w="2299"/>
        <w:gridCol w:w="1354"/>
        <w:gridCol w:w="3633"/>
      </w:tblGrid>
      <w:tr w:rsidR="006E4DA5" w14:paraId="489C4586" w14:textId="77777777" w:rsidTr="00E50F6F">
        <w:trPr>
          <w:trHeight w:val="20"/>
        </w:trPr>
        <w:tc>
          <w:tcPr>
            <w:tcW w:w="9328" w:type="dxa"/>
            <w:gridSpan w:val="5"/>
            <w:vAlign w:val="center"/>
          </w:tcPr>
          <w:p w14:paraId="7BF03132" w14:textId="66CD315B" w:rsidR="006E4DA5" w:rsidRDefault="006E4DA5">
            <w:r>
              <w:rPr>
                <w:rFonts w:ascii="Times New Roman" w:eastAsia="Times New Roman" w:hAnsi="Times New Roman"/>
                <w:color w:val="000000"/>
                <w:sz w:val="20"/>
                <w:szCs w:val="20"/>
                <w:lang w:eastAsia="ru-RU"/>
              </w:rPr>
              <w:t>Общая информация о члене Совета директоров ПАО «Россети Юг»</w:t>
            </w:r>
          </w:p>
        </w:tc>
      </w:tr>
      <w:tr w:rsidR="006E4DA5" w14:paraId="334B59DD" w14:textId="77777777" w:rsidTr="00E50F6F">
        <w:trPr>
          <w:trHeight w:val="20"/>
        </w:trPr>
        <w:tc>
          <w:tcPr>
            <w:tcW w:w="4341" w:type="dxa"/>
            <w:gridSpan w:val="3"/>
            <w:vAlign w:val="center"/>
          </w:tcPr>
          <w:p w14:paraId="2E23F0FC"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Год рождения</w:t>
            </w:r>
          </w:p>
        </w:tc>
        <w:tc>
          <w:tcPr>
            <w:tcW w:w="4987" w:type="dxa"/>
            <w:gridSpan w:val="2"/>
            <w:vAlign w:val="center"/>
          </w:tcPr>
          <w:p w14:paraId="4F9C1E83" w14:textId="64E648E8" w:rsidR="006E4DA5" w:rsidRDefault="006E4DA5">
            <w:r>
              <w:rPr>
                <w:rFonts w:ascii="Times New Roman" w:eastAsia="Times New Roman" w:hAnsi="Times New Roman"/>
                <w:color w:val="000000"/>
                <w:sz w:val="20"/>
                <w:szCs w:val="20"/>
                <w:lang w:eastAsia="ru-RU"/>
              </w:rPr>
              <w:t>1973</w:t>
            </w:r>
          </w:p>
        </w:tc>
      </w:tr>
      <w:tr w:rsidR="006E4DA5" w14:paraId="244F1C77" w14:textId="77777777" w:rsidTr="00E50F6F">
        <w:trPr>
          <w:trHeight w:val="435"/>
        </w:trPr>
        <w:tc>
          <w:tcPr>
            <w:tcW w:w="4341" w:type="dxa"/>
            <w:gridSpan w:val="3"/>
            <w:vAlign w:val="center"/>
          </w:tcPr>
          <w:p w14:paraId="6CC337B1"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Сведения об образовании</w:t>
            </w:r>
          </w:p>
          <w:p w14:paraId="183C7B49"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(год, университет, квалификация, специальность)</w:t>
            </w:r>
          </w:p>
        </w:tc>
        <w:tc>
          <w:tcPr>
            <w:tcW w:w="4987" w:type="dxa"/>
            <w:gridSpan w:val="2"/>
            <w:vAlign w:val="center"/>
          </w:tcPr>
          <w:p w14:paraId="202CE149"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Высшее.</w:t>
            </w:r>
          </w:p>
          <w:p w14:paraId="4C1D8A4A" w14:textId="74CB6D48" w:rsidR="006E4DA5" w:rsidRDefault="006E4DA5">
            <w:r>
              <w:rPr>
                <w:rFonts w:ascii="Times New Roman" w:eastAsia="Times New Roman" w:hAnsi="Times New Roman"/>
                <w:color w:val="000000"/>
                <w:sz w:val="20"/>
                <w:szCs w:val="20"/>
                <w:lang w:eastAsia="ru-RU"/>
              </w:rPr>
              <w:t>1996, Воронежский государственный университет, квалификация «юрист», специальность «юриспруденция».</w:t>
            </w:r>
          </w:p>
        </w:tc>
      </w:tr>
      <w:tr w:rsidR="006E4DA5" w14:paraId="7EB864B3" w14:textId="77777777" w:rsidTr="00E50F6F">
        <w:trPr>
          <w:trHeight w:val="20"/>
        </w:trPr>
        <w:tc>
          <w:tcPr>
            <w:tcW w:w="4341" w:type="dxa"/>
            <w:gridSpan w:val="3"/>
            <w:vAlign w:val="center"/>
          </w:tcPr>
          <w:p w14:paraId="0A03C412"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Основное место работы, должность</w:t>
            </w:r>
          </w:p>
        </w:tc>
        <w:tc>
          <w:tcPr>
            <w:tcW w:w="4987" w:type="dxa"/>
            <w:gridSpan w:val="2"/>
            <w:vAlign w:val="center"/>
          </w:tcPr>
          <w:p w14:paraId="1994DB93" w14:textId="24BCE52D" w:rsidR="006E4DA5" w:rsidRDefault="006E4DA5">
            <w:r>
              <w:rPr>
                <w:rFonts w:ascii="Times New Roman" w:eastAsia="Times New Roman" w:hAnsi="Times New Roman"/>
                <w:bCs/>
                <w:color w:val="000000"/>
                <w:sz w:val="20"/>
                <w:szCs w:val="20"/>
                <w:lang w:eastAsia="ru-RU"/>
              </w:rPr>
              <w:t>НП «РИД», Заместитель директора - руководитель Экспертного центра</w:t>
            </w:r>
          </w:p>
        </w:tc>
      </w:tr>
      <w:tr w:rsidR="006E4DA5" w14:paraId="440F6B7E" w14:textId="77777777" w:rsidTr="00E50F6F">
        <w:trPr>
          <w:trHeight w:val="20"/>
        </w:trPr>
        <w:tc>
          <w:tcPr>
            <w:tcW w:w="9328" w:type="dxa"/>
            <w:gridSpan w:val="5"/>
            <w:vAlign w:val="center"/>
          </w:tcPr>
          <w:p w14:paraId="56A99D96" w14:textId="3A552076" w:rsidR="006E4DA5" w:rsidRDefault="006E4DA5">
            <w:r>
              <w:rPr>
                <w:rFonts w:ascii="Times New Roman" w:eastAsia="Times New Roman" w:hAnsi="Times New Roman"/>
                <w:color w:val="000000"/>
                <w:sz w:val="20"/>
                <w:szCs w:val="20"/>
                <w:lang w:eastAsia="ru-RU"/>
              </w:rPr>
              <w:t>Участие в органах управления и контроля</w:t>
            </w:r>
          </w:p>
        </w:tc>
      </w:tr>
      <w:tr w:rsidR="006E4DA5" w14:paraId="64A312BD" w14:textId="77777777" w:rsidTr="00E50F6F">
        <w:trPr>
          <w:trHeight w:val="20"/>
        </w:trPr>
        <w:tc>
          <w:tcPr>
            <w:tcW w:w="2042" w:type="dxa"/>
            <w:gridSpan w:val="2"/>
            <w:vAlign w:val="center"/>
          </w:tcPr>
          <w:p w14:paraId="1E9B9F1C"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Период</w:t>
            </w:r>
          </w:p>
        </w:tc>
        <w:tc>
          <w:tcPr>
            <w:tcW w:w="3653" w:type="dxa"/>
            <w:gridSpan w:val="2"/>
            <w:vMerge w:val="restart"/>
            <w:vAlign w:val="center"/>
          </w:tcPr>
          <w:p w14:paraId="5333C2F2"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Наименование организации</w:t>
            </w:r>
          </w:p>
        </w:tc>
        <w:tc>
          <w:tcPr>
            <w:tcW w:w="3633" w:type="dxa"/>
            <w:vMerge w:val="restart"/>
            <w:vAlign w:val="center"/>
          </w:tcPr>
          <w:p w14:paraId="20652E04" w14:textId="63783BF4" w:rsidR="006E4DA5" w:rsidRDefault="006E4DA5">
            <w:r>
              <w:rPr>
                <w:rFonts w:ascii="Times New Roman" w:eastAsia="Times New Roman" w:hAnsi="Times New Roman"/>
                <w:color w:val="000000"/>
                <w:sz w:val="20"/>
                <w:szCs w:val="20"/>
                <w:lang w:eastAsia="ru-RU"/>
              </w:rPr>
              <w:t>Должность</w:t>
            </w:r>
          </w:p>
        </w:tc>
      </w:tr>
      <w:tr w:rsidR="006E4DA5" w14:paraId="4DB7FDAB" w14:textId="77777777" w:rsidTr="00E50F6F">
        <w:trPr>
          <w:trHeight w:val="20"/>
        </w:trPr>
        <w:tc>
          <w:tcPr>
            <w:tcW w:w="856" w:type="dxa"/>
            <w:vAlign w:val="center"/>
          </w:tcPr>
          <w:p w14:paraId="5F12BAD8"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с</w:t>
            </w:r>
          </w:p>
        </w:tc>
        <w:tc>
          <w:tcPr>
            <w:tcW w:w="1186" w:type="dxa"/>
            <w:vAlign w:val="center"/>
          </w:tcPr>
          <w:p w14:paraId="6C96D6AB"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по</w:t>
            </w:r>
          </w:p>
        </w:tc>
        <w:tc>
          <w:tcPr>
            <w:tcW w:w="3653" w:type="dxa"/>
            <w:gridSpan w:val="2"/>
            <w:vMerge/>
            <w:vAlign w:val="center"/>
          </w:tcPr>
          <w:p w14:paraId="71B65508" w14:textId="77777777" w:rsidR="006E4DA5" w:rsidRDefault="006E4DA5">
            <w:pPr>
              <w:spacing w:after="0" w:line="240" w:lineRule="auto"/>
              <w:jc w:val="both"/>
              <w:rPr>
                <w:rFonts w:ascii="Times New Roman" w:eastAsia="Times New Roman" w:hAnsi="Times New Roman"/>
                <w:color w:val="000000"/>
                <w:sz w:val="20"/>
                <w:szCs w:val="20"/>
                <w:lang w:eastAsia="ru-RU"/>
              </w:rPr>
            </w:pPr>
          </w:p>
        </w:tc>
        <w:tc>
          <w:tcPr>
            <w:tcW w:w="3633" w:type="dxa"/>
            <w:vMerge/>
            <w:vAlign w:val="center"/>
          </w:tcPr>
          <w:p w14:paraId="00295BEB" w14:textId="77777777" w:rsidR="006E4DA5" w:rsidRDefault="006E4DA5"/>
        </w:tc>
      </w:tr>
      <w:tr w:rsidR="006E4DA5" w14:paraId="6E734452" w14:textId="77777777" w:rsidTr="00E50F6F">
        <w:trPr>
          <w:trHeight w:val="20"/>
        </w:trPr>
        <w:tc>
          <w:tcPr>
            <w:tcW w:w="856" w:type="dxa"/>
            <w:vAlign w:val="center"/>
          </w:tcPr>
          <w:p w14:paraId="268B64E9"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2002</w:t>
            </w:r>
          </w:p>
        </w:tc>
        <w:tc>
          <w:tcPr>
            <w:tcW w:w="1186" w:type="dxa"/>
            <w:vAlign w:val="center"/>
          </w:tcPr>
          <w:p w14:paraId="4CAB1410"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653" w:type="dxa"/>
            <w:gridSpan w:val="2"/>
            <w:vAlign w:val="center"/>
          </w:tcPr>
          <w:p w14:paraId="5A2D8659"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Некоммерческое  партнерство «Российский институт директоров»</w:t>
            </w:r>
          </w:p>
        </w:tc>
        <w:tc>
          <w:tcPr>
            <w:tcW w:w="3633" w:type="dxa"/>
            <w:vAlign w:val="center"/>
          </w:tcPr>
          <w:p w14:paraId="754B8D29" w14:textId="095680E9" w:rsidR="006E4DA5" w:rsidRDefault="006E4DA5">
            <w:r>
              <w:rPr>
                <w:rFonts w:ascii="Times New Roman" w:eastAsia="Times New Roman" w:hAnsi="Times New Roman"/>
                <w:color w:val="000000"/>
                <w:sz w:val="20"/>
                <w:szCs w:val="20"/>
                <w:lang w:eastAsia="ru-RU"/>
              </w:rPr>
              <w:t>Заместитель директора - руководитель Экспертного центра</w:t>
            </w:r>
          </w:p>
        </w:tc>
      </w:tr>
      <w:tr w:rsidR="006E4DA5" w14:paraId="775B41F8" w14:textId="77777777" w:rsidTr="00E50F6F">
        <w:trPr>
          <w:trHeight w:val="20"/>
        </w:trPr>
        <w:tc>
          <w:tcPr>
            <w:tcW w:w="856" w:type="dxa"/>
            <w:vAlign w:val="center"/>
          </w:tcPr>
          <w:p w14:paraId="5710E351"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2011</w:t>
            </w:r>
          </w:p>
        </w:tc>
        <w:tc>
          <w:tcPr>
            <w:tcW w:w="1186" w:type="dxa"/>
            <w:vAlign w:val="center"/>
          </w:tcPr>
          <w:p w14:paraId="3DED7910"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653" w:type="dxa"/>
            <w:gridSpan w:val="2"/>
            <w:vAlign w:val="center"/>
          </w:tcPr>
          <w:p w14:paraId="5A4A1E19"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«Издательство «Высшая школа»</w:t>
            </w:r>
          </w:p>
        </w:tc>
        <w:tc>
          <w:tcPr>
            <w:tcW w:w="3633" w:type="dxa"/>
            <w:vAlign w:val="center"/>
          </w:tcPr>
          <w:p w14:paraId="6BAD6DD4" w14:textId="51F06B28" w:rsidR="006E4DA5" w:rsidRDefault="006E4DA5">
            <w:r>
              <w:rPr>
                <w:rFonts w:ascii="Times New Roman" w:eastAsia="Times New Roman" w:hAnsi="Times New Roman"/>
                <w:color w:val="000000"/>
                <w:sz w:val="20"/>
                <w:szCs w:val="20"/>
                <w:lang w:eastAsia="ru-RU"/>
              </w:rPr>
              <w:t>Член Совета директоров</w:t>
            </w:r>
          </w:p>
        </w:tc>
      </w:tr>
      <w:tr w:rsidR="006E4DA5" w14:paraId="16CCC9A9" w14:textId="77777777" w:rsidTr="00E50F6F">
        <w:trPr>
          <w:trHeight w:val="20"/>
        </w:trPr>
        <w:tc>
          <w:tcPr>
            <w:tcW w:w="856" w:type="dxa"/>
            <w:vAlign w:val="center"/>
          </w:tcPr>
          <w:p w14:paraId="02FEACED"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2011</w:t>
            </w:r>
          </w:p>
        </w:tc>
        <w:tc>
          <w:tcPr>
            <w:tcW w:w="1186" w:type="dxa"/>
            <w:vAlign w:val="center"/>
          </w:tcPr>
          <w:p w14:paraId="7F3CADE0"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653" w:type="dxa"/>
            <w:gridSpan w:val="2"/>
            <w:vAlign w:val="center"/>
          </w:tcPr>
          <w:p w14:paraId="55E769E7" w14:textId="77777777" w:rsidR="006E4DA5" w:rsidRDefault="006E4DA5">
            <w:pPr>
              <w:spacing w:after="0" w:line="240" w:lineRule="auto"/>
              <w:jc w:val="both"/>
              <w:rPr>
                <w:rFonts w:ascii="Times New Roman" w:hAnsi="Times New Roman"/>
                <w:sz w:val="20"/>
                <w:szCs w:val="20"/>
              </w:rPr>
            </w:pPr>
            <w:r>
              <w:rPr>
                <w:rFonts w:ascii="Times New Roman" w:eastAsia="Times New Roman" w:hAnsi="Times New Roman"/>
                <w:sz w:val="20"/>
                <w:szCs w:val="20"/>
                <w:lang w:eastAsia="ru-RU"/>
              </w:rPr>
              <w:t>Акционерное общество «ТПО «Центральная киностудия детских и юношеских фильмов им. М. Горького»</w:t>
            </w:r>
          </w:p>
        </w:tc>
        <w:tc>
          <w:tcPr>
            <w:tcW w:w="3633" w:type="dxa"/>
            <w:vAlign w:val="center"/>
          </w:tcPr>
          <w:p w14:paraId="25FA84FE" w14:textId="68BAAF7B" w:rsidR="006E4DA5" w:rsidRDefault="006E4DA5">
            <w:r>
              <w:rPr>
                <w:rFonts w:ascii="Times New Roman" w:eastAsia="Times New Roman" w:hAnsi="Times New Roman"/>
                <w:color w:val="000000"/>
                <w:sz w:val="20"/>
                <w:szCs w:val="20"/>
                <w:lang w:eastAsia="ru-RU"/>
              </w:rPr>
              <w:t>Член Совета директоров</w:t>
            </w:r>
          </w:p>
        </w:tc>
      </w:tr>
      <w:tr w:rsidR="006E4DA5" w14:paraId="1911F0C8" w14:textId="77777777" w:rsidTr="00E50F6F">
        <w:trPr>
          <w:trHeight w:val="20"/>
        </w:trPr>
        <w:tc>
          <w:tcPr>
            <w:tcW w:w="856" w:type="dxa"/>
            <w:vAlign w:val="center"/>
          </w:tcPr>
          <w:p w14:paraId="49611383"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2016</w:t>
            </w:r>
          </w:p>
        </w:tc>
        <w:tc>
          <w:tcPr>
            <w:tcW w:w="1186" w:type="dxa"/>
            <w:vAlign w:val="center"/>
          </w:tcPr>
          <w:p w14:paraId="2C366E7E"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653" w:type="dxa"/>
            <w:gridSpan w:val="2"/>
            <w:vAlign w:val="center"/>
          </w:tcPr>
          <w:p w14:paraId="3F39B2D0" w14:textId="77777777" w:rsidR="006E4DA5" w:rsidRDefault="006E4DA5">
            <w:pPr>
              <w:spacing w:after="0" w:line="240" w:lineRule="auto"/>
              <w:jc w:val="both"/>
              <w:rPr>
                <w:rFonts w:ascii="Times New Roman" w:hAnsi="Times New Roman"/>
                <w:sz w:val="20"/>
                <w:szCs w:val="20"/>
              </w:rPr>
            </w:pPr>
            <w:r>
              <w:rPr>
                <w:rFonts w:ascii="Times New Roman" w:eastAsia="Times New Roman" w:hAnsi="Times New Roman"/>
                <w:sz w:val="20"/>
                <w:szCs w:val="20"/>
                <w:lang w:eastAsia="ru-RU"/>
              </w:rPr>
              <w:t>Акционерное общество «ТПО «Санкт - Петербургская студия документальных фильмов»</w:t>
            </w:r>
          </w:p>
        </w:tc>
        <w:tc>
          <w:tcPr>
            <w:tcW w:w="3633" w:type="dxa"/>
            <w:vAlign w:val="center"/>
          </w:tcPr>
          <w:p w14:paraId="1A3C5EEA" w14:textId="635B32D3" w:rsidR="006E4DA5" w:rsidRDefault="006E4DA5">
            <w:r>
              <w:rPr>
                <w:rFonts w:ascii="Times New Roman" w:eastAsia="Times New Roman" w:hAnsi="Times New Roman"/>
                <w:color w:val="000000"/>
                <w:sz w:val="20"/>
                <w:szCs w:val="20"/>
                <w:lang w:eastAsia="ru-RU"/>
              </w:rPr>
              <w:t>Член Совета директоров</w:t>
            </w:r>
          </w:p>
        </w:tc>
      </w:tr>
      <w:tr w:rsidR="006E4DA5" w14:paraId="192FD503" w14:textId="77777777" w:rsidTr="00E50F6F">
        <w:trPr>
          <w:trHeight w:val="20"/>
        </w:trPr>
        <w:tc>
          <w:tcPr>
            <w:tcW w:w="856" w:type="dxa"/>
            <w:vAlign w:val="center"/>
          </w:tcPr>
          <w:p w14:paraId="604EDDDB"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2020</w:t>
            </w:r>
          </w:p>
        </w:tc>
        <w:tc>
          <w:tcPr>
            <w:tcW w:w="1186" w:type="dxa"/>
            <w:vAlign w:val="center"/>
          </w:tcPr>
          <w:p w14:paraId="4CA1F30C"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653" w:type="dxa"/>
            <w:gridSpan w:val="2"/>
            <w:vAlign w:val="center"/>
          </w:tcPr>
          <w:p w14:paraId="7BF6010D"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«Советская Сибирь»</w:t>
            </w:r>
          </w:p>
        </w:tc>
        <w:tc>
          <w:tcPr>
            <w:tcW w:w="3633" w:type="dxa"/>
            <w:vAlign w:val="center"/>
          </w:tcPr>
          <w:p w14:paraId="32559B33" w14:textId="0353F2F0" w:rsidR="006E4DA5" w:rsidRDefault="006E4DA5">
            <w:r>
              <w:rPr>
                <w:rFonts w:ascii="Times New Roman" w:eastAsia="Times New Roman" w:hAnsi="Times New Roman"/>
                <w:color w:val="000000"/>
                <w:sz w:val="20"/>
                <w:szCs w:val="20"/>
                <w:lang w:eastAsia="ru-RU"/>
              </w:rPr>
              <w:t>Член Совета директоров</w:t>
            </w:r>
          </w:p>
        </w:tc>
      </w:tr>
      <w:tr w:rsidR="006E4DA5" w14:paraId="507AEE46" w14:textId="77777777" w:rsidTr="00E50F6F">
        <w:trPr>
          <w:trHeight w:val="20"/>
        </w:trPr>
        <w:tc>
          <w:tcPr>
            <w:tcW w:w="856" w:type="dxa"/>
            <w:vAlign w:val="center"/>
          </w:tcPr>
          <w:p w14:paraId="5B0B93A1"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186" w:type="dxa"/>
            <w:vAlign w:val="center"/>
          </w:tcPr>
          <w:p w14:paraId="662B6286"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3653" w:type="dxa"/>
            <w:gridSpan w:val="2"/>
            <w:vAlign w:val="center"/>
          </w:tcPr>
          <w:p w14:paraId="296FA31F"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Северо-Запад»</w:t>
            </w:r>
          </w:p>
        </w:tc>
        <w:tc>
          <w:tcPr>
            <w:tcW w:w="3633" w:type="dxa"/>
            <w:vAlign w:val="center"/>
          </w:tcPr>
          <w:p w14:paraId="1C75062F" w14:textId="02B4DB93" w:rsidR="006E4DA5" w:rsidRDefault="006E4DA5">
            <w:r>
              <w:rPr>
                <w:rFonts w:ascii="Times New Roman" w:eastAsia="Times New Roman" w:hAnsi="Times New Roman"/>
                <w:color w:val="000000"/>
                <w:sz w:val="20"/>
                <w:szCs w:val="20"/>
                <w:lang w:eastAsia="ru-RU"/>
              </w:rPr>
              <w:t>Член Совета директоров</w:t>
            </w:r>
          </w:p>
        </w:tc>
      </w:tr>
      <w:tr w:rsidR="006E4DA5" w14:paraId="003FB127" w14:textId="77777777" w:rsidTr="00E50F6F">
        <w:trPr>
          <w:trHeight w:val="20"/>
        </w:trPr>
        <w:tc>
          <w:tcPr>
            <w:tcW w:w="856" w:type="dxa"/>
            <w:vAlign w:val="center"/>
          </w:tcPr>
          <w:p w14:paraId="1713CBEC"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186" w:type="dxa"/>
            <w:vAlign w:val="center"/>
          </w:tcPr>
          <w:p w14:paraId="6D82E410"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653" w:type="dxa"/>
            <w:gridSpan w:val="2"/>
            <w:vAlign w:val="center"/>
          </w:tcPr>
          <w:p w14:paraId="51743704"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Юг»</w:t>
            </w:r>
          </w:p>
        </w:tc>
        <w:tc>
          <w:tcPr>
            <w:tcW w:w="3633" w:type="dxa"/>
            <w:vAlign w:val="center"/>
          </w:tcPr>
          <w:p w14:paraId="266B5F9C" w14:textId="56639F49" w:rsidR="006E4DA5" w:rsidRDefault="006E4DA5">
            <w:r>
              <w:rPr>
                <w:rFonts w:ascii="Times New Roman" w:eastAsia="Times New Roman" w:hAnsi="Times New Roman"/>
                <w:color w:val="000000"/>
                <w:sz w:val="20"/>
                <w:szCs w:val="20"/>
                <w:lang w:eastAsia="ru-RU"/>
              </w:rPr>
              <w:t>Член Совета директоров</w:t>
            </w:r>
          </w:p>
        </w:tc>
      </w:tr>
      <w:tr w:rsidR="006E4DA5" w14:paraId="047DC69A" w14:textId="77777777" w:rsidTr="00E50F6F">
        <w:trPr>
          <w:trHeight w:val="20"/>
        </w:trPr>
        <w:tc>
          <w:tcPr>
            <w:tcW w:w="5695" w:type="dxa"/>
            <w:gridSpan w:val="4"/>
            <w:vAlign w:val="center"/>
          </w:tcPr>
          <w:p w14:paraId="267BD19A" w14:textId="77777777" w:rsidR="006E4DA5" w:rsidRDefault="006E4DA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Дата первого избрания в состав Совета директоров Общества</w:t>
            </w:r>
          </w:p>
        </w:tc>
        <w:tc>
          <w:tcPr>
            <w:tcW w:w="3633" w:type="dxa"/>
            <w:vAlign w:val="center"/>
          </w:tcPr>
          <w:p w14:paraId="6FFAD301" w14:textId="317312A1" w:rsidR="006E4DA5" w:rsidRDefault="006E4DA5">
            <w:r>
              <w:rPr>
                <w:rFonts w:ascii="Times New Roman" w:eastAsia="Times New Roman" w:hAnsi="Times New Roman"/>
                <w:color w:val="000000"/>
                <w:sz w:val="20"/>
                <w:szCs w:val="20"/>
                <w:lang w:eastAsia="ru-RU"/>
              </w:rPr>
              <w:t>31.08.2021</w:t>
            </w:r>
          </w:p>
        </w:tc>
      </w:tr>
      <w:tr w:rsidR="006E4DA5" w14:paraId="1988DC2B" w14:textId="77777777" w:rsidTr="00E50F6F">
        <w:trPr>
          <w:trHeight w:val="20"/>
        </w:trPr>
        <w:tc>
          <w:tcPr>
            <w:tcW w:w="9328" w:type="dxa"/>
            <w:gridSpan w:val="5"/>
            <w:vAlign w:val="center"/>
          </w:tcPr>
          <w:p w14:paraId="1992385C" w14:textId="57D344EC" w:rsidR="006E4DA5" w:rsidRDefault="00FC6862" w:rsidP="00FC6862">
            <w:r>
              <w:rPr>
                <w:rFonts w:ascii="Times New Roman" w:eastAsia="Times New Roman" w:hAnsi="Times New Roman"/>
                <w:color w:val="000000"/>
                <w:sz w:val="20"/>
                <w:szCs w:val="20"/>
                <w:lang w:eastAsia="ru-RU"/>
              </w:rPr>
              <w:t xml:space="preserve">Признана </w:t>
            </w:r>
            <w:r w:rsidR="006E4DA5" w:rsidRPr="006E4DA5">
              <w:rPr>
                <w:rFonts w:ascii="Times New Roman" w:eastAsia="Times New Roman" w:hAnsi="Times New Roman"/>
                <w:color w:val="000000"/>
                <w:sz w:val="20"/>
                <w:szCs w:val="20"/>
                <w:lang w:eastAsia="ru-RU"/>
              </w:rPr>
              <w:t>независимым директором в соответствии с решением Совета директоров ПАО "Россети Юг" 14.08.2024 (</w:t>
            </w:r>
            <w:hyperlink r:id="rId156">
              <w:r w:rsidR="006E4DA5" w:rsidRPr="006E4DA5">
                <w:rPr>
                  <w:rFonts w:ascii="Times New Roman" w:eastAsia="Times New Roman" w:hAnsi="Times New Roman"/>
                  <w:color w:val="000000"/>
                  <w:sz w:val="20"/>
                  <w:szCs w:val="20"/>
                  <w:lang w:eastAsia="ru-RU"/>
                </w:rPr>
                <w:t>протокол заседания Совета директоров №586/202</w:t>
              </w:r>
            </w:hyperlink>
            <w:r w:rsidR="006E4DA5" w:rsidRPr="006E4DA5">
              <w:rPr>
                <w:rFonts w:ascii="Times New Roman" w:eastAsia="Times New Roman" w:hAnsi="Times New Roman"/>
                <w:color w:val="000000"/>
                <w:sz w:val="20"/>
                <w:szCs w:val="20"/>
                <w:lang w:eastAsia="ru-RU"/>
              </w:rPr>
              <w:t>4)</w:t>
            </w:r>
          </w:p>
        </w:tc>
      </w:tr>
    </w:tbl>
    <w:p w14:paraId="327320AF" w14:textId="77777777" w:rsidR="002449C2" w:rsidRDefault="002449C2">
      <w:pPr>
        <w:spacing w:after="160" w:line="259" w:lineRule="auto"/>
        <w:rPr>
          <w:rFonts w:ascii="Times New Roman" w:hAnsi="Times New Roman"/>
        </w:rPr>
      </w:pPr>
    </w:p>
    <w:p w14:paraId="05B9A2DC" w14:textId="77777777" w:rsidR="002449C2" w:rsidRDefault="00123961">
      <w:pPr>
        <w:spacing w:after="160" w:line="259" w:lineRule="auto"/>
        <w:ind w:left="142"/>
        <w:rPr>
          <w:rFonts w:ascii="Times New Roman" w:hAnsi="Times New Roman"/>
          <w:b/>
          <w:sz w:val="26"/>
          <w:szCs w:val="26"/>
        </w:rPr>
      </w:pPr>
      <w:r>
        <w:rPr>
          <w:rFonts w:ascii="Times New Roman" w:eastAsia="Times New Roman" w:hAnsi="Times New Roman"/>
          <w:b/>
          <w:bCs/>
          <w:sz w:val="26"/>
          <w:szCs w:val="26"/>
          <w:lang w:eastAsia="en-US"/>
        </w:rPr>
        <w:t>Парамонова Наталья Владимировна</w:t>
      </w:r>
      <w:r>
        <w:rPr>
          <w:rFonts w:ascii="Times New Roman" w:eastAsia="Times New Roman" w:hAnsi="Times New Roman"/>
          <w:b/>
          <w:sz w:val="26"/>
          <w:szCs w:val="26"/>
          <w:lang w:eastAsia="en-US"/>
        </w:rPr>
        <w:t xml:space="preserve">  </w:t>
      </w:r>
    </w:p>
    <w:tbl>
      <w:tblPr>
        <w:tblW w:w="932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1"/>
        <w:gridCol w:w="1210"/>
        <w:gridCol w:w="2597"/>
        <w:gridCol w:w="1135"/>
        <w:gridCol w:w="3515"/>
      </w:tblGrid>
      <w:tr w:rsidR="002449C2" w14:paraId="29644344" w14:textId="77777777" w:rsidTr="00971F93">
        <w:trPr>
          <w:trHeight w:val="20"/>
        </w:trPr>
        <w:tc>
          <w:tcPr>
            <w:tcW w:w="9328" w:type="dxa"/>
            <w:gridSpan w:val="5"/>
            <w:vAlign w:val="center"/>
          </w:tcPr>
          <w:p w14:paraId="3DA977C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Общая информация о члене Совета директоров ПАО «Россети Юг»</w:t>
            </w:r>
          </w:p>
        </w:tc>
      </w:tr>
      <w:tr w:rsidR="00971F93" w14:paraId="09E3CB77" w14:textId="77777777" w:rsidTr="00971F93">
        <w:trPr>
          <w:trHeight w:val="20"/>
        </w:trPr>
        <w:tc>
          <w:tcPr>
            <w:tcW w:w="4678" w:type="dxa"/>
            <w:gridSpan w:val="3"/>
            <w:vAlign w:val="center"/>
          </w:tcPr>
          <w:p w14:paraId="06754FDD" w14:textId="77777777" w:rsidR="00971F93" w:rsidRDefault="00971F9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Год рождения</w:t>
            </w:r>
          </w:p>
        </w:tc>
        <w:tc>
          <w:tcPr>
            <w:tcW w:w="4650" w:type="dxa"/>
            <w:gridSpan w:val="2"/>
            <w:vAlign w:val="center"/>
          </w:tcPr>
          <w:p w14:paraId="65CD23D0" w14:textId="24C1ECD0" w:rsidR="00971F93" w:rsidRDefault="00971F93">
            <w:r>
              <w:rPr>
                <w:rFonts w:ascii="Times New Roman" w:eastAsia="Times New Roman" w:hAnsi="Times New Roman"/>
                <w:color w:val="000000"/>
                <w:sz w:val="20"/>
                <w:szCs w:val="20"/>
                <w:lang w:eastAsia="ru-RU"/>
              </w:rPr>
              <w:t>1970</w:t>
            </w:r>
          </w:p>
        </w:tc>
      </w:tr>
      <w:tr w:rsidR="00971F93" w14:paraId="071B1E65" w14:textId="77777777" w:rsidTr="00971F93">
        <w:trPr>
          <w:trHeight w:val="1420"/>
        </w:trPr>
        <w:tc>
          <w:tcPr>
            <w:tcW w:w="4678" w:type="dxa"/>
            <w:gridSpan w:val="3"/>
            <w:vAlign w:val="center"/>
          </w:tcPr>
          <w:p w14:paraId="03015319" w14:textId="77777777" w:rsidR="00971F93" w:rsidRDefault="00971F9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Сведения об образовании</w:t>
            </w:r>
          </w:p>
          <w:p w14:paraId="64DDA8C4" w14:textId="77777777" w:rsidR="00971F93" w:rsidRDefault="00971F9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(год, университет, квалификация, специальность)</w:t>
            </w:r>
          </w:p>
        </w:tc>
        <w:tc>
          <w:tcPr>
            <w:tcW w:w="4650" w:type="dxa"/>
            <w:gridSpan w:val="2"/>
            <w:vAlign w:val="center"/>
          </w:tcPr>
          <w:p w14:paraId="475A0955" w14:textId="77777777" w:rsidR="00971F93" w:rsidRDefault="00971F9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Высшее.</w:t>
            </w:r>
          </w:p>
          <w:p w14:paraId="6424EF59" w14:textId="77777777" w:rsidR="00971F93" w:rsidRDefault="00971F9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1995, Государственная академия нефти и газа им. Губкина, квалификация «инженер по автоматизации технологических процессов»;</w:t>
            </w:r>
          </w:p>
          <w:p w14:paraId="0362F9F0" w14:textId="77FF11A1" w:rsidR="00971F93" w:rsidRDefault="00971F93">
            <w:r>
              <w:rPr>
                <w:rFonts w:ascii="Times New Roman" w:eastAsia="Times New Roman" w:hAnsi="Times New Roman"/>
                <w:color w:val="000000"/>
                <w:sz w:val="20"/>
                <w:szCs w:val="20"/>
                <w:lang w:eastAsia="ru-RU"/>
              </w:rPr>
              <w:t>2005, Институт бизнеса и политики (г. Москва), квалификация «экономист», специальность «бухгалтерский учет, анализ и аудит».</w:t>
            </w:r>
          </w:p>
        </w:tc>
      </w:tr>
      <w:tr w:rsidR="00971F93" w14:paraId="20C84137" w14:textId="77777777" w:rsidTr="00971F93">
        <w:trPr>
          <w:trHeight w:val="20"/>
        </w:trPr>
        <w:tc>
          <w:tcPr>
            <w:tcW w:w="4678" w:type="dxa"/>
            <w:gridSpan w:val="3"/>
            <w:vAlign w:val="center"/>
          </w:tcPr>
          <w:p w14:paraId="3669B0A1" w14:textId="77777777" w:rsidR="00971F93" w:rsidRDefault="00971F9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Основное место работы, должность</w:t>
            </w:r>
          </w:p>
        </w:tc>
        <w:tc>
          <w:tcPr>
            <w:tcW w:w="4650" w:type="dxa"/>
            <w:gridSpan w:val="2"/>
            <w:vAlign w:val="center"/>
          </w:tcPr>
          <w:p w14:paraId="037E567A" w14:textId="0D556DD1" w:rsidR="00971F93" w:rsidRDefault="00971F93">
            <w:r>
              <w:rPr>
                <w:rFonts w:ascii="Times New Roman" w:eastAsia="Times New Roman" w:hAnsi="Times New Roman"/>
                <w:bCs/>
                <w:color w:val="000000"/>
                <w:sz w:val="20"/>
                <w:szCs w:val="20"/>
                <w:lang w:eastAsia="ru-RU"/>
              </w:rPr>
              <w:t>ПАО «Россети», Первый заместитель начальника Департамента экономики</w:t>
            </w:r>
          </w:p>
        </w:tc>
      </w:tr>
      <w:tr w:rsidR="002449C2" w14:paraId="26247D39" w14:textId="77777777" w:rsidTr="00971F93">
        <w:trPr>
          <w:trHeight w:val="20"/>
        </w:trPr>
        <w:tc>
          <w:tcPr>
            <w:tcW w:w="9328" w:type="dxa"/>
            <w:gridSpan w:val="5"/>
            <w:vAlign w:val="center"/>
          </w:tcPr>
          <w:p w14:paraId="3D7AABF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Участие в органах управления и контроля</w:t>
            </w:r>
          </w:p>
        </w:tc>
      </w:tr>
      <w:tr w:rsidR="002449C2" w14:paraId="3E58BC76" w14:textId="77777777" w:rsidTr="00971F93">
        <w:trPr>
          <w:trHeight w:val="20"/>
        </w:trPr>
        <w:tc>
          <w:tcPr>
            <w:tcW w:w="2081" w:type="dxa"/>
            <w:gridSpan w:val="2"/>
            <w:vAlign w:val="center"/>
          </w:tcPr>
          <w:p w14:paraId="60E4C0A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Период</w:t>
            </w:r>
          </w:p>
        </w:tc>
        <w:tc>
          <w:tcPr>
            <w:tcW w:w="3732" w:type="dxa"/>
            <w:gridSpan w:val="2"/>
            <w:vMerge w:val="restart"/>
            <w:vAlign w:val="center"/>
          </w:tcPr>
          <w:p w14:paraId="42BFDBC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Наименование организации</w:t>
            </w:r>
          </w:p>
        </w:tc>
        <w:tc>
          <w:tcPr>
            <w:tcW w:w="3515" w:type="dxa"/>
            <w:vMerge w:val="restart"/>
            <w:vAlign w:val="center"/>
          </w:tcPr>
          <w:p w14:paraId="555F269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Должность</w:t>
            </w:r>
          </w:p>
        </w:tc>
      </w:tr>
      <w:tr w:rsidR="002449C2" w14:paraId="532C9806" w14:textId="77777777" w:rsidTr="00971F93">
        <w:trPr>
          <w:trHeight w:val="20"/>
        </w:trPr>
        <w:tc>
          <w:tcPr>
            <w:tcW w:w="871" w:type="dxa"/>
            <w:vAlign w:val="center"/>
          </w:tcPr>
          <w:p w14:paraId="6D42BE8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с</w:t>
            </w:r>
          </w:p>
        </w:tc>
        <w:tc>
          <w:tcPr>
            <w:tcW w:w="1210" w:type="dxa"/>
            <w:vAlign w:val="center"/>
          </w:tcPr>
          <w:p w14:paraId="34941BB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по</w:t>
            </w:r>
          </w:p>
        </w:tc>
        <w:tc>
          <w:tcPr>
            <w:tcW w:w="3732" w:type="dxa"/>
            <w:gridSpan w:val="2"/>
            <w:vMerge/>
            <w:vAlign w:val="center"/>
          </w:tcPr>
          <w:p w14:paraId="30F7C080" w14:textId="77777777" w:rsidR="002449C2" w:rsidRDefault="002449C2">
            <w:pPr>
              <w:spacing w:after="0" w:line="240" w:lineRule="auto"/>
              <w:jc w:val="both"/>
              <w:rPr>
                <w:rFonts w:ascii="Times New Roman" w:eastAsia="Times New Roman" w:hAnsi="Times New Roman"/>
                <w:color w:val="000000"/>
                <w:sz w:val="20"/>
                <w:szCs w:val="20"/>
                <w:lang w:eastAsia="ru-RU"/>
              </w:rPr>
            </w:pPr>
          </w:p>
        </w:tc>
        <w:tc>
          <w:tcPr>
            <w:tcW w:w="3515" w:type="dxa"/>
            <w:vMerge/>
            <w:vAlign w:val="center"/>
          </w:tcPr>
          <w:p w14:paraId="2BA0CEDC" w14:textId="77777777" w:rsidR="002449C2" w:rsidRDefault="002449C2">
            <w:pPr>
              <w:spacing w:after="0" w:line="240" w:lineRule="auto"/>
              <w:jc w:val="both"/>
              <w:rPr>
                <w:rFonts w:ascii="Times New Roman" w:eastAsia="Times New Roman" w:hAnsi="Times New Roman"/>
                <w:color w:val="000000"/>
                <w:sz w:val="20"/>
                <w:szCs w:val="20"/>
                <w:lang w:eastAsia="ru-RU"/>
              </w:rPr>
            </w:pPr>
          </w:p>
        </w:tc>
      </w:tr>
      <w:tr w:rsidR="002449C2" w14:paraId="3CD40012" w14:textId="77777777" w:rsidTr="00971F93">
        <w:trPr>
          <w:trHeight w:val="20"/>
        </w:trPr>
        <w:tc>
          <w:tcPr>
            <w:tcW w:w="871" w:type="dxa"/>
            <w:vAlign w:val="center"/>
          </w:tcPr>
          <w:p w14:paraId="70D110A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2018</w:t>
            </w:r>
          </w:p>
        </w:tc>
        <w:tc>
          <w:tcPr>
            <w:tcW w:w="1210" w:type="dxa"/>
            <w:vAlign w:val="center"/>
          </w:tcPr>
          <w:p w14:paraId="1F795EF1"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0E3C0FE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w:t>
            </w:r>
          </w:p>
        </w:tc>
        <w:tc>
          <w:tcPr>
            <w:tcW w:w="3515" w:type="dxa"/>
            <w:vAlign w:val="center"/>
          </w:tcPr>
          <w:p w14:paraId="313AEE4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Начальник планово-экономического управления департамента тарифной политики, директор Департамента экономики, начальник Департамента экономики</w:t>
            </w:r>
          </w:p>
        </w:tc>
      </w:tr>
      <w:tr w:rsidR="002449C2" w14:paraId="00EADC74" w14:textId="77777777" w:rsidTr="00971F93">
        <w:trPr>
          <w:trHeight w:val="20"/>
        </w:trPr>
        <w:tc>
          <w:tcPr>
            <w:tcW w:w="871" w:type="dxa"/>
            <w:vAlign w:val="center"/>
          </w:tcPr>
          <w:p w14:paraId="2C138A0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1210" w:type="dxa"/>
            <w:vAlign w:val="center"/>
          </w:tcPr>
          <w:p w14:paraId="04A41AE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26A98F6D"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«Федеральная сетевая компания – Россети»</w:t>
            </w:r>
          </w:p>
        </w:tc>
        <w:tc>
          <w:tcPr>
            <w:tcW w:w="3515" w:type="dxa"/>
            <w:vAlign w:val="center"/>
          </w:tcPr>
          <w:p w14:paraId="51F00B3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Первый заместитель начальника Департамента экономического планирования и тарифообразования, Первый заместитель начальника Департамента экономики</w:t>
            </w:r>
          </w:p>
        </w:tc>
      </w:tr>
      <w:tr w:rsidR="002449C2" w14:paraId="4965FE93" w14:textId="77777777" w:rsidTr="00971F93">
        <w:trPr>
          <w:trHeight w:val="20"/>
        </w:trPr>
        <w:tc>
          <w:tcPr>
            <w:tcW w:w="871" w:type="dxa"/>
            <w:vAlign w:val="center"/>
          </w:tcPr>
          <w:p w14:paraId="4D180CB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2019</w:t>
            </w:r>
          </w:p>
        </w:tc>
        <w:tc>
          <w:tcPr>
            <w:tcW w:w="1210" w:type="dxa"/>
            <w:vAlign w:val="center"/>
          </w:tcPr>
          <w:p w14:paraId="2EAC48E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3732" w:type="dxa"/>
            <w:gridSpan w:val="2"/>
            <w:vAlign w:val="center"/>
          </w:tcPr>
          <w:p w14:paraId="2276BB3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«Сибирь»</w:t>
            </w:r>
          </w:p>
        </w:tc>
        <w:tc>
          <w:tcPr>
            <w:tcW w:w="3515" w:type="dxa"/>
            <w:vAlign w:val="center"/>
          </w:tcPr>
          <w:p w14:paraId="3FF8DDE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21877E6C" w14:textId="77777777" w:rsidTr="00971F93">
        <w:trPr>
          <w:trHeight w:val="20"/>
        </w:trPr>
        <w:tc>
          <w:tcPr>
            <w:tcW w:w="871" w:type="dxa"/>
            <w:vAlign w:val="center"/>
          </w:tcPr>
          <w:p w14:paraId="68E4197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2019</w:t>
            </w:r>
          </w:p>
        </w:tc>
        <w:tc>
          <w:tcPr>
            <w:tcW w:w="1210" w:type="dxa"/>
            <w:vAlign w:val="center"/>
          </w:tcPr>
          <w:p w14:paraId="11B15EF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3732" w:type="dxa"/>
            <w:gridSpan w:val="2"/>
            <w:vAlign w:val="center"/>
          </w:tcPr>
          <w:p w14:paraId="5C9606A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«Федеральный испытательный центр»</w:t>
            </w:r>
          </w:p>
        </w:tc>
        <w:tc>
          <w:tcPr>
            <w:tcW w:w="3515" w:type="dxa"/>
            <w:vAlign w:val="center"/>
          </w:tcPr>
          <w:p w14:paraId="028ACA8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778584DF" w14:textId="77777777" w:rsidTr="00971F93">
        <w:trPr>
          <w:trHeight w:val="20"/>
        </w:trPr>
        <w:tc>
          <w:tcPr>
            <w:tcW w:w="871" w:type="dxa"/>
            <w:vAlign w:val="center"/>
          </w:tcPr>
          <w:p w14:paraId="6609BA9E"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2020</w:t>
            </w:r>
          </w:p>
        </w:tc>
        <w:tc>
          <w:tcPr>
            <w:tcW w:w="1210" w:type="dxa"/>
            <w:vAlign w:val="center"/>
          </w:tcPr>
          <w:p w14:paraId="1E4937E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3732" w:type="dxa"/>
            <w:gridSpan w:val="2"/>
            <w:vAlign w:val="center"/>
          </w:tcPr>
          <w:p w14:paraId="79F1B5E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Волга»</w:t>
            </w:r>
          </w:p>
        </w:tc>
        <w:tc>
          <w:tcPr>
            <w:tcW w:w="3515" w:type="dxa"/>
            <w:vAlign w:val="center"/>
          </w:tcPr>
          <w:p w14:paraId="48DD940D"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54546551" w14:textId="77777777" w:rsidTr="00971F93">
        <w:trPr>
          <w:trHeight w:val="20"/>
        </w:trPr>
        <w:tc>
          <w:tcPr>
            <w:tcW w:w="871" w:type="dxa"/>
            <w:vAlign w:val="center"/>
          </w:tcPr>
          <w:p w14:paraId="58474A2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2020</w:t>
            </w:r>
          </w:p>
        </w:tc>
        <w:tc>
          <w:tcPr>
            <w:tcW w:w="1210" w:type="dxa"/>
            <w:vAlign w:val="center"/>
          </w:tcPr>
          <w:p w14:paraId="41F4D72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3732" w:type="dxa"/>
            <w:gridSpan w:val="2"/>
            <w:vAlign w:val="center"/>
          </w:tcPr>
          <w:p w14:paraId="68EE6E8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«Кубанские магистральные сети»</w:t>
            </w:r>
          </w:p>
        </w:tc>
        <w:tc>
          <w:tcPr>
            <w:tcW w:w="3515" w:type="dxa"/>
            <w:vAlign w:val="center"/>
          </w:tcPr>
          <w:p w14:paraId="1E12DA7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3D93D489" w14:textId="77777777" w:rsidTr="00971F93">
        <w:trPr>
          <w:trHeight w:val="20"/>
        </w:trPr>
        <w:tc>
          <w:tcPr>
            <w:tcW w:w="871" w:type="dxa"/>
            <w:vAlign w:val="center"/>
          </w:tcPr>
          <w:p w14:paraId="44BFBCF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1210" w:type="dxa"/>
            <w:vAlign w:val="center"/>
          </w:tcPr>
          <w:p w14:paraId="0AC09F0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1AA1A6D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Северный Кавказ»</w:t>
            </w:r>
          </w:p>
        </w:tc>
        <w:tc>
          <w:tcPr>
            <w:tcW w:w="3515" w:type="dxa"/>
            <w:vAlign w:val="center"/>
          </w:tcPr>
          <w:p w14:paraId="468A2AA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45A9C2F3" w14:textId="77777777" w:rsidTr="00971F93">
        <w:trPr>
          <w:trHeight w:val="463"/>
        </w:trPr>
        <w:tc>
          <w:tcPr>
            <w:tcW w:w="871" w:type="dxa"/>
            <w:vAlign w:val="center"/>
          </w:tcPr>
          <w:p w14:paraId="6B4D739E"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1210" w:type="dxa"/>
            <w:vAlign w:val="center"/>
          </w:tcPr>
          <w:p w14:paraId="15596B2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2270D9FD"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«Россети Янтарь»</w:t>
            </w:r>
          </w:p>
        </w:tc>
        <w:tc>
          <w:tcPr>
            <w:tcW w:w="3515" w:type="dxa"/>
            <w:vAlign w:val="center"/>
          </w:tcPr>
          <w:p w14:paraId="5E678D6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528F9BBF" w14:textId="77777777" w:rsidTr="00971F93">
        <w:trPr>
          <w:trHeight w:val="20"/>
        </w:trPr>
        <w:tc>
          <w:tcPr>
            <w:tcW w:w="871" w:type="dxa"/>
            <w:vAlign w:val="center"/>
          </w:tcPr>
          <w:p w14:paraId="1CA8C62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1210" w:type="dxa"/>
            <w:vAlign w:val="center"/>
          </w:tcPr>
          <w:p w14:paraId="11C5E8B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707E3AB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«Недвижимость ИЦ ЕЭС»</w:t>
            </w:r>
          </w:p>
        </w:tc>
        <w:tc>
          <w:tcPr>
            <w:tcW w:w="3515" w:type="dxa"/>
            <w:vAlign w:val="center"/>
          </w:tcPr>
          <w:p w14:paraId="359FE7E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1273B31A" w14:textId="77777777" w:rsidTr="00971F93">
        <w:trPr>
          <w:trHeight w:val="20"/>
        </w:trPr>
        <w:tc>
          <w:tcPr>
            <w:tcW w:w="871" w:type="dxa"/>
            <w:vAlign w:val="center"/>
          </w:tcPr>
          <w:p w14:paraId="6A56D5A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1210" w:type="dxa"/>
            <w:vAlign w:val="center"/>
          </w:tcPr>
          <w:p w14:paraId="204EB39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064C9ED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Юг»</w:t>
            </w:r>
          </w:p>
        </w:tc>
        <w:tc>
          <w:tcPr>
            <w:tcW w:w="3515" w:type="dxa"/>
            <w:vAlign w:val="center"/>
          </w:tcPr>
          <w:p w14:paraId="4476890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640E8218" w14:textId="77777777" w:rsidTr="00971F93">
        <w:trPr>
          <w:trHeight w:val="20"/>
        </w:trPr>
        <w:tc>
          <w:tcPr>
            <w:tcW w:w="871" w:type="dxa"/>
            <w:vAlign w:val="center"/>
          </w:tcPr>
          <w:p w14:paraId="7BAAB2F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1210" w:type="dxa"/>
            <w:vAlign w:val="center"/>
          </w:tcPr>
          <w:p w14:paraId="5EA0118E"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2024</w:t>
            </w:r>
          </w:p>
        </w:tc>
        <w:tc>
          <w:tcPr>
            <w:tcW w:w="3732" w:type="dxa"/>
            <w:gridSpan w:val="2"/>
            <w:vAlign w:val="center"/>
          </w:tcPr>
          <w:p w14:paraId="3DCE696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Северо-Запад»</w:t>
            </w:r>
          </w:p>
        </w:tc>
        <w:tc>
          <w:tcPr>
            <w:tcW w:w="3515" w:type="dxa"/>
            <w:vAlign w:val="center"/>
          </w:tcPr>
          <w:p w14:paraId="32AE4EB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61D6B23B" w14:textId="77777777" w:rsidTr="00971F93">
        <w:trPr>
          <w:trHeight w:val="20"/>
        </w:trPr>
        <w:tc>
          <w:tcPr>
            <w:tcW w:w="5813" w:type="dxa"/>
            <w:gridSpan w:val="4"/>
            <w:vAlign w:val="center"/>
          </w:tcPr>
          <w:p w14:paraId="1BA1B4B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Дата первого избрания в состав Совета директоров Общества</w:t>
            </w:r>
          </w:p>
        </w:tc>
        <w:tc>
          <w:tcPr>
            <w:tcW w:w="3515" w:type="dxa"/>
            <w:vAlign w:val="center"/>
          </w:tcPr>
          <w:p w14:paraId="259F0D8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09.06.2023</w:t>
            </w:r>
          </w:p>
        </w:tc>
      </w:tr>
    </w:tbl>
    <w:p w14:paraId="04807880" w14:textId="77777777" w:rsidR="002449C2" w:rsidRDefault="002449C2">
      <w:pPr>
        <w:spacing w:after="160" w:line="259" w:lineRule="auto"/>
        <w:rPr>
          <w:rFonts w:ascii="Times New Roman" w:hAnsi="Times New Roman"/>
        </w:rPr>
      </w:pPr>
    </w:p>
    <w:p w14:paraId="4F9B6BAA" w14:textId="77777777" w:rsidR="002449C2" w:rsidRDefault="00123961">
      <w:pPr>
        <w:spacing w:after="160" w:line="259" w:lineRule="auto"/>
        <w:ind w:left="142"/>
        <w:rPr>
          <w:rFonts w:ascii="Times New Roman" w:hAnsi="Times New Roman"/>
          <w:b/>
          <w:sz w:val="26"/>
          <w:szCs w:val="26"/>
        </w:rPr>
      </w:pPr>
      <w:r>
        <w:rPr>
          <w:rFonts w:ascii="Times New Roman" w:eastAsia="Times New Roman" w:hAnsi="Times New Roman"/>
          <w:b/>
          <w:bCs/>
          <w:sz w:val="26"/>
          <w:szCs w:val="26"/>
          <w:lang w:eastAsia="en-US"/>
        </w:rPr>
        <w:t>Тихонова Мария Геннадьевна</w:t>
      </w:r>
      <w:r>
        <w:rPr>
          <w:rFonts w:ascii="Times New Roman" w:eastAsia="Times New Roman" w:hAnsi="Times New Roman"/>
          <w:b/>
          <w:sz w:val="26"/>
          <w:szCs w:val="26"/>
          <w:lang w:eastAsia="en-US"/>
        </w:rPr>
        <w:t xml:space="preserve">  </w:t>
      </w:r>
    </w:p>
    <w:tbl>
      <w:tblPr>
        <w:tblW w:w="932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1"/>
        <w:gridCol w:w="1210"/>
        <w:gridCol w:w="2347"/>
        <w:gridCol w:w="1385"/>
        <w:gridCol w:w="3515"/>
      </w:tblGrid>
      <w:tr w:rsidR="002449C2" w14:paraId="3CF1E30C" w14:textId="77777777" w:rsidTr="00971F93">
        <w:trPr>
          <w:trHeight w:val="20"/>
        </w:trPr>
        <w:tc>
          <w:tcPr>
            <w:tcW w:w="9328" w:type="dxa"/>
            <w:gridSpan w:val="5"/>
            <w:vAlign w:val="center"/>
          </w:tcPr>
          <w:p w14:paraId="187E363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Общая информация о члене Совета директоров ПАО «Россети Юг»</w:t>
            </w:r>
          </w:p>
        </w:tc>
      </w:tr>
      <w:tr w:rsidR="00971F93" w14:paraId="0783B429" w14:textId="77777777" w:rsidTr="00E50F6F">
        <w:trPr>
          <w:trHeight w:val="20"/>
        </w:trPr>
        <w:tc>
          <w:tcPr>
            <w:tcW w:w="4428" w:type="dxa"/>
            <w:gridSpan w:val="3"/>
            <w:vAlign w:val="center"/>
          </w:tcPr>
          <w:p w14:paraId="26A016C2" w14:textId="77777777" w:rsidR="00971F93" w:rsidRDefault="00971F9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Год рождения</w:t>
            </w:r>
          </w:p>
        </w:tc>
        <w:tc>
          <w:tcPr>
            <w:tcW w:w="4900" w:type="dxa"/>
            <w:gridSpan w:val="2"/>
            <w:vAlign w:val="center"/>
          </w:tcPr>
          <w:p w14:paraId="1B7F8E53" w14:textId="2A8A6342" w:rsidR="00971F93" w:rsidRDefault="00971F93">
            <w:r>
              <w:rPr>
                <w:rFonts w:ascii="Times New Roman" w:eastAsia="Times New Roman" w:hAnsi="Times New Roman"/>
                <w:color w:val="000000"/>
                <w:sz w:val="20"/>
                <w:szCs w:val="20"/>
                <w:lang w:eastAsia="ru-RU"/>
              </w:rPr>
              <w:t>1980</w:t>
            </w:r>
          </w:p>
        </w:tc>
      </w:tr>
      <w:tr w:rsidR="00971F93" w14:paraId="2C9E7AF4" w14:textId="77777777" w:rsidTr="00E50F6F">
        <w:trPr>
          <w:trHeight w:val="435"/>
        </w:trPr>
        <w:tc>
          <w:tcPr>
            <w:tcW w:w="4428" w:type="dxa"/>
            <w:gridSpan w:val="3"/>
            <w:vAlign w:val="center"/>
          </w:tcPr>
          <w:p w14:paraId="62A35099" w14:textId="77777777" w:rsidR="00971F93" w:rsidRDefault="00971F9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Сведения об образовании</w:t>
            </w:r>
          </w:p>
          <w:p w14:paraId="2E57F744" w14:textId="77777777" w:rsidR="00971F93" w:rsidRDefault="00971F9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(год, университет, квалификация, специальность)</w:t>
            </w:r>
          </w:p>
        </w:tc>
        <w:tc>
          <w:tcPr>
            <w:tcW w:w="4900" w:type="dxa"/>
            <w:gridSpan w:val="2"/>
            <w:vAlign w:val="center"/>
          </w:tcPr>
          <w:p w14:paraId="6984944F" w14:textId="77777777" w:rsidR="00971F93" w:rsidRDefault="00971F9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Высшее.</w:t>
            </w:r>
          </w:p>
          <w:p w14:paraId="1E3A7DE8" w14:textId="77777777" w:rsidR="00971F93" w:rsidRDefault="00971F9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2002, Волго-Вятская академия государственной службы, специальность «Государственное и муниципальное управление».</w:t>
            </w:r>
          </w:p>
          <w:p w14:paraId="1242ED83" w14:textId="44FCF3A4" w:rsidR="00971F93" w:rsidRDefault="00971F93">
            <w:r>
              <w:rPr>
                <w:rFonts w:ascii="Times New Roman" w:eastAsia="Times New Roman" w:hAnsi="Times New Roman"/>
                <w:sz w:val="20"/>
                <w:szCs w:val="20"/>
                <w:lang w:eastAsia="ru-RU"/>
              </w:rPr>
              <w:t>Ученая степень: кандидат экономических наук.</w:t>
            </w:r>
          </w:p>
        </w:tc>
      </w:tr>
      <w:tr w:rsidR="00971F93" w14:paraId="22A5B50C" w14:textId="77777777" w:rsidTr="00E50F6F">
        <w:trPr>
          <w:trHeight w:val="20"/>
        </w:trPr>
        <w:tc>
          <w:tcPr>
            <w:tcW w:w="4428" w:type="dxa"/>
            <w:gridSpan w:val="3"/>
            <w:vAlign w:val="center"/>
          </w:tcPr>
          <w:p w14:paraId="56DFBD9A" w14:textId="77777777" w:rsidR="00971F93" w:rsidRDefault="00971F93">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Основное место работы, должность</w:t>
            </w:r>
          </w:p>
        </w:tc>
        <w:tc>
          <w:tcPr>
            <w:tcW w:w="4900" w:type="dxa"/>
            <w:gridSpan w:val="2"/>
            <w:vAlign w:val="center"/>
          </w:tcPr>
          <w:p w14:paraId="368B8CCF" w14:textId="2AB819D2" w:rsidR="00971F93" w:rsidRDefault="00971F93">
            <w:r>
              <w:rPr>
                <w:rFonts w:ascii="Times New Roman" w:eastAsia="Times New Roman" w:hAnsi="Times New Roman"/>
                <w:bCs/>
                <w:color w:val="000000"/>
                <w:sz w:val="20"/>
                <w:szCs w:val="20"/>
                <w:lang w:eastAsia="ru-RU"/>
              </w:rPr>
              <w:t>ПАО «Россети», Заместитель Генерального директора по корпоративному управлению</w:t>
            </w:r>
          </w:p>
        </w:tc>
      </w:tr>
      <w:tr w:rsidR="002449C2" w14:paraId="2D7FB279" w14:textId="77777777" w:rsidTr="00971F93">
        <w:trPr>
          <w:trHeight w:val="20"/>
        </w:trPr>
        <w:tc>
          <w:tcPr>
            <w:tcW w:w="9328" w:type="dxa"/>
            <w:gridSpan w:val="5"/>
            <w:vAlign w:val="center"/>
          </w:tcPr>
          <w:p w14:paraId="4A1F4AA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Участие в органах управления и контроля</w:t>
            </w:r>
          </w:p>
        </w:tc>
      </w:tr>
      <w:tr w:rsidR="002449C2" w14:paraId="63B05FDD" w14:textId="77777777" w:rsidTr="00971F93">
        <w:trPr>
          <w:trHeight w:val="20"/>
        </w:trPr>
        <w:tc>
          <w:tcPr>
            <w:tcW w:w="2081" w:type="dxa"/>
            <w:gridSpan w:val="2"/>
            <w:vAlign w:val="center"/>
          </w:tcPr>
          <w:p w14:paraId="16EEA29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Период</w:t>
            </w:r>
          </w:p>
        </w:tc>
        <w:tc>
          <w:tcPr>
            <w:tcW w:w="3732" w:type="dxa"/>
            <w:gridSpan w:val="2"/>
            <w:vMerge w:val="restart"/>
            <w:vAlign w:val="center"/>
          </w:tcPr>
          <w:p w14:paraId="5BDFBA5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Наименование организации</w:t>
            </w:r>
          </w:p>
        </w:tc>
        <w:tc>
          <w:tcPr>
            <w:tcW w:w="3515" w:type="dxa"/>
            <w:vMerge w:val="restart"/>
            <w:vAlign w:val="center"/>
          </w:tcPr>
          <w:p w14:paraId="30FC8CC0"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Должность</w:t>
            </w:r>
          </w:p>
        </w:tc>
      </w:tr>
      <w:tr w:rsidR="002449C2" w14:paraId="787E7795" w14:textId="77777777" w:rsidTr="00971F93">
        <w:trPr>
          <w:trHeight w:val="20"/>
        </w:trPr>
        <w:tc>
          <w:tcPr>
            <w:tcW w:w="871" w:type="dxa"/>
            <w:vAlign w:val="center"/>
          </w:tcPr>
          <w:p w14:paraId="005A916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с</w:t>
            </w:r>
          </w:p>
        </w:tc>
        <w:tc>
          <w:tcPr>
            <w:tcW w:w="1210" w:type="dxa"/>
            <w:vAlign w:val="center"/>
          </w:tcPr>
          <w:p w14:paraId="2D8805E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по</w:t>
            </w:r>
          </w:p>
        </w:tc>
        <w:tc>
          <w:tcPr>
            <w:tcW w:w="3732" w:type="dxa"/>
            <w:gridSpan w:val="2"/>
            <w:vMerge/>
            <w:vAlign w:val="center"/>
          </w:tcPr>
          <w:p w14:paraId="5656B287" w14:textId="77777777" w:rsidR="002449C2" w:rsidRDefault="002449C2">
            <w:pPr>
              <w:spacing w:after="0" w:line="240" w:lineRule="auto"/>
              <w:jc w:val="both"/>
              <w:rPr>
                <w:rFonts w:ascii="Times New Roman" w:eastAsia="Times New Roman" w:hAnsi="Times New Roman"/>
                <w:color w:val="000000"/>
                <w:sz w:val="20"/>
                <w:szCs w:val="20"/>
                <w:lang w:eastAsia="ru-RU"/>
              </w:rPr>
            </w:pPr>
          </w:p>
        </w:tc>
        <w:tc>
          <w:tcPr>
            <w:tcW w:w="3515" w:type="dxa"/>
            <w:vMerge/>
            <w:vAlign w:val="center"/>
          </w:tcPr>
          <w:p w14:paraId="570BBDD5" w14:textId="77777777" w:rsidR="002449C2" w:rsidRDefault="002449C2">
            <w:pPr>
              <w:spacing w:after="0" w:line="240" w:lineRule="auto"/>
              <w:jc w:val="both"/>
              <w:rPr>
                <w:rFonts w:ascii="Times New Roman" w:eastAsia="Times New Roman" w:hAnsi="Times New Roman"/>
                <w:color w:val="000000"/>
                <w:sz w:val="20"/>
                <w:szCs w:val="20"/>
                <w:lang w:eastAsia="ru-RU"/>
              </w:rPr>
            </w:pPr>
          </w:p>
        </w:tc>
      </w:tr>
      <w:tr w:rsidR="002449C2" w14:paraId="42A9DA19" w14:textId="77777777" w:rsidTr="00971F93">
        <w:trPr>
          <w:trHeight w:val="20"/>
        </w:trPr>
        <w:tc>
          <w:tcPr>
            <w:tcW w:w="871" w:type="dxa"/>
            <w:vAlign w:val="center"/>
          </w:tcPr>
          <w:p w14:paraId="26BE7BD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2013</w:t>
            </w:r>
          </w:p>
        </w:tc>
        <w:tc>
          <w:tcPr>
            <w:tcW w:w="1210" w:type="dxa"/>
            <w:vAlign w:val="center"/>
          </w:tcPr>
          <w:p w14:paraId="74A2233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2020</w:t>
            </w:r>
          </w:p>
        </w:tc>
        <w:tc>
          <w:tcPr>
            <w:tcW w:w="3732" w:type="dxa"/>
            <w:gridSpan w:val="2"/>
            <w:vAlign w:val="center"/>
          </w:tcPr>
          <w:p w14:paraId="0B2F2BE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«Федеральная сетевая компания Единой энергетической системы»</w:t>
            </w:r>
          </w:p>
        </w:tc>
        <w:tc>
          <w:tcPr>
            <w:tcW w:w="3515" w:type="dxa"/>
            <w:vAlign w:val="center"/>
          </w:tcPr>
          <w:p w14:paraId="2BB4659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Правления</w:t>
            </w:r>
          </w:p>
        </w:tc>
      </w:tr>
      <w:tr w:rsidR="002449C2" w14:paraId="76F683AD" w14:textId="77777777" w:rsidTr="00971F93">
        <w:trPr>
          <w:trHeight w:val="20"/>
        </w:trPr>
        <w:tc>
          <w:tcPr>
            <w:tcW w:w="871" w:type="dxa"/>
            <w:vAlign w:val="center"/>
          </w:tcPr>
          <w:p w14:paraId="0920CA2D"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2020</w:t>
            </w:r>
          </w:p>
        </w:tc>
        <w:tc>
          <w:tcPr>
            <w:tcW w:w="1210" w:type="dxa"/>
            <w:vAlign w:val="center"/>
          </w:tcPr>
          <w:p w14:paraId="49F8D2B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3732" w:type="dxa"/>
            <w:gridSpan w:val="2"/>
            <w:vAlign w:val="center"/>
          </w:tcPr>
          <w:p w14:paraId="69B7F94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«Российские сети»</w:t>
            </w:r>
          </w:p>
        </w:tc>
        <w:tc>
          <w:tcPr>
            <w:tcW w:w="3515" w:type="dxa"/>
            <w:vAlign w:val="center"/>
          </w:tcPr>
          <w:p w14:paraId="51E2702E"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Заместитель Генерального директора по корпоративному управлению (по совместительству)</w:t>
            </w:r>
          </w:p>
        </w:tc>
      </w:tr>
      <w:tr w:rsidR="002449C2" w14:paraId="2A2B8D28" w14:textId="77777777" w:rsidTr="00971F93">
        <w:trPr>
          <w:trHeight w:val="20"/>
        </w:trPr>
        <w:tc>
          <w:tcPr>
            <w:tcW w:w="871" w:type="dxa"/>
            <w:vAlign w:val="center"/>
          </w:tcPr>
          <w:p w14:paraId="6A26846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2013</w:t>
            </w:r>
          </w:p>
        </w:tc>
        <w:tc>
          <w:tcPr>
            <w:tcW w:w="1210" w:type="dxa"/>
            <w:vAlign w:val="center"/>
          </w:tcPr>
          <w:p w14:paraId="62B317B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0BA2E58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«Федеральная сетевая компания – Россети»</w:t>
            </w:r>
          </w:p>
        </w:tc>
        <w:tc>
          <w:tcPr>
            <w:tcW w:w="3515" w:type="dxa"/>
            <w:vAlign w:val="center"/>
          </w:tcPr>
          <w:p w14:paraId="034C88D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Заместитель Генерального директора по корпоративному управлению</w:t>
            </w:r>
          </w:p>
        </w:tc>
      </w:tr>
      <w:tr w:rsidR="002449C2" w14:paraId="2472B3A7" w14:textId="77777777" w:rsidTr="00971F93">
        <w:trPr>
          <w:trHeight w:val="20"/>
        </w:trPr>
        <w:tc>
          <w:tcPr>
            <w:tcW w:w="871" w:type="dxa"/>
            <w:vAlign w:val="center"/>
          </w:tcPr>
          <w:p w14:paraId="63D30F9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2018</w:t>
            </w:r>
          </w:p>
        </w:tc>
        <w:tc>
          <w:tcPr>
            <w:tcW w:w="1210" w:type="dxa"/>
            <w:vAlign w:val="center"/>
          </w:tcPr>
          <w:p w14:paraId="3309554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2019</w:t>
            </w:r>
          </w:p>
        </w:tc>
        <w:tc>
          <w:tcPr>
            <w:tcW w:w="3732" w:type="dxa"/>
            <w:gridSpan w:val="2"/>
            <w:vAlign w:val="center"/>
          </w:tcPr>
          <w:p w14:paraId="0819DE6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«Дальневосточная энергетическая управляющая компания»</w:t>
            </w:r>
          </w:p>
        </w:tc>
        <w:tc>
          <w:tcPr>
            <w:tcW w:w="3515" w:type="dxa"/>
            <w:vAlign w:val="center"/>
          </w:tcPr>
          <w:p w14:paraId="6375420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06A28076" w14:textId="77777777" w:rsidTr="00971F93">
        <w:trPr>
          <w:trHeight w:val="20"/>
        </w:trPr>
        <w:tc>
          <w:tcPr>
            <w:tcW w:w="871" w:type="dxa"/>
            <w:vAlign w:val="center"/>
          </w:tcPr>
          <w:p w14:paraId="5F62CE7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2019</w:t>
            </w:r>
          </w:p>
        </w:tc>
        <w:tc>
          <w:tcPr>
            <w:tcW w:w="1210" w:type="dxa"/>
            <w:vAlign w:val="center"/>
          </w:tcPr>
          <w:p w14:paraId="6C98231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2020</w:t>
            </w:r>
          </w:p>
        </w:tc>
        <w:tc>
          <w:tcPr>
            <w:tcW w:w="3732" w:type="dxa"/>
            <w:gridSpan w:val="2"/>
            <w:vAlign w:val="center"/>
          </w:tcPr>
          <w:p w14:paraId="2387247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«Электромагистраль»</w:t>
            </w:r>
          </w:p>
        </w:tc>
        <w:tc>
          <w:tcPr>
            <w:tcW w:w="3515" w:type="dxa"/>
            <w:vAlign w:val="center"/>
          </w:tcPr>
          <w:p w14:paraId="128EAD7E"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33448885" w14:textId="77777777" w:rsidTr="00971F93">
        <w:trPr>
          <w:trHeight w:val="20"/>
        </w:trPr>
        <w:tc>
          <w:tcPr>
            <w:tcW w:w="871" w:type="dxa"/>
            <w:vAlign w:val="center"/>
          </w:tcPr>
          <w:p w14:paraId="2326DF7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2558E08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3732" w:type="dxa"/>
            <w:gridSpan w:val="2"/>
            <w:vAlign w:val="center"/>
          </w:tcPr>
          <w:p w14:paraId="5DAB841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Кубань»</w:t>
            </w:r>
          </w:p>
        </w:tc>
        <w:tc>
          <w:tcPr>
            <w:tcW w:w="3515" w:type="dxa"/>
            <w:vAlign w:val="center"/>
          </w:tcPr>
          <w:p w14:paraId="17F87F9E"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2FA6BF95" w14:textId="77777777" w:rsidTr="00971F93">
        <w:trPr>
          <w:trHeight w:val="507"/>
        </w:trPr>
        <w:tc>
          <w:tcPr>
            <w:tcW w:w="871" w:type="dxa"/>
            <w:vAlign w:val="center"/>
          </w:tcPr>
          <w:p w14:paraId="6736320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252A1CF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3732" w:type="dxa"/>
            <w:gridSpan w:val="2"/>
            <w:vAlign w:val="center"/>
          </w:tcPr>
          <w:p w14:paraId="5BA63B8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«Россети Янтарь»</w:t>
            </w:r>
          </w:p>
        </w:tc>
        <w:tc>
          <w:tcPr>
            <w:tcW w:w="3515" w:type="dxa"/>
            <w:vAlign w:val="center"/>
          </w:tcPr>
          <w:p w14:paraId="1347417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585A9017" w14:textId="77777777" w:rsidTr="00971F93">
        <w:trPr>
          <w:trHeight w:val="20"/>
        </w:trPr>
        <w:tc>
          <w:tcPr>
            <w:tcW w:w="871" w:type="dxa"/>
            <w:vAlign w:val="center"/>
          </w:tcPr>
          <w:p w14:paraId="2B1072B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310D000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3732" w:type="dxa"/>
            <w:gridSpan w:val="2"/>
            <w:vAlign w:val="center"/>
          </w:tcPr>
          <w:p w14:paraId="5AC65BC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«Группа компаний «ТНС энерго»</w:t>
            </w:r>
          </w:p>
        </w:tc>
        <w:tc>
          <w:tcPr>
            <w:tcW w:w="3515" w:type="dxa"/>
            <w:vAlign w:val="center"/>
          </w:tcPr>
          <w:p w14:paraId="06BB3E8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2111ADB5" w14:textId="77777777" w:rsidTr="00971F93">
        <w:trPr>
          <w:trHeight w:val="20"/>
        </w:trPr>
        <w:tc>
          <w:tcPr>
            <w:tcW w:w="871" w:type="dxa"/>
            <w:vAlign w:val="center"/>
          </w:tcPr>
          <w:p w14:paraId="2556B46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0A537211"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3E4BB4D1"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«Дальневосточная энергетическая управляющая компания – ЕНЭС»</w:t>
            </w:r>
          </w:p>
        </w:tc>
        <w:tc>
          <w:tcPr>
            <w:tcW w:w="3515" w:type="dxa"/>
            <w:vAlign w:val="center"/>
          </w:tcPr>
          <w:p w14:paraId="79648A11"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1F63D542" w14:textId="77777777" w:rsidTr="00971F93">
        <w:trPr>
          <w:trHeight w:val="20"/>
        </w:trPr>
        <w:tc>
          <w:tcPr>
            <w:tcW w:w="871" w:type="dxa"/>
            <w:vAlign w:val="center"/>
          </w:tcPr>
          <w:p w14:paraId="3E41B23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795F1AC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50926D7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Сибирь»</w:t>
            </w:r>
          </w:p>
        </w:tc>
        <w:tc>
          <w:tcPr>
            <w:tcW w:w="3515" w:type="dxa"/>
            <w:vAlign w:val="center"/>
          </w:tcPr>
          <w:p w14:paraId="1C7DC10D"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 Председатель Совета директоров</w:t>
            </w:r>
          </w:p>
        </w:tc>
      </w:tr>
      <w:tr w:rsidR="002449C2" w14:paraId="78001BAB" w14:textId="77777777" w:rsidTr="00971F93">
        <w:trPr>
          <w:trHeight w:val="20"/>
        </w:trPr>
        <w:tc>
          <w:tcPr>
            <w:tcW w:w="871" w:type="dxa"/>
            <w:vAlign w:val="center"/>
          </w:tcPr>
          <w:p w14:paraId="53F90E0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149C269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4580647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«Россети Сибирь Тываэнерго»</w:t>
            </w:r>
          </w:p>
        </w:tc>
        <w:tc>
          <w:tcPr>
            <w:tcW w:w="3515" w:type="dxa"/>
            <w:vAlign w:val="center"/>
          </w:tcPr>
          <w:p w14:paraId="699AF04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 Председатель Совета директоров</w:t>
            </w:r>
          </w:p>
        </w:tc>
      </w:tr>
      <w:tr w:rsidR="002449C2" w14:paraId="380F2EA4" w14:textId="77777777" w:rsidTr="00971F93">
        <w:trPr>
          <w:trHeight w:val="20"/>
        </w:trPr>
        <w:tc>
          <w:tcPr>
            <w:tcW w:w="871" w:type="dxa"/>
            <w:vAlign w:val="center"/>
          </w:tcPr>
          <w:p w14:paraId="37326D7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249DB83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51B0A48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«Томская распределительная компания»</w:t>
            </w:r>
          </w:p>
        </w:tc>
        <w:tc>
          <w:tcPr>
            <w:tcW w:w="3515" w:type="dxa"/>
            <w:vAlign w:val="center"/>
          </w:tcPr>
          <w:p w14:paraId="00A43EF0"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 Председатель Совета директоров</w:t>
            </w:r>
          </w:p>
        </w:tc>
      </w:tr>
      <w:tr w:rsidR="002449C2" w14:paraId="7E87BAEF" w14:textId="77777777" w:rsidTr="00971F93">
        <w:trPr>
          <w:trHeight w:val="20"/>
        </w:trPr>
        <w:tc>
          <w:tcPr>
            <w:tcW w:w="871" w:type="dxa"/>
            <w:vAlign w:val="center"/>
          </w:tcPr>
          <w:p w14:paraId="397D1EE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101824C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094755A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Урал»</w:t>
            </w:r>
          </w:p>
        </w:tc>
        <w:tc>
          <w:tcPr>
            <w:tcW w:w="3515" w:type="dxa"/>
            <w:vAlign w:val="center"/>
          </w:tcPr>
          <w:p w14:paraId="10AE01C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2166E2BF" w14:textId="77777777" w:rsidTr="00971F93">
        <w:trPr>
          <w:trHeight w:val="20"/>
        </w:trPr>
        <w:tc>
          <w:tcPr>
            <w:tcW w:w="871" w:type="dxa"/>
            <w:vAlign w:val="center"/>
          </w:tcPr>
          <w:p w14:paraId="381B5C2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0CAA6131"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7F5F4A4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Волга»</w:t>
            </w:r>
          </w:p>
        </w:tc>
        <w:tc>
          <w:tcPr>
            <w:tcW w:w="3515" w:type="dxa"/>
            <w:vAlign w:val="center"/>
          </w:tcPr>
          <w:p w14:paraId="05B239F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6D0EFC5B" w14:textId="77777777" w:rsidTr="00971F93">
        <w:trPr>
          <w:trHeight w:val="410"/>
        </w:trPr>
        <w:tc>
          <w:tcPr>
            <w:tcW w:w="871" w:type="dxa"/>
            <w:vAlign w:val="center"/>
          </w:tcPr>
          <w:p w14:paraId="0315725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68D0028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0EFD616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«Россети Тюмень»</w:t>
            </w:r>
          </w:p>
        </w:tc>
        <w:tc>
          <w:tcPr>
            <w:tcW w:w="3515" w:type="dxa"/>
            <w:vAlign w:val="center"/>
          </w:tcPr>
          <w:p w14:paraId="298EF9B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38E57D02" w14:textId="77777777" w:rsidTr="00971F93">
        <w:trPr>
          <w:trHeight w:val="20"/>
        </w:trPr>
        <w:tc>
          <w:tcPr>
            <w:tcW w:w="871" w:type="dxa"/>
            <w:vAlign w:val="center"/>
          </w:tcPr>
          <w:p w14:paraId="72F41A3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10" w:type="dxa"/>
            <w:vAlign w:val="center"/>
          </w:tcPr>
          <w:p w14:paraId="199E3381"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652AA40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«Недвижимость ИЦ ЕЭС»</w:t>
            </w:r>
          </w:p>
        </w:tc>
        <w:tc>
          <w:tcPr>
            <w:tcW w:w="3515" w:type="dxa"/>
            <w:vAlign w:val="center"/>
          </w:tcPr>
          <w:p w14:paraId="2FE32A9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50103752" w14:textId="77777777" w:rsidTr="00971F93">
        <w:trPr>
          <w:trHeight w:val="20"/>
        </w:trPr>
        <w:tc>
          <w:tcPr>
            <w:tcW w:w="871" w:type="dxa"/>
            <w:vAlign w:val="center"/>
          </w:tcPr>
          <w:p w14:paraId="56F9784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1210" w:type="dxa"/>
            <w:vAlign w:val="center"/>
          </w:tcPr>
          <w:p w14:paraId="3B87879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5968AEB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Юг»</w:t>
            </w:r>
          </w:p>
        </w:tc>
        <w:tc>
          <w:tcPr>
            <w:tcW w:w="3515" w:type="dxa"/>
            <w:vAlign w:val="center"/>
          </w:tcPr>
          <w:p w14:paraId="2003E260"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642D1E9F" w14:textId="77777777" w:rsidTr="00971F93">
        <w:trPr>
          <w:trHeight w:val="20"/>
        </w:trPr>
        <w:tc>
          <w:tcPr>
            <w:tcW w:w="871" w:type="dxa"/>
            <w:vAlign w:val="center"/>
          </w:tcPr>
          <w:p w14:paraId="1927125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1210" w:type="dxa"/>
            <w:vAlign w:val="center"/>
          </w:tcPr>
          <w:p w14:paraId="0AF76D60"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3732" w:type="dxa"/>
            <w:gridSpan w:val="2"/>
            <w:vAlign w:val="center"/>
          </w:tcPr>
          <w:p w14:paraId="512BA03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Московский регион»</w:t>
            </w:r>
          </w:p>
        </w:tc>
        <w:tc>
          <w:tcPr>
            <w:tcW w:w="3515" w:type="dxa"/>
            <w:vAlign w:val="center"/>
          </w:tcPr>
          <w:p w14:paraId="11AE3B7E"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5A43E352" w14:textId="77777777" w:rsidTr="00971F93">
        <w:trPr>
          <w:trHeight w:val="20"/>
        </w:trPr>
        <w:tc>
          <w:tcPr>
            <w:tcW w:w="871" w:type="dxa"/>
            <w:vAlign w:val="center"/>
          </w:tcPr>
          <w:p w14:paraId="31FCAF6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1210" w:type="dxa"/>
            <w:vAlign w:val="center"/>
          </w:tcPr>
          <w:p w14:paraId="45E1BCA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000E983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Северо-Запад»</w:t>
            </w:r>
          </w:p>
        </w:tc>
        <w:tc>
          <w:tcPr>
            <w:tcW w:w="3515" w:type="dxa"/>
            <w:vAlign w:val="center"/>
          </w:tcPr>
          <w:p w14:paraId="4AF2A8D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6DA31C2F" w14:textId="77777777" w:rsidTr="00971F93">
        <w:trPr>
          <w:trHeight w:val="20"/>
        </w:trPr>
        <w:tc>
          <w:tcPr>
            <w:tcW w:w="871" w:type="dxa"/>
            <w:vAlign w:val="center"/>
          </w:tcPr>
          <w:p w14:paraId="7974B680"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1210" w:type="dxa"/>
            <w:vAlign w:val="center"/>
          </w:tcPr>
          <w:p w14:paraId="0D8A340E"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09FBB1C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«Электромагистраль»</w:t>
            </w:r>
          </w:p>
        </w:tc>
        <w:tc>
          <w:tcPr>
            <w:tcW w:w="3515" w:type="dxa"/>
            <w:vAlign w:val="center"/>
          </w:tcPr>
          <w:p w14:paraId="17DF53E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600CE7FD" w14:textId="77777777" w:rsidTr="00971F93">
        <w:trPr>
          <w:trHeight w:val="20"/>
        </w:trPr>
        <w:tc>
          <w:tcPr>
            <w:tcW w:w="871" w:type="dxa"/>
            <w:vAlign w:val="center"/>
          </w:tcPr>
          <w:p w14:paraId="257D31A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2022</w:t>
            </w:r>
          </w:p>
        </w:tc>
        <w:tc>
          <w:tcPr>
            <w:tcW w:w="1210" w:type="dxa"/>
            <w:vAlign w:val="center"/>
          </w:tcPr>
          <w:p w14:paraId="4EE6DA2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732" w:type="dxa"/>
            <w:gridSpan w:val="2"/>
            <w:vAlign w:val="center"/>
          </w:tcPr>
          <w:p w14:paraId="094C58D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 xml:space="preserve">Акционерное </w:t>
            </w:r>
            <w:r>
              <w:rPr>
                <w:rFonts w:ascii="Times New Roman" w:eastAsia="Times New Roman" w:hAnsi="Times New Roman"/>
                <w:sz w:val="20"/>
                <w:szCs w:val="20"/>
                <w:lang w:eastAsia="ru-RU"/>
              </w:rPr>
              <w:t>общество «Региональные электрические сети»</w:t>
            </w:r>
          </w:p>
        </w:tc>
        <w:tc>
          <w:tcPr>
            <w:tcW w:w="3515" w:type="dxa"/>
            <w:vAlign w:val="center"/>
          </w:tcPr>
          <w:p w14:paraId="50F848C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162CF600" w14:textId="77777777" w:rsidTr="00971F93">
        <w:trPr>
          <w:trHeight w:val="20"/>
        </w:trPr>
        <w:tc>
          <w:tcPr>
            <w:tcW w:w="5813" w:type="dxa"/>
            <w:gridSpan w:val="4"/>
            <w:vAlign w:val="center"/>
          </w:tcPr>
          <w:p w14:paraId="6A2CABC0"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Дата первого избрания в состав Совета директоров Общества</w:t>
            </w:r>
          </w:p>
        </w:tc>
        <w:tc>
          <w:tcPr>
            <w:tcW w:w="3515" w:type="dxa"/>
            <w:vAlign w:val="center"/>
          </w:tcPr>
          <w:p w14:paraId="4EC5D29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16.06.2022</w:t>
            </w:r>
          </w:p>
        </w:tc>
      </w:tr>
    </w:tbl>
    <w:p w14:paraId="55E61D3D" w14:textId="77777777" w:rsidR="002449C2" w:rsidRDefault="002449C2">
      <w:pPr>
        <w:spacing w:after="160" w:line="259" w:lineRule="auto"/>
        <w:rPr>
          <w:rFonts w:ascii="Times New Roman" w:hAnsi="Times New Roman"/>
        </w:rPr>
      </w:pPr>
    </w:p>
    <w:p w14:paraId="77FC92AF" w14:textId="77777777" w:rsidR="002449C2" w:rsidRDefault="00123961">
      <w:pPr>
        <w:spacing w:after="160" w:line="259" w:lineRule="auto"/>
        <w:ind w:left="142"/>
        <w:rPr>
          <w:rFonts w:ascii="Times New Roman" w:hAnsi="Times New Roman"/>
          <w:b/>
          <w:sz w:val="26"/>
          <w:szCs w:val="26"/>
        </w:rPr>
      </w:pPr>
      <w:r>
        <w:rPr>
          <w:rFonts w:ascii="Times New Roman" w:eastAsia="Times New Roman" w:hAnsi="Times New Roman"/>
          <w:b/>
          <w:bCs/>
          <w:sz w:val="26"/>
          <w:szCs w:val="26"/>
          <w:lang w:eastAsia="en-US"/>
        </w:rPr>
        <w:t>Эбзеев Борис Борисович</w:t>
      </w:r>
      <w:r>
        <w:rPr>
          <w:rFonts w:ascii="Times New Roman" w:eastAsia="Times New Roman" w:hAnsi="Times New Roman"/>
          <w:b/>
          <w:sz w:val="26"/>
          <w:szCs w:val="26"/>
          <w:lang w:eastAsia="en-US"/>
        </w:rPr>
        <w:t xml:space="preserve">  </w:t>
      </w:r>
    </w:p>
    <w:tbl>
      <w:tblPr>
        <w:tblW w:w="9327" w:type="dxa"/>
        <w:tblInd w:w="137" w:type="dxa"/>
        <w:tblLayout w:type="fixed"/>
        <w:tblLook w:val="04A0" w:firstRow="1" w:lastRow="0" w:firstColumn="1" w:lastColumn="0" w:noHBand="0" w:noVBand="1"/>
      </w:tblPr>
      <w:tblGrid>
        <w:gridCol w:w="888"/>
        <w:gridCol w:w="1238"/>
        <w:gridCol w:w="2410"/>
        <w:gridCol w:w="1424"/>
        <w:gridCol w:w="3367"/>
      </w:tblGrid>
      <w:tr w:rsidR="002449C2" w14:paraId="66AE12F7" w14:textId="77777777">
        <w:trPr>
          <w:trHeight w:val="20"/>
        </w:trPr>
        <w:tc>
          <w:tcPr>
            <w:tcW w:w="9326" w:type="dxa"/>
            <w:gridSpan w:val="5"/>
            <w:tcBorders>
              <w:top w:val="single" w:sz="4" w:space="0" w:color="000000"/>
              <w:left w:val="single" w:sz="4" w:space="0" w:color="000000"/>
              <w:bottom w:val="single" w:sz="4" w:space="0" w:color="000000"/>
              <w:right w:val="single" w:sz="4" w:space="0" w:color="000000"/>
            </w:tcBorders>
            <w:vAlign w:val="center"/>
          </w:tcPr>
          <w:p w14:paraId="2F944880"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Общая информация о члене Совета директоров ПАО «Россети Юг»</w:t>
            </w:r>
          </w:p>
        </w:tc>
      </w:tr>
      <w:tr w:rsidR="002449C2" w14:paraId="4C3255D1" w14:textId="77777777">
        <w:trPr>
          <w:trHeight w:val="20"/>
        </w:trPr>
        <w:tc>
          <w:tcPr>
            <w:tcW w:w="4535" w:type="dxa"/>
            <w:gridSpan w:val="3"/>
            <w:tcBorders>
              <w:top w:val="single" w:sz="4" w:space="0" w:color="000000"/>
              <w:left w:val="single" w:sz="4" w:space="0" w:color="000000"/>
              <w:bottom w:val="single" w:sz="4" w:space="0" w:color="000000"/>
              <w:right w:val="single" w:sz="4" w:space="0" w:color="000000"/>
            </w:tcBorders>
            <w:vAlign w:val="center"/>
          </w:tcPr>
          <w:p w14:paraId="3F1A7DF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Год рождения</w:t>
            </w:r>
          </w:p>
        </w:tc>
        <w:tc>
          <w:tcPr>
            <w:tcW w:w="4791" w:type="dxa"/>
            <w:gridSpan w:val="2"/>
            <w:tcBorders>
              <w:top w:val="single" w:sz="4" w:space="0" w:color="000000"/>
              <w:left w:val="single" w:sz="4" w:space="0" w:color="000000"/>
              <w:bottom w:val="single" w:sz="4" w:space="0" w:color="000000"/>
              <w:right w:val="single" w:sz="4" w:space="0" w:color="000000"/>
            </w:tcBorders>
            <w:vAlign w:val="center"/>
          </w:tcPr>
          <w:p w14:paraId="765F970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1975</w:t>
            </w:r>
          </w:p>
        </w:tc>
      </w:tr>
      <w:tr w:rsidR="002449C2" w14:paraId="7791E6AF" w14:textId="77777777">
        <w:trPr>
          <w:trHeight w:val="435"/>
        </w:trPr>
        <w:tc>
          <w:tcPr>
            <w:tcW w:w="4535" w:type="dxa"/>
            <w:gridSpan w:val="3"/>
            <w:tcBorders>
              <w:top w:val="single" w:sz="4" w:space="0" w:color="000000"/>
              <w:left w:val="single" w:sz="4" w:space="0" w:color="000000"/>
              <w:bottom w:val="single" w:sz="4" w:space="0" w:color="000000"/>
              <w:right w:val="single" w:sz="4" w:space="0" w:color="000000"/>
            </w:tcBorders>
            <w:vAlign w:val="center"/>
          </w:tcPr>
          <w:p w14:paraId="4212FE1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Сведения об образовании</w:t>
            </w:r>
          </w:p>
          <w:p w14:paraId="6DAA263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(год, университет, квалификация, специальность)</w:t>
            </w:r>
          </w:p>
        </w:tc>
        <w:tc>
          <w:tcPr>
            <w:tcW w:w="4791" w:type="dxa"/>
            <w:gridSpan w:val="2"/>
            <w:tcBorders>
              <w:top w:val="single" w:sz="4" w:space="0" w:color="000000"/>
              <w:left w:val="single" w:sz="4" w:space="0" w:color="000000"/>
              <w:bottom w:val="single" w:sz="4" w:space="0" w:color="000000"/>
              <w:right w:val="single" w:sz="4" w:space="0" w:color="000000"/>
            </w:tcBorders>
            <w:vAlign w:val="center"/>
          </w:tcPr>
          <w:p w14:paraId="3389343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Высшее.</w:t>
            </w:r>
          </w:p>
          <w:p w14:paraId="31A433C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1997, Московский государственный университет им. М.В. Ломоносова, квалификация «юрист», специальность «юриспруденция».</w:t>
            </w:r>
          </w:p>
          <w:p w14:paraId="0362924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sz w:val="20"/>
                <w:szCs w:val="20"/>
                <w:lang w:eastAsia="ru-RU"/>
              </w:rPr>
              <w:t>Ученая степень: кандидат юридических наук.</w:t>
            </w:r>
          </w:p>
        </w:tc>
      </w:tr>
      <w:tr w:rsidR="002449C2" w14:paraId="5C3B3DF6" w14:textId="77777777">
        <w:trPr>
          <w:trHeight w:val="20"/>
        </w:trPr>
        <w:tc>
          <w:tcPr>
            <w:tcW w:w="4535" w:type="dxa"/>
            <w:gridSpan w:val="3"/>
            <w:tcBorders>
              <w:top w:val="single" w:sz="4" w:space="0" w:color="000000"/>
              <w:left w:val="single" w:sz="4" w:space="0" w:color="000000"/>
              <w:bottom w:val="single" w:sz="4" w:space="0" w:color="000000"/>
              <w:right w:val="single" w:sz="4" w:space="0" w:color="000000"/>
            </w:tcBorders>
            <w:vAlign w:val="center"/>
          </w:tcPr>
          <w:p w14:paraId="334BB951"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Основное место работы, должность</w:t>
            </w:r>
          </w:p>
        </w:tc>
        <w:tc>
          <w:tcPr>
            <w:tcW w:w="4791" w:type="dxa"/>
            <w:gridSpan w:val="2"/>
            <w:tcBorders>
              <w:top w:val="single" w:sz="4" w:space="0" w:color="000000"/>
              <w:left w:val="single" w:sz="4" w:space="0" w:color="000000"/>
              <w:bottom w:val="single" w:sz="4" w:space="0" w:color="000000"/>
              <w:right w:val="single" w:sz="4" w:space="0" w:color="000000"/>
            </w:tcBorders>
            <w:vAlign w:val="center"/>
          </w:tcPr>
          <w:p w14:paraId="7B11281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bCs/>
                <w:color w:val="000000"/>
                <w:sz w:val="20"/>
                <w:szCs w:val="20"/>
                <w:lang w:eastAsia="ru-RU"/>
              </w:rPr>
              <w:t>ПАО «Россети Юг», Генеральный директор</w:t>
            </w:r>
          </w:p>
        </w:tc>
      </w:tr>
      <w:tr w:rsidR="002449C2" w14:paraId="0A4F7B19" w14:textId="77777777">
        <w:trPr>
          <w:trHeight w:val="20"/>
        </w:trPr>
        <w:tc>
          <w:tcPr>
            <w:tcW w:w="9326" w:type="dxa"/>
            <w:gridSpan w:val="5"/>
            <w:tcBorders>
              <w:top w:val="single" w:sz="4" w:space="0" w:color="000000"/>
              <w:left w:val="single" w:sz="4" w:space="0" w:color="000000"/>
              <w:bottom w:val="single" w:sz="4" w:space="0" w:color="000000"/>
              <w:right w:val="single" w:sz="4" w:space="0" w:color="000000"/>
            </w:tcBorders>
            <w:vAlign w:val="center"/>
          </w:tcPr>
          <w:p w14:paraId="67C4F74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Участие в органах управления и контроля</w:t>
            </w:r>
          </w:p>
        </w:tc>
      </w:tr>
      <w:tr w:rsidR="002449C2" w14:paraId="7754F154" w14:textId="77777777">
        <w:trPr>
          <w:trHeight w:val="20"/>
        </w:trPr>
        <w:tc>
          <w:tcPr>
            <w:tcW w:w="2125" w:type="dxa"/>
            <w:gridSpan w:val="2"/>
            <w:tcBorders>
              <w:top w:val="single" w:sz="4" w:space="0" w:color="000000"/>
              <w:left w:val="single" w:sz="4" w:space="0" w:color="000000"/>
              <w:bottom w:val="single" w:sz="4" w:space="0" w:color="000000"/>
              <w:right w:val="single" w:sz="4" w:space="0" w:color="000000"/>
            </w:tcBorders>
            <w:vAlign w:val="center"/>
          </w:tcPr>
          <w:p w14:paraId="26321DD0"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Период</w:t>
            </w:r>
          </w:p>
        </w:tc>
        <w:tc>
          <w:tcPr>
            <w:tcW w:w="3834" w:type="dxa"/>
            <w:gridSpan w:val="2"/>
            <w:vMerge w:val="restart"/>
            <w:tcBorders>
              <w:top w:val="single" w:sz="4" w:space="0" w:color="000000"/>
              <w:left w:val="single" w:sz="4" w:space="0" w:color="000000"/>
              <w:bottom w:val="single" w:sz="4" w:space="0" w:color="000000"/>
              <w:right w:val="single" w:sz="4" w:space="0" w:color="000000"/>
            </w:tcBorders>
            <w:vAlign w:val="center"/>
          </w:tcPr>
          <w:p w14:paraId="6BAE831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Наименование организации</w:t>
            </w:r>
          </w:p>
        </w:tc>
        <w:tc>
          <w:tcPr>
            <w:tcW w:w="3367" w:type="dxa"/>
            <w:vMerge w:val="restart"/>
            <w:tcBorders>
              <w:top w:val="single" w:sz="4" w:space="0" w:color="000000"/>
              <w:left w:val="single" w:sz="4" w:space="0" w:color="000000"/>
              <w:bottom w:val="single" w:sz="4" w:space="0" w:color="000000"/>
              <w:right w:val="single" w:sz="4" w:space="0" w:color="000000"/>
            </w:tcBorders>
            <w:vAlign w:val="center"/>
          </w:tcPr>
          <w:p w14:paraId="20E7CA9F"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Должность</w:t>
            </w:r>
          </w:p>
        </w:tc>
      </w:tr>
      <w:tr w:rsidR="002449C2" w14:paraId="48794898" w14:textId="77777777">
        <w:trPr>
          <w:trHeight w:val="20"/>
        </w:trPr>
        <w:tc>
          <w:tcPr>
            <w:tcW w:w="887" w:type="dxa"/>
            <w:tcBorders>
              <w:top w:val="single" w:sz="4" w:space="0" w:color="000000"/>
              <w:left w:val="single" w:sz="4" w:space="0" w:color="000000"/>
              <w:bottom w:val="single" w:sz="4" w:space="0" w:color="000000"/>
              <w:right w:val="single" w:sz="4" w:space="0" w:color="000000"/>
            </w:tcBorders>
            <w:vAlign w:val="center"/>
          </w:tcPr>
          <w:p w14:paraId="10BB0CDE"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с</w:t>
            </w:r>
          </w:p>
        </w:tc>
        <w:tc>
          <w:tcPr>
            <w:tcW w:w="1238" w:type="dxa"/>
            <w:tcBorders>
              <w:top w:val="single" w:sz="4" w:space="0" w:color="000000"/>
              <w:left w:val="single" w:sz="4" w:space="0" w:color="000000"/>
              <w:bottom w:val="single" w:sz="4" w:space="0" w:color="000000"/>
              <w:right w:val="single" w:sz="4" w:space="0" w:color="000000"/>
            </w:tcBorders>
            <w:vAlign w:val="center"/>
          </w:tcPr>
          <w:p w14:paraId="72E9631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по</w:t>
            </w:r>
          </w:p>
        </w:tc>
        <w:tc>
          <w:tcPr>
            <w:tcW w:w="3834" w:type="dxa"/>
            <w:gridSpan w:val="2"/>
            <w:vMerge/>
            <w:tcBorders>
              <w:top w:val="single" w:sz="4" w:space="0" w:color="000000"/>
              <w:left w:val="single" w:sz="4" w:space="0" w:color="000000"/>
              <w:bottom w:val="single" w:sz="4" w:space="0" w:color="000000"/>
              <w:right w:val="single" w:sz="4" w:space="0" w:color="000000"/>
            </w:tcBorders>
            <w:vAlign w:val="center"/>
          </w:tcPr>
          <w:p w14:paraId="7E8C076E" w14:textId="77777777" w:rsidR="002449C2" w:rsidRDefault="002449C2">
            <w:pPr>
              <w:spacing w:after="0" w:line="240" w:lineRule="auto"/>
              <w:jc w:val="both"/>
              <w:rPr>
                <w:rFonts w:ascii="Times New Roman" w:eastAsia="Times New Roman" w:hAnsi="Times New Roman"/>
                <w:color w:val="000000"/>
                <w:sz w:val="20"/>
                <w:szCs w:val="20"/>
                <w:lang w:eastAsia="ru-RU"/>
              </w:rPr>
            </w:pPr>
          </w:p>
        </w:tc>
        <w:tc>
          <w:tcPr>
            <w:tcW w:w="3367" w:type="dxa"/>
            <w:vMerge/>
            <w:tcBorders>
              <w:top w:val="single" w:sz="4" w:space="0" w:color="000000"/>
              <w:left w:val="single" w:sz="4" w:space="0" w:color="000000"/>
              <w:bottom w:val="single" w:sz="4" w:space="0" w:color="000000"/>
              <w:right w:val="single" w:sz="4" w:space="0" w:color="000000"/>
            </w:tcBorders>
            <w:vAlign w:val="center"/>
          </w:tcPr>
          <w:p w14:paraId="5D05F448" w14:textId="77777777" w:rsidR="002449C2" w:rsidRDefault="002449C2">
            <w:pPr>
              <w:spacing w:after="0" w:line="240" w:lineRule="auto"/>
              <w:jc w:val="both"/>
              <w:rPr>
                <w:rFonts w:ascii="Times New Roman" w:eastAsia="Times New Roman" w:hAnsi="Times New Roman"/>
                <w:color w:val="000000"/>
                <w:sz w:val="20"/>
                <w:szCs w:val="20"/>
                <w:lang w:eastAsia="ru-RU"/>
              </w:rPr>
            </w:pPr>
          </w:p>
        </w:tc>
      </w:tr>
      <w:tr w:rsidR="002449C2" w14:paraId="66504117" w14:textId="77777777">
        <w:trPr>
          <w:trHeight w:val="20"/>
        </w:trPr>
        <w:tc>
          <w:tcPr>
            <w:tcW w:w="887" w:type="dxa"/>
            <w:tcBorders>
              <w:top w:val="single" w:sz="4" w:space="0" w:color="000000"/>
              <w:left w:val="single" w:sz="4" w:space="0" w:color="000000"/>
              <w:bottom w:val="single" w:sz="4" w:space="0" w:color="000000"/>
              <w:right w:val="single" w:sz="4" w:space="0" w:color="000000"/>
            </w:tcBorders>
            <w:vAlign w:val="center"/>
          </w:tcPr>
          <w:p w14:paraId="6FE2D24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2014</w:t>
            </w:r>
          </w:p>
        </w:tc>
        <w:tc>
          <w:tcPr>
            <w:tcW w:w="1238" w:type="dxa"/>
            <w:tcBorders>
              <w:top w:val="single" w:sz="4" w:space="0" w:color="000000"/>
              <w:left w:val="single" w:sz="4" w:space="0" w:color="000000"/>
              <w:bottom w:val="single" w:sz="4" w:space="0" w:color="000000"/>
              <w:right w:val="single" w:sz="4" w:space="0" w:color="000000"/>
            </w:tcBorders>
            <w:vAlign w:val="center"/>
          </w:tcPr>
          <w:p w14:paraId="6BA9A63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2024</w:t>
            </w:r>
          </w:p>
        </w:tc>
        <w:tc>
          <w:tcPr>
            <w:tcW w:w="3834" w:type="dxa"/>
            <w:gridSpan w:val="2"/>
            <w:tcBorders>
              <w:top w:val="single" w:sz="4" w:space="0" w:color="000000"/>
              <w:left w:val="single" w:sz="4" w:space="0" w:color="000000"/>
              <w:bottom w:val="single" w:sz="4" w:space="0" w:color="000000"/>
              <w:right w:val="single" w:sz="4" w:space="0" w:color="000000"/>
            </w:tcBorders>
            <w:vAlign w:val="center"/>
          </w:tcPr>
          <w:p w14:paraId="665A5D4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Юг»</w:t>
            </w:r>
          </w:p>
        </w:tc>
        <w:tc>
          <w:tcPr>
            <w:tcW w:w="3367" w:type="dxa"/>
            <w:tcBorders>
              <w:top w:val="single" w:sz="4" w:space="0" w:color="000000"/>
              <w:left w:val="single" w:sz="4" w:space="0" w:color="000000"/>
              <w:bottom w:val="single" w:sz="4" w:space="0" w:color="000000"/>
              <w:right w:val="single" w:sz="4" w:space="0" w:color="000000"/>
            </w:tcBorders>
            <w:vAlign w:val="center"/>
          </w:tcPr>
          <w:p w14:paraId="33B949C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Генеральный директор, Председатель Правления</w:t>
            </w:r>
          </w:p>
        </w:tc>
      </w:tr>
      <w:tr w:rsidR="002449C2" w14:paraId="3DE2F46D" w14:textId="77777777">
        <w:trPr>
          <w:trHeight w:val="20"/>
        </w:trPr>
        <w:tc>
          <w:tcPr>
            <w:tcW w:w="887" w:type="dxa"/>
            <w:tcBorders>
              <w:top w:val="single" w:sz="4" w:space="0" w:color="000000"/>
              <w:left w:val="single" w:sz="4" w:space="0" w:color="000000"/>
              <w:bottom w:val="single" w:sz="4" w:space="0" w:color="000000"/>
              <w:right w:val="single" w:sz="4" w:space="0" w:color="000000"/>
            </w:tcBorders>
            <w:vAlign w:val="center"/>
          </w:tcPr>
          <w:p w14:paraId="2FDDFB7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2014</w:t>
            </w:r>
          </w:p>
        </w:tc>
        <w:tc>
          <w:tcPr>
            <w:tcW w:w="1238" w:type="dxa"/>
            <w:tcBorders>
              <w:top w:val="single" w:sz="4" w:space="0" w:color="000000"/>
              <w:left w:val="single" w:sz="4" w:space="0" w:color="000000"/>
              <w:bottom w:val="single" w:sz="4" w:space="0" w:color="000000"/>
              <w:right w:val="single" w:sz="4" w:space="0" w:color="000000"/>
            </w:tcBorders>
            <w:vAlign w:val="center"/>
          </w:tcPr>
          <w:p w14:paraId="72055547"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2019</w:t>
            </w:r>
          </w:p>
        </w:tc>
        <w:tc>
          <w:tcPr>
            <w:tcW w:w="3834" w:type="dxa"/>
            <w:gridSpan w:val="2"/>
            <w:tcBorders>
              <w:top w:val="single" w:sz="4" w:space="0" w:color="000000"/>
              <w:left w:val="single" w:sz="4" w:space="0" w:color="000000"/>
              <w:bottom w:val="single" w:sz="4" w:space="0" w:color="000000"/>
              <w:right w:val="single" w:sz="4" w:space="0" w:color="000000"/>
            </w:tcBorders>
            <w:vAlign w:val="center"/>
          </w:tcPr>
          <w:p w14:paraId="51A57C7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«Донэнерго»</w:t>
            </w:r>
          </w:p>
        </w:tc>
        <w:tc>
          <w:tcPr>
            <w:tcW w:w="3367" w:type="dxa"/>
            <w:tcBorders>
              <w:top w:val="single" w:sz="4" w:space="0" w:color="000000"/>
              <w:left w:val="single" w:sz="4" w:space="0" w:color="000000"/>
              <w:bottom w:val="single" w:sz="4" w:space="0" w:color="000000"/>
              <w:right w:val="single" w:sz="4" w:space="0" w:color="000000"/>
            </w:tcBorders>
            <w:vAlign w:val="center"/>
          </w:tcPr>
          <w:p w14:paraId="54A44B20"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052B6632" w14:textId="77777777">
        <w:trPr>
          <w:trHeight w:val="20"/>
        </w:trPr>
        <w:tc>
          <w:tcPr>
            <w:tcW w:w="887" w:type="dxa"/>
            <w:tcBorders>
              <w:top w:val="single" w:sz="4" w:space="0" w:color="000000"/>
              <w:left w:val="single" w:sz="4" w:space="0" w:color="000000"/>
              <w:bottom w:val="single" w:sz="4" w:space="0" w:color="000000"/>
              <w:right w:val="single" w:sz="4" w:space="0" w:color="000000"/>
            </w:tcBorders>
            <w:vAlign w:val="center"/>
          </w:tcPr>
          <w:p w14:paraId="46C7BF5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2015</w:t>
            </w:r>
          </w:p>
        </w:tc>
        <w:tc>
          <w:tcPr>
            <w:tcW w:w="1238" w:type="dxa"/>
            <w:tcBorders>
              <w:top w:val="single" w:sz="4" w:space="0" w:color="000000"/>
              <w:left w:val="single" w:sz="4" w:space="0" w:color="000000"/>
              <w:bottom w:val="single" w:sz="4" w:space="0" w:color="000000"/>
              <w:right w:val="single" w:sz="4" w:space="0" w:color="000000"/>
            </w:tcBorders>
            <w:vAlign w:val="center"/>
          </w:tcPr>
          <w:p w14:paraId="7804E40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834" w:type="dxa"/>
            <w:gridSpan w:val="2"/>
            <w:tcBorders>
              <w:top w:val="single" w:sz="4" w:space="0" w:color="000000"/>
              <w:left w:val="single" w:sz="4" w:space="0" w:color="000000"/>
              <w:bottom w:val="single" w:sz="4" w:space="0" w:color="000000"/>
              <w:right w:val="single" w:sz="4" w:space="0" w:color="000000"/>
            </w:tcBorders>
            <w:vAlign w:val="center"/>
          </w:tcPr>
          <w:p w14:paraId="6EAC651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Юг»</w:t>
            </w:r>
          </w:p>
        </w:tc>
        <w:tc>
          <w:tcPr>
            <w:tcW w:w="3367" w:type="dxa"/>
            <w:tcBorders>
              <w:top w:val="single" w:sz="4" w:space="0" w:color="000000"/>
              <w:left w:val="single" w:sz="4" w:space="0" w:color="000000"/>
              <w:bottom w:val="single" w:sz="4" w:space="0" w:color="000000"/>
              <w:right w:val="single" w:sz="4" w:space="0" w:color="000000"/>
            </w:tcBorders>
            <w:vAlign w:val="center"/>
          </w:tcPr>
          <w:p w14:paraId="66AFE68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24B2700F" w14:textId="77777777">
        <w:trPr>
          <w:trHeight w:val="20"/>
        </w:trPr>
        <w:tc>
          <w:tcPr>
            <w:tcW w:w="887" w:type="dxa"/>
            <w:tcBorders>
              <w:top w:val="single" w:sz="4" w:space="0" w:color="000000"/>
              <w:left w:val="single" w:sz="4" w:space="0" w:color="000000"/>
              <w:bottom w:val="single" w:sz="4" w:space="0" w:color="000000"/>
              <w:right w:val="single" w:sz="4" w:space="0" w:color="000000"/>
            </w:tcBorders>
            <w:vAlign w:val="center"/>
          </w:tcPr>
          <w:p w14:paraId="6CFC328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2018</w:t>
            </w:r>
          </w:p>
        </w:tc>
        <w:tc>
          <w:tcPr>
            <w:tcW w:w="1238" w:type="dxa"/>
            <w:tcBorders>
              <w:top w:val="single" w:sz="4" w:space="0" w:color="000000"/>
              <w:left w:val="single" w:sz="4" w:space="0" w:color="000000"/>
              <w:bottom w:val="single" w:sz="4" w:space="0" w:color="000000"/>
              <w:right w:val="single" w:sz="4" w:space="0" w:color="000000"/>
            </w:tcBorders>
            <w:vAlign w:val="center"/>
          </w:tcPr>
          <w:p w14:paraId="222B3EE2"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834" w:type="dxa"/>
            <w:gridSpan w:val="2"/>
            <w:tcBorders>
              <w:top w:val="single" w:sz="4" w:space="0" w:color="000000"/>
              <w:left w:val="single" w:sz="4" w:space="0" w:color="000000"/>
              <w:bottom w:val="single" w:sz="4" w:space="0" w:color="000000"/>
              <w:right w:val="single" w:sz="4" w:space="0" w:color="000000"/>
            </w:tcBorders>
            <w:vAlign w:val="center"/>
          </w:tcPr>
          <w:p w14:paraId="701835D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«Волгоградские межрайонные электрические сети»</w:t>
            </w:r>
          </w:p>
        </w:tc>
        <w:tc>
          <w:tcPr>
            <w:tcW w:w="3367" w:type="dxa"/>
            <w:tcBorders>
              <w:top w:val="single" w:sz="4" w:space="0" w:color="000000"/>
              <w:left w:val="single" w:sz="4" w:space="0" w:color="000000"/>
              <w:bottom w:val="single" w:sz="4" w:space="0" w:color="000000"/>
              <w:right w:val="single" w:sz="4" w:space="0" w:color="000000"/>
            </w:tcBorders>
            <w:vAlign w:val="center"/>
          </w:tcPr>
          <w:p w14:paraId="6BD6A630"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Председатель Совета директоров</w:t>
            </w:r>
          </w:p>
        </w:tc>
      </w:tr>
      <w:tr w:rsidR="002449C2" w14:paraId="61E7DE71" w14:textId="77777777">
        <w:trPr>
          <w:trHeight w:val="20"/>
        </w:trPr>
        <w:tc>
          <w:tcPr>
            <w:tcW w:w="887" w:type="dxa"/>
            <w:tcBorders>
              <w:top w:val="single" w:sz="4" w:space="0" w:color="000000"/>
              <w:left w:val="single" w:sz="4" w:space="0" w:color="000000"/>
              <w:bottom w:val="single" w:sz="4" w:space="0" w:color="000000"/>
              <w:right w:val="single" w:sz="4" w:space="0" w:color="000000"/>
            </w:tcBorders>
            <w:vAlign w:val="center"/>
          </w:tcPr>
          <w:p w14:paraId="6C81A339"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38" w:type="dxa"/>
            <w:tcBorders>
              <w:top w:val="single" w:sz="4" w:space="0" w:color="000000"/>
              <w:left w:val="single" w:sz="4" w:space="0" w:color="000000"/>
              <w:bottom w:val="single" w:sz="4" w:space="0" w:color="000000"/>
              <w:right w:val="single" w:sz="4" w:space="0" w:color="000000"/>
            </w:tcBorders>
            <w:vAlign w:val="center"/>
          </w:tcPr>
          <w:p w14:paraId="445FAF41"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2024</w:t>
            </w:r>
          </w:p>
        </w:tc>
        <w:tc>
          <w:tcPr>
            <w:tcW w:w="3834" w:type="dxa"/>
            <w:gridSpan w:val="2"/>
            <w:tcBorders>
              <w:top w:val="single" w:sz="4" w:space="0" w:color="000000"/>
              <w:left w:val="single" w:sz="4" w:space="0" w:color="000000"/>
              <w:bottom w:val="single" w:sz="4" w:space="0" w:color="000000"/>
              <w:right w:val="single" w:sz="4" w:space="0" w:color="000000"/>
            </w:tcBorders>
            <w:vAlign w:val="center"/>
          </w:tcPr>
          <w:p w14:paraId="25D319A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Кубань»</w:t>
            </w:r>
          </w:p>
        </w:tc>
        <w:tc>
          <w:tcPr>
            <w:tcW w:w="3367" w:type="dxa"/>
            <w:tcBorders>
              <w:top w:val="single" w:sz="4" w:space="0" w:color="000000"/>
              <w:left w:val="single" w:sz="4" w:space="0" w:color="000000"/>
              <w:bottom w:val="single" w:sz="4" w:space="0" w:color="000000"/>
              <w:right w:val="single" w:sz="4" w:space="0" w:color="000000"/>
            </w:tcBorders>
            <w:vAlign w:val="center"/>
          </w:tcPr>
          <w:p w14:paraId="2E8C92C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Исполняющий обязанности Генерального директора (по совместительству), Председатель Правления</w:t>
            </w:r>
          </w:p>
        </w:tc>
      </w:tr>
      <w:tr w:rsidR="002449C2" w14:paraId="3EA52626" w14:textId="77777777">
        <w:trPr>
          <w:trHeight w:val="20"/>
        </w:trPr>
        <w:tc>
          <w:tcPr>
            <w:tcW w:w="887" w:type="dxa"/>
            <w:tcBorders>
              <w:top w:val="single" w:sz="4" w:space="0" w:color="000000"/>
              <w:left w:val="single" w:sz="4" w:space="0" w:color="000000"/>
              <w:bottom w:val="single" w:sz="4" w:space="0" w:color="000000"/>
              <w:right w:val="single" w:sz="4" w:space="0" w:color="000000"/>
            </w:tcBorders>
            <w:vAlign w:val="center"/>
          </w:tcPr>
          <w:p w14:paraId="174D827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2021</w:t>
            </w:r>
          </w:p>
        </w:tc>
        <w:tc>
          <w:tcPr>
            <w:tcW w:w="1238" w:type="dxa"/>
            <w:tcBorders>
              <w:top w:val="single" w:sz="4" w:space="0" w:color="000000"/>
              <w:left w:val="single" w:sz="4" w:space="0" w:color="000000"/>
              <w:bottom w:val="single" w:sz="4" w:space="0" w:color="000000"/>
              <w:right w:val="single" w:sz="4" w:space="0" w:color="000000"/>
            </w:tcBorders>
            <w:vAlign w:val="center"/>
          </w:tcPr>
          <w:p w14:paraId="139230C0"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834" w:type="dxa"/>
            <w:gridSpan w:val="2"/>
            <w:tcBorders>
              <w:top w:val="single" w:sz="4" w:space="0" w:color="000000"/>
              <w:left w:val="single" w:sz="4" w:space="0" w:color="000000"/>
              <w:bottom w:val="single" w:sz="4" w:space="0" w:color="000000"/>
              <w:right w:val="single" w:sz="4" w:space="0" w:color="000000"/>
            </w:tcBorders>
            <w:vAlign w:val="center"/>
          </w:tcPr>
          <w:p w14:paraId="6A64E75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Кубань»</w:t>
            </w:r>
          </w:p>
        </w:tc>
        <w:tc>
          <w:tcPr>
            <w:tcW w:w="3367" w:type="dxa"/>
            <w:tcBorders>
              <w:top w:val="single" w:sz="4" w:space="0" w:color="000000"/>
              <w:left w:val="single" w:sz="4" w:space="0" w:color="000000"/>
              <w:bottom w:val="single" w:sz="4" w:space="0" w:color="000000"/>
              <w:right w:val="single" w:sz="4" w:space="0" w:color="000000"/>
            </w:tcBorders>
            <w:vAlign w:val="center"/>
          </w:tcPr>
          <w:p w14:paraId="3C0C4AF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Член Совета директоров</w:t>
            </w:r>
          </w:p>
        </w:tc>
      </w:tr>
      <w:tr w:rsidR="002449C2" w14:paraId="4AA85216" w14:textId="77777777">
        <w:trPr>
          <w:trHeight w:val="20"/>
        </w:trPr>
        <w:tc>
          <w:tcPr>
            <w:tcW w:w="887" w:type="dxa"/>
            <w:tcBorders>
              <w:top w:val="single" w:sz="4" w:space="0" w:color="000000"/>
              <w:left w:val="single" w:sz="4" w:space="0" w:color="000000"/>
              <w:bottom w:val="single" w:sz="4" w:space="0" w:color="000000"/>
              <w:right w:val="single" w:sz="4" w:space="0" w:color="000000"/>
            </w:tcBorders>
            <w:vAlign w:val="center"/>
          </w:tcPr>
          <w:p w14:paraId="60B544A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2023</w:t>
            </w:r>
          </w:p>
        </w:tc>
        <w:tc>
          <w:tcPr>
            <w:tcW w:w="1238" w:type="dxa"/>
            <w:tcBorders>
              <w:top w:val="single" w:sz="4" w:space="0" w:color="000000"/>
              <w:left w:val="single" w:sz="4" w:space="0" w:color="000000"/>
              <w:bottom w:val="single" w:sz="4" w:space="0" w:color="000000"/>
              <w:right w:val="single" w:sz="4" w:space="0" w:color="000000"/>
            </w:tcBorders>
            <w:vAlign w:val="center"/>
          </w:tcPr>
          <w:p w14:paraId="251804D4"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834" w:type="dxa"/>
            <w:gridSpan w:val="2"/>
            <w:tcBorders>
              <w:top w:val="single" w:sz="4" w:space="0" w:color="000000"/>
              <w:left w:val="single" w:sz="4" w:space="0" w:color="000000"/>
              <w:bottom w:val="single" w:sz="4" w:space="0" w:color="000000"/>
              <w:right w:val="single" w:sz="4" w:space="0" w:color="000000"/>
            </w:tcBorders>
            <w:vAlign w:val="center"/>
          </w:tcPr>
          <w:p w14:paraId="257DEF0A"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Акционерное общество «Энергосервис Юга»</w:t>
            </w:r>
          </w:p>
        </w:tc>
        <w:tc>
          <w:tcPr>
            <w:tcW w:w="3367" w:type="dxa"/>
            <w:tcBorders>
              <w:top w:val="single" w:sz="4" w:space="0" w:color="000000"/>
              <w:left w:val="single" w:sz="4" w:space="0" w:color="000000"/>
              <w:bottom w:val="single" w:sz="4" w:space="0" w:color="000000"/>
              <w:right w:val="single" w:sz="4" w:space="0" w:color="000000"/>
            </w:tcBorders>
            <w:vAlign w:val="center"/>
          </w:tcPr>
          <w:p w14:paraId="6B482B0C"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Председатель Совета директоров</w:t>
            </w:r>
          </w:p>
        </w:tc>
      </w:tr>
      <w:tr w:rsidR="002449C2" w14:paraId="34F5447F" w14:textId="77777777">
        <w:trPr>
          <w:trHeight w:val="20"/>
        </w:trPr>
        <w:tc>
          <w:tcPr>
            <w:tcW w:w="887" w:type="dxa"/>
            <w:tcBorders>
              <w:top w:val="single" w:sz="4" w:space="0" w:color="000000"/>
              <w:left w:val="single" w:sz="4" w:space="0" w:color="000000"/>
              <w:bottom w:val="single" w:sz="4" w:space="0" w:color="000000"/>
              <w:right w:val="single" w:sz="4" w:space="0" w:color="000000"/>
            </w:tcBorders>
            <w:vAlign w:val="center"/>
          </w:tcPr>
          <w:p w14:paraId="3661F108"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2024</w:t>
            </w:r>
          </w:p>
        </w:tc>
        <w:tc>
          <w:tcPr>
            <w:tcW w:w="1238" w:type="dxa"/>
            <w:tcBorders>
              <w:top w:val="single" w:sz="4" w:space="0" w:color="000000"/>
              <w:left w:val="single" w:sz="4" w:space="0" w:color="000000"/>
              <w:bottom w:val="single" w:sz="4" w:space="0" w:color="000000"/>
              <w:right w:val="single" w:sz="4" w:space="0" w:color="000000"/>
            </w:tcBorders>
            <w:vAlign w:val="center"/>
          </w:tcPr>
          <w:p w14:paraId="66688DFB"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834" w:type="dxa"/>
            <w:gridSpan w:val="2"/>
            <w:tcBorders>
              <w:top w:val="single" w:sz="4" w:space="0" w:color="000000"/>
              <w:left w:val="single" w:sz="4" w:space="0" w:color="000000"/>
              <w:bottom w:val="single" w:sz="4" w:space="0" w:color="000000"/>
              <w:right w:val="single" w:sz="4" w:space="0" w:color="000000"/>
            </w:tcBorders>
            <w:vAlign w:val="center"/>
          </w:tcPr>
          <w:p w14:paraId="541BBA5D"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Центр»</w:t>
            </w:r>
          </w:p>
        </w:tc>
        <w:tc>
          <w:tcPr>
            <w:tcW w:w="3367" w:type="dxa"/>
            <w:tcBorders>
              <w:top w:val="single" w:sz="4" w:space="0" w:color="000000"/>
              <w:left w:val="single" w:sz="4" w:space="0" w:color="000000"/>
              <w:bottom w:val="single" w:sz="4" w:space="0" w:color="000000"/>
              <w:right w:val="single" w:sz="4" w:space="0" w:color="000000"/>
            </w:tcBorders>
            <w:vAlign w:val="center"/>
          </w:tcPr>
          <w:p w14:paraId="46C95601"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Генеральный директор, Председатель Правления</w:t>
            </w:r>
          </w:p>
        </w:tc>
      </w:tr>
      <w:tr w:rsidR="002449C2" w14:paraId="3AFAAF49" w14:textId="77777777">
        <w:trPr>
          <w:trHeight w:val="20"/>
        </w:trPr>
        <w:tc>
          <w:tcPr>
            <w:tcW w:w="887" w:type="dxa"/>
            <w:tcBorders>
              <w:top w:val="single" w:sz="4" w:space="0" w:color="000000"/>
              <w:left w:val="single" w:sz="4" w:space="0" w:color="000000"/>
              <w:bottom w:val="single" w:sz="4" w:space="0" w:color="000000"/>
              <w:right w:val="single" w:sz="4" w:space="0" w:color="000000"/>
            </w:tcBorders>
            <w:vAlign w:val="center"/>
          </w:tcPr>
          <w:p w14:paraId="405197B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2024</w:t>
            </w:r>
          </w:p>
        </w:tc>
        <w:tc>
          <w:tcPr>
            <w:tcW w:w="1238" w:type="dxa"/>
            <w:tcBorders>
              <w:top w:val="single" w:sz="4" w:space="0" w:color="000000"/>
              <w:left w:val="single" w:sz="4" w:space="0" w:color="000000"/>
              <w:bottom w:val="single" w:sz="4" w:space="0" w:color="000000"/>
              <w:right w:val="single" w:sz="4" w:space="0" w:color="000000"/>
            </w:tcBorders>
            <w:vAlign w:val="center"/>
          </w:tcPr>
          <w:p w14:paraId="15358685"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настоящее время</w:t>
            </w:r>
          </w:p>
        </w:tc>
        <w:tc>
          <w:tcPr>
            <w:tcW w:w="3834" w:type="dxa"/>
            <w:gridSpan w:val="2"/>
            <w:tcBorders>
              <w:top w:val="single" w:sz="4" w:space="0" w:color="000000"/>
              <w:left w:val="single" w:sz="4" w:space="0" w:color="000000"/>
              <w:bottom w:val="single" w:sz="4" w:space="0" w:color="000000"/>
              <w:right w:val="single" w:sz="4" w:space="0" w:color="000000"/>
            </w:tcBorders>
            <w:vAlign w:val="center"/>
          </w:tcPr>
          <w:p w14:paraId="417663A6"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Публичное акционерное общество «Россети Центр и Приволжье»</w:t>
            </w:r>
          </w:p>
        </w:tc>
        <w:tc>
          <w:tcPr>
            <w:tcW w:w="3367" w:type="dxa"/>
            <w:tcBorders>
              <w:top w:val="single" w:sz="4" w:space="0" w:color="000000"/>
              <w:left w:val="single" w:sz="4" w:space="0" w:color="000000"/>
              <w:bottom w:val="single" w:sz="4" w:space="0" w:color="000000"/>
              <w:right w:val="single" w:sz="4" w:space="0" w:color="000000"/>
            </w:tcBorders>
            <w:vAlign w:val="center"/>
          </w:tcPr>
          <w:p w14:paraId="75D9AE25" w14:textId="77777777" w:rsidR="002449C2" w:rsidRDefault="00123961" w:rsidP="00FE1B75">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Генеральный директор управляющей организации – ПАО «Россети Центр», Председатель Правления</w:t>
            </w:r>
          </w:p>
        </w:tc>
      </w:tr>
      <w:tr w:rsidR="002449C2" w14:paraId="6FDEFDEC" w14:textId="77777777">
        <w:trPr>
          <w:trHeight w:val="20"/>
        </w:trPr>
        <w:tc>
          <w:tcPr>
            <w:tcW w:w="5959" w:type="dxa"/>
            <w:gridSpan w:val="4"/>
            <w:tcBorders>
              <w:top w:val="single" w:sz="4" w:space="0" w:color="000000"/>
              <w:left w:val="single" w:sz="4" w:space="0" w:color="000000"/>
              <w:bottom w:val="single" w:sz="4" w:space="0" w:color="000000"/>
              <w:right w:val="single" w:sz="4" w:space="0" w:color="000000"/>
            </w:tcBorders>
            <w:vAlign w:val="center"/>
          </w:tcPr>
          <w:p w14:paraId="3E23687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Дата первого избрания в состав Совета директоров Общества</w:t>
            </w:r>
          </w:p>
        </w:tc>
        <w:tc>
          <w:tcPr>
            <w:tcW w:w="3367" w:type="dxa"/>
            <w:tcBorders>
              <w:top w:val="single" w:sz="4" w:space="0" w:color="000000"/>
              <w:left w:val="single" w:sz="4" w:space="0" w:color="000000"/>
              <w:bottom w:val="single" w:sz="4" w:space="0" w:color="000000"/>
              <w:right w:val="single" w:sz="4" w:space="0" w:color="000000"/>
            </w:tcBorders>
            <w:vAlign w:val="center"/>
          </w:tcPr>
          <w:p w14:paraId="6F6AD0F3" w14:textId="77777777" w:rsidR="002449C2" w:rsidRDefault="00123961">
            <w:pPr>
              <w:spacing w:after="0" w:line="240" w:lineRule="auto"/>
              <w:jc w:val="both"/>
              <w:rPr>
                <w:rFonts w:ascii="Times New Roman" w:hAnsi="Times New Roman"/>
                <w:color w:val="000000"/>
                <w:sz w:val="20"/>
                <w:szCs w:val="20"/>
              </w:rPr>
            </w:pPr>
            <w:r>
              <w:rPr>
                <w:rFonts w:ascii="Times New Roman" w:eastAsia="Times New Roman" w:hAnsi="Times New Roman"/>
                <w:color w:val="000000"/>
                <w:sz w:val="20"/>
                <w:szCs w:val="20"/>
                <w:lang w:eastAsia="ru-RU"/>
              </w:rPr>
              <w:t>27.03.2015</w:t>
            </w:r>
          </w:p>
        </w:tc>
      </w:tr>
    </w:tbl>
    <w:p w14:paraId="58C04C7B" w14:textId="77777777" w:rsidR="002449C2" w:rsidRDefault="002449C2">
      <w:pPr>
        <w:shd w:val="clear" w:color="auto" w:fill="FFFFFF"/>
        <w:spacing w:after="0" w:line="240" w:lineRule="auto"/>
        <w:ind w:firstLine="567"/>
        <w:jc w:val="both"/>
        <w:rPr>
          <w:rFonts w:ascii="Times New Roman" w:hAnsi="Times New Roman"/>
          <w:b/>
          <w:color w:val="0070C0"/>
          <w:sz w:val="28"/>
          <w:szCs w:val="28"/>
        </w:rPr>
      </w:pPr>
    </w:p>
    <w:p w14:paraId="6442ED5D" w14:textId="77777777" w:rsidR="002449C2" w:rsidRDefault="00123961">
      <w:pPr>
        <w:shd w:val="clear" w:color="auto" w:fill="FFFFFF"/>
        <w:spacing w:after="0" w:line="240" w:lineRule="auto"/>
        <w:ind w:left="360"/>
        <w:contextualSpacing/>
        <w:jc w:val="both"/>
        <w:rPr>
          <w:rFonts w:ascii="Times New Roman" w:hAnsi="Times New Roman"/>
          <w:sz w:val="26"/>
          <w:szCs w:val="26"/>
        </w:rPr>
      </w:pPr>
      <w:r>
        <w:rPr>
          <w:rFonts w:ascii="Times New Roman" w:eastAsia="Times New Roman" w:hAnsi="Times New Roman"/>
          <w:sz w:val="26"/>
          <w:szCs w:val="26"/>
          <w:lang w:eastAsia="ru-RU"/>
        </w:rPr>
        <w:t>В отчетном периоде:</w:t>
      </w:r>
    </w:p>
    <w:p w14:paraId="7698EB17" w14:textId="77777777" w:rsidR="002449C2" w:rsidRDefault="00123961">
      <w:pPr>
        <w:shd w:val="clear" w:color="auto" w:fill="FFFFFF"/>
        <w:spacing w:after="0" w:line="240" w:lineRule="auto"/>
        <w:ind w:left="360"/>
        <w:contextualSpacing/>
        <w:jc w:val="both"/>
        <w:rPr>
          <w:rFonts w:ascii="Times New Roman" w:hAnsi="Times New Roman"/>
          <w:sz w:val="26"/>
          <w:szCs w:val="26"/>
        </w:rPr>
      </w:pPr>
      <w:r>
        <w:rPr>
          <w:rFonts w:ascii="Times New Roman" w:eastAsia="Times New Roman" w:hAnsi="Times New Roman"/>
          <w:sz w:val="26"/>
          <w:szCs w:val="26"/>
          <w:lang w:eastAsia="ru-RU"/>
        </w:rPr>
        <w:t>- члены Совета директоров ПАО «Россети Юг» не владели акциями Общества и подконтрольных ему юридических лиц;</w:t>
      </w:r>
    </w:p>
    <w:p w14:paraId="637FB72E" w14:textId="77777777" w:rsidR="002449C2" w:rsidRDefault="00123961">
      <w:pPr>
        <w:shd w:val="clear" w:color="auto" w:fill="FFFFFF"/>
        <w:spacing w:after="0" w:line="240" w:lineRule="auto"/>
        <w:ind w:left="360"/>
        <w:contextualSpacing/>
        <w:jc w:val="both"/>
        <w:rPr>
          <w:rFonts w:ascii="Times New Roman" w:hAnsi="Times New Roman"/>
          <w:sz w:val="26"/>
          <w:szCs w:val="26"/>
        </w:rPr>
      </w:pPr>
      <w:r>
        <w:rPr>
          <w:rFonts w:ascii="Times New Roman" w:eastAsia="Times New Roman" w:hAnsi="Times New Roman"/>
          <w:sz w:val="26"/>
          <w:szCs w:val="26"/>
          <w:lang w:eastAsia="ru-RU"/>
        </w:rPr>
        <w:t>- сделки по приобретению или отчуждению акций ПАО «Россети Юг» в течение 2024 года членами Совета директоров не совершались;</w:t>
      </w:r>
    </w:p>
    <w:p w14:paraId="35A35A38" w14:textId="77777777" w:rsidR="002449C2" w:rsidRDefault="00123961">
      <w:pPr>
        <w:shd w:val="clear" w:color="auto" w:fill="FFFFFF"/>
        <w:spacing w:after="0" w:line="240" w:lineRule="auto"/>
        <w:ind w:left="360"/>
        <w:contextualSpacing/>
        <w:jc w:val="both"/>
        <w:rPr>
          <w:rFonts w:ascii="Times New Roman" w:hAnsi="Times New Roman"/>
          <w:sz w:val="26"/>
          <w:szCs w:val="26"/>
        </w:rPr>
      </w:pPr>
      <w:r>
        <w:rPr>
          <w:rFonts w:ascii="Times New Roman" w:eastAsia="Times New Roman" w:hAnsi="Times New Roman"/>
          <w:sz w:val="26"/>
          <w:szCs w:val="26"/>
          <w:lang w:eastAsia="ru-RU"/>
        </w:rPr>
        <w:t>- займы от ПАО «Россети Юг» или ДЗО Общества членам Совета директоров не выдавались;</w:t>
      </w:r>
    </w:p>
    <w:p w14:paraId="56C8EF82" w14:textId="77777777" w:rsidR="002449C2" w:rsidRDefault="00123961">
      <w:pPr>
        <w:shd w:val="clear" w:color="auto" w:fill="FFFFFF"/>
        <w:spacing w:after="0" w:line="240" w:lineRule="auto"/>
        <w:ind w:left="360"/>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гражданско-правовые договоры, в том числе влекущие за собой имущественную выгоду, Обществом или ДЗО Общества с членами Совета директоров не заключались;</w:t>
      </w:r>
    </w:p>
    <w:p w14:paraId="75992DE8" w14:textId="77777777" w:rsidR="002449C2" w:rsidRDefault="00123961">
      <w:pPr>
        <w:shd w:val="clear" w:color="auto" w:fill="FFFFFF"/>
        <w:spacing w:after="0" w:line="240" w:lineRule="auto"/>
        <w:ind w:left="360"/>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сведения о предъявлении исков к членам Совета директоров в Общество не поступали;</w:t>
      </w:r>
    </w:p>
    <w:p w14:paraId="10831BC3" w14:textId="77777777" w:rsidR="002449C2" w:rsidRDefault="00123961">
      <w:pPr>
        <w:shd w:val="clear" w:color="auto" w:fill="FFFFFF"/>
        <w:spacing w:after="0" w:line="240" w:lineRule="auto"/>
        <w:ind w:left="360"/>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сведения о наличии у членов Совета директоров конфликта интересов (в том числе связанного с участием в органах управления конкурентов Общества) в Общество не поступали.</w:t>
      </w:r>
    </w:p>
    <w:p w14:paraId="10CCD2B2" w14:textId="77777777" w:rsidR="002449C2" w:rsidRDefault="00123961">
      <w:pPr>
        <w:numPr>
          <w:ilvl w:val="0"/>
          <w:numId w:val="9"/>
        </w:numPr>
        <w:shd w:val="clear" w:color="auto" w:fill="FFFFFF"/>
        <w:spacing w:after="0" w:line="240" w:lineRule="auto"/>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члены Совета директоров ПАО «Россети Юг» не имели родственных связей с лицами, входящими в состав органов управления и/ или органов контроля за финансово-хозяйственной деятельностью ПАО «Россети Юг»;</w:t>
      </w:r>
    </w:p>
    <w:p w14:paraId="1CBBBBC0" w14:textId="77777777" w:rsidR="002449C2" w:rsidRDefault="00123961">
      <w:pPr>
        <w:numPr>
          <w:ilvl w:val="0"/>
          <w:numId w:val="9"/>
        </w:numPr>
        <w:shd w:val="clear" w:color="auto" w:fill="FFFFFF"/>
        <w:spacing w:after="0" w:line="240" w:lineRule="auto"/>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члены Совета директоров ПАО «Россети Юг» не привлекались к административной ответственности за правонарушения в области финансов, налогов и сборов, рынка ценных бумаг или уголовной ответственности за преступления в сфере экономики и/или за преступления против государственной власти;</w:t>
      </w:r>
    </w:p>
    <w:p w14:paraId="691E7A5B" w14:textId="77777777" w:rsidR="002449C2" w:rsidRDefault="00123961">
      <w:pPr>
        <w:numPr>
          <w:ilvl w:val="0"/>
          <w:numId w:val="9"/>
        </w:numPr>
        <w:shd w:val="clear" w:color="auto" w:fill="FFFFFF"/>
        <w:spacing w:after="0" w:line="240" w:lineRule="auto"/>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члены Совета директоров ПАО «Россети Юг» не занимали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p>
    <w:p w14:paraId="5148EB72" w14:textId="77777777" w:rsidR="002449C2" w:rsidRDefault="00123961">
      <w:pPr>
        <w:numPr>
          <w:ilvl w:val="0"/>
          <w:numId w:val="9"/>
        </w:numPr>
        <w:shd w:val="clear" w:color="auto" w:fill="FFFFFF"/>
        <w:spacing w:after="0" w:line="240" w:lineRule="auto"/>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члены Совета директоров ПАО «Россети Юг» не представляли сведения о возможности приобретения или о приобретении определенными акционерами степени контроля, несоразмерной их участию в уставном капитале Общества, в том числе на основании акционерных соглашений, наличии обыкновенных акций с разной номинальной стоимостью.</w:t>
      </w:r>
    </w:p>
    <w:p w14:paraId="757D4DF3" w14:textId="77777777" w:rsidR="002449C2" w:rsidRDefault="002449C2">
      <w:pPr>
        <w:shd w:val="clear" w:color="auto" w:fill="FFFFFF"/>
        <w:spacing w:after="0" w:line="240" w:lineRule="auto"/>
        <w:ind w:left="360"/>
        <w:contextualSpacing/>
        <w:jc w:val="both"/>
        <w:rPr>
          <w:rFonts w:ascii="Times New Roman" w:eastAsia="Times New Roman" w:hAnsi="Times New Roman"/>
          <w:sz w:val="26"/>
          <w:szCs w:val="26"/>
          <w:lang w:eastAsia="ru-RU"/>
        </w:rPr>
      </w:pPr>
    </w:p>
    <w:p w14:paraId="632465CD" w14:textId="77777777" w:rsidR="002449C2" w:rsidRDefault="00123961">
      <w:pPr>
        <w:spacing w:after="160" w:line="259" w:lineRule="auto"/>
        <w:ind w:left="142"/>
        <w:rPr>
          <w:rFonts w:ascii="Times New Roman" w:hAnsi="Times New Roman"/>
          <w:b/>
          <w:bCs/>
          <w:sz w:val="26"/>
          <w:szCs w:val="26"/>
          <w:lang w:eastAsia="en-US"/>
        </w:rPr>
      </w:pPr>
      <w:r>
        <w:rPr>
          <w:rFonts w:ascii="Times New Roman" w:hAnsi="Times New Roman"/>
          <w:b/>
          <w:bCs/>
          <w:sz w:val="26"/>
          <w:szCs w:val="26"/>
          <w:lang w:eastAsia="en-US"/>
        </w:rPr>
        <w:t xml:space="preserve">Изменения в составе Совета директоров в течение отчетного года </w:t>
      </w:r>
    </w:p>
    <w:p w14:paraId="06625380" w14:textId="77777777" w:rsidR="002449C2" w:rsidRDefault="00123961">
      <w:pPr>
        <w:spacing w:before="120" w:after="160" w:line="259" w:lineRule="auto"/>
        <w:ind w:firstLine="567"/>
        <w:jc w:val="both"/>
        <w:rPr>
          <w:rFonts w:ascii="Times New Roman" w:hAnsi="Times New Roman"/>
          <w:sz w:val="26"/>
          <w:szCs w:val="26"/>
          <w:lang w:eastAsia="en-US"/>
        </w:rPr>
      </w:pPr>
      <w:r>
        <w:rPr>
          <w:rFonts w:ascii="Times New Roman" w:hAnsi="Times New Roman"/>
          <w:sz w:val="26"/>
          <w:szCs w:val="26"/>
          <w:lang w:eastAsia="en-US"/>
        </w:rPr>
        <w:t>В отчетном году в составе Совета директоров ПАО «Россети Юг» изменений не происходило.</w:t>
      </w:r>
    </w:p>
    <w:p w14:paraId="052A09CE"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hAnsi="Times New Roman"/>
          <w:sz w:val="26"/>
          <w:szCs w:val="26"/>
          <w:lang w:eastAsia="ru-RU"/>
        </w:rPr>
        <w:t>Биографии</w:t>
      </w:r>
      <w:r>
        <w:rPr>
          <w:rFonts w:ascii="Times New Roman" w:eastAsia="Times New Roman" w:hAnsi="Times New Roman"/>
          <w:sz w:val="26"/>
          <w:szCs w:val="26"/>
          <w:lang w:eastAsia="ru-RU"/>
        </w:rPr>
        <w:t xml:space="preserve"> членов Совета директоров, действовавших</w:t>
      </w:r>
      <w:r>
        <w:rPr>
          <w:rFonts w:ascii="Times New Roman" w:hAnsi="Times New Roman"/>
          <w:sz w:val="26"/>
          <w:szCs w:val="26"/>
        </w:rPr>
        <w:t xml:space="preserve"> </w:t>
      </w:r>
      <w:r>
        <w:rPr>
          <w:rFonts w:ascii="Times New Roman" w:eastAsia="Times New Roman" w:hAnsi="Times New Roman"/>
          <w:sz w:val="26"/>
          <w:szCs w:val="26"/>
          <w:lang w:eastAsia="ru-RU"/>
        </w:rPr>
        <w:t>в 2024 году</w:t>
      </w:r>
      <w:r>
        <w:rPr>
          <w:rFonts w:ascii="Times New Roman" w:hAnsi="Times New Roman"/>
          <w:sz w:val="26"/>
          <w:szCs w:val="26"/>
        </w:rPr>
        <w:t xml:space="preserve"> </w:t>
      </w:r>
      <w:r>
        <w:rPr>
          <w:rFonts w:ascii="Times New Roman" w:eastAsia="Times New Roman" w:hAnsi="Times New Roman"/>
          <w:sz w:val="26"/>
          <w:szCs w:val="26"/>
          <w:lang w:eastAsia="ru-RU"/>
        </w:rPr>
        <w:t xml:space="preserve">приведены также на сайте Общества: </w:t>
      </w:r>
      <w:hyperlink r:id="rId157">
        <w:r>
          <w:rPr>
            <w:rStyle w:val="ab"/>
            <w:rFonts w:ascii="Times New Roman" w:eastAsia="Times New Roman" w:hAnsi="Times New Roman"/>
            <w:sz w:val="26"/>
            <w:szCs w:val="26"/>
            <w:lang w:eastAsia="ru-RU"/>
          </w:rPr>
          <w:t>https://rosseti-yug.ru/korporativnoe-upravlenie/organy-upravleniya/sovet-direktorov/</w:t>
        </w:r>
      </w:hyperlink>
    </w:p>
    <w:p w14:paraId="38C6CF12" w14:textId="77777777" w:rsidR="002449C2" w:rsidRDefault="00123961">
      <w:pPr>
        <w:shd w:val="clear" w:color="auto" w:fill="FFFFFF"/>
        <w:spacing w:after="0" w:line="240" w:lineRule="auto"/>
        <w:ind w:firstLine="567"/>
        <w:jc w:val="both"/>
        <w:rPr>
          <w:rFonts w:ascii="Times New Roman" w:hAnsi="Times New Roman"/>
          <w:color w:val="000000"/>
          <w:sz w:val="24"/>
          <w:szCs w:val="24"/>
        </w:rPr>
      </w:pPr>
      <w:r>
        <w:br w:type="page"/>
      </w:r>
    </w:p>
    <w:p w14:paraId="3E02B7F6" w14:textId="77777777" w:rsidR="002449C2" w:rsidRDefault="00123961">
      <w:pPr>
        <w:keepNext/>
        <w:pBdr>
          <w:bottom w:val="single" w:sz="4" w:space="1" w:color="622423"/>
        </w:pBdr>
        <w:spacing w:line="252" w:lineRule="auto"/>
        <w:jc w:val="center"/>
        <w:outlineLvl w:val="1"/>
        <w:rPr>
          <w:rFonts w:ascii="Times New Roman" w:eastAsia="Times New Roman" w:hAnsi="Times New Roman"/>
          <w:caps/>
          <w:color w:val="632423"/>
          <w:spacing w:val="15"/>
          <w:sz w:val="24"/>
          <w:szCs w:val="24"/>
          <w:lang w:eastAsia="en-US" w:bidi="en-US"/>
        </w:rPr>
      </w:pPr>
      <w:bookmarkStart w:id="189" w:name="_Toc101275485"/>
      <w:bookmarkStart w:id="190" w:name="_Toc195174971"/>
      <w:bookmarkStart w:id="191" w:name="_Toc196143064"/>
      <w:r>
        <w:rPr>
          <w:rFonts w:ascii="Times New Roman" w:eastAsia="Times New Roman" w:hAnsi="Times New Roman"/>
          <w:caps/>
          <w:color w:val="632423"/>
          <w:spacing w:val="15"/>
          <w:sz w:val="24"/>
          <w:szCs w:val="24"/>
          <w:lang w:eastAsia="en-US" w:bidi="en-US"/>
        </w:rPr>
        <w:t>Комитеты Совета директоров</w:t>
      </w:r>
      <w:bookmarkEnd w:id="189"/>
      <w:bookmarkEnd w:id="190"/>
      <w:bookmarkEnd w:id="191"/>
    </w:p>
    <w:p w14:paraId="09582AB8" w14:textId="77777777" w:rsidR="002449C2" w:rsidRDefault="002449C2">
      <w:pPr>
        <w:spacing w:after="0" w:line="240" w:lineRule="auto"/>
        <w:ind w:firstLine="567"/>
        <w:jc w:val="both"/>
        <w:rPr>
          <w:rFonts w:ascii="Cambria" w:eastAsia="Times New Roman" w:hAnsi="Cambria"/>
          <w:sz w:val="26"/>
          <w:szCs w:val="26"/>
          <w:lang w:eastAsia="ru-RU"/>
        </w:rPr>
      </w:pPr>
    </w:p>
    <w:p w14:paraId="166B79DC"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соответствии с Уставом Общества,</w:t>
      </w:r>
      <w:r>
        <w:rPr>
          <w:rFonts w:ascii="Times New Roman" w:eastAsia="Times New Roman" w:hAnsi="Times New Roman"/>
          <w:spacing w:val="-2"/>
          <w:sz w:val="26"/>
          <w:szCs w:val="26"/>
          <w:lang w:eastAsia="en-US"/>
        </w:rPr>
        <w:t xml:space="preserve"> в целях предварительного рассмотрения вопросов, относящихся к компетенции Совета директоров, а также разработки необходимых рекомендаций Совету директоров и исполнительным органам Общества, по решению Совета директоров созданы и функционируют </w:t>
      </w:r>
      <w:r>
        <w:rPr>
          <w:rFonts w:ascii="Times New Roman" w:eastAsia="Times New Roman" w:hAnsi="Times New Roman"/>
          <w:sz w:val="26"/>
          <w:szCs w:val="26"/>
          <w:lang w:eastAsia="ru-RU"/>
        </w:rPr>
        <w:t>пять профильных Комитетов.</w:t>
      </w:r>
    </w:p>
    <w:p w14:paraId="342EBC6C" w14:textId="77777777" w:rsidR="002449C2" w:rsidRDefault="002449C2">
      <w:pPr>
        <w:spacing w:after="0" w:line="240" w:lineRule="auto"/>
        <w:ind w:firstLine="567"/>
        <w:jc w:val="both"/>
        <w:rPr>
          <w:rFonts w:ascii="Times New Roman" w:eastAsia="Times New Roman" w:hAnsi="Times New Roman"/>
          <w:sz w:val="26"/>
          <w:szCs w:val="26"/>
          <w:lang w:eastAsia="ru-RU"/>
        </w:rPr>
      </w:pPr>
    </w:p>
    <w:tbl>
      <w:tblPr>
        <w:tblW w:w="9345" w:type="dxa"/>
        <w:tblLayout w:type="fixed"/>
        <w:tblLook w:val="04A0" w:firstRow="1" w:lastRow="0" w:firstColumn="1" w:lastColumn="0" w:noHBand="0" w:noVBand="1"/>
      </w:tblPr>
      <w:tblGrid>
        <w:gridCol w:w="1869"/>
        <w:gridCol w:w="1869"/>
        <w:gridCol w:w="1869"/>
        <w:gridCol w:w="1612"/>
        <w:gridCol w:w="2126"/>
      </w:tblGrid>
      <w:tr w:rsidR="002449C2" w14:paraId="60F0995C" w14:textId="77777777">
        <w:tc>
          <w:tcPr>
            <w:tcW w:w="1869" w:type="dxa"/>
            <w:tcBorders>
              <w:top w:val="single" w:sz="4" w:space="0" w:color="000000"/>
              <w:left w:val="single" w:sz="4" w:space="0" w:color="000000"/>
              <w:bottom w:val="single" w:sz="4" w:space="0" w:color="000000"/>
              <w:right w:val="single" w:sz="4" w:space="0" w:color="000000"/>
            </w:tcBorders>
            <w:shd w:val="clear" w:color="auto" w:fill="BDD6EE"/>
            <w:vAlign w:val="center"/>
          </w:tcPr>
          <w:p w14:paraId="7FFF4A5B" w14:textId="77777777" w:rsidR="002449C2" w:rsidRDefault="00123961">
            <w:pPr>
              <w:spacing w:after="0" w:line="240" w:lineRule="auto"/>
              <w:jc w:val="center"/>
              <w:rPr>
                <w:rFonts w:ascii="Times New Roman" w:eastAsia="Times New Roman" w:hAnsi="Times New Roman"/>
                <w:b/>
                <w:sz w:val="18"/>
                <w:szCs w:val="18"/>
                <w:lang w:eastAsia="ru-RU"/>
              </w:rPr>
            </w:pPr>
            <w:r>
              <w:rPr>
                <w:rFonts w:ascii="Times New Roman" w:eastAsia="Times New Roman" w:hAnsi="Times New Roman"/>
                <w:b/>
                <w:sz w:val="18"/>
                <w:szCs w:val="18"/>
                <w:lang w:eastAsia="ru-RU"/>
              </w:rPr>
              <w:t>КОМИТЕТ</w:t>
            </w:r>
          </w:p>
          <w:p w14:paraId="7FD47E10" w14:textId="77777777" w:rsidR="002449C2" w:rsidRDefault="00123961">
            <w:pPr>
              <w:spacing w:after="0" w:line="240" w:lineRule="auto"/>
              <w:jc w:val="center"/>
              <w:rPr>
                <w:rFonts w:ascii="Times New Roman" w:eastAsia="Times New Roman" w:hAnsi="Times New Roman"/>
                <w:b/>
                <w:sz w:val="18"/>
                <w:szCs w:val="18"/>
                <w:lang w:eastAsia="ru-RU"/>
              </w:rPr>
            </w:pPr>
            <w:r>
              <w:rPr>
                <w:rFonts w:ascii="Times New Roman" w:eastAsia="Times New Roman" w:hAnsi="Times New Roman"/>
                <w:b/>
                <w:sz w:val="18"/>
                <w:szCs w:val="18"/>
                <w:lang w:eastAsia="ru-RU"/>
              </w:rPr>
              <w:t>ПО АУДИТУ</w:t>
            </w:r>
          </w:p>
        </w:tc>
        <w:tc>
          <w:tcPr>
            <w:tcW w:w="1869" w:type="dxa"/>
            <w:tcBorders>
              <w:top w:val="single" w:sz="4" w:space="0" w:color="000000"/>
              <w:left w:val="single" w:sz="4" w:space="0" w:color="000000"/>
              <w:bottom w:val="single" w:sz="4" w:space="0" w:color="000000"/>
              <w:right w:val="single" w:sz="4" w:space="0" w:color="000000"/>
            </w:tcBorders>
            <w:shd w:val="clear" w:color="auto" w:fill="BDD6EE"/>
            <w:vAlign w:val="center"/>
          </w:tcPr>
          <w:p w14:paraId="15F53981" w14:textId="77777777" w:rsidR="002449C2" w:rsidRDefault="00123961">
            <w:pPr>
              <w:spacing w:after="0" w:line="240" w:lineRule="auto"/>
              <w:jc w:val="center"/>
              <w:rPr>
                <w:rFonts w:ascii="Times New Roman" w:eastAsia="Times New Roman" w:hAnsi="Times New Roman"/>
                <w:b/>
                <w:sz w:val="18"/>
                <w:szCs w:val="18"/>
                <w:lang w:eastAsia="ru-RU"/>
              </w:rPr>
            </w:pPr>
            <w:r>
              <w:rPr>
                <w:rFonts w:ascii="Times New Roman" w:eastAsia="Times New Roman" w:hAnsi="Times New Roman"/>
                <w:b/>
                <w:sz w:val="18"/>
                <w:szCs w:val="18"/>
                <w:lang w:eastAsia="ru-RU"/>
              </w:rPr>
              <w:t>КОМИТЕТ</w:t>
            </w:r>
          </w:p>
          <w:p w14:paraId="7BABCFEB" w14:textId="77777777" w:rsidR="002449C2" w:rsidRDefault="00123961">
            <w:pPr>
              <w:spacing w:after="0" w:line="240" w:lineRule="auto"/>
              <w:jc w:val="center"/>
              <w:rPr>
                <w:rFonts w:ascii="Times New Roman" w:eastAsia="Times New Roman" w:hAnsi="Times New Roman"/>
                <w:b/>
                <w:sz w:val="18"/>
                <w:szCs w:val="18"/>
                <w:lang w:eastAsia="ru-RU"/>
              </w:rPr>
            </w:pPr>
            <w:r>
              <w:rPr>
                <w:rFonts w:ascii="Times New Roman" w:eastAsia="Times New Roman" w:hAnsi="Times New Roman"/>
                <w:b/>
                <w:sz w:val="18"/>
                <w:szCs w:val="18"/>
                <w:lang w:eastAsia="ru-RU"/>
              </w:rPr>
              <w:t>ПО КАДРАМ И ВОЗНАГРАЖДЕ-НИЯМ</w:t>
            </w:r>
          </w:p>
        </w:tc>
        <w:tc>
          <w:tcPr>
            <w:tcW w:w="1869" w:type="dxa"/>
            <w:tcBorders>
              <w:top w:val="single" w:sz="4" w:space="0" w:color="000000"/>
              <w:left w:val="single" w:sz="4" w:space="0" w:color="000000"/>
              <w:bottom w:val="single" w:sz="4" w:space="0" w:color="000000"/>
              <w:right w:val="single" w:sz="4" w:space="0" w:color="000000"/>
            </w:tcBorders>
            <w:shd w:val="clear" w:color="auto" w:fill="BDD6EE"/>
            <w:vAlign w:val="center"/>
          </w:tcPr>
          <w:p w14:paraId="09546435" w14:textId="77777777" w:rsidR="002449C2" w:rsidRDefault="00123961">
            <w:pPr>
              <w:spacing w:after="0" w:line="240" w:lineRule="auto"/>
              <w:jc w:val="center"/>
              <w:rPr>
                <w:rFonts w:ascii="Times New Roman" w:eastAsia="Times New Roman" w:hAnsi="Times New Roman"/>
                <w:b/>
                <w:sz w:val="18"/>
                <w:szCs w:val="18"/>
                <w:lang w:eastAsia="ru-RU"/>
              </w:rPr>
            </w:pPr>
            <w:r>
              <w:rPr>
                <w:rFonts w:ascii="Times New Roman" w:eastAsia="Times New Roman" w:hAnsi="Times New Roman"/>
                <w:b/>
                <w:sz w:val="18"/>
                <w:szCs w:val="18"/>
                <w:lang w:eastAsia="ru-RU"/>
              </w:rPr>
              <w:t>КОМИТЕТ</w:t>
            </w:r>
          </w:p>
          <w:p w14:paraId="05950638" w14:textId="77777777" w:rsidR="002449C2" w:rsidRDefault="00123961">
            <w:pPr>
              <w:spacing w:after="0" w:line="240" w:lineRule="auto"/>
              <w:jc w:val="center"/>
              <w:rPr>
                <w:rFonts w:ascii="Times New Roman" w:eastAsia="Times New Roman" w:hAnsi="Times New Roman"/>
                <w:b/>
                <w:sz w:val="18"/>
                <w:szCs w:val="18"/>
                <w:lang w:eastAsia="ru-RU"/>
              </w:rPr>
            </w:pPr>
            <w:r>
              <w:rPr>
                <w:rFonts w:ascii="Times New Roman" w:eastAsia="Times New Roman" w:hAnsi="Times New Roman"/>
                <w:b/>
                <w:sz w:val="18"/>
                <w:szCs w:val="18"/>
                <w:lang w:eastAsia="ru-RU"/>
              </w:rPr>
              <w:t>ПО СТРАТЕГИИ</w:t>
            </w:r>
          </w:p>
        </w:tc>
        <w:tc>
          <w:tcPr>
            <w:tcW w:w="1612" w:type="dxa"/>
            <w:tcBorders>
              <w:top w:val="single" w:sz="4" w:space="0" w:color="000000"/>
              <w:left w:val="single" w:sz="4" w:space="0" w:color="000000"/>
              <w:bottom w:val="single" w:sz="4" w:space="0" w:color="000000"/>
              <w:right w:val="single" w:sz="4" w:space="0" w:color="000000"/>
            </w:tcBorders>
            <w:shd w:val="clear" w:color="auto" w:fill="BDD6EE"/>
            <w:vAlign w:val="center"/>
          </w:tcPr>
          <w:p w14:paraId="411C5854" w14:textId="77777777" w:rsidR="002449C2" w:rsidRDefault="00123961">
            <w:pPr>
              <w:spacing w:after="0" w:line="240" w:lineRule="auto"/>
              <w:jc w:val="center"/>
              <w:rPr>
                <w:rFonts w:ascii="Times New Roman" w:eastAsia="Times New Roman" w:hAnsi="Times New Roman"/>
                <w:b/>
                <w:sz w:val="18"/>
                <w:szCs w:val="18"/>
                <w:lang w:eastAsia="ru-RU"/>
              </w:rPr>
            </w:pPr>
            <w:r>
              <w:rPr>
                <w:rFonts w:ascii="Times New Roman" w:eastAsia="Times New Roman" w:hAnsi="Times New Roman"/>
                <w:b/>
                <w:sz w:val="18"/>
                <w:szCs w:val="18"/>
                <w:lang w:eastAsia="ru-RU"/>
              </w:rPr>
              <w:t>КОМИТЕТ</w:t>
            </w:r>
          </w:p>
          <w:p w14:paraId="77755B04" w14:textId="77777777" w:rsidR="002449C2" w:rsidRDefault="00123961">
            <w:pPr>
              <w:spacing w:after="0" w:line="240" w:lineRule="auto"/>
              <w:jc w:val="center"/>
              <w:rPr>
                <w:rFonts w:ascii="Times New Roman" w:eastAsia="Times New Roman" w:hAnsi="Times New Roman"/>
                <w:b/>
                <w:sz w:val="18"/>
                <w:szCs w:val="18"/>
                <w:lang w:eastAsia="ru-RU"/>
              </w:rPr>
            </w:pPr>
            <w:r>
              <w:rPr>
                <w:rFonts w:ascii="Times New Roman" w:eastAsia="Times New Roman" w:hAnsi="Times New Roman"/>
                <w:b/>
                <w:sz w:val="18"/>
                <w:szCs w:val="18"/>
                <w:lang w:eastAsia="ru-RU"/>
              </w:rPr>
              <w:t>ПО НАДЕЖНОСТИ</w:t>
            </w:r>
          </w:p>
        </w:tc>
        <w:tc>
          <w:tcPr>
            <w:tcW w:w="2126" w:type="dxa"/>
            <w:tcBorders>
              <w:top w:val="single" w:sz="4" w:space="0" w:color="000000"/>
              <w:left w:val="single" w:sz="4" w:space="0" w:color="000000"/>
              <w:bottom w:val="single" w:sz="4" w:space="0" w:color="000000"/>
              <w:right w:val="single" w:sz="4" w:space="0" w:color="000000"/>
            </w:tcBorders>
            <w:shd w:val="clear" w:color="auto" w:fill="BDD6EE"/>
            <w:vAlign w:val="center"/>
          </w:tcPr>
          <w:p w14:paraId="6C3193C0" w14:textId="77777777" w:rsidR="002449C2" w:rsidRDefault="00123961">
            <w:pPr>
              <w:spacing w:after="0" w:line="240" w:lineRule="auto"/>
              <w:jc w:val="center"/>
              <w:rPr>
                <w:rFonts w:ascii="Times New Roman" w:eastAsia="Times New Roman" w:hAnsi="Times New Roman"/>
                <w:b/>
                <w:sz w:val="18"/>
                <w:szCs w:val="18"/>
                <w:lang w:eastAsia="ru-RU"/>
              </w:rPr>
            </w:pPr>
            <w:r>
              <w:rPr>
                <w:rFonts w:ascii="Times New Roman" w:eastAsia="Times New Roman" w:hAnsi="Times New Roman"/>
                <w:b/>
                <w:sz w:val="18"/>
                <w:szCs w:val="18"/>
                <w:lang w:eastAsia="ru-RU"/>
              </w:rPr>
              <w:t>КОМИТЕТ</w:t>
            </w:r>
          </w:p>
          <w:p w14:paraId="44FE0AC9" w14:textId="77777777" w:rsidR="002449C2" w:rsidRDefault="00123961">
            <w:pPr>
              <w:spacing w:after="0" w:line="240" w:lineRule="auto"/>
              <w:jc w:val="center"/>
              <w:rPr>
                <w:rFonts w:ascii="Times New Roman" w:eastAsia="Times New Roman" w:hAnsi="Times New Roman"/>
                <w:b/>
                <w:sz w:val="18"/>
                <w:szCs w:val="18"/>
                <w:lang w:eastAsia="ru-RU"/>
              </w:rPr>
            </w:pPr>
            <w:r>
              <w:rPr>
                <w:rFonts w:ascii="Times New Roman" w:eastAsia="Times New Roman" w:hAnsi="Times New Roman"/>
                <w:b/>
                <w:sz w:val="18"/>
                <w:szCs w:val="18"/>
                <w:lang w:eastAsia="ru-RU"/>
              </w:rPr>
              <w:t>ПО ТЕХНОЛОГИЧЕС-КОМУ ПРИСОЕДИНЕНИЮ К ЭЛЕКТРИЧЕСКИМ СЕТЯМ</w:t>
            </w:r>
          </w:p>
        </w:tc>
      </w:tr>
      <w:tr w:rsidR="002449C2" w14:paraId="4DB649CB" w14:textId="77777777">
        <w:tc>
          <w:tcPr>
            <w:tcW w:w="9345" w:type="dxa"/>
            <w:gridSpan w:val="5"/>
            <w:tcBorders>
              <w:top w:val="single" w:sz="4" w:space="0" w:color="000000"/>
              <w:left w:val="single" w:sz="4" w:space="0" w:color="000000"/>
              <w:bottom w:val="single" w:sz="4" w:space="0" w:color="000000"/>
              <w:right w:val="single" w:sz="4" w:space="0" w:color="000000"/>
            </w:tcBorders>
            <w:shd w:val="clear" w:color="auto" w:fill="FFFFFF"/>
          </w:tcPr>
          <w:p w14:paraId="09383E2F" w14:textId="77777777" w:rsidR="002449C2" w:rsidRDefault="00123961">
            <w:pPr>
              <w:spacing w:after="0" w:line="240" w:lineRule="auto"/>
              <w:jc w:val="center"/>
              <w:rPr>
                <w:rFonts w:ascii="Times New Roman" w:eastAsia="Times New Roman" w:hAnsi="Times New Roman"/>
                <w:b/>
                <w:i/>
                <w:sz w:val="18"/>
                <w:szCs w:val="18"/>
                <w:lang w:eastAsia="ru-RU"/>
              </w:rPr>
            </w:pPr>
            <w:r>
              <w:rPr>
                <w:rFonts w:ascii="Times New Roman" w:eastAsia="Times New Roman" w:hAnsi="Times New Roman"/>
                <w:b/>
                <w:i/>
                <w:sz w:val="18"/>
                <w:szCs w:val="18"/>
                <w:lang w:eastAsia="ru-RU"/>
              </w:rPr>
              <w:t>Информация о создании</w:t>
            </w:r>
          </w:p>
        </w:tc>
      </w:tr>
      <w:tr w:rsidR="002449C2" w14:paraId="616D38FE" w14:textId="77777777">
        <w:tc>
          <w:tcPr>
            <w:tcW w:w="1869" w:type="dxa"/>
            <w:tcBorders>
              <w:top w:val="single" w:sz="4" w:space="0" w:color="000000"/>
              <w:left w:val="single" w:sz="4" w:space="0" w:color="000000"/>
              <w:bottom w:val="single" w:sz="4" w:space="0" w:color="000000"/>
              <w:right w:val="single" w:sz="4" w:space="0" w:color="000000"/>
            </w:tcBorders>
          </w:tcPr>
          <w:p w14:paraId="6539DDD7" w14:textId="77777777" w:rsidR="002449C2" w:rsidRDefault="00123961">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pacing w:val="-2"/>
                <w:sz w:val="18"/>
                <w:szCs w:val="18"/>
                <w:lang w:eastAsia="ru-RU"/>
              </w:rPr>
              <w:t>Решение Совета директоров Общества 01.12.2009 (протокол от 04.12.2009 №37/2009)</w:t>
            </w:r>
          </w:p>
        </w:tc>
        <w:tc>
          <w:tcPr>
            <w:tcW w:w="1869" w:type="dxa"/>
            <w:tcBorders>
              <w:top w:val="single" w:sz="4" w:space="0" w:color="000000"/>
              <w:left w:val="single" w:sz="4" w:space="0" w:color="000000"/>
              <w:bottom w:val="single" w:sz="4" w:space="0" w:color="000000"/>
              <w:right w:val="single" w:sz="4" w:space="0" w:color="000000"/>
            </w:tcBorders>
          </w:tcPr>
          <w:p w14:paraId="78006CED" w14:textId="77777777" w:rsidR="002449C2" w:rsidRDefault="00123961">
            <w:pPr>
              <w:spacing w:after="0" w:line="240" w:lineRule="auto"/>
              <w:jc w:val="center"/>
              <w:rPr>
                <w:rFonts w:ascii="Times New Roman" w:eastAsia="Times New Roman" w:hAnsi="Times New Roman"/>
                <w:spacing w:val="-2"/>
                <w:sz w:val="18"/>
                <w:szCs w:val="18"/>
                <w:lang w:eastAsia="ru-RU"/>
              </w:rPr>
            </w:pPr>
            <w:r>
              <w:rPr>
                <w:rFonts w:ascii="Times New Roman" w:eastAsia="Times New Roman" w:hAnsi="Times New Roman"/>
                <w:spacing w:val="-2"/>
                <w:sz w:val="18"/>
                <w:szCs w:val="18"/>
                <w:lang w:eastAsia="ru-RU"/>
              </w:rPr>
              <w:t>Решение Совета директоров Общества 01.12.2009 (протокол от 04.12.2009 №37/2009)</w:t>
            </w:r>
          </w:p>
        </w:tc>
        <w:tc>
          <w:tcPr>
            <w:tcW w:w="1869" w:type="dxa"/>
            <w:tcBorders>
              <w:top w:val="single" w:sz="4" w:space="0" w:color="000000"/>
              <w:left w:val="single" w:sz="4" w:space="0" w:color="000000"/>
              <w:bottom w:val="single" w:sz="4" w:space="0" w:color="000000"/>
              <w:right w:val="single" w:sz="4" w:space="0" w:color="000000"/>
            </w:tcBorders>
          </w:tcPr>
          <w:p w14:paraId="435FA88C" w14:textId="77777777" w:rsidR="002449C2" w:rsidRDefault="00123961">
            <w:pPr>
              <w:spacing w:after="0" w:line="240" w:lineRule="auto"/>
              <w:jc w:val="center"/>
              <w:rPr>
                <w:rFonts w:ascii="Times New Roman" w:eastAsia="Times New Roman" w:hAnsi="Times New Roman"/>
                <w:spacing w:val="-2"/>
                <w:sz w:val="18"/>
                <w:szCs w:val="18"/>
                <w:lang w:eastAsia="ru-RU"/>
              </w:rPr>
            </w:pPr>
            <w:r>
              <w:rPr>
                <w:rFonts w:ascii="Times New Roman" w:eastAsia="Times New Roman" w:hAnsi="Times New Roman"/>
                <w:spacing w:val="-2"/>
                <w:sz w:val="18"/>
                <w:szCs w:val="18"/>
                <w:lang w:eastAsia="ru-RU"/>
              </w:rPr>
              <w:t>Решение Совета директоров Общества 01.12.2009 (протокол от 04.12.2009 №37/2009)</w:t>
            </w:r>
          </w:p>
        </w:tc>
        <w:tc>
          <w:tcPr>
            <w:tcW w:w="1612" w:type="dxa"/>
            <w:tcBorders>
              <w:top w:val="single" w:sz="4" w:space="0" w:color="000000"/>
              <w:left w:val="single" w:sz="4" w:space="0" w:color="000000"/>
              <w:bottom w:val="single" w:sz="4" w:space="0" w:color="000000"/>
              <w:right w:val="single" w:sz="4" w:space="0" w:color="000000"/>
            </w:tcBorders>
          </w:tcPr>
          <w:p w14:paraId="47D1E4CA" w14:textId="77777777" w:rsidR="002449C2" w:rsidRDefault="00123961">
            <w:pPr>
              <w:spacing w:after="0" w:line="240" w:lineRule="auto"/>
              <w:jc w:val="center"/>
              <w:rPr>
                <w:rFonts w:ascii="Times New Roman" w:eastAsia="Times New Roman" w:hAnsi="Times New Roman"/>
                <w:spacing w:val="-2"/>
                <w:sz w:val="18"/>
                <w:szCs w:val="18"/>
                <w:lang w:eastAsia="ru-RU"/>
              </w:rPr>
            </w:pPr>
            <w:r>
              <w:rPr>
                <w:rFonts w:ascii="Times New Roman" w:eastAsia="Times New Roman" w:hAnsi="Times New Roman"/>
                <w:spacing w:val="-2"/>
                <w:sz w:val="18"/>
                <w:szCs w:val="18"/>
                <w:lang w:eastAsia="ru-RU"/>
              </w:rPr>
              <w:t>Решение Совета директоров Общества 01.12.2009 (протокол от 04.12.2009 №37/2009)</w:t>
            </w:r>
          </w:p>
        </w:tc>
        <w:tc>
          <w:tcPr>
            <w:tcW w:w="2126" w:type="dxa"/>
            <w:tcBorders>
              <w:top w:val="single" w:sz="4" w:space="0" w:color="000000"/>
              <w:left w:val="single" w:sz="4" w:space="0" w:color="000000"/>
              <w:bottom w:val="single" w:sz="4" w:space="0" w:color="000000"/>
              <w:right w:val="single" w:sz="4" w:space="0" w:color="000000"/>
            </w:tcBorders>
          </w:tcPr>
          <w:p w14:paraId="5A4302BB" w14:textId="77777777" w:rsidR="002449C2" w:rsidRDefault="00123961">
            <w:pPr>
              <w:spacing w:after="0" w:line="240" w:lineRule="auto"/>
              <w:jc w:val="center"/>
              <w:rPr>
                <w:rFonts w:ascii="Times New Roman" w:eastAsia="Times New Roman" w:hAnsi="Times New Roman"/>
                <w:spacing w:val="-2"/>
                <w:sz w:val="18"/>
                <w:szCs w:val="18"/>
                <w:lang w:eastAsia="ru-RU"/>
              </w:rPr>
            </w:pPr>
            <w:r>
              <w:rPr>
                <w:rFonts w:ascii="Times New Roman" w:eastAsia="Times New Roman" w:hAnsi="Times New Roman"/>
                <w:spacing w:val="-2"/>
                <w:sz w:val="18"/>
                <w:szCs w:val="18"/>
                <w:lang w:eastAsia="ru-RU"/>
              </w:rPr>
              <w:t>Решение</w:t>
            </w:r>
          </w:p>
          <w:p w14:paraId="57CCA89B" w14:textId="77777777" w:rsidR="002449C2" w:rsidRDefault="00123961">
            <w:pPr>
              <w:spacing w:after="0" w:line="240" w:lineRule="auto"/>
              <w:jc w:val="center"/>
              <w:rPr>
                <w:rFonts w:ascii="Times New Roman" w:eastAsia="Times New Roman" w:hAnsi="Times New Roman"/>
                <w:spacing w:val="-2"/>
                <w:sz w:val="18"/>
                <w:szCs w:val="18"/>
                <w:lang w:eastAsia="ru-RU"/>
              </w:rPr>
            </w:pPr>
            <w:r>
              <w:rPr>
                <w:rFonts w:ascii="Times New Roman" w:eastAsia="Times New Roman" w:hAnsi="Times New Roman"/>
                <w:spacing w:val="-2"/>
                <w:sz w:val="18"/>
                <w:szCs w:val="18"/>
                <w:lang w:eastAsia="ru-RU"/>
              </w:rPr>
              <w:t>Совета директоров Общества 27.02.2009 (протокол от 02.03.2009 №23/2009)</w:t>
            </w:r>
          </w:p>
        </w:tc>
      </w:tr>
    </w:tbl>
    <w:p w14:paraId="36305DB0" w14:textId="77777777" w:rsidR="002449C2" w:rsidRDefault="002449C2">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p>
    <w:p w14:paraId="305F78DC" w14:textId="658B705A"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 xml:space="preserve">Цели, задачи и компетенция Комитетов, а также порядок формирования и порядок работы определены Положениями о каждом Комитете, утвержденными Советом директоров и размещенными на официальном сайте Общества. Деятельность Комитетов осуществляется в соответствии с планами работы Комитетов, ежегодно утверждаемыми </w:t>
      </w:r>
      <w:r w:rsidR="00FE1B75">
        <w:rPr>
          <w:rFonts w:ascii="Times New Roman" w:eastAsia="Times New Roman" w:hAnsi="Times New Roman"/>
          <w:spacing w:val="-2"/>
          <w:sz w:val="26"/>
          <w:szCs w:val="26"/>
          <w:lang w:eastAsia="en-US"/>
        </w:rPr>
        <w:t>Комитетами</w:t>
      </w:r>
      <w:r>
        <w:rPr>
          <w:rFonts w:ascii="Times New Roman" w:eastAsia="Times New Roman" w:hAnsi="Times New Roman"/>
          <w:spacing w:val="-2"/>
          <w:sz w:val="26"/>
          <w:szCs w:val="26"/>
          <w:lang w:eastAsia="en-US"/>
        </w:rPr>
        <w:t>.</w:t>
      </w:r>
    </w:p>
    <w:p w14:paraId="59AC6B1C" w14:textId="77777777" w:rsidR="002449C2" w:rsidRDefault="002449C2">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p>
    <w:p w14:paraId="4695ED2F" w14:textId="316617CD"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 xml:space="preserve">В состав Комитетов входят представители различных групп акционеров Общества и менеджмент Компании, что обеспечивает разносторонний подход при формировании и принятии объективных и сбалансированных решений, выдаче рекомендаций Совету директоров и </w:t>
      </w:r>
      <w:r w:rsidR="00FE1B75">
        <w:rPr>
          <w:rFonts w:ascii="Times New Roman" w:eastAsia="Times New Roman" w:hAnsi="Times New Roman"/>
          <w:spacing w:val="-2"/>
          <w:sz w:val="26"/>
          <w:szCs w:val="26"/>
          <w:lang w:eastAsia="en-US"/>
        </w:rPr>
        <w:t xml:space="preserve">исполнительным </w:t>
      </w:r>
      <w:r>
        <w:rPr>
          <w:rFonts w:ascii="Times New Roman" w:eastAsia="Times New Roman" w:hAnsi="Times New Roman"/>
          <w:spacing w:val="-2"/>
          <w:sz w:val="26"/>
          <w:szCs w:val="26"/>
          <w:lang w:eastAsia="en-US"/>
        </w:rPr>
        <w:t>орган</w:t>
      </w:r>
      <w:r w:rsidR="00FE1B75">
        <w:rPr>
          <w:rFonts w:ascii="Times New Roman" w:eastAsia="Times New Roman" w:hAnsi="Times New Roman"/>
          <w:spacing w:val="-2"/>
          <w:sz w:val="26"/>
          <w:szCs w:val="26"/>
          <w:lang w:eastAsia="en-US"/>
        </w:rPr>
        <w:t>ам</w:t>
      </w:r>
      <w:r>
        <w:rPr>
          <w:rFonts w:ascii="Times New Roman" w:eastAsia="Times New Roman" w:hAnsi="Times New Roman"/>
          <w:spacing w:val="-2"/>
          <w:sz w:val="26"/>
          <w:szCs w:val="26"/>
          <w:lang w:eastAsia="en-US"/>
        </w:rPr>
        <w:t xml:space="preserve"> Общества.</w:t>
      </w:r>
    </w:p>
    <w:p w14:paraId="00B90004" w14:textId="77777777" w:rsidR="002449C2" w:rsidRDefault="002449C2">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p>
    <w:p w14:paraId="2C7F2788" w14:textId="372B1956" w:rsidR="00C846B8" w:rsidRPr="00C846B8" w:rsidRDefault="00123961" w:rsidP="00C846B8">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 xml:space="preserve">Комитеты подотчетны в своей деятельности Совету директоров Общества. В рамках исполнения рекомендаций Кодекса корпоративного управления Банка России Председатели Комитетов ежегодно представляют Совету директоров отчеты о проделанной работе. Отчеты Комитетов Совета директоров Общества о проделанной работе за 2023-2024 корпоративный год рассмотрены Советом директоров 08.07.2024 (протокол от 08.07.2024 № 582/2024). </w:t>
      </w:r>
    </w:p>
    <w:p w14:paraId="5442480F" w14:textId="6A798A50" w:rsidR="002449C2" w:rsidRDefault="002449C2">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p>
    <w:p w14:paraId="0DD3408B" w14:textId="77777777" w:rsidR="002449C2" w:rsidRDefault="00123961">
      <w:pPr>
        <w:tabs>
          <w:tab w:val="left" w:pos="1134"/>
        </w:tabs>
        <w:spacing w:after="0" w:line="240" w:lineRule="auto"/>
        <w:ind w:left="708" w:firstLine="567"/>
        <w:jc w:val="both"/>
        <w:rPr>
          <w:rFonts w:ascii="Times New Roman" w:eastAsia="Times New Roman" w:hAnsi="Times New Roman"/>
          <w:i/>
          <w:sz w:val="26"/>
          <w:szCs w:val="26"/>
          <w:lang w:eastAsia="ru-RU"/>
        </w:rPr>
      </w:pPr>
      <w:r>
        <w:br w:type="page"/>
      </w:r>
    </w:p>
    <w:p w14:paraId="7C5FD24F" w14:textId="77777777" w:rsidR="002449C2" w:rsidRDefault="00123961">
      <w:pPr>
        <w:tabs>
          <w:tab w:val="left" w:pos="1134"/>
        </w:tabs>
        <w:spacing w:after="0" w:line="240" w:lineRule="auto"/>
        <w:ind w:left="708" w:firstLine="567"/>
        <w:jc w:val="both"/>
        <w:rPr>
          <w:rFonts w:ascii="Times New Roman" w:eastAsia="Times New Roman" w:hAnsi="Times New Roman"/>
          <w:i/>
          <w:sz w:val="26"/>
          <w:szCs w:val="26"/>
          <w:lang w:eastAsia="ru-RU"/>
        </w:rPr>
      </w:pPr>
      <w:r>
        <w:rPr>
          <w:rFonts w:ascii="Times New Roman" w:eastAsia="Times New Roman" w:hAnsi="Times New Roman"/>
          <w:i/>
          <w:sz w:val="26"/>
          <w:szCs w:val="26"/>
          <w:lang w:eastAsia="ru-RU"/>
        </w:rPr>
        <w:t>Статистика заседаний и рассмотренных вопросов в 2024 году</w:t>
      </w:r>
    </w:p>
    <w:p w14:paraId="03141B49" w14:textId="77777777" w:rsidR="002449C2" w:rsidRDefault="00123961">
      <w:pPr>
        <w:shd w:val="clear" w:color="auto" w:fill="FFFFFF"/>
        <w:tabs>
          <w:tab w:val="left" w:pos="142"/>
        </w:tabs>
        <w:spacing w:after="0" w:line="240" w:lineRule="auto"/>
        <w:rPr>
          <w:rFonts w:ascii="Times New Roman" w:hAnsi="Times New Roman"/>
          <w:spacing w:val="-2"/>
          <w:sz w:val="24"/>
          <w:szCs w:val="24"/>
          <w:highlight w:val="yellow"/>
          <w:lang w:eastAsia="en-US"/>
        </w:rPr>
      </w:pPr>
      <w:r>
        <w:rPr>
          <w:noProof/>
          <w:lang w:eastAsia="ru-RU"/>
        </w:rPr>
        <w:drawing>
          <wp:inline distT="0" distB="0" distL="0" distR="0" wp14:anchorId="28CBB05D" wp14:editId="29399EF4">
            <wp:extent cx="5834380" cy="2688590"/>
            <wp:effectExtent l="0" t="0" r="0" b="0"/>
            <wp:docPr id="112" name="_x005F_x0000_i4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_x005F_x0000_i4491"/>
                    <pic:cNvPicPr>
                      <a:picLocks noChangeAspect="1" noChangeArrowheads="1"/>
                    </pic:cNvPicPr>
                  </pic:nvPicPr>
                  <pic:blipFill>
                    <a:blip r:embed="rId158"/>
                    <a:stretch>
                      <a:fillRect/>
                    </a:stretch>
                  </pic:blipFill>
                  <pic:spPr bwMode="auto">
                    <a:xfrm>
                      <a:off x="0" y="0"/>
                      <a:ext cx="5834380" cy="2688590"/>
                    </a:xfrm>
                    <a:prstGeom prst="rect">
                      <a:avLst/>
                    </a:prstGeom>
                    <a:noFill/>
                  </pic:spPr>
                </pic:pic>
              </a:graphicData>
            </a:graphic>
          </wp:inline>
        </w:drawing>
      </w:r>
    </w:p>
    <w:p w14:paraId="3567794A" w14:textId="77777777" w:rsidR="002449C2" w:rsidRDefault="002449C2">
      <w:pPr>
        <w:shd w:val="clear" w:color="auto" w:fill="FFFFFF"/>
        <w:tabs>
          <w:tab w:val="left" w:pos="142"/>
        </w:tabs>
        <w:spacing w:after="0" w:line="240" w:lineRule="auto"/>
        <w:jc w:val="both"/>
        <w:rPr>
          <w:rFonts w:ascii="Times New Roman" w:hAnsi="Times New Roman"/>
          <w:b/>
          <w:spacing w:val="-2"/>
          <w:sz w:val="26"/>
          <w:szCs w:val="26"/>
          <w:lang w:eastAsia="en-US"/>
        </w:rPr>
      </w:pPr>
    </w:p>
    <w:p w14:paraId="5DA4E772" w14:textId="77777777" w:rsidR="002449C2" w:rsidRDefault="00123961">
      <w:pPr>
        <w:shd w:val="clear" w:color="auto" w:fill="FFFFFF"/>
        <w:tabs>
          <w:tab w:val="left" w:pos="142"/>
        </w:tabs>
        <w:spacing w:after="0" w:line="240" w:lineRule="auto"/>
        <w:jc w:val="center"/>
        <w:rPr>
          <w:rFonts w:ascii="Times New Roman" w:hAnsi="Times New Roman"/>
          <w:b/>
          <w:color w:val="2E74B5"/>
          <w:spacing w:val="-2"/>
          <w:sz w:val="26"/>
          <w:szCs w:val="26"/>
          <w:lang w:eastAsia="en-US"/>
        </w:rPr>
      </w:pPr>
      <w:r>
        <w:rPr>
          <w:rFonts w:ascii="Times New Roman" w:hAnsi="Times New Roman"/>
          <w:b/>
          <w:color w:val="2E74B5"/>
          <w:spacing w:val="-2"/>
          <w:sz w:val="26"/>
          <w:szCs w:val="26"/>
          <w:lang w:eastAsia="en-US"/>
        </w:rPr>
        <w:t>КОМИТЕТ ПО АУДИТУ</w:t>
      </w:r>
    </w:p>
    <w:p w14:paraId="1A4FEFE9" w14:textId="77777777" w:rsidR="002449C2" w:rsidRDefault="002449C2">
      <w:pPr>
        <w:shd w:val="clear" w:color="auto" w:fill="FFFFFF"/>
        <w:tabs>
          <w:tab w:val="left" w:pos="142"/>
        </w:tabs>
        <w:spacing w:after="0" w:line="240" w:lineRule="auto"/>
        <w:ind w:firstLine="567"/>
        <w:jc w:val="both"/>
        <w:rPr>
          <w:rFonts w:ascii="Times New Roman" w:hAnsi="Times New Roman"/>
          <w:spacing w:val="-2"/>
          <w:sz w:val="26"/>
          <w:szCs w:val="26"/>
          <w:lang w:eastAsia="en-US"/>
        </w:rPr>
      </w:pPr>
    </w:p>
    <w:p w14:paraId="07B37BEA"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 xml:space="preserve">Деятельность регулируется </w:t>
      </w:r>
      <w:hyperlink r:id="rId159">
        <w:r>
          <w:rPr>
            <w:rFonts w:ascii="Times New Roman" w:hAnsi="Times New Roman"/>
            <w:color w:val="0000FF"/>
            <w:spacing w:val="-2"/>
            <w:sz w:val="26"/>
            <w:szCs w:val="26"/>
            <w:u w:val="single"/>
            <w:lang w:eastAsia="en-US"/>
          </w:rPr>
          <w:t>Положением о Комитете по аудиту Совета директоров ПАО «Россети Юг»</w:t>
        </w:r>
      </w:hyperlink>
      <w:r>
        <w:rPr>
          <w:rFonts w:ascii="Times New Roman" w:hAnsi="Times New Roman"/>
          <w:spacing w:val="-2"/>
          <w:sz w:val="26"/>
          <w:szCs w:val="26"/>
          <w:lang w:eastAsia="en-US"/>
        </w:rPr>
        <w:t>, утвержденным решением Совета директоров Общества 11.03.2016 (протокол от 14.03.2016 №180/2016) с учетом изменений, утвержденных 02.11.2016 (протокол от 07.11.2016 №206/2016), 10.10.2022 (протокол от 13.10.2022 №499/2022) и размещенным на официальном сайте Компании.</w:t>
      </w:r>
    </w:p>
    <w:p w14:paraId="0BA57150" w14:textId="77777777" w:rsidR="002449C2" w:rsidRDefault="002449C2">
      <w:pPr>
        <w:shd w:val="clear" w:color="auto" w:fill="FFFFFF"/>
        <w:tabs>
          <w:tab w:val="left" w:pos="142"/>
        </w:tabs>
        <w:spacing w:after="0" w:line="240" w:lineRule="auto"/>
        <w:ind w:firstLine="567"/>
        <w:jc w:val="both"/>
        <w:rPr>
          <w:rFonts w:ascii="Times New Roman" w:hAnsi="Times New Roman"/>
          <w:b/>
          <w:spacing w:val="-2"/>
          <w:sz w:val="26"/>
          <w:szCs w:val="26"/>
          <w:lang w:eastAsia="en-US"/>
        </w:rPr>
      </w:pPr>
    </w:p>
    <w:p w14:paraId="64F8D178" w14:textId="77777777" w:rsidR="002449C2" w:rsidRDefault="00123961">
      <w:pPr>
        <w:shd w:val="clear" w:color="auto" w:fill="FFFFFF"/>
        <w:tabs>
          <w:tab w:val="left" w:pos="142"/>
        </w:tabs>
        <w:spacing w:after="0" w:line="240" w:lineRule="auto"/>
        <w:ind w:firstLine="567"/>
        <w:jc w:val="both"/>
        <w:rPr>
          <w:rFonts w:ascii="Times New Roman" w:hAnsi="Times New Roman"/>
          <w:b/>
          <w:spacing w:val="-2"/>
          <w:sz w:val="26"/>
          <w:szCs w:val="26"/>
          <w:lang w:eastAsia="en-US"/>
        </w:rPr>
      </w:pPr>
      <w:r>
        <w:rPr>
          <w:rFonts w:ascii="Times New Roman" w:hAnsi="Times New Roman"/>
          <w:b/>
          <w:spacing w:val="-2"/>
          <w:sz w:val="26"/>
          <w:szCs w:val="26"/>
          <w:lang w:eastAsia="en-US"/>
        </w:rPr>
        <w:t>Основные задачи и функции</w:t>
      </w:r>
    </w:p>
    <w:p w14:paraId="3888C668"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Целью Комитета является содействие эффективному выполнению функций Совета директоров Общества в части предварительного рассмотрения вопросов, связанных с контролем за финансово-хозяйственной деятельностью Общества.</w:t>
      </w:r>
    </w:p>
    <w:p w14:paraId="72304724"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Основными задачами Комитета являются рассмотрение бухгалтерской (финансовой) отчетности и надзор за процессом ее подготовки, контроль за надежностью и эффективностью функционирования системы внутреннего контроля, системы управления рисками, практики корпоративного управления, контроль за проведением внешнего аудита и выбором аудитора, обеспечение независимости и объективности осуществления функции внутреннего аудита, а также надзор за эффективностью функционирования системы противодействия недобросовестным действиям работников Общества и третьих лиц.</w:t>
      </w:r>
    </w:p>
    <w:p w14:paraId="4126153B" w14:textId="77777777" w:rsidR="002449C2" w:rsidRDefault="002449C2">
      <w:pPr>
        <w:shd w:val="clear" w:color="auto" w:fill="FFFFFF"/>
        <w:tabs>
          <w:tab w:val="left" w:pos="142"/>
        </w:tabs>
        <w:spacing w:after="0" w:line="240" w:lineRule="auto"/>
        <w:ind w:firstLine="567"/>
        <w:jc w:val="both"/>
        <w:rPr>
          <w:rFonts w:ascii="Times New Roman" w:hAnsi="Times New Roman"/>
          <w:spacing w:val="-2"/>
          <w:sz w:val="26"/>
          <w:szCs w:val="26"/>
          <w:lang w:eastAsia="en-US"/>
        </w:rPr>
      </w:pPr>
    </w:p>
    <w:p w14:paraId="6D095AAA" w14:textId="77777777" w:rsidR="002449C2" w:rsidRDefault="00123961">
      <w:pPr>
        <w:shd w:val="clear" w:color="auto" w:fill="FFFFFF"/>
        <w:tabs>
          <w:tab w:val="left" w:pos="142"/>
        </w:tabs>
        <w:spacing w:after="0" w:line="240" w:lineRule="auto"/>
        <w:ind w:firstLine="567"/>
        <w:jc w:val="both"/>
        <w:rPr>
          <w:rFonts w:ascii="Times New Roman" w:hAnsi="Times New Roman"/>
          <w:b/>
          <w:spacing w:val="-2"/>
          <w:sz w:val="26"/>
          <w:szCs w:val="26"/>
          <w:lang w:eastAsia="en-US"/>
        </w:rPr>
      </w:pPr>
      <w:r>
        <w:rPr>
          <w:rFonts w:ascii="Times New Roman" w:hAnsi="Times New Roman"/>
          <w:b/>
          <w:spacing w:val="-2"/>
          <w:sz w:val="26"/>
          <w:szCs w:val="26"/>
          <w:lang w:eastAsia="en-US"/>
        </w:rPr>
        <w:t>Принципы формирования и срок полномочий членов Комитета</w:t>
      </w:r>
    </w:p>
    <w:p w14:paraId="1AE80A9F" w14:textId="77777777" w:rsidR="002449C2" w:rsidRDefault="00123961">
      <w:pPr>
        <w:shd w:val="clear" w:color="auto" w:fill="FFFFFF"/>
        <w:tabs>
          <w:tab w:val="left" w:pos="567"/>
        </w:tabs>
        <w:spacing w:after="0" w:line="240" w:lineRule="auto"/>
        <w:rPr>
          <w:rFonts w:ascii="Times New Roman" w:hAnsi="Times New Roman"/>
          <w:spacing w:val="-2"/>
          <w:sz w:val="26"/>
          <w:szCs w:val="26"/>
          <w:lang w:eastAsia="en-US"/>
        </w:rPr>
      </w:pPr>
      <w:r>
        <w:rPr>
          <w:rFonts w:ascii="Times New Roman" w:eastAsia="Times New Roman" w:hAnsi="Times New Roman"/>
          <w:b/>
          <w:bCs/>
          <w:sz w:val="26"/>
          <w:szCs w:val="26"/>
          <w:shd w:val="clear" w:color="auto" w:fill="FFFFFF"/>
          <w:lang w:eastAsia="ru-RU"/>
        </w:rPr>
        <w:tab/>
      </w:r>
      <w:r>
        <w:rPr>
          <w:rFonts w:ascii="Times New Roman" w:hAnsi="Times New Roman"/>
          <w:spacing w:val="-2"/>
          <w:sz w:val="26"/>
          <w:szCs w:val="26"/>
          <w:lang w:eastAsia="en-US"/>
        </w:rPr>
        <w:t>Количественный состав Комитета – не менее 3 (трех) человек.</w:t>
      </w:r>
    </w:p>
    <w:p w14:paraId="52EC27BD" w14:textId="77777777" w:rsidR="002449C2" w:rsidRDefault="00123961">
      <w:pPr>
        <w:shd w:val="clear" w:color="auto" w:fill="FFFFFF"/>
        <w:spacing w:after="0" w:line="240" w:lineRule="auto"/>
        <w:ind w:firstLine="567"/>
        <w:rPr>
          <w:rFonts w:ascii="Times New Roman" w:hAnsi="Times New Roman"/>
          <w:spacing w:val="-2"/>
          <w:sz w:val="26"/>
          <w:szCs w:val="26"/>
          <w:lang w:eastAsia="en-US"/>
        </w:rPr>
      </w:pPr>
      <w:r>
        <w:rPr>
          <w:rFonts w:ascii="Times New Roman" w:hAnsi="Times New Roman"/>
          <w:spacing w:val="-2"/>
          <w:sz w:val="26"/>
          <w:szCs w:val="26"/>
          <w:lang w:eastAsia="en-US"/>
        </w:rPr>
        <w:t>Персональный состав Комитета избирается Советом директоров Общества из числа кандидатов, представленных членами Совета директоров Общества.</w:t>
      </w:r>
    </w:p>
    <w:p w14:paraId="48BD5D6B" w14:textId="77777777" w:rsidR="002449C2" w:rsidRDefault="00123961">
      <w:pPr>
        <w:tabs>
          <w:tab w:val="left" w:pos="1276"/>
        </w:tabs>
        <w:spacing w:after="0" w:line="240" w:lineRule="auto"/>
        <w:ind w:firstLine="567"/>
        <w:contextualSpacing/>
        <w:jc w:val="both"/>
        <w:rPr>
          <w:rFonts w:ascii="Times New Roman" w:hAnsi="Times New Roman"/>
          <w:spacing w:val="-2"/>
          <w:sz w:val="26"/>
          <w:szCs w:val="26"/>
          <w:lang w:eastAsia="en-US"/>
        </w:rPr>
      </w:pPr>
      <w:r>
        <w:rPr>
          <w:rFonts w:ascii="Times New Roman" w:hAnsi="Times New Roman"/>
          <w:spacing w:val="-2"/>
          <w:sz w:val="26"/>
          <w:szCs w:val="26"/>
          <w:lang w:eastAsia="en-US"/>
        </w:rPr>
        <w:t>При выдвижении в члены Комитета отдается предпочтение кандидатам:</w:t>
      </w:r>
    </w:p>
    <w:p w14:paraId="23B5B0F5" w14:textId="77777777" w:rsidR="002449C2" w:rsidRDefault="00123961">
      <w:pPr>
        <w:tabs>
          <w:tab w:val="left" w:pos="1276"/>
        </w:tabs>
        <w:spacing w:after="0" w:line="240" w:lineRule="auto"/>
        <w:ind w:firstLine="567"/>
        <w:contextualSpacing/>
        <w:jc w:val="both"/>
        <w:rPr>
          <w:rFonts w:ascii="Times New Roman" w:hAnsi="Times New Roman"/>
          <w:spacing w:val="-2"/>
          <w:sz w:val="26"/>
          <w:szCs w:val="26"/>
          <w:lang w:eastAsia="en-US"/>
        </w:rPr>
      </w:pPr>
      <w:r>
        <w:rPr>
          <w:rFonts w:ascii="Times New Roman" w:hAnsi="Times New Roman"/>
          <w:spacing w:val="-2"/>
          <w:sz w:val="26"/>
          <w:szCs w:val="26"/>
          <w:lang w:eastAsia="en-US"/>
        </w:rPr>
        <w:t>- имеющим высшее образование в области финансов, юриспруденции, экономики или управления;</w:t>
      </w:r>
    </w:p>
    <w:p w14:paraId="0C526DBD" w14:textId="77777777" w:rsidR="002449C2" w:rsidRDefault="00123961">
      <w:pPr>
        <w:tabs>
          <w:tab w:val="left" w:pos="1276"/>
        </w:tabs>
        <w:spacing w:after="0" w:line="240" w:lineRule="auto"/>
        <w:ind w:firstLine="567"/>
        <w:contextualSpacing/>
        <w:jc w:val="both"/>
        <w:rPr>
          <w:rFonts w:ascii="Times New Roman" w:hAnsi="Times New Roman"/>
          <w:spacing w:val="-2"/>
          <w:sz w:val="26"/>
          <w:szCs w:val="26"/>
          <w:lang w:eastAsia="en-US"/>
        </w:rPr>
      </w:pPr>
      <w:r>
        <w:rPr>
          <w:rFonts w:ascii="Times New Roman" w:hAnsi="Times New Roman"/>
          <w:spacing w:val="-2"/>
          <w:sz w:val="26"/>
          <w:szCs w:val="26"/>
          <w:lang w:eastAsia="en-US"/>
        </w:rPr>
        <w:t>- имеющим опыт работы в области внутреннего аудита, внутреннего контроля и управления рисками, бухгалтерской (финансовой) отчетности, финансового менеджмента (кандидаты должны понимать принципы подготовки бухгалтерской (финансовой) отчетности и уметь «читать» бухгалтерские (финансовые) отчеты), обладать навыками сравнения и анализа);</w:t>
      </w:r>
    </w:p>
    <w:p w14:paraId="5148B11E" w14:textId="77777777" w:rsidR="002449C2" w:rsidRDefault="00123961">
      <w:pPr>
        <w:tabs>
          <w:tab w:val="left" w:pos="1276"/>
        </w:tabs>
        <w:spacing w:after="0" w:line="240" w:lineRule="auto"/>
        <w:ind w:firstLine="567"/>
        <w:contextualSpacing/>
        <w:jc w:val="both"/>
        <w:rPr>
          <w:rFonts w:ascii="Times New Roman" w:hAnsi="Times New Roman"/>
          <w:spacing w:val="-2"/>
          <w:sz w:val="26"/>
          <w:szCs w:val="26"/>
          <w:lang w:eastAsia="en-US"/>
        </w:rPr>
      </w:pPr>
      <w:r>
        <w:rPr>
          <w:rFonts w:ascii="Times New Roman" w:hAnsi="Times New Roman"/>
          <w:spacing w:val="-2"/>
          <w:sz w:val="26"/>
          <w:szCs w:val="26"/>
          <w:lang w:eastAsia="en-US"/>
        </w:rPr>
        <w:t>- имеющим базовые знания в области внутреннего аудита, контроля;</w:t>
      </w:r>
    </w:p>
    <w:p w14:paraId="6CBFB459" w14:textId="77777777" w:rsidR="002449C2" w:rsidRDefault="00123961">
      <w:pPr>
        <w:tabs>
          <w:tab w:val="left" w:pos="1276"/>
        </w:tabs>
        <w:spacing w:after="0" w:line="240" w:lineRule="auto"/>
        <w:ind w:firstLine="567"/>
        <w:contextualSpacing/>
        <w:jc w:val="both"/>
        <w:rPr>
          <w:rFonts w:ascii="Times New Roman" w:hAnsi="Times New Roman"/>
          <w:spacing w:val="-2"/>
          <w:sz w:val="26"/>
          <w:szCs w:val="26"/>
          <w:lang w:eastAsia="en-US"/>
        </w:rPr>
      </w:pPr>
      <w:r>
        <w:rPr>
          <w:rFonts w:ascii="Times New Roman" w:hAnsi="Times New Roman"/>
          <w:spacing w:val="-2"/>
          <w:sz w:val="26"/>
          <w:szCs w:val="26"/>
          <w:lang w:eastAsia="en-US"/>
        </w:rPr>
        <w:t>- обладающим знаниями о деятельности Общества (отрасль, характеристики производимых продуктов, положение на рынке, конкурентные преимущества и др.) и понимающим общие закономерности ведения бизнеса.</w:t>
      </w:r>
    </w:p>
    <w:p w14:paraId="11769C1E" w14:textId="77777777" w:rsidR="002449C2" w:rsidRDefault="00123961">
      <w:pPr>
        <w:tabs>
          <w:tab w:val="left" w:pos="1276"/>
        </w:tabs>
        <w:spacing w:after="0" w:line="240" w:lineRule="auto"/>
        <w:ind w:firstLine="567"/>
        <w:contextualSpacing/>
        <w:jc w:val="both"/>
        <w:rPr>
          <w:rFonts w:ascii="Times New Roman" w:hAnsi="Times New Roman"/>
          <w:spacing w:val="-2"/>
          <w:sz w:val="26"/>
          <w:szCs w:val="26"/>
          <w:lang w:eastAsia="en-US"/>
        </w:rPr>
      </w:pPr>
      <w:r>
        <w:rPr>
          <w:rFonts w:ascii="Times New Roman" w:hAnsi="Times New Roman"/>
          <w:spacing w:val="-2"/>
          <w:sz w:val="26"/>
          <w:szCs w:val="26"/>
          <w:lang w:eastAsia="en-US"/>
        </w:rPr>
        <w:t>При выдвижении кандидата в члены Комитета по аудиту на следующий отчетный период учитывается его участие в заседаниях Комитета в предыдущем отчетном периоде.</w:t>
      </w:r>
    </w:p>
    <w:p w14:paraId="0E4FE007" w14:textId="77777777" w:rsidR="002449C2" w:rsidRDefault="00123961">
      <w:pPr>
        <w:tabs>
          <w:tab w:val="left" w:pos="567"/>
        </w:tabs>
        <w:spacing w:after="0" w:line="240" w:lineRule="auto"/>
        <w:contextualSpacing/>
        <w:jc w:val="both"/>
        <w:rPr>
          <w:rFonts w:ascii="Times New Roman" w:hAnsi="Times New Roman"/>
          <w:spacing w:val="-2"/>
          <w:sz w:val="26"/>
          <w:szCs w:val="26"/>
          <w:lang w:eastAsia="en-US"/>
        </w:rPr>
      </w:pPr>
      <w:r>
        <w:rPr>
          <w:rFonts w:ascii="Times New Roman" w:hAnsi="Times New Roman"/>
          <w:spacing w:val="-2"/>
          <w:sz w:val="26"/>
          <w:szCs w:val="26"/>
          <w:lang w:eastAsia="en-US"/>
        </w:rPr>
        <w:tab/>
        <w:t>Также члены Комитета по аудиту должны иметь репутацию, которая не вызывает сомнений в том, что они будут добросовестно выполнять свои обязанности членов Комитета и действовать в интересах Общества.</w:t>
      </w:r>
    </w:p>
    <w:p w14:paraId="295217B4"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Члены Комитета избираются на срок до избрания следующего состава Комитета.</w:t>
      </w:r>
    </w:p>
    <w:p w14:paraId="4D641FD8"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Полномочия любого члена Комитета могут быть досрочно прекращены.</w:t>
      </w:r>
    </w:p>
    <w:p w14:paraId="152677F0" w14:textId="77777777" w:rsidR="002449C2" w:rsidRDefault="002449C2">
      <w:pPr>
        <w:shd w:val="clear" w:color="auto" w:fill="FFFFFF"/>
        <w:spacing w:after="0" w:line="240" w:lineRule="auto"/>
        <w:ind w:firstLine="567"/>
        <w:rPr>
          <w:rFonts w:ascii="Times New Roman" w:hAnsi="Times New Roman"/>
          <w:spacing w:val="-2"/>
          <w:sz w:val="26"/>
          <w:szCs w:val="26"/>
          <w:lang w:eastAsia="en-US"/>
        </w:rPr>
      </w:pPr>
    </w:p>
    <w:p w14:paraId="7FD3FD30" w14:textId="77777777" w:rsidR="002449C2" w:rsidRDefault="00123961">
      <w:pPr>
        <w:shd w:val="clear" w:color="auto" w:fill="FFFFFF"/>
        <w:spacing w:after="0" w:line="240" w:lineRule="auto"/>
        <w:ind w:firstLine="567"/>
        <w:rPr>
          <w:rFonts w:ascii="Times New Roman" w:eastAsia="Times New Roman" w:hAnsi="Times New Roman"/>
          <w:b/>
          <w:bCs/>
          <w:sz w:val="26"/>
          <w:szCs w:val="26"/>
          <w:lang w:eastAsia="ru-RU"/>
        </w:rPr>
      </w:pPr>
      <w:r>
        <w:rPr>
          <w:rFonts w:ascii="Times New Roman" w:eastAsia="Times New Roman" w:hAnsi="Times New Roman"/>
          <w:b/>
          <w:bCs/>
          <w:sz w:val="26"/>
          <w:szCs w:val="26"/>
          <w:shd w:val="clear" w:color="auto" w:fill="FFFFFF"/>
          <w:lang w:eastAsia="ru-RU"/>
        </w:rPr>
        <w:t>Персональный состав и</w:t>
      </w:r>
      <w:r>
        <w:rPr>
          <w:rFonts w:ascii="Times New Roman" w:eastAsia="Times New Roman" w:hAnsi="Times New Roman"/>
          <w:b/>
          <w:bCs/>
          <w:sz w:val="26"/>
          <w:szCs w:val="26"/>
          <w:lang w:eastAsia="ru-RU"/>
        </w:rPr>
        <w:t xml:space="preserve"> информация об участии в 2024 году</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9"/>
        <w:gridCol w:w="4290"/>
        <w:gridCol w:w="1107"/>
        <w:gridCol w:w="1197"/>
        <w:gridCol w:w="10"/>
      </w:tblGrid>
      <w:tr w:rsidR="00E165F4" w14:paraId="515542C8" w14:textId="77777777" w:rsidTr="00D234ED">
        <w:trPr>
          <w:cantSplit/>
          <w:tblHeader/>
          <w:jc w:val="center"/>
        </w:trPr>
        <w:tc>
          <w:tcPr>
            <w:tcW w:w="2899" w:type="dxa"/>
            <w:shd w:val="clear" w:color="auto" w:fill="FFFFFF"/>
            <w:vAlign w:val="center"/>
          </w:tcPr>
          <w:p w14:paraId="02A513D3" w14:textId="77777777" w:rsidR="00E165F4" w:rsidRDefault="00E165F4">
            <w:pPr>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Ф.И.О.</w:t>
            </w:r>
          </w:p>
        </w:tc>
        <w:tc>
          <w:tcPr>
            <w:tcW w:w="4290" w:type="dxa"/>
            <w:shd w:val="clear" w:color="auto" w:fill="FFFFFF"/>
            <w:vAlign w:val="center"/>
          </w:tcPr>
          <w:p w14:paraId="11F64306" w14:textId="77777777" w:rsidR="00E165F4" w:rsidRDefault="00E165F4" w:rsidP="00866546">
            <w:pPr>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Должность</w:t>
            </w:r>
            <w:r>
              <w:rPr>
                <w:rStyle w:val="af"/>
                <w:rFonts w:ascii="Times New Roman" w:eastAsia="Times New Roman" w:hAnsi="Times New Roman"/>
                <w:b/>
                <w:sz w:val="20"/>
                <w:szCs w:val="20"/>
                <w:lang w:eastAsia="ar-SA"/>
              </w:rPr>
              <w:footnoteReference w:id="20"/>
            </w:r>
          </w:p>
        </w:tc>
        <w:tc>
          <w:tcPr>
            <w:tcW w:w="1107" w:type="dxa"/>
            <w:shd w:val="clear" w:color="auto" w:fill="FFFFFF"/>
            <w:vAlign w:val="center"/>
          </w:tcPr>
          <w:p w14:paraId="2F75E798" w14:textId="77777777" w:rsidR="00E165F4" w:rsidRDefault="00E165F4">
            <w:pPr>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Участие</w:t>
            </w:r>
          </w:p>
        </w:tc>
        <w:tc>
          <w:tcPr>
            <w:tcW w:w="1207" w:type="dxa"/>
            <w:gridSpan w:val="2"/>
            <w:shd w:val="clear" w:color="auto" w:fill="FFFFFF"/>
            <w:vAlign w:val="center"/>
          </w:tcPr>
          <w:p w14:paraId="659CF44E" w14:textId="235C719D" w:rsidR="00E165F4" w:rsidRDefault="00E165F4">
            <w:r>
              <w:rPr>
                <w:rFonts w:ascii="Times New Roman" w:eastAsia="Times New Roman" w:hAnsi="Times New Roman"/>
                <w:b/>
                <w:sz w:val="20"/>
                <w:szCs w:val="20"/>
                <w:lang w:eastAsia="ar-SA"/>
              </w:rPr>
              <w:t>% участия</w:t>
            </w:r>
          </w:p>
        </w:tc>
      </w:tr>
      <w:tr w:rsidR="002449C2" w14:paraId="2EFB723E" w14:textId="77777777" w:rsidTr="00AE2BF6">
        <w:trPr>
          <w:gridAfter w:val="1"/>
          <w:wAfter w:w="10" w:type="dxa"/>
          <w:cantSplit/>
          <w:jc w:val="center"/>
        </w:trPr>
        <w:tc>
          <w:tcPr>
            <w:tcW w:w="9493" w:type="dxa"/>
            <w:gridSpan w:val="4"/>
            <w:shd w:val="clear" w:color="auto" w:fill="FFFFFF"/>
          </w:tcPr>
          <w:p w14:paraId="4EEFC274"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bCs/>
                <w:sz w:val="20"/>
                <w:szCs w:val="20"/>
                <w:lang w:eastAsia="ar-SA"/>
              </w:rPr>
              <w:t xml:space="preserve">Состав действующий в </w:t>
            </w:r>
            <w:r>
              <w:rPr>
                <w:rFonts w:ascii="Times New Roman" w:eastAsia="Times New Roman" w:hAnsi="Times New Roman"/>
                <w:sz w:val="20"/>
                <w:szCs w:val="20"/>
                <w:lang w:eastAsia="ar-SA"/>
              </w:rPr>
              <w:t>период со 01.01.2024 по 20.08.2024</w:t>
            </w:r>
          </w:p>
          <w:p w14:paraId="5F03C723"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bCs/>
                <w:sz w:val="20"/>
                <w:szCs w:val="20"/>
                <w:lang w:eastAsia="ar-SA"/>
              </w:rPr>
              <w:t>избран решением Совета директоров 02.08.2023 (протокол от 03.08.2023 № 537/2023)</w:t>
            </w:r>
          </w:p>
        </w:tc>
      </w:tr>
      <w:tr w:rsidR="002449C2" w14:paraId="63548530" w14:textId="77777777" w:rsidTr="00AE2BF6">
        <w:trPr>
          <w:gridAfter w:val="1"/>
          <w:wAfter w:w="10" w:type="dxa"/>
          <w:cantSplit/>
          <w:jc w:val="center"/>
        </w:trPr>
        <w:tc>
          <w:tcPr>
            <w:tcW w:w="9493" w:type="dxa"/>
            <w:gridSpan w:val="4"/>
            <w:shd w:val="clear" w:color="auto" w:fill="FFFFFF"/>
          </w:tcPr>
          <w:p w14:paraId="7F5A76E8"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Общее количество проведенных заседаний – 11, из них:</w:t>
            </w:r>
          </w:p>
          <w:p w14:paraId="4C909FF0" w14:textId="77777777" w:rsidR="002449C2" w:rsidRDefault="00123961">
            <w:pPr>
              <w:shd w:val="clear" w:color="auto" w:fill="FFFFFF"/>
              <w:spacing w:after="0" w:line="240" w:lineRule="auto"/>
              <w:jc w:val="center"/>
              <w:rPr>
                <w:rFonts w:ascii="Times New Roman" w:eastAsia="Times New Roman" w:hAnsi="Times New Roman"/>
                <w:bCs/>
                <w:sz w:val="20"/>
                <w:szCs w:val="20"/>
                <w:lang w:eastAsia="ar-SA"/>
              </w:rPr>
            </w:pPr>
            <w:r>
              <w:rPr>
                <w:rFonts w:ascii="Times New Roman" w:eastAsia="Times New Roman" w:hAnsi="Times New Roman"/>
                <w:sz w:val="20"/>
                <w:szCs w:val="20"/>
                <w:lang w:eastAsia="ar-SA"/>
              </w:rPr>
              <w:t>2 - в очной форме (совместное присутствие), 9 - в заочной форме</w:t>
            </w:r>
          </w:p>
        </w:tc>
      </w:tr>
      <w:tr w:rsidR="00E165F4" w14:paraId="1ADB9DF7" w14:textId="77777777" w:rsidTr="00812597">
        <w:trPr>
          <w:cantSplit/>
          <w:jc w:val="center"/>
        </w:trPr>
        <w:tc>
          <w:tcPr>
            <w:tcW w:w="2899" w:type="dxa"/>
          </w:tcPr>
          <w:p w14:paraId="3C867BD2" w14:textId="77777777" w:rsidR="00E165F4" w:rsidRDefault="00E165F4">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Короткова</w:t>
            </w:r>
          </w:p>
          <w:p w14:paraId="0E490B06" w14:textId="77777777" w:rsidR="00E165F4" w:rsidRDefault="00E165F4">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Мария Вячеславна</w:t>
            </w:r>
          </w:p>
          <w:p w14:paraId="23388F97" w14:textId="77777777" w:rsidR="00E165F4" w:rsidRDefault="00E165F4">
            <w:pPr>
              <w:shd w:val="clear" w:color="auto" w:fill="FFFFFF"/>
              <w:spacing w:after="0" w:line="240" w:lineRule="auto"/>
              <w:rPr>
                <w:rFonts w:ascii="Times New Roman" w:hAnsi="Times New Roman"/>
                <w:b/>
                <w:sz w:val="20"/>
                <w:szCs w:val="20"/>
                <w:lang w:eastAsia="ar-SA"/>
              </w:rPr>
            </w:pPr>
            <w:r>
              <w:rPr>
                <w:rFonts w:ascii="Times New Roman" w:hAnsi="Times New Roman"/>
                <w:b/>
                <w:sz w:val="20"/>
                <w:szCs w:val="20"/>
                <w:lang w:eastAsia="ar-SA"/>
              </w:rPr>
              <w:t>Председатель</w:t>
            </w:r>
            <w:r>
              <w:rPr>
                <w:rFonts w:ascii="Times New Roman" w:hAnsi="Times New Roman"/>
                <w:sz w:val="20"/>
                <w:szCs w:val="20"/>
                <w:lang w:eastAsia="ar-SA"/>
              </w:rPr>
              <w:t xml:space="preserve"> </w:t>
            </w:r>
            <w:r>
              <w:rPr>
                <w:rFonts w:ascii="Times New Roman" w:hAnsi="Times New Roman"/>
                <w:b/>
                <w:sz w:val="20"/>
                <w:szCs w:val="20"/>
                <w:lang w:eastAsia="ar-SA"/>
              </w:rPr>
              <w:t>Комитета</w:t>
            </w:r>
          </w:p>
          <w:p w14:paraId="4BE9665A" w14:textId="77777777" w:rsidR="00E165F4" w:rsidRDefault="00E165F4">
            <w:pPr>
              <w:shd w:val="clear" w:color="auto" w:fill="FFFFFF"/>
              <w:spacing w:after="0" w:line="240" w:lineRule="auto"/>
              <w:rPr>
                <w:rFonts w:ascii="Times New Roman" w:hAnsi="Times New Roman"/>
                <w:i/>
                <w:sz w:val="20"/>
                <w:szCs w:val="20"/>
                <w:lang w:eastAsia="ar-SA"/>
              </w:rPr>
            </w:pPr>
            <w:r>
              <w:rPr>
                <w:rFonts w:ascii="Times New Roman" w:hAnsi="Times New Roman"/>
                <w:i/>
                <w:sz w:val="20"/>
                <w:szCs w:val="20"/>
                <w:lang w:eastAsia="ar-SA"/>
              </w:rPr>
              <w:t>Независимый директор</w:t>
            </w:r>
          </w:p>
        </w:tc>
        <w:tc>
          <w:tcPr>
            <w:tcW w:w="4290" w:type="dxa"/>
          </w:tcPr>
          <w:p w14:paraId="54086402" w14:textId="77777777" w:rsidR="00E165F4" w:rsidRDefault="00E165F4">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 xml:space="preserve">Директор по развитию ООО «Техноинновация», </w:t>
            </w:r>
            <w:r>
              <w:rPr>
                <w:rFonts w:ascii="Times New Roman" w:hAnsi="Times New Roman"/>
                <w:i/>
                <w:sz w:val="20"/>
                <w:szCs w:val="20"/>
                <w:lang w:eastAsia="ar-SA"/>
              </w:rPr>
              <w:t>член Совета директоров ПАО «Россети Юг»</w:t>
            </w:r>
          </w:p>
        </w:tc>
        <w:tc>
          <w:tcPr>
            <w:tcW w:w="1107" w:type="dxa"/>
            <w:shd w:val="clear" w:color="auto" w:fill="FFFFFF"/>
          </w:tcPr>
          <w:p w14:paraId="60F18E58" w14:textId="77777777" w:rsidR="00E165F4" w:rsidRDefault="00E165F4">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11/11</w:t>
            </w:r>
          </w:p>
        </w:tc>
        <w:tc>
          <w:tcPr>
            <w:tcW w:w="1207" w:type="dxa"/>
            <w:gridSpan w:val="2"/>
            <w:shd w:val="clear" w:color="auto" w:fill="FFFFFF"/>
          </w:tcPr>
          <w:p w14:paraId="3AB708DB" w14:textId="47E07196" w:rsidR="00E165F4" w:rsidRDefault="00E165F4">
            <w:r>
              <w:rPr>
                <w:rFonts w:ascii="Times New Roman" w:eastAsia="Times New Roman" w:hAnsi="Times New Roman"/>
                <w:sz w:val="20"/>
                <w:szCs w:val="20"/>
                <w:lang w:eastAsia="ar-SA"/>
              </w:rPr>
              <w:t>100%</w:t>
            </w:r>
          </w:p>
        </w:tc>
      </w:tr>
      <w:tr w:rsidR="00E165F4" w14:paraId="31863F49" w14:textId="77777777" w:rsidTr="001569F1">
        <w:trPr>
          <w:cantSplit/>
          <w:jc w:val="center"/>
        </w:trPr>
        <w:tc>
          <w:tcPr>
            <w:tcW w:w="2899" w:type="dxa"/>
          </w:tcPr>
          <w:p w14:paraId="7647CF7D" w14:textId="77777777" w:rsidR="00E165F4" w:rsidRDefault="00E165F4">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Казаков</w:t>
            </w:r>
          </w:p>
          <w:p w14:paraId="3BEFE88B" w14:textId="77777777" w:rsidR="00E165F4" w:rsidRDefault="00E165F4">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Александр Иванович</w:t>
            </w:r>
          </w:p>
          <w:p w14:paraId="7DB8F954" w14:textId="77777777" w:rsidR="00E165F4" w:rsidRDefault="00E165F4">
            <w:pPr>
              <w:shd w:val="clear" w:color="auto" w:fill="FFFFFF"/>
              <w:spacing w:after="0" w:line="240" w:lineRule="auto"/>
              <w:jc w:val="both"/>
              <w:rPr>
                <w:rFonts w:ascii="Times New Roman" w:hAnsi="Times New Roman"/>
                <w:sz w:val="20"/>
                <w:szCs w:val="20"/>
                <w:lang w:eastAsia="ar-SA"/>
              </w:rPr>
            </w:pPr>
            <w:r>
              <w:rPr>
                <w:rFonts w:ascii="Times New Roman" w:hAnsi="Times New Roman"/>
                <w:i/>
                <w:sz w:val="20"/>
                <w:szCs w:val="20"/>
                <w:lang w:eastAsia="ar-SA"/>
              </w:rPr>
              <w:t>Независимый директор</w:t>
            </w:r>
          </w:p>
        </w:tc>
        <w:tc>
          <w:tcPr>
            <w:tcW w:w="4290" w:type="dxa"/>
          </w:tcPr>
          <w:p w14:paraId="3C420DBE" w14:textId="77777777" w:rsidR="00E165F4" w:rsidRDefault="00E165F4">
            <w:pPr>
              <w:shd w:val="clear" w:color="auto" w:fill="FFFFFF"/>
              <w:spacing w:after="0" w:line="240" w:lineRule="auto"/>
              <w:jc w:val="both"/>
              <w:rPr>
                <w:rFonts w:ascii="Times New Roman" w:hAnsi="Times New Roman"/>
                <w:i/>
                <w:sz w:val="20"/>
                <w:szCs w:val="20"/>
                <w:lang w:eastAsia="ar-SA"/>
              </w:rPr>
            </w:pPr>
            <w:r>
              <w:rPr>
                <w:rFonts w:ascii="Times New Roman" w:hAnsi="Times New Roman"/>
                <w:i/>
                <w:sz w:val="20"/>
                <w:szCs w:val="20"/>
                <w:lang w:eastAsia="ar-SA"/>
              </w:rPr>
              <w:t>Член Совета директоров ПАО «Россети Юг»</w:t>
            </w:r>
          </w:p>
        </w:tc>
        <w:tc>
          <w:tcPr>
            <w:tcW w:w="1107" w:type="dxa"/>
            <w:shd w:val="clear" w:color="auto" w:fill="FFFFFF"/>
          </w:tcPr>
          <w:p w14:paraId="4D16002C" w14:textId="77777777" w:rsidR="00E165F4" w:rsidRDefault="00E165F4">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11/11</w:t>
            </w:r>
          </w:p>
        </w:tc>
        <w:tc>
          <w:tcPr>
            <w:tcW w:w="1207" w:type="dxa"/>
            <w:gridSpan w:val="2"/>
            <w:shd w:val="clear" w:color="auto" w:fill="FFFFFF"/>
          </w:tcPr>
          <w:p w14:paraId="1AE07F74" w14:textId="0AAC575D" w:rsidR="00E165F4" w:rsidRDefault="00E165F4">
            <w:r>
              <w:rPr>
                <w:rFonts w:ascii="Times New Roman" w:eastAsia="Times New Roman" w:hAnsi="Times New Roman"/>
                <w:sz w:val="20"/>
                <w:szCs w:val="20"/>
                <w:lang w:eastAsia="ar-SA"/>
              </w:rPr>
              <w:t>100%</w:t>
            </w:r>
          </w:p>
        </w:tc>
      </w:tr>
      <w:tr w:rsidR="00E165F4" w14:paraId="0E2B02BB" w14:textId="77777777" w:rsidTr="00944D2B">
        <w:trPr>
          <w:cantSplit/>
          <w:jc w:val="center"/>
        </w:trPr>
        <w:tc>
          <w:tcPr>
            <w:tcW w:w="2899" w:type="dxa"/>
          </w:tcPr>
          <w:p w14:paraId="0636AB90" w14:textId="77777777" w:rsidR="00E165F4" w:rsidRDefault="00E165F4">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Ульянов</w:t>
            </w:r>
          </w:p>
          <w:p w14:paraId="7A607732" w14:textId="77777777" w:rsidR="00E165F4" w:rsidRDefault="00E165F4">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Антон Сергеевич</w:t>
            </w:r>
          </w:p>
        </w:tc>
        <w:tc>
          <w:tcPr>
            <w:tcW w:w="4290" w:type="dxa"/>
          </w:tcPr>
          <w:p w14:paraId="61C9A8BB" w14:textId="77777777" w:rsidR="00E165F4" w:rsidRDefault="00E165F4">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Директор по внутреннему аудиту – начальник Департамента внутреннего аудита ПАО «Россети»</w:t>
            </w:r>
          </w:p>
        </w:tc>
        <w:tc>
          <w:tcPr>
            <w:tcW w:w="1107" w:type="dxa"/>
            <w:shd w:val="clear" w:color="auto" w:fill="FFFFFF"/>
          </w:tcPr>
          <w:p w14:paraId="105AF99C" w14:textId="77777777" w:rsidR="00E165F4" w:rsidRDefault="00E165F4">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11/11</w:t>
            </w:r>
          </w:p>
        </w:tc>
        <w:tc>
          <w:tcPr>
            <w:tcW w:w="1207" w:type="dxa"/>
            <w:gridSpan w:val="2"/>
            <w:shd w:val="clear" w:color="auto" w:fill="FFFFFF"/>
          </w:tcPr>
          <w:p w14:paraId="1A822751" w14:textId="1E8ECADF" w:rsidR="00E165F4" w:rsidRDefault="00E165F4">
            <w:r>
              <w:rPr>
                <w:rFonts w:ascii="Times New Roman" w:eastAsia="Times New Roman" w:hAnsi="Times New Roman"/>
                <w:sz w:val="20"/>
                <w:szCs w:val="20"/>
                <w:lang w:eastAsia="ar-SA"/>
              </w:rPr>
              <w:t>100%</w:t>
            </w:r>
          </w:p>
        </w:tc>
      </w:tr>
      <w:tr w:rsidR="00E165F4" w14:paraId="207E0E59" w14:textId="77777777" w:rsidTr="00C31BE2">
        <w:trPr>
          <w:cantSplit/>
          <w:jc w:val="center"/>
        </w:trPr>
        <w:tc>
          <w:tcPr>
            <w:tcW w:w="9503" w:type="dxa"/>
            <w:gridSpan w:val="5"/>
          </w:tcPr>
          <w:p w14:paraId="58D6AABB" w14:textId="77777777" w:rsidR="00E165F4" w:rsidRDefault="00E165F4">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bCs/>
                <w:sz w:val="20"/>
                <w:szCs w:val="20"/>
                <w:lang w:eastAsia="ar-SA"/>
              </w:rPr>
              <w:t xml:space="preserve">Состав действующий в </w:t>
            </w:r>
            <w:r>
              <w:rPr>
                <w:rFonts w:ascii="Times New Roman" w:eastAsia="Times New Roman" w:hAnsi="Times New Roman"/>
                <w:sz w:val="20"/>
                <w:szCs w:val="20"/>
                <w:lang w:eastAsia="ar-SA"/>
              </w:rPr>
              <w:t>период с 21.08.2024 по 31.12.2024</w:t>
            </w:r>
          </w:p>
          <w:p w14:paraId="402D2F58" w14:textId="3E60BC5F" w:rsidR="00E165F4" w:rsidRDefault="00E165F4">
            <w:r>
              <w:rPr>
                <w:rFonts w:ascii="Times New Roman" w:eastAsia="Times New Roman" w:hAnsi="Times New Roman"/>
                <w:bCs/>
                <w:sz w:val="20"/>
                <w:szCs w:val="20"/>
                <w:lang w:eastAsia="ar-SA"/>
              </w:rPr>
              <w:t>избран решением Совета директоров 21.08.2024 (протокол от 03 № 588/2024)</w:t>
            </w:r>
          </w:p>
        </w:tc>
      </w:tr>
      <w:tr w:rsidR="00E165F4" w14:paraId="4EFEBE7A" w14:textId="77777777" w:rsidTr="002864A5">
        <w:trPr>
          <w:cantSplit/>
          <w:jc w:val="center"/>
        </w:trPr>
        <w:tc>
          <w:tcPr>
            <w:tcW w:w="9503" w:type="dxa"/>
            <w:gridSpan w:val="5"/>
          </w:tcPr>
          <w:p w14:paraId="6839011D" w14:textId="77777777" w:rsidR="00E165F4" w:rsidRDefault="00E165F4">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Общее количество проведенных заседаний – 5, из них:</w:t>
            </w:r>
          </w:p>
          <w:p w14:paraId="753A0C82" w14:textId="6DECAB52" w:rsidR="00E165F4" w:rsidRDefault="00E165F4">
            <w:r>
              <w:rPr>
                <w:rFonts w:ascii="Times New Roman" w:eastAsia="Times New Roman" w:hAnsi="Times New Roman"/>
                <w:sz w:val="20"/>
                <w:szCs w:val="20"/>
                <w:lang w:eastAsia="ar-SA"/>
              </w:rPr>
              <w:t>2 - в очной форме (совместное присутствие), 5 - в заочной форме</w:t>
            </w:r>
          </w:p>
        </w:tc>
      </w:tr>
      <w:tr w:rsidR="00E165F4" w14:paraId="755BC5E1" w14:textId="77777777" w:rsidTr="004E7B37">
        <w:trPr>
          <w:cantSplit/>
          <w:jc w:val="center"/>
        </w:trPr>
        <w:tc>
          <w:tcPr>
            <w:tcW w:w="2899" w:type="dxa"/>
            <w:vAlign w:val="center"/>
          </w:tcPr>
          <w:p w14:paraId="1DDE33DA" w14:textId="77777777" w:rsidR="00E165F4" w:rsidRDefault="00E165F4">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Короткова</w:t>
            </w:r>
          </w:p>
          <w:p w14:paraId="7077EA64" w14:textId="77777777" w:rsidR="00E165F4" w:rsidRDefault="00E165F4">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Мария Вячеславна</w:t>
            </w:r>
          </w:p>
          <w:p w14:paraId="4367E102" w14:textId="77777777" w:rsidR="00E165F4" w:rsidRDefault="00E165F4">
            <w:pPr>
              <w:shd w:val="clear" w:color="auto" w:fill="FFFFFF"/>
              <w:spacing w:after="0" w:line="240" w:lineRule="auto"/>
              <w:rPr>
                <w:rFonts w:ascii="Times New Roman" w:hAnsi="Times New Roman"/>
                <w:b/>
                <w:sz w:val="20"/>
                <w:szCs w:val="20"/>
                <w:lang w:eastAsia="ar-SA"/>
              </w:rPr>
            </w:pPr>
            <w:r>
              <w:rPr>
                <w:rFonts w:ascii="Times New Roman" w:hAnsi="Times New Roman"/>
                <w:b/>
                <w:sz w:val="20"/>
                <w:szCs w:val="20"/>
                <w:lang w:eastAsia="ar-SA"/>
              </w:rPr>
              <w:t>Председатель Комитета</w:t>
            </w:r>
          </w:p>
          <w:p w14:paraId="032FEC1D" w14:textId="77777777" w:rsidR="00E165F4" w:rsidRDefault="00E165F4">
            <w:pPr>
              <w:shd w:val="clear" w:color="auto" w:fill="FFFFFF"/>
              <w:spacing w:after="0" w:line="240" w:lineRule="auto"/>
              <w:rPr>
                <w:rFonts w:ascii="Times New Roman" w:hAnsi="Times New Roman"/>
                <w:sz w:val="20"/>
                <w:szCs w:val="20"/>
                <w:lang w:eastAsia="ar-SA"/>
              </w:rPr>
            </w:pPr>
            <w:r>
              <w:rPr>
                <w:rFonts w:ascii="Times New Roman" w:hAnsi="Times New Roman"/>
                <w:i/>
                <w:sz w:val="20"/>
                <w:szCs w:val="20"/>
                <w:lang w:eastAsia="ar-SA"/>
              </w:rPr>
              <w:t>Независимый директор</w:t>
            </w:r>
          </w:p>
        </w:tc>
        <w:tc>
          <w:tcPr>
            <w:tcW w:w="4290" w:type="dxa"/>
            <w:vAlign w:val="center"/>
          </w:tcPr>
          <w:p w14:paraId="6081B49A" w14:textId="77777777" w:rsidR="00E165F4" w:rsidRDefault="00E165F4">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 xml:space="preserve">Директор по развитию ООО «Техноинновация», </w:t>
            </w:r>
            <w:r>
              <w:rPr>
                <w:rFonts w:ascii="Times New Roman" w:hAnsi="Times New Roman"/>
                <w:i/>
                <w:sz w:val="20"/>
                <w:szCs w:val="20"/>
                <w:lang w:eastAsia="ar-SA"/>
              </w:rPr>
              <w:t>член Совета директоров ПАО «Россети Юг»</w:t>
            </w:r>
          </w:p>
        </w:tc>
        <w:tc>
          <w:tcPr>
            <w:tcW w:w="1107" w:type="dxa"/>
            <w:shd w:val="clear" w:color="auto" w:fill="FFFFFF"/>
          </w:tcPr>
          <w:p w14:paraId="6AFA6E42" w14:textId="77777777" w:rsidR="00E165F4" w:rsidRDefault="00E165F4">
            <w:pPr>
              <w:shd w:val="clear" w:color="auto" w:fill="FFFFFF"/>
              <w:spacing w:after="0" w:line="240" w:lineRule="auto"/>
              <w:jc w:val="center"/>
              <w:rPr>
                <w:rFonts w:ascii="Times New Roman" w:hAnsi="Times New Roman"/>
                <w:sz w:val="20"/>
                <w:szCs w:val="20"/>
                <w:lang w:eastAsia="ar-SA"/>
              </w:rPr>
            </w:pPr>
            <w:r>
              <w:rPr>
                <w:rFonts w:ascii="Times New Roman" w:hAnsi="Times New Roman"/>
                <w:sz w:val="20"/>
                <w:szCs w:val="20"/>
                <w:lang w:eastAsia="ar-SA"/>
              </w:rPr>
              <w:t>8/8</w:t>
            </w:r>
          </w:p>
        </w:tc>
        <w:tc>
          <w:tcPr>
            <w:tcW w:w="1207" w:type="dxa"/>
            <w:gridSpan w:val="2"/>
            <w:shd w:val="clear" w:color="auto" w:fill="FFFFFF"/>
          </w:tcPr>
          <w:p w14:paraId="48AECF84" w14:textId="3D5670F2" w:rsidR="00E165F4" w:rsidRDefault="00E165F4">
            <w:r>
              <w:rPr>
                <w:rFonts w:ascii="Times New Roman" w:hAnsi="Times New Roman"/>
                <w:sz w:val="20"/>
                <w:szCs w:val="20"/>
                <w:lang w:eastAsia="ar-SA"/>
              </w:rPr>
              <w:t>100%</w:t>
            </w:r>
          </w:p>
        </w:tc>
      </w:tr>
      <w:tr w:rsidR="00E165F4" w14:paraId="52C7FE7A" w14:textId="77777777" w:rsidTr="008A72F2">
        <w:trPr>
          <w:cantSplit/>
          <w:jc w:val="center"/>
        </w:trPr>
        <w:tc>
          <w:tcPr>
            <w:tcW w:w="2899" w:type="dxa"/>
          </w:tcPr>
          <w:p w14:paraId="5CC33B27" w14:textId="77777777" w:rsidR="00E165F4" w:rsidRDefault="00E165F4">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Казаков</w:t>
            </w:r>
          </w:p>
          <w:p w14:paraId="48C12F18" w14:textId="77777777" w:rsidR="00E165F4" w:rsidRDefault="00E165F4">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Александр Иванович</w:t>
            </w:r>
          </w:p>
          <w:p w14:paraId="36388316" w14:textId="77777777" w:rsidR="00E165F4" w:rsidRDefault="00E165F4">
            <w:pPr>
              <w:shd w:val="clear" w:color="auto" w:fill="FFFFFF"/>
              <w:spacing w:after="0" w:line="240" w:lineRule="auto"/>
              <w:rPr>
                <w:rFonts w:ascii="Times New Roman" w:hAnsi="Times New Roman"/>
                <w:sz w:val="20"/>
                <w:szCs w:val="20"/>
                <w:lang w:eastAsia="ar-SA"/>
              </w:rPr>
            </w:pPr>
            <w:r>
              <w:rPr>
                <w:rFonts w:ascii="Times New Roman" w:hAnsi="Times New Roman"/>
                <w:i/>
                <w:sz w:val="20"/>
                <w:szCs w:val="20"/>
                <w:lang w:eastAsia="ar-SA"/>
              </w:rPr>
              <w:t>Независимый директор</w:t>
            </w:r>
          </w:p>
        </w:tc>
        <w:tc>
          <w:tcPr>
            <w:tcW w:w="4290" w:type="dxa"/>
            <w:vAlign w:val="center"/>
          </w:tcPr>
          <w:p w14:paraId="3109B4E4" w14:textId="77777777" w:rsidR="00E165F4" w:rsidRDefault="00E165F4">
            <w:pPr>
              <w:shd w:val="clear" w:color="auto" w:fill="FFFFFF"/>
              <w:spacing w:after="0" w:line="240" w:lineRule="auto"/>
              <w:rPr>
                <w:rFonts w:ascii="Times New Roman" w:hAnsi="Times New Roman"/>
                <w:i/>
                <w:sz w:val="20"/>
                <w:szCs w:val="20"/>
                <w:lang w:eastAsia="ar-SA"/>
              </w:rPr>
            </w:pPr>
            <w:r>
              <w:rPr>
                <w:rFonts w:ascii="Times New Roman" w:hAnsi="Times New Roman"/>
                <w:i/>
                <w:sz w:val="20"/>
                <w:szCs w:val="20"/>
                <w:lang w:eastAsia="ar-SA"/>
              </w:rPr>
              <w:t>Член Совета директоров ПАО «Россети Юг»</w:t>
            </w:r>
          </w:p>
        </w:tc>
        <w:tc>
          <w:tcPr>
            <w:tcW w:w="1107" w:type="dxa"/>
            <w:shd w:val="clear" w:color="auto" w:fill="FFFFFF"/>
          </w:tcPr>
          <w:p w14:paraId="5C6D56C2" w14:textId="77777777" w:rsidR="00E165F4" w:rsidRDefault="00E165F4">
            <w:pPr>
              <w:shd w:val="clear" w:color="auto" w:fill="FFFFFF"/>
              <w:spacing w:after="0" w:line="240" w:lineRule="auto"/>
              <w:jc w:val="center"/>
              <w:rPr>
                <w:rFonts w:ascii="Times New Roman" w:hAnsi="Times New Roman"/>
                <w:sz w:val="20"/>
                <w:szCs w:val="20"/>
                <w:lang w:eastAsia="ar-SA"/>
              </w:rPr>
            </w:pPr>
            <w:r>
              <w:rPr>
                <w:rFonts w:ascii="Times New Roman" w:hAnsi="Times New Roman"/>
                <w:sz w:val="20"/>
                <w:szCs w:val="20"/>
                <w:lang w:eastAsia="ar-SA"/>
              </w:rPr>
              <w:t>8/8</w:t>
            </w:r>
          </w:p>
        </w:tc>
        <w:tc>
          <w:tcPr>
            <w:tcW w:w="1207" w:type="dxa"/>
            <w:gridSpan w:val="2"/>
            <w:shd w:val="clear" w:color="auto" w:fill="FFFFFF"/>
          </w:tcPr>
          <w:p w14:paraId="28DA1E45" w14:textId="77EA04BA" w:rsidR="00E165F4" w:rsidRDefault="00E165F4">
            <w:r>
              <w:rPr>
                <w:rFonts w:ascii="Times New Roman" w:hAnsi="Times New Roman"/>
                <w:sz w:val="20"/>
                <w:szCs w:val="20"/>
                <w:lang w:eastAsia="ar-SA"/>
              </w:rPr>
              <w:t>100%</w:t>
            </w:r>
          </w:p>
        </w:tc>
      </w:tr>
      <w:tr w:rsidR="00E165F4" w14:paraId="69757181" w14:textId="77777777" w:rsidTr="00E33B1C">
        <w:trPr>
          <w:cantSplit/>
          <w:jc w:val="center"/>
        </w:trPr>
        <w:tc>
          <w:tcPr>
            <w:tcW w:w="2899" w:type="dxa"/>
            <w:vAlign w:val="center"/>
          </w:tcPr>
          <w:p w14:paraId="5D7A7E1D" w14:textId="77777777" w:rsidR="00E165F4" w:rsidRDefault="00E165F4">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Ульянов</w:t>
            </w:r>
          </w:p>
          <w:p w14:paraId="3F44F8AD" w14:textId="77777777" w:rsidR="00E165F4" w:rsidRDefault="00E165F4">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Антон Сергеевич</w:t>
            </w:r>
          </w:p>
        </w:tc>
        <w:tc>
          <w:tcPr>
            <w:tcW w:w="4290" w:type="dxa"/>
            <w:vAlign w:val="center"/>
          </w:tcPr>
          <w:p w14:paraId="5404CC07" w14:textId="77777777" w:rsidR="00E165F4" w:rsidRDefault="00E165F4">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Директор по внутреннему аудиту – начальник Департамента внутреннего аудита ПАО «Россети»</w:t>
            </w:r>
          </w:p>
        </w:tc>
        <w:tc>
          <w:tcPr>
            <w:tcW w:w="1107" w:type="dxa"/>
            <w:shd w:val="clear" w:color="auto" w:fill="FFFFFF"/>
          </w:tcPr>
          <w:p w14:paraId="571417CF" w14:textId="77777777" w:rsidR="00E165F4" w:rsidRDefault="00E165F4">
            <w:pPr>
              <w:shd w:val="clear" w:color="auto" w:fill="FFFFFF"/>
              <w:spacing w:after="0" w:line="240" w:lineRule="auto"/>
              <w:jc w:val="center"/>
              <w:rPr>
                <w:rFonts w:ascii="Times New Roman" w:hAnsi="Times New Roman"/>
                <w:sz w:val="20"/>
                <w:szCs w:val="20"/>
                <w:lang w:eastAsia="ar-SA"/>
              </w:rPr>
            </w:pPr>
            <w:r>
              <w:rPr>
                <w:rFonts w:ascii="Times New Roman" w:hAnsi="Times New Roman"/>
                <w:sz w:val="20"/>
                <w:szCs w:val="20"/>
                <w:lang w:eastAsia="ar-SA"/>
              </w:rPr>
              <w:t>8/8</w:t>
            </w:r>
          </w:p>
        </w:tc>
        <w:tc>
          <w:tcPr>
            <w:tcW w:w="1207" w:type="dxa"/>
            <w:gridSpan w:val="2"/>
            <w:shd w:val="clear" w:color="auto" w:fill="FFFFFF"/>
          </w:tcPr>
          <w:p w14:paraId="5E15128C" w14:textId="5EC95987" w:rsidR="00E165F4" w:rsidRDefault="00E165F4">
            <w:r>
              <w:rPr>
                <w:rFonts w:ascii="Times New Roman" w:hAnsi="Times New Roman"/>
                <w:sz w:val="20"/>
                <w:szCs w:val="20"/>
                <w:lang w:eastAsia="ar-SA"/>
              </w:rPr>
              <w:t>100%</w:t>
            </w:r>
          </w:p>
        </w:tc>
      </w:tr>
    </w:tbl>
    <w:p w14:paraId="59904A3D"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Комитет в течение 2024 года состоял:</w:t>
      </w:r>
    </w:p>
    <w:p w14:paraId="0F7CE0FA"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 в период с 01.01.2024 по 20.08.2024 2 (двое) из 3 (трех) избранных членов являлись независимыми директорами и одновременно членами Совета директоров Общества, и возглавлялся независимым директором.</w:t>
      </w:r>
    </w:p>
    <w:p w14:paraId="44CF8FFE"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 в период с 21.08.2024 по 31.12.2024 2 (двое) из 3 (трех) избранных членов являлись независимыми директорами и одновременно членами Совета директоров Общества, и возглавлялся независимым директором.</w:t>
      </w:r>
    </w:p>
    <w:p w14:paraId="69D3CD73"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При этом, Общество стремится обеспечить, чтобы все или как минимум большинство членов Комитета являлись независимыми директорами.</w:t>
      </w:r>
    </w:p>
    <w:p w14:paraId="7D7DAE3C" w14:textId="77777777" w:rsidR="002449C2" w:rsidRDefault="002449C2">
      <w:pPr>
        <w:shd w:val="clear" w:color="auto" w:fill="FFFFFF"/>
        <w:tabs>
          <w:tab w:val="left" w:pos="142"/>
        </w:tabs>
        <w:spacing w:after="0" w:line="240" w:lineRule="auto"/>
        <w:ind w:firstLine="567"/>
        <w:jc w:val="both"/>
        <w:rPr>
          <w:rFonts w:ascii="Times New Roman" w:hAnsi="Times New Roman"/>
          <w:spacing w:val="-2"/>
          <w:sz w:val="26"/>
          <w:szCs w:val="26"/>
          <w:lang w:eastAsia="en-US"/>
        </w:rPr>
      </w:pPr>
    </w:p>
    <w:p w14:paraId="59921E7E"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Деятельность в 2024 году</w:t>
      </w:r>
    </w:p>
    <w:p w14:paraId="55A8BACA"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В отчетном году состоялось 19 заседаний, в том числе 4 заседания в очной форме (совместное присутствие), на которых рассмотрено 39 вопросов.</w:t>
      </w:r>
    </w:p>
    <w:p w14:paraId="4512AA41" w14:textId="77777777" w:rsidR="002449C2" w:rsidRDefault="002449C2">
      <w:pPr>
        <w:shd w:val="clear" w:color="auto" w:fill="FFFFFF"/>
        <w:tabs>
          <w:tab w:val="left" w:pos="142"/>
        </w:tabs>
        <w:spacing w:after="0" w:line="240" w:lineRule="auto"/>
        <w:ind w:firstLine="567"/>
        <w:jc w:val="both"/>
        <w:rPr>
          <w:rFonts w:ascii="Times New Roman" w:hAnsi="Times New Roman"/>
          <w:spacing w:val="-2"/>
          <w:sz w:val="26"/>
          <w:szCs w:val="26"/>
          <w:lang w:eastAsia="en-US"/>
        </w:rPr>
      </w:pPr>
    </w:p>
    <w:p w14:paraId="781A5567" w14:textId="77777777" w:rsidR="002449C2" w:rsidRDefault="00123961">
      <w:pPr>
        <w:shd w:val="clear" w:color="auto" w:fill="FFFFFF"/>
        <w:tabs>
          <w:tab w:val="left" w:pos="142"/>
        </w:tabs>
        <w:spacing w:after="0" w:line="240" w:lineRule="auto"/>
        <w:ind w:firstLine="567"/>
        <w:jc w:val="center"/>
        <w:rPr>
          <w:rFonts w:ascii="Times New Roman" w:eastAsia="Times New Roman" w:hAnsi="Times New Roman"/>
          <w:i/>
          <w:sz w:val="26"/>
          <w:szCs w:val="26"/>
          <w:lang w:eastAsia="ru-RU"/>
        </w:rPr>
      </w:pPr>
      <w:r>
        <w:rPr>
          <w:rFonts w:ascii="Times New Roman" w:eastAsia="Times New Roman" w:hAnsi="Times New Roman"/>
          <w:i/>
          <w:sz w:val="26"/>
          <w:szCs w:val="26"/>
          <w:lang w:eastAsia="ru-RU"/>
        </w:rPr>
        <w:t>Статистика заседаний за 2022-2024 годы</w:t>
      </w:r>
    </w:p>
    <w:p w14:paraId="254B4FCC" w14:textId="77777777" w:rsidR="002449C2" w:rsidRDefault="00123961">
      <w:pPr>
        <w:shd w:val="clear" w:color="auto" w:fill="FFFFFF"/>
        <w:tabs>
          <w:tab w:val="left" w:pos="142"/>
        </w:tabs>
        <w:spacing w:after="0" w:line="240" w:lineRule="auto"/>
        <w:jc w:val="both"/>
        <w:rPr>
          <w:rFonts w:ascii="Times New Roman" w:eastAsia="Times New Roman" w:hAnsi="Times New Roman"/>
          <w:i/>
          <w:sz w:val="26"/>
          <w:szCs w:val="26"/>
          <w:lang w:eastAsia="ru-RU"/>
        </w:rPr>
      </w:pPr>
      <w:r>
        <w:rPr>
          <w:noProof/>
          <w:lang w:eastAsia="ru-RU"/>
        </w:rPr>
        <w:drawing>
          <wp:inline distT="0" distB="0" distL="0" distR="0" wp14:anchorId="2293AED7" wp14:editId="16A72A6D">
            <wp:extent cx="6120765" cy="2944495"/>
            <wp:effectExtent l="0" t="0" r="0" b="0"/>
            <wp:docPr id="113" name="_x005F_x0000_i4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_x005F_x0000_i4492"/>
                    <pic:cNvPicPr>
                      <a:picLocks noChangeAspect="1" noChangeArrowheads="1"/>
                    </pic:cNvPicPr>
                  </pic:nvPicPr>
                  <pic:blipFill>
                    <a:blip r:embed="rId160"/>
                    <a:stretch>
                      <a:fillRect/>
                    </a:stretch>
                  </pic:blipFill>
                  <pic:spPr bwMode="auto">
                    <a:xfrm>
                      <a:off x="0" y="0"/>
                      <a:ext cx="6120765" cy="2944495"/>
                    </a:xfrm>
                    <a:prstGeom prst="rect">
                      <a:avLst/>
                    </a:prstGeom>
                    <a:noFill/>
                  </pic:spPr>
                </pic:pic>
              </a:graphicData>
            </a:graphic>
          </wp:inline>
        </w:drawing>
      </w:r>
    </w:p>
    <w:p w14:paraId="554116DB" w14:textId="77777777" w:rsidR="002449C2" w:rsidRDefault="00123961">
      <w:pPr>
        <w:shd w:val="clear" w:color="auto" w:fill="FFFFFF"/>
        <w:tabs>
          <w:tab w:val="left" w:pos="142"/>
        </w:tabs>
        <w:spacing w:after="0" w:line="240" w:lineRule="auto"/>
        <w:jc w:val="both"/>
        <w:rPr>
          <w:rFonts w:ascii="Times New Roman" w:eastAsia="Times New Roman" w:hAnsi="Times New Roman"/>
          <w:i/>
          <w:sz w:val="26"/>
          <w:szCs w:val="26"/>
          <w:lang w:eastAsia="ru-RU"/>
        </w:rPr>
      </w:pPr>
      <w:r>
        <w:rPr>
          <w:rFonts w:ascii="Times New Roman" w:eastAsia="Times New Roman" w:hAnsi="Times New Roman"/>
          <w:i/>
          <w:sz w:val="26"/>
          <w:szCs w:val="26"/>
          <w:lang w:eastAsia="ru-RU"/>
        </w:rPr>
        <w:tab/>
      </w:r>
      <w:r>
        <w:rPr>
          <w:rFonts w:ascii="Times New Roman" w:eastAsia="Times New Roman" w:hAnsi="Times New Roman"/>
          <w:i/>
          <w:sz w:val="26"/>
          <w:szCs w:val="26"/>
          <w:lang w:eastAsia="ru-RU"/>
        </w:rPr>
        <w:tab/>
      </w:r>
    </w:p>
    <w:p w14:paraId="3D16AFEB" w14:textId="77777777" w:rsidR="002449C2" w:rsidRDefault="00123961">
      <w:pPr>
        <w:shd w:val="clear" w:color="auto" w:fill="FFFFFF"/>
        <w:tabs>
          <w:tab w:val="left" w:pos="142"/>
        </w:tabs>
        <w:spacing w:after="0" w:line="240" w:lineRule="auto"/>
        <w:ind w:firstLine="567"/>
        <w:jc w:val="center"/>
        <w:rPr>
          <w:rFonts w:ascii="Times New Roman" w:eastAsia="Times New Roman" w:hAnsi="Times New Roman"/>
          <w:i/>
          <w:sz w:val="26"/>
          <w:szCs w:val="26"/>
          <w:lang w:eastAsia="ru-RU"/>
        </w:rPr>
      </w:pPr>
      <w:r>
        <w:rPr>
          <w:rFonts w:ascii="Times New Roman" w:eastAsia="Times New Roman" w:hAnsi="Times New Roman"/>
          <w:i/>
          <w:sz w:val="26"/>
          <w:szCs w:val="26"/>
          <w:lang w:eastAsia="ru-RU"/>
        </w:rPr>
        <w:t>Анализ изменений 2023/2024 годы</w:t>
      </w:r>
    </w:p>
    <w:tbl>
      <w:tblPr>
        <w:tblW w:w="9634" w:type="dxa"/>
        <w:tblLayout w:type="fixed"/>
        <w:tblLook w:val="04A0" w:firstRow="1" w:lastRow="0" w:firstColumn="1" w:lastColumn="0" w:noHBand="0" w:noVBand="1"/>
      </w:tblPr>
      <w:tblGrid>
        <w:gridCol w:w="1868"/>
        <w:gridCol w:w="1869"/>
        <w:gridCol w:w="1869"/>
        <w:gridCol w:w="1869"/>
        <w:gridCol w:w="2159"/>
      </w:tblGrid>
      <w:tr w:rsidR="002449C2" w14:paraId="2AB7C0A5" w14:textId="77777777">
        <w:tc>
          <w:tcPr>
            <w:tcW w:w="1868" w:type="dxa"/>
            <w:tcBorders>
              <w:top w:val="single" w:sz="4" w:space="0" w:color="000000"/>
              <w:left w:val="single" w:sz="4" w:space="0" w:color="000000"/>
              <w:bottom w:val="single" w:sz="4" w:space="0" w:color="000000"/>
              <w:right w:val="single" w:sz="4" w:space="0" w:color="000000"/>
            </w:tcBorders>
          </w:tcPr>
          <w:p w14:paraId="2A67947A" w14:textId="77777777" w:rsidR="002449C2" w:rsidRDefault="00123961">
            <w:pPr>
              <w:tabs>
                <w:tab w:val="left" w:pos="142"/>
              </w:tabs>
              <w:spacing w:after="160" w:line="259" w:lineRule="auto"/>
              <w:jc w:val="center"/>
              <w:rPr>
                <w:rFonts w:ascii="Times New Roman" w:hAnsi="Times New Roman"/>
                <w:b/>
                <w:sz w:val="20"/>
                <w:szCs w:val="20"/>
                <w:lang w:eastAsia="en-US"/>
              </w:rPr>
            </w:pPr>
            <w:r>
              <w:rPr>
                <w:rFonts w:ascii="Times New Roman" w:eastAsia="Times New Roman" w:hAnsi="Times New Roman"/>
                <w:b/>
                <w:sz w:val="20"/>
                <w:szCs w:val="20"/>
                <w:lang w:eastAsia="ru-RU"/>
              </w:rPr>
              <w:t>Заседания/ Вопросы</w:t>
            </w:r>
          </w:p>
        </w:tc>
        <w:tc>
          <w:tcPr>
            <w:tcW w:w="1869" w:type="dxa"/>
            <w:tcBorders>
              <w:top w:val="single" w:sz="4" w:space="0" w:color="000000"/>
              <w:left w:val="single" w:sz="4" w:space="0" w:color="000000"/>
              <w:bottom w:val="single" w:sz="4" w:space="0" w:color="000000"/>
              <w:right w:val="single" w:sz="4" w:space="0" w:color="000000"/>
            </w:tcBorders>
          </w:tcPr>
          <w:p w14:paraId="62B7D872" w14:textId="77777777" w:rsidR="002449C2" w:rsidRDefault="00123961">
            <w:pPr>
              <w:tabs>
                <w:tab w:val="left" w:pos="142"/>
              </w:tabs>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2023, шт.</w:t>
            </w:r>
          </w:p>
        </w:tc>
        <w:tc>
          <w:tcPr>
            <w:tcW w:w="1869" w:type="dxa"/>
            <w:tcBorders>
              <w:top w:val="single" w:sz="4" w:space="0" w:color="000000"/>
              <w:left w:val="single" w:sz="4" w:space="0" w:color="000000"/>
              <w:bottom w:val="single" w:sz="4" w:space="0" w:color="000000"/>
              <w:right w:val="single" w:sz="4" w:space="0" w:color="000000"/>
            </w:tcBorders>
          </w:tcPr>
          <w:p w14:paraId="41F77C3C" w14:textId="77777777" w:rsidR="002449C2" w:rsidRDefault="00123961">
            <w:pPr>
              <w:tabs>
                <w:tab w:val="left" w:pos="142"/>
              </w:tabs>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2024, шт.</w:t>
            </w:r>
          </w:p>
        </w:tc>
        <w:tc>
          <w:tcPr>
            <w:tcW w:w="1869" w:type="dxa"/>
            <w:tcBorders>
              <w:top w:val="single" w:sz="4" w:space="0" w:color="000000"/>
              <w:left w:val="single" w:sz="4" w:space="0" w:color="000000"/>
              <w:bottom w:val="single" w:sz="4" w:space="0" w:color="000000"/>
              <w:right w:val="single" w:sz="4" w:space="0" w:color="000000"/>
            </w:tcBorders>
          </w:tcPr>
          <w:p w14:paraId="4E65D613" w14:textId="77777777" w:rsidR="002449C2" w:rsidRDefault="00123961">
            <w:pPr>
              <w:tabs>
                <w:tab w:val="left" w:pos="142"/>
              </w:tabs>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Изменения 2023/2024, шт.</w:t>
            </w:r>
          </w:p>
        </w:tc>
        <w:tc>
          <w:tcPr>
            <w:tcW w:w="2159" w:type="dxa"/>
            <w:tcBorders>
              <w:top w:val="single" w:sz="4" w:space="0" w:color="000000"/>
              <w:left w:val="single" w:sz="4" w:space="0" w:color="000000"/>
              <w:bottom w:val="single" w:sz="4" w:space="0" w:color="000000"/>
              <w:right w:val="single" w:sz="4" w:space="0" w:color="000000"/>
            </w:tcBorders>
          </w:tcPr>
          <w:p w14:paraId="33D26D4C" w14:textId="77777777" w:rsidR="002449C2" w:rsidRDefault="00123961">
            <w:pPr>
              <w:tabs>
                <w:tab w:val="left" w:pos="142"/>
              </w:tabs>
              <w:spacing w:after="0" w:line="240" w:lineRule="auto"/>
              <w:jc w:val="center"/>
              <w:rPr>
                <w:rFonts w:ascii="Times New Roman" w:eastAsia="Times New Roman" w:hAnsi="Times New Roman"/>
                <w:i/>
                <w:sz w:val="26"/>
                <w:szCs w:val="26"/>
                <w:lang w:eastAsia="ru-RU"/>
              </w:rPr>
            </w:pPr>
            <w:r>
              <w:rPr>
                <w:rFonts w:ascii="Times New Roman" w:eastAsia="Times New Roman" w:hAnsi="Times New Roman"/>
                <w:b/>
                <w:sz w:val="20"/>
                <w:szCs w:val="20"/>
                <w:lang w:eastAsia="ru-RU"/>
              </w:rPr>
              <w:t>Изменения 2023/2024, %</w:t>
            </w:r>
          </w:p>
        </w:tc>
      </w:tr>
      <w:tr w:rsidR="002449C2" w14:paraId="4973666B" w14:textId="77777777">
        <w:tc>
          <w:tcPr>
            <w:tcW w:w="1868" w:type="dxa"/>
            <w:tcBorders>
              <w:top w:val="single" w:sz="4" w:space="0" w:color="000000"/>
              <w:left w:val="single" w:sz="4" w:space="0" w:color="000000"/>
              <w:bottom w:val="single" w:sz="4" w:space="0" w:color="000000"/>
              <w:right w:val="single" w:sz="4" w:space="0" w:color="000000"/>
            </w:tcBorders>
          </w:tcPr>
          <w:p w14:paraId="66665115"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очные</w:t>
            </w:r>
          </w:p>
        </w:tc>
        <w:tc>
          <w:tcPr>
            <w:tcW w:w="1869" w:type="dxa"/>
            <w:tcBorders>
              <w:top w:val="single" w:sz="4" w:space="0" w:color="000000"/>
              <w:left w:val="single" w:sz="4" w:space="0" w:color="000000"/>
              <w:bottom w:val="single" w:sz="4" w:space="0" w:color="000000"/>
              <w:right w:val="single" w:sz="4" w:space="0" w:color="000000"/>
            </w:tcBorders>
          </w:tcPr>
          <w:p w14:paraId="7E4175FB"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eastAsia="Times New Roman" w:hAnsi="Times New Roman"/>
                <w:sz w:val="20"/>
                <w:szCs w:val="20"/>
                <w:lang w:eastAsia="ru-RU"/>
              </w:rPr>
              <w:t>5</w:t>
            </w:r>
          </w:p>
        </w:tc>
        <w:tc>
          <w:tcPr>
            <w:tcW w:w="1869" w:type="dxa"/>
            <w:tcBorders>
              <w:top w:val="single" w:sz="4" w:space="0" w:color="000000"/>
              <w:left w:val="single" w:sz="4" w:space="0" w:color="000000"/>
              <w:bottom w:val="single" w:sz="4" w:space="0" w:color="000000"/>
              <w:right w:val="single" w:sz="4" w:space="0" w:color="000000"/>
            </w:tcBorders>
          </w:tcPr>
          <w:p w14:paraId="305818D8"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4</w:t>
            </w:r>
          </w:p>
        </w:tc>
        <w:tc>
          <w:tcPr>
            <w:tcW w:w="1869" w:type="dxa"/>
            <w:tcBorders>
              <w:top w:val="single" w:sz="4" w:space="0" w:color="000000"/>
              <w:left w:val="single" w:sz="4" w:space="0" w:color="000000"/>
              <w:bottom w:val="single" w:sz="4" w:space="0" w:color="000000"/>
              <w:right w:val="single" w:sz="4" w:space="0" w:color="000000"/>
            </w:tcBorders>
          </w:tcPr>
          <w:p w14:paraId="3EBDD748"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0</w:t>
            </w:r>
          </w:p>
        </w:tc>
        <w:tc>
          <w:tcPr>
            <w:tcW w:w="2159" w:type="dxa"/>
            <w:tcBorders>
              <w:top w:val="single" w:sz="4" w:space="0" w:color="000000"/>
              <w:left w:val="single" w:sz="4" w:space="0" w:color="000000"/>
              <w:bottom w:val="single" w:sz="4" w:space="0" w:color="000000"/>
              <w:right w:val="single" w:sz="4" w:space="0" w:color="000000"/>
            </w:tcBorders>
          </w:tcPr>
          <w:p w14:paraId="13F8C392"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0</w:t>
            </w:r>
          </w:p>
        </w:tc>
      </w:tr>
      <w:tr w:rsidR="002449C2" w14:paraId="7CD10DD5" w14:textId="77777777">
        <w:tc>
          <w:tcPr>
            <w:tcW w:w="1868" w:type="dxa"/>
            <w:tcBorders>
              <w:top w:val="single" w:sz="4" w:space="0" w:color="000000"/>
              <w:left w:val="single" w:sz="4" w:space="0" w:color="000000"/>
              <w:bottom w:val="single" w:sz="4" w:space="0" w:color="000000"/>
              <w:right w:val="single" w:sz="4" w:space="0" w:color="000000"/>
            </w:tcBorders>
          </w:tcPr>
          <w:p w14:paraId="6B2D016B"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заочные</w:t>
            </w:r>
          </w:p>
        </w:tc>
        <w:tc>
          <w:tcPr>
            <w:tcW w:w="1869" w:type="dxa"/>
            <w:tcBorders>
              <w:top w:val="single" w:sz="4" w:space="0" w:color="000000"/>
              <w:left w:val="single" w:sz="4" w:space="0" w:color="000000"/>
              <w:bottom w:val="single" w:sz="4" w:space="0" w:color="000000"/>
              <w:right w:val="single" w:sz="4" w:space="0" w:color="000000"/>
            </w:tcBorders>
          </w:tcPr>
          <w:p w14:paraId="389C4AF3"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eastAsia="Times New Roman" w:hAnsi="Times New Roman"/>
                <w:sz w:val="20"/>
                <w:szCs w:val="20"/>
                <w:lang w:eastAsia="ru-RU"/>
              </w:rPr>
              <w:t>11</w:t>
            </w:r>
          </w:p>
        </w:tc>
        <w:tc>
          <w:tcPr>
            <w:tcW w:w="1869" w:type="dxa"/>
            <w:tcBorders>
              <w:top w:val="single" w:sz="4" w:space="0" w:color="000000"/>
              <w:left w:val="single" w:sz="4" w:space="0" w:color="000000"/>
              <w:bottom w:val="single" w:sz="4" w:space="0" w:color="000000"/>
              <w:right w:val="single" w:sz="4" w:space="0" w:color="000000"/>
            </w:tcBorders>
          </w:tcPr>
          <w:p w14:paraId="5EF42777"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15</w:t>
            </w:r>
          </w:p>
        </w:tc>
        <w:tc>
          <w:tcPr>
            <w:tcW w:w="1869" w:type="dxa"/>
            <w:tcBorders>
              <w:top w:val="single" w:sz="4" w:space="0" w:color="000000"/>
              <w:left w:val="single" w:sz="4" w:space="0" w:color="000000"/>
              <w:bottom w:val="single" w:sz="4" w:space="0" w:color="000000"/>
              <w:right w:val="single" w:sz="4" w:space="0" w:color="000000"/>
            </w:tcBorders>
          </w:tcPr>
          <w:p w14:paraId="579ADC3E"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+4</w:t>
            </w:r>
          </w:p>
        </w:tc>
        <w:tc>
          <w:tcPr>
            <w:tcW w:w="2159" w:type="dxa"/>
            <w:tcBorders>
              <w:top w:val="single" w:sz="4" w:space="0" w:color="000000"/>
              <w:left w:val="single" w:sz="4" w:space="0" w:color="000000"/>
              <w:bottom w:val="single" w:sz="4" w:space="0" w:color="000000"/>
              <w:right w:val="single" w:sz="4" w:space="0" w:color="000000"/>
            </w:tcBorders>
          </w:tcPr>
          <w:p w14:paraId="6B001275"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27</w:t>
            </w:r>
          </w:p>
        </w:tc>
      </w:tr>
      <w:tr w:rsidR="002449C2" w14:paraId="09EECF45" w14:textId="77777777">
        <w:tc>
          <w:tcPr>
            <w:tcW w:w="1868" w:type="dxa"/>
            <w:tcBorders>
              <w:top w:val="single" w:sz="4" w:space="0" w:color="000000"/>
              <w:left w:val="single" w:sz="4" w:space="0" w:color="000000"/>
              <w:bottom w:val="single" w:sz="4" w:space="0" w:color="000000"/>
              <w:right w:val="single" w:sz="4" w:space="0" w:color="000000"/>
            </w:tcBorders>
          </w:tcPr>
          <w:p w14:paraId="7B0CA3FA"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всего заседаний</w:t>
            </w:r>
          </w:p>
        </w:tc>
        <w:tc>
          <w:tcPr>
            <w:tcW w:w="1869" w:type="dxa"/>
            <w:tcBorders>
              <w:top w:val="single" w:sz="4" w:space="0" w:color="000000"/>
              <w:left w:val="single" w:sz="4" w:space="0" w:color="000000"/>
              <w:bottom w:val="single" w:sz="4" w:space="0" w:color="000000"/>
              <w:right w:val="single" w:sz="4" w:space="0" w:color="000000"/>
            </w:tcBorders>
          </w:tcPr>
          <w:p w14:paraId="2EFBBAE9"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eastAsia="Times New Roman" w:hAnsi="Times New Roman"/>
                <w:sz w:val="20"/>
                <w:szCs w:val="20"/>
                <w:lang w:eastAsia="ru-RU"/>
              </w:rPr>
              <w:t>16</w:t>
            </w:r>
          </w:p>
        </w:tc>
        <w:tc>
          <w:tcPr>
            <w:tcW w:w="1869" w:type="dxa"/>
            <w:tcBorders>
              <w:top w:val="single" w:sz="4" w:space="0" w:color="000000"/>
              <w:left w:val="single" w:sz="4" w:space="0" w:color="000000"/>
              <w:bottom w:val="single" w:sz="4" w:space="0" w:color="000000"/>
              <w:right w:val="single" w:sz="4" w:space="0" w:color="000000"/>
            </w:tcBorders>
          </w:tcPr>
          <w:p w14:paraId="0A3E57B0"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19</w:t>
            </w:r>
          </w:p>
        </w:tc>
        <w:tc>
          <w:tcPr>
            <w:tcW w:w="1869" w:type="dxa"/>
            <w:tcBorders>
              <w:top w:val="single" w:sz="4" w:space="0" w:color="000000"/>
              <w:left w:val="single" w:sz="4" w:space="0" w:color="000000"/>
              <w:bottom w:val="single" w:sz="4" w:space="0" w:color="000000"/>
              <w:right w:val="single" w:sz="4" w:space="0" w:color="000000"/>
            </w:tcBorders>
          </w:tcPr>
          <w:p w14:paraId="14B6A2A7"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+3</w:t>
            </w:r>
          </w:p>
        </w:tc>
        <w:tc>
          <w:tcPr>
            <w:tcW w:w="2159" w:type="dxa"/>
            <w:tcBorders>
              <w:top w:val="single" w:sz="4" w:space="0" w:color="000000"/>
              <w:left w:val="single" w:sz="4" w:space="0" w:color="000000"/>
              <w:bottom w:val="single" w:sz="4" w:space="0" w:color="000000"/>
              <w:right w:val="single" w:sz="4" w:space="0" w:color="000000"/>
            </w:tcBorders>
          </w:tcPr>
          <w:p w14:paraId="3D8A9E7C"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16</w:t>
            </w:r>
          </w:p>
        </w:tc>
      </w:tr>
      <w:tr w:rsidR="002449C2" w14:paraId="0E3F60B9" w14:textId="77777777">
        <w:tc>
          <w:tcPr>
            <w:tcW w:w="1868" w:type="dxa"/>
            <w:tcBorders>
              <w:top w:val="single" w:sz="4" w:space="0" w:color="000000"/>
              <w:left w:val="single" w:sz="4" w:space="0" w:color="000000"/>
              <w:bottom w:val="single" w:sz="4" w:space="0" w:color="000000"/>
              <w:right w:val="single" w:sz="4" w:space="0" w:color="000000"/>
            </w:tcBorders>
          </w:tcPr>
          <w:p w14:paraId="299243D6"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всего вопросов</w:t>
            </w:r>
          </w:p>
        </w:tc>
        <w:tc>
          <w:tcPr>
            <w:tcW w:w="1869" w:type="dxa"/>
            <w:tcBorders>
              <w:top w:val="single" w:sz="4" w:space="0" w:color="000000"/>
              <w:left w:val="single" w:sz="4" w:space="0" w:color="000000"/>
              <w:bottom w:val="single" w:sz="4" w:space="0" w:color="000000"/>
              <w:right w:val="single" w:sz="4" w:space="0" w:color="000000"/>
            </w:tcBorders>
          </w:tcPr>
          <w:p w14:paraId="6B41444D"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eastAsia="Times New Roman" w:hAnsi="Times New Roman"/>
                <w:sz w:val="20"/>
                <w:szCs w:val="20"/>
                <w:lang w:eastAsia="ru-RU"/>
              </w:rPr>
              <w:t>47</w:t>
            </w:r>
          </w:p>
        </w:tc>
        <w:tc>
          <w:tcPr>
            <w:tcW w:w="1869" w:type="dxa"/>
            <w:tcBorders>
              <w:top w:val="single" w:sz="4" w:space="0" w:color="000000"/>
              <w:left w:val="single" w:sz="4" w:space="0" w:color="000000"/>
              <w:bottom w:val="single" w:sz="4" w:space="0" w:color="000000"/>
              <w:right w:val="single" w:sz="4" w:space="0" w:color="000000"/>
            </w:tcBorders>
          </w:tcPr>
          <w:p w14:paraId="41E63CD4"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39</w:t>
            </w:r>
          </w:p>
        </w:tc>
        <w:tc>
          <w:tcPr>
            <w:tcW w:w="1869" w:type="dxa"/>
            <w:tcBorders>
              <w:top w:val="single" w:sz="4" w:space="0" w:color="000000"/>
              <w:left w:val="single" w:sz="4" w:space="0" w:color="000000"/>
              <w:bottom w:val="single" w:sz="4" w:space="0" w:color="000000"/>
              <w:right w:val="single" w:sz="4" w:space="0" w:color="000000"/>
            </w:tcBorders>
          </w:tcPr>
          <w:p w14:paraId="38B8586C"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-8</w:t>
            </w:r>
          </w:p>
        </w:tc>
        <w:tc>
          <w:tcPr>
            <w:tcW w:w="2159" w:type="dxa"/>
            <w:tcBorders>
              <w:top w:val="single" w:sz="4" w:space="0" w:color="000000"/>
              <w:left w:val="single" w:sz="4" w:space="0" w:color="000000"/>
              <w:bottom w:val="single" w:sz="4" w:space="0" w:color="000000"/>
              <w:right w:val="single" w:sz="4" w:space="0" w:color="000000"/>
            </w:tcBorders>
          </w:tcPr>
          <w:p w14:paraId="1325050C"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-21</w:t>
            </w:r>
          </w:p>
        </w:tc>
      </w:tr>
    </w:tbl>
    <w:p w14:paraId="306E5800" w14:textId="77777777" w:rsidR="002449C2" w:rsidRDefault="002449C2">
      <w:pPr>
        <w:shd w:val="clear" w:color="auto" w:fill="FFFFFF"/>
        <w:tabs>
          <w:tab w:val="left" w:pos="142"/>
        </w:tabs>
        <w:spacing w:after="0" w:line="240" w:lineRule="auto"/>
        <w:jc w:val="both"/>
        <w:rPr>
          <w:rFonts w:ascii="Times New Roman" w:eastAsia="Times New Roman" w:hAnsi="Times New Roman"/>
          <w:i/>
          <w:sz w:val="26"/>
          <w:szCs w:val="26"/>
          <w:lang w:eastAsia="ru-RU"/>
        </w:rPr>
      </w:pPr>
    </w:p>
    <w:p w14:paraId="1432B3B9" w14:textId="77777777" w:rsidR="002449C2" w:rsidRDefault="00123961">
      <w:pPr>
        <w:shd w:val="clear" w:color="auto" w:fill="FFFFFF"/>
        <w:tabs>
          <w:tab w:val="left" w:pos="142"/>
        </w:tabs>
        <w:spacing w:after="0" w:line="240" w:lineRule="auto"/>
        <w:ind w:firstLine="567"/>
        <w:jc w:val="center"/>
        <w:rPr>
          <w:rFonts w:ascii="Times New Roman" w:eastAsia="Times New Roman" w:hAnsi="Times New Roman"/>
          <w:i/>
          <w:sz w:val="26"/>
          <w:szCs w:val="26"/>
          <w:lang w:eastAsia="ru-RU"/>
        </w:rPr>
      </w:pPr>
      <w:r>
        <w:rPr>
          <w:rFonts w:ascii="Times New Roman" w:eastAsia="Times New Roman" w:hAnsi="Times New Roman"/>
          <w:i/>
          <w:sz w:val="26"/>
          <w:szCs w:val="26"/>
          <w:lang w:eastAsia="ru-RU"/>
        </w:rPr>
        <w:t>Календарь заседаний</w:t>
      </w:r>
    </w:p>
    <w:tbl>
      <w:tblPr>
        <w:tblpPr w:leftFromText="180" w:rightFromText="180" w:bottomFromText="200" w:vertAnchor="text" w:horzAnchor="margin" w:tblpY="67"/>
        <w:tblW w:w="9570" w:type="dxa"/>
        <w:tblLayout w:type="fixed"/>
        <w:tblLook w:val="04A0" w:firstRow="1" w:lastRow="0" w:firstColumn="1" w:lastColumn="0" w:noHBand="0" w:noVBand="1"/>
      </w:tblPr>
      <w:tblGrid>
        <w:gridCol w:w="2945"/>
        <w:gridCol w:w="551"/>
        <w:gridCol w:w="555"/>
        <w:gridCol w:w="556"/>
        <w:gridCol w:w="552"/>
        <w:gridCol w:w="547"/>
        <w:gridCol w:w="552"/>
        <w:gridCol w:w="553"/>
        <w:gridCol w:w="556"/>
        <w:gridCol w:w="553"/>
        <w:gridCol w:w="546"/>
        <w:gridCol w:w="552"/>
        <w:gridCol w:w="552"/>
      </w:tblGrid>
      <w:tr w:rsidR="002449C2" w14:paraId="20D902E4" w14:textId="77777777">
        <w:trPr>
          <w:cantSplit/>
          <w:trHeight w:val="1125"/>
        </w:trPr>
        <w:tc>
          <w:tcPr>
            <w:tcW w:w="2944" w:type="dxa"/>
            <w:tcBorders>
              <w:top w:val="single" w:sz="4" w:space="0" w:color="000000"/>
              <w:left w:val="single" w:sz="4" w:space="0" w:color="000000"/>
              <w:bottom w:val="single" w:sz="4" w:space="0" w:color="000000"/>
              <w:right w:val="single" w:sz="4" w:space="0" w:color="000000"/>
            </w:tcBorders>
            <w:vAlign w:val="center"/>
          </w:tcPr>
          <w:p w14:paraId="78256AC3" w14:textId="77777777" w:rsidR="002449C2" w:rsidRDefault="00123961">
            <w:pPr>
              <w:widowControl w:val="0"/>
              <w:shd w:val="clear" w:color="auto" w:fill="FFFFFF"/>
              <w:spacing w:after="0" w:line="240" w:lineRule="auto"/>
              <w:ind w:right="-108"/>
              <w:jc w:val="center"/>
              <w:rPr>
                <w:rFonts w:ascii="Times New Roman" w:eastAsia="Times New Roman" w:hAnsi="Times New Roman"/>
                <w:b/>
                <w:lang w:eastAsia="ru-RU"/>
              </w:rPr>
            </w:pPr>
            <w:r>
              <w:rPr>
                <w:rFonts w:ascii="Times New Roman" w:eastAsia="Times New Roman" w:hAnsi="Times New Roman"/>
                <w:b/>
                <w:lang w:eastAsia="ru-RU"/>
              </w:rPr>
              <w:t>2024</w:t>
            </w:r>
          </w:p>
        </w:tc>
        <w:tc>
          <w:tcPr>
            <w:tcW w:w="551" w:type="dxa"/>
            <w:tcBorders>
              <w:top w:val="single" w:sz="4" w:space="0" w:color="000000"/>
              <w:left w:val="single" w:sz="4" w:space="0" w:color="000000"/>
              <w:bottom w:val="single" w:sz="4" w:space="0" w:color="000000"/>
              <w:right w:val="single" w:sz="4" w:space="0" w:color="000000"/>
            </w:tcBorders>
            <w:textDirection w:val="btLr"/>
            <w:vAlign w:val="center"/>
          </w:tcPr>
          <w:p w14:paraId="4E7DC1A3"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январь</w:t>
            </w:r>
          </w:p>
        </w:tc>
        <w:tc>
          <w:tcPr>
            <w:tcW w:w="555" w:type="dxa"/>
            <w:tcBorders>
              <w:top w:val="single" w:sz="4" w:space="0" w:color="000000"/>
              <w:left w:val="single" w:sz="4" w:space="0" w:color="000000"/>
              <w:bottom w:val="single" w:sz="4" w:space="0" w:color="000000"/>
              <w:right w:val="single" w:sz="4" w:space="0" w:color="000000"/>
            </w:tcBorders>
            <w:textDirection w:val="btLr"/>
            <w:vAlign w:val="center"/>
          </w:tcPr>
          <w:p w14:paraId="497A5B5D"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февраль</w:t>
            </w:r>
          </w:p>
        </w:tc>
        <w:tc>
          <w:tcPr>
            <w:tcW w:w="556" w:type="dxa"/>
            <w:tcBorders>
              <w:top w:val="single" w:sz="4" w:space="0" w:color="000000"/>
              <w:left w:val="single" w:sz="4" w:space="0" w:color="000000"/>
              <w:bottom w:val="single" w:sz="4" w:space="0" w:color="000000"/>
              <w:right w:val="single" w:sz="4" w:space="0" w:color="000000"/>
            </w:tcBorders>
            <w:textDirection w:val="btLr"/>
            <w:vAlign w:val="center"/>
          </w:tcPr>
          <w:p w14:paraId="760FCDC2"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март</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5755768C"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апрель</w:t>
            </w:r>
          </w:p>
        </w:tc>
        <w:tc>
          <w:tcPr>
            <w:tcW w:w="547" w:type="dxa"/>
            <w:tcBorders>
              <w:top w:val="single" w:sz="4" w:space="0" w:color="000000"/>
              <w:left w:val="single" w:sz="4" w:space="0" w:color="000000"/>
              <w:bottom w:val="single" w:sz="4" w:space="0" w:color="000000"/>
              <w:right w:val="single" w:sz="4" w:space="0" w:color="000000"/>
            </w:tcBorders>
            <w:textDirection w:val="btLr"/>
            <w:vAlign w:val="center"/>
          </w:tcPr>
          <w:p w14:paraId="04B1C86E"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май</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3362E932"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июнь</w:t>
            </w:r>
          </w:p>
        </w:tc>
        <w:tc>
          <w:tcPr>
            <w:tcW w:w="553" w:type="dxa"/>
            <w:tcBorders>
              <w:top w:val="single" w:sz="4" w:space="0" w:color="000000"/>
              <w:left w:val="single" w:sz="4" w:space="0" w:color="000000"/>
              <w:bottom w:val="single" w:sz="4" w:space="0" w:color="000000"/>
              <w:right w:val="single" w:sz="4" w:space="0" w:color="000000"/>
            </w:tcBorders>
            <w:textDirection w:val="btLr"/>
            <w:vAlign w:val="center"/>
          </w:tcPr>
          <w:p w14:paraId="7498F6B5"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июль</w:t>
            </w:r>
          </w:p>
        </w:tc>
        <w:tc>
          <w:tcPr>
            <w:tcW w:w="556" w:type="dxa"/>
            <w:tcBorders>
              <w:top w:val="single" w:sz="4" w:space="0" w:color="000000"/>
              <w:left w:val="single" w:sz="4" w:space="0" w:color="000000"/>
              <w:bottom w:val="single" w:sz="4" w:space="0" w:color="000000"/>
              <w:right w:val="single" w:sz="4" w:space="0" w:color="000000"/>
            </w:tcBorders>
            <w:textDirection w:val="btLr"/>
            <w:vAlign w:val="center"/>
          </w:tcPr>
          <w:p w14:paraId="2B3D6BE6"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август</w:t>
            </w:r>
          </w:p>
        </w:tc>
        <w:tc>
          <w:tcPr>
            <w:tcW w:w="553" w:type="dxa"/>
            <w:tcBorders>
              <w:top w:val="single" w:sz="4" w:space="0" w:color="000000"/>
              <w:left w:val="single" w:sz="4" w:space="0" w:color="000000"/>
              <w:bottom w:val="single" w:sz="4" w:space="0" w:color="000000"/>
              <w:right w:val="single" w:sz="4" w:space="0" w:color="000000"/>
            </w:tcBorders>
            <w:textDirection w:val="btLr"/>
            <w:vAlign w:val="center"/>
          </w:tcPr>
          <w:p w14:paraId="6E6130FE"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сентябрь</w:t>
            </w:r>
          </w:p>
        </w:tc>
        <w:tc>
          <w:tcPr>
            <w:tcW w:w="546" w:type="dxa"/>
            <w:tcBorders>
              <w:top w:val="single" w:sz="4" w:space="0" w:color="000000"/>
              <w:left w:val="single" w:sz="4" w:space="0" w:color="000000"/>
              <w:bottom w:val="single" w:sz="4" w:space="0" w:color="000000"/>
              <w:right w:val="single" w:sz="4" w:space="0" w:color="000000"/>
            </w:tcBorders>
            <w:textDirection w:val="btLr"/>
            <w:vAlign w:val="center"/>
          </w:tcPr>
          <w:p w14:paraId="21A16355"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октябрь</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476C6C73"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ноябрь</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258956F0"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декабрь</w:t>
            </w:r>
          </w:p>
        </w:tc>
      </w:tr>
      <w:tr w:rsidR="002449C2" w14:paraId="1D552242" w14:textId="77777777">
        <w:trPr>
          <w:trHeight w:val="478"/>
        </w:trPr>
        <w:tc>
          <w:tcPr>
            <w:tcW w:w="2944" w:type="dxa"/>
            <w:vMerge w:val="restart"/>
            <w:tcBorders>
              <w:top w:val="single" w:sz="4" w:space="0" w:color="000000"/>
              <w:left w:val="single" w:sz="4" w:space="0" w:color="000000"/>
              <w:bottom w:val="single" w:sz="4" w:space="0" w:color="000000"/>
              <w:right w:val="single" w:sz="4" w:space="0" w:color="000000"/>
            </w:tcBorders>
            <w:vAlign w:val="center"/>
          </w:tcPr>
          <w:p w14:paraId="4050A62A" w14:textId="77777777" w:rsidR="002449C2" w:rsidRDefault="00123961">
            <w:pPr>
              <w:widowControl w:val="0"/>
              <w:shd w:val="clear" w:color="auto" w:fill="FFFFFF"/>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sz w:val="20"/>
                <w:szCs w:val="20"/>
                <w:lang w:eastAsia="ru-RU"/>
              </w:rPr>
              <w:t>Заседания Комитета</w:t>
            </w:r>
          </w:p>
        </w:tc>
        <w:tc>
          <w:tcPr>
            <w:tcW w:w="551" w:type="dxa"/>
            <w:tcBorders>
              <w:top w:val="single" w:sz="4" w:space="0" w:color="000000"/>
              <w:left w:val="single" w:sz="4" w:space="0" w:color="000000"/>
              <w:bottom w:val="single" w:sz="4" w:space="0" w:color="000000"/>
              <w:right w:val="single" w:sz="4" w:space="0" w:color="000000"/>
            </w:tcBorders>
            <w:vAlign w:val="center"/>
          </w:tcPr>
          <w:p w14:paraId="71038214" w14:textId="77777777" w:rsidR="002449C2" w:rsidRDefault="00123961">
            <w:pPr>
              <w:widowControl w:val="0"/>
              <w:shd w:val="clear" w:color="auto" w:fill="FFFFFF"/>
              <w:spacing w:after="0" w:line="240" w:lineRule="auto"/>
              <w:ind w:right="-108"/>
              <w:jc w:val="center"/>
              <w:rPr>
                <w:rFonts w:ascii="Times New Roman" w:eastAsia="Times New Roman" w:hAnsi="Times New Roman"/>
                <w:lang w:eastAsia="ru-RU"/>
              </w:rPr>
            </w:pPr>
            <w:r>
              <w:rPr>
                <w:rFonts w:ascii="Times New Roman" w:eastAsia="Times New Roman" w:hAnsi="Times New Roman"/>
                <w:lang w:eastAsia="ru-RU"/>
              </w:rPr>
              <w:t>1</w:t>
            </w:r>
          </w:p>
        </w:tc>
        <w:tc>
          <w:tcPr>
            <w:tcW w:w="555" w:type="dxa"/>
            <w:tcBorders>
              <w:top w:val="single" w:sz="4" w:space="0" w:color="000000"/>
              <w:left w:val="single" w:sz="4" w:space="0" w:color="000000"/>
              <w:bottom w:val="single" w:sz="4" w:space="0" w:color="000000"/>
              <w:right w:val="single" w:sz="4" w:space="0" w:color="000000"/>
            </w:tcBorders>
            <w:vAlign w:val="center"/>
          </w:tcPr>
          <w:p w14:paraId="2EA23DE4" w14:textId="77777777" w:rsidR="002449C2" w:rsidRDefault="00123961">
            <w:pPr>
              <w:widowControl w:val="0"/>
              <w:shd w:val="clear" w:color="auto" w:fill="FFFFFF"/>
              <w:spacing w:after="0" w:line="240" w:lineRule="auto"/>
              <w:ind w:right="-108"/>
              <w:jc w:val="center"/>
              <w:rPr>
                <w:rFonts w:ascii="Times New Roman" w:eastAsia="Times New Roman" w:hAnsi="Times New Roman"/>
                <w:lang w:eastAsia="ru-RU"/>
              </w:rPr>
            </w:pPr>
            <w:r>
              <w:rPr>
                <w:rFonts w:ascii="Times New Roman" w:eastAsia="Times New Roman" w:hAnsi="Times New Roman"/>
                <w:lang w:eastAsia="ru-RU"/>
              </w:rPr>
              <w:t>2</w:t>
            </w:r>
          </w:p>
        </w:tc>
        <w:tc>
          <w:tcPr>
            <w:tcW w:w="556" w:type="dxa"/>
            <w:tcBorders>
              <w:top w:val="single" w:sz="4" w:space="0" w:color="000000"/>
              <w:left w:val="single" w:sz="4" w:space="0" w:color="000000"/>
              <w:bottom w:val="single" w:sz="4" w:space="0" w:color="000000"/>
              <w:right w:val="single" w:sz="4" w:space="0" w:color="000000"/>
            </w:tcBorders>
            <w:vAlign w:val="center"/>
          </w:tcPr>
          <w:p w14:paraId="212D1ACA" w14:textId="77777777" w:rsidR="002449C2" w:rsidRDefault="00123961">
            <w:pPr>
              <w:widowControl w:val="0"/>
              <w:shd w:val="clear" w:color="auto" w:fill="FFFFFF"/>
              <w:spacing w:after="0" w:line="240" w:lineRule="auto"/>
              <w:ind w:right="-108"/>
              <w:jc w:val="center"/>
              <w:rPr>
                <w:rFonts w:ascii="Times New Roman" w:eastAsia="Times New Roman" w:hAnsi="Times New Roman"/>
                <w:lang w:eastAsia="ru-RU"/>
              </w:rPr>
            </w:pPr>
            <w:r>
              <w:rPr>
                <w:rFonts w:ascii="Times New Roman" w:eastAsia="Times New Roman" w:hAnsi="Times New Roman"/>
                <w:lang w:eastAsia="ru-RU"/>
              </w:rPr>
              <w:t>3</w:t>
            </w:r>
          </w:p>
        </w:tc>
        <w:tc>
          <w:tcPr>
            <w:tcW w:w="552" w:type="dxa"/>
            <w:tcBorders>
              <w:top w:val="single" w:sz="4" w:space="0" w:color="000000"/>
              <w:left w:val="single" w:sz="4" w:space="0" w:color="000000"/>
              <w:bottom w:val="single" w:sz="4" w:space="0" w:color="000000"/>
              <w:right w:val="single" w:sz="4" w:space="0" w:color="000000"/>
            </w:tcBorders>
            <w:vAlign w:val="center"/>
          </w:tcPr>
          <w:p w14:paraId="5A696B62" w14:textId="77777777" w:rsidR="002449C2" w:rsidRDefault="00123961">
            <w:pPr>
              <w:widowControl w:val="0"/>
              <w:shd w:val="clear" w:color="auto" w:fill="FFFFFF"/>
              <w:spacing w:after="0" w:line="240" w:lineRule="auto"/>
              <w:ind w:right="-108"/>
              <w:jc w:val="center"/>
              <w:rPr>
                <w:rFonts w:ascii="Times New Roman" w:eastAsia="Times New Roman" w:hAnsi="Times New Roman"/>
                <w:lang w:eastAsia="ru-RU"/>
              </w:rPr>
            </w:pPr>
            <w:r>
              <w:rPr>
                <w:rFonts w:ascii="Times New Roman" w:eastAsia="Times New Roman" w:hAnsi="Times New Roman"/>
                <w:lang w:eastAsia="ru-RU"/>
              </w:rPr>
              <w:t>-</w:t>
            </w:r>
          </w:p>
        </w:tc>
        <w:tc>
          <w:tcPr>
            <w:tcW w:w="547" w:type="dxa"/>
            <w:tcBorders>
              <w:top w:val="single" w:sz="4" w:space="0" w:color="000000"/>
              <w:left w:val="single" w:sz="4" w:space="0" w:color="000000"/>
              <w:bottom w:val="single" w:sz="4" w:space="0" w:color="000000"/>
              <w:right w:val="single" w:sz="4" w:space="0" w:color="000000"/>
            </w:tcBorders>
            <w:vAlign w:val="center"/>
          </w:tcPr>
          <w:p w14:paraId="19496AB1" w14:textId="77777777" w:rsidR="002449C2" w:rsidRDefault="00123961">
            <w:pPr>
              <w:widowControl w:val="0"/>
              <w:shd w:val="clear" w:color="auto" w:fill="FFFFFF"/>
              <w:spacing w:after="0" w:line="240" w:lineRule="auto"/>
              <w:ind w:right="-108"/>
              <w:jc w:val="center"/>
              <w:rPr>
                <w:rFonts w:ascii="Times New Roman" w:eastAsia="Times New Roman" w:hAnsi="Times New Roman"/>
                <w:lang w:eastAsia="ru-RU"/>
              </w:rPr>
            </w:pPr>
            <w:r>
              <w:rPr>
                <w:rFonts w:ascii="Times New Roman" w:eastAsia="Times New Roman" w:hAnsi="Times New Roman"/>
                <w:lang w:eastAsia="ru-RU"/>
              </w:rPr>
              <w:t>3</w:t>
            </w:r>
          </w:p>
        </w:tc>
        <w:tc>
          <w:tcPr>
            <w:tcW w:w="552" w:type="dxa"/>
            <w:tcBorders>
              <w:top w:val="single" w:sz="4" w:space="0" w:color="000000"/>
              <w:left w:val="single" w:sz="4" w:space="0" w:color="000000"/>
              <w:bottom w:val="single" w:sz="4" w:space="0" w:color="000000"/>
              <w:right w:val="single" w:sz="4" w:space="0" w:color="000000"/>
            </w:tcBorders>
            <w:vAlign w:val="center"/>
          </w:tcPr>
          <w:p w14:paraId="308EC4D8" w14:textId="77777777" w:rsidR="002449C2" w:rsidRDefault="00123961">
            <w:pPr>
              <w:widowControl w:val="0"/>
              <w:shd w:val="clear" w:color="auto" w:fill="FFFFFF"/>
              <w:spacing w:after="0" w:line="240" w:lineRule="auto"/>
              <w:ind w:right="-108"/>
              <w:jc w:val="center"/>
              <w:rPr>
                <w:rFonts w:ascii="Times New Roman" w:eastAsia="Times New Roman" w:hAnsi="Times New Roman"/>
                <w:lang w:eastAsia="ru-RU"/>
              </w:rPr>
            </w:pPr>
            <w:r>
              <w:rPr>
                <w:rFonts w:ascii="Times New Roman" w:eastAsia="Times New Roman" w:hAnsi="Times New Roman"/>
                <w:lang w:eastAsia="ru-RU"/>
              </w:rPr>
              <w:t>1</w:t>
            </w:r>
          </w:p>
        </w:tc>
        <w:tc>
          <w:tcPr>
            <w:tcW w:w="553" w:type="dxa"/>
            <w:tcBorders>
              <w:top w:val="single" w:sz="4" w:space="0" w:color="000000"/>
              <w:left w:val="single" w:sz="4" w:space="0" w:color="000000"/>
              <w:bottom w:val="single" w:sz="4" w:space="0" w:color="000000"/>
              <w:right w:val="single" w:sz="4" w:space="0" w:color="000000"/>
            </w:tcBorders>
            <w:vAlign w:val="center"/>
          </w:tcPr>
          <w:p w14:paraId="70226350" w14:textId="77777777" w:rsidR="002449C2" w:rsidRDefault="00123961">
            <w:pPr>
              <w:widowControl w:val="0"/>
              <w:shd w:val="clear" w:color="auto" w:fill="FFFFFF"/>
              <w:spacing w:after="0" w:line="240" w:lineRule="auto"/>
              <w:ind w:right="-108"/>
              <w:jc w:val="center"/>
              <w:rPr>
                <w:rFonts w:ascii="Times New Roman" w:eastAsia="Times New Roman" w:hAnsi="Times New Roman"/>
                <w:lang w:eastAsia="ru-RU"/>
              </w:rPr>
            </w:pPr>
            <w:r>
              <w:rPr>
                <w:rFonts w:ascii="Times New Roman" w:eastAsia="Times New Roman" w:hAnsi="Times New Roman"/>
                <w:lang w:eastAsia="ru-RU"/>
              </w:rPr>
              <w:t>1</w:t>
            </w:r>
          </w:p>
        </w:tc>
        <w:tc>
          <w:tcPr>
            <w:tcW w:w="556" w:type="dxa"/>
            <w:tcBorders>
              <w:top w:val="single" w:sz="4" w:space="0" w:color="000000"/>
              <w:left w:val="single" w:sz="4" w:space="0" w:color="000000"/>
              <w:bottom w:val="single" w:sz="4" w:space="0" w:color="000000"/>
              <w:right w:val="single" w:sz="4" w:space="0" w:color="000000"/>
            </w:tcBorders>
            <w:vAlign w:val="center"/>
          </w:tcPr>
          <w:p w14:paraId="7248F3E3" w14:textId="77777777" w:rsidR="002449C2" w:rsidRDefault="00123961">
            <w:pPr>
              <w:widowControl w:val="0"/>
              <w:shd w:val="clear" w:color="auto" w:fill="FFFFFF"/>
              <w:spacing w:after="0" w:line="240" w:lineRule="auto"/>
              <w:ind w:right="-108"/>
              <w:jc w:val="center"/>
              <w:rPr>
                <w:rFonts w:ascii="Times New Roman" w:eastAsia="Times New Roman" w:hAnsi="Times New Roman"/>
                <w:lang w:eastAsia="ru-RU"/>
              </w:rPr>
            </w:pPr>
            <w:r>
              <w:rPr>
                <w:rFonts w:ascii="Times New Roman" w:eastAsia="Times New Roman" w:hAnsi="Times New Roman"/>
                <w:lang w:eastAsia="ru-RU"/>
              </w:rPr>
              <w:t>-</w:t>
            </w:r>
          </w:p>
        </w:tc>
        <w:tc>
          <w:tcPr>
            <w:tcW w:w="553" w:type="dxa"/>
            <w:tcBorders>
              <w:top w:val="single" w:sz="4" w:space="0" w:color="000000"/>
              <w:left w:val="single" w:sz="4" w:space="0" w:color="000000"/>
              <w:bottom w:val="single" w:sz="4" w:space="0" w:color="000000"/>
              <w:right w:val="single" w:sz="4" w:space="0" w:color="000000"/>
            </w:tcBorders>
            <w:vAlign w:val="center"/>
          </w:tcPr>
          <w:p w14:paraId="73C1472B" w14:textId="77777777" w:rsidR="002449C2" w:rsidRDefault="00123961">
            <w:pPr>
              <w:widowControl w:val="0"/>
              <w:shd w:val="clear" w:color="auto" w:fill="FFFFFF"/>
              <w:spacing w:after="0" w:line="240" w:lineRule="auto"/>
              <w:ind w:right="-108"/>
              <w:jc w:val="center"/>
              <w:rPr>
                <w:rFonts w:ascii="Times New Roman" w:eastAsia="Times New Roman" w:hAnsi="Times New Roman"/>
                <w:lang w:eastAsia="ru-RU"/>
              </w:rPr>
            </w:pPr>
            <w:r>
              <w:rPr>
                <w:rFonts w:ascii="Times New Roman" w:eastAsia="Times New Roman" w:hAnsi="Times New Roman"/>
                <w:lang w:eastAsia="ru-RU"/>
              </w:rPr>
              <w:t>2</w:t>
            </w:r>
          </w:p>
        </w:tc>
        <w:tc>
          <w:tcPr>
            <w:tcW w:w="546" w:type="dxa"/>
            <w:tcBorders>
              <w:top w:val="single" w:sz="4" w:space="0" w:color="000000"/>
              <w:left w:val="single" w:sz="4" w:space="0" w:color="000000"/>
              <w:bottom w:val="single" w:sz="4" w:space="0" w:color="000000"/>
              <w:right w:val="single" w:sz="4" w:space="0" w:color="000000"/>
            </w:tcBorders>
            <w:vAlign w:val="center"/>
          </w:tcPr>
          <w:p w14:paraId="58D438A0" w14:textId="77777777" w:rsidR="002449C2" w:rsidRDefault="00123961">
            <w:pPr>
              <w:widowControl w:val="0"/>
              <w:shd w:val="clear" w:color="auto" w:fill="FFFFFF"/>
              <w:spacing w:after="0" w:line="240" w:lineRule="auto"/>
              <w:ind w:right="-108"/>
              <w:jc w:val="center"/>
              <w:rPr>
                <w:rFonts w:ascii="Times New Roman" w:eastAsia="Times New Roman" w:hAnsi="Times New Roman"/>
                <w:lang w:eastAsia="ru-RU"/>
              </w:rPr>
            </w:pPr>
            <w:r>
              <w:rPr>
                <w:rFonts w:ascii="Times New Roman" w:eastAsia="Times New Roman" w:hAnsi="Times New Roman"/>
                <w:lang w:eastAsia="ru-RU"/>
              </w:rPr>
              <w:t>1</w:t>
            </w:r>
          </w:p>
        </w:tc>
        <w:tc>
          <w:tcPr>
            <w:tcW w:w="552" w:type="dxa"/>
            <w:tcBorders>
              <w:top w:val="single" w:sz="4" w:space="0" w:color="000000"/>
              <w:left w:val="single" w:sz="4" w:space="0" w:color="000000"/>
              <w:bottom w:val="single" w:sz="4" w:space="0" w:color="000000"/>
              <w:right w:val="single" w:sz="4" w:space="0" w:color="000000"/>
            </w:tcBorders>
            <w:vAlign w:val="center"/>
          </w:tcPr>
          <w:p w14:paraId="608D43A4" w14:textId="77777777" w:rsidR="002449C2" w:rsidRDefault="00123961">
            <w:pPr>
              <w:widowControl w:val="0"/>
              <w:shd w:val="clear" w:color="auto" w:fill="FFFFFF"/>
              <w:spacing w:after="0" w:line="240" w:lineRule="auto"/>
              <w:ind w:right="-108"/>
              <w:jc w:val="center"/>
              <w:rPr>
                <w:rFonts w:ascii="Times New Roman" w:eastAsia="Times New Roman" w:hAnsi="Times New Roman"/>
                <w:lang w:eastAsia="ru-RU"/>
              </w:rPr>
            </w:pPr>
            <w:r>
              <w:rPr>
                <w:rFonts w:ascii="Times New Roman" w:eastAsia="Times New Roman" w:hAnsi="Times New Roman"/>
                <w:lang w:eastAsia="ru-RU"/>
              </w:rPr>
              <w:t>-</w:t>
            </w:r>
          </w:p>
        </w:tc>
        <w:tc>
          <w:tcPr>
            <w:tcW w:w="552" w:type="dxa"/>
            <w:tcBorders>
              <w:top w:val="single" w:sz="4" w:space="0" w:color="000000"/>
              <w:left w:val="single" w:sz="4" w:space="0" w:color="000000"/>
              <w:bottom w:val="single" w:sz="4" w:space="0" w:color="000000"/>
              <w:right w:val="single" w:sz="4" w:space="0" w:color="000000"/>
            </w:tcBorders>
            <w:vAlign w:val="center"/>
          </w:tcPr>
          <w:p w14:paraId="2668CB8A" w14:textId="77777777" w:rsidR="002449C2" w:rsidRDefault="00123961">
            <w:pPr>
              <w:widowControl w:val="0"/>
              <w:shd w:val="clear" w:color="auto" w:fill="FFFFFF"/>
              <w:spacing w:after="0" w:line="240" w:lineRule="auto"/>
              <w:ind w:right="-108"/>
              <w:jc w:val="center"/>
              <w:rPr>
                <w:rFonts w:ascii="Times New Roman" w:eastAsia="Times New Roman" w:hAnsi="Times New Roman"/>
                <w:lang w:eastAsia="ru-RU"/>
              </w:rPr>
            </w:pPr>
            <w:r>
              <w:rPr>
                <w:rFonts w:ascii="Times New Roman" w:eastAsia="Times New Roman" w:hAnsi="Times New Roman"/>
                <w:lang w:eastAsia="ru-RU"/>
              </w:rPr>
              <w:t>2</w:t>
            </w:r>
          </w:p>
        </w:tc>
      </w:tr>
      <w:tr w:rsidR="002449C2" w14:paraId="1496D2D6" w14:textId="77777777">
        <w:trPr>
          <w:cantSplit/>
          <w:trHeight w:val="1192"/>
        </w:trPr>
        <w:tc>
          <w:tcPr>
            <w:tcW w:w="2944" w:type="dxa"/>
            <w:vMerge/>
            <w:tcBorders>
              <w:top w:val="single" w:sz="4" w:space="0" w:color="000000"/>
              <w:left w:val="single" w:sz="4" w:space="0" w:color="000000"/>
              <w:bottom w:val="single" w:sz="4" w:space="0" w:color="000000"/>
              <w:right w:val="single" w:sz="4" w:space="0" w:color="000000"/>
            </w:tcBorders>
            <w:vAlign w:val="center"/>
          </w:tcPr>
          <w:p w14:paraId="66100F7F" w14:textId="77777777" w:rsidR="002449C2" w:rsidRDefault="002449C2">
            <w:pPr>
              <w:widowControl w:val="0"/>
              <w:shd w:val="clear" w:color="auto" w:fill="FFFFFF"/>
              <w:spacing w:after="0" w:line="240" w:lineRule="auto"/>
              <w:rPr>
                <w:rFonts w:ascii="Times New Roman" w:eastAsia="Times New Roman" w:hAnsi="Times New Roman"/>
                <w:sz w:val="18"/>
                <w:szCs w:val="18"/>
                <w:lang w:eastAsia="ru-RU"/>
              </w:rPr>
            </w:pPr>
          </w:p>
        </w:tc>
        <w:tc>
          <w:tcPr>
            <w:tcW w:w="551" w:type="dxa"/>
            <w:tcBorders>
              <w:top w:val="single" w:sz="4" w:space="0" w:color="000000"/>
              <w:left w:val="single" w:sz="4" w:space="0" w:color="000000"/>
              <w:bottom w:val="single" w:sz="4" w:space="0" w:color="000000"/>
              <w:right w:val="single" w:sz="4" w:space="0" w:color="000000"/>
            </w:tcBorders>
            <w:textDirection w:val="btLr"/>
            <w:vAlign w:val="center"/>
          </w:tcPr>
          <w:p w14:paraId="112F6CF5"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w:t>
            </w:r>
          </w:p>
        </w:tc>
        <w:tc>
          <w:tcPr>
            <w:tcW w:w="555" w:type="dxa"/>
            <w:tcBorders>
              <w:top w:val="single" w:sz="4" w:space="0" w:color="000000"/>
              <w:left w:val="single" w:sz="4" w:space="0" w:color="000000"/>
              <w:bottom w:val="single" w:sz="4" w:space="0" w:color="000000"/>
              <w:right w:val="single" w:sz="4" w:space="0" w:color="000000"/>
            </w:tcBorders>
            <w:textDirection w:val="btLr"/>
            <w:vAlign w:val="center"/>
          </w:tcPr>
          <w:p w14:paraId="6373A31B"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01, 13, 28</w:t>
            </w:r>
          </w:p>
        </w:tc>
        <w:tc>
          <w:tcPr>
            <w:tcW w:w="556" w:type="dxa"/>
            <w:tcBorders>
              <w:top w:val="single" w:sz="4" w:space="0" w:color="000000"/>
              <w:left w:val="single" w:sz="4" w:space="0" w:color="000000"/>
              <w:bottom w:val="single" w:sz="4" w:space="0" w:color="000000"/>
              <w:right w:val="single" w:sz="4" w:space="0" w:color="000000"/>
            </w:tcBorders>
            <w:textDirection w:val="btLr"/>
            <w:vAlign w:val="center"/>
          </w:tcPr>
          <w:p w14:paraId="6645342C"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12, 29</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07EF755F"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25</w:t>
            </w:r>
          </w:p>
          <w:p w14:paraId="08767AE2" w14:textId="77777777" w:rsidR="002449C2" w:rsidRDefault="002449C2">
            <w:pPr>
              <w:widowControl w:val="0"/>
              <w:shd w:val="clear" w:color="auto" w:fill="FFFFFF"/>
              <w:spacing w:after="0" w:line="240" w:lineRule="auto"/>
              <w:ind w:left="113" w:right="-108"/>
              <w:jc w:val="center"/>
              <w:rPr>
                <w:rFonts w:ascii="Times New Roman" w:eastAsia="Times New Roman" w:hAnsi="Times New Roman"/>
                <w:sz w:val="18"/>
                <w:szCs w:val="18"/>
                <w:lang w:eastAsia="ru-RU"/>
              </w:rPr>
            </w:pPr>
          </w:p>
        </w:tc>
        <w:tc>
          <w:tcPr>
            <w:tcW w:w="547" w:type="dxa"/>
            <w:tcBorders>
              <w:top w:val="single" w:sz="4" w:space="0" w:color="000000"/>
              <w:left w:val="single" w:sz="4" w:space="0" w:color="000000"/>
              <w:bottom w:val="single" w:sz="4" w:space="0" w:color="000000"/>
              <w:right w:val="single" w:sz="4" w:space="0" w:color="000000"/>
            </w:tcBorders>
            <w:textDirection w:val="btLr"/>
            <w:vAlign w:val="center"/>
          </w:tcPr>
          <w:p w14:paraId="4454DA83"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08, 28</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064FA617"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03, 07, 25</w:t>
            </w:r>
          </w:p>
        </w:tc>
        <w:tc>
          <w:tcPr>
            <w:tcW w:w="553" w:type="dxa"/>
            <w:tcBorders>
              <w:top w:val="single" w:sz="4" w:space="0" w:color="000000"/>
              <w:left w:val="single" w:sz="4" w:space="0" w:color="000000"/>
              <w:bottom w:val="single" w:sz="4" w:space="0" w:color="000000"/>
              <w:right w:val="single" w:sz="4" w:space="0" w:color="000000"/>
            </w:tcBorders>
            <w:textDirection w:val="btLr"/>
            <w:vAlign w:val="center"/>
          </w:tcPr>
          <w:p w14:paraId="38A3734F" w14:textId="77777777" w:rsidR="002449C2" w:rsidRDefault="002449C2">
            <w:pPr>
              <w:widowControl w:val="0"/>
              <w:shd w:val="clear" w:color="auto" w:fill="FFFFFF"/>
              <w:spacing w:after="0" w:line="240" w:lineRule="auto"/>
              <w:ind w:left="113" w:right="-108"/>
              <w:jc w:val="center"/>
              <w:rPr>
                <w:rFonts w:ascii="Times New Roman" w:eastAsia="Times New Roman" w:hAnsi="Times New Roman"/>
                <w:sz w:val="18"/>
                <w:szCs w:val="18"/>
                <w:lang w:eastAsia="ru-RU"/>
              </w:rPr>
            </w:pPr>
          </w:p>
        </w:tc>
        <w:tc>
          <w:tcPr>
            <w:tcW w:w="556" w:type="dxa"/>
            <w:tcBorders>
              <w:top w:val="single" w:sz="4" w:space="0" w:color="000000"/>
              <w:left w:val="single" w:sz="4" w:space="0" w:color="000000"/>
              <w:bottom w:val="single" w:sz="4" w:space="0" w:color="000000"/>
              <w:right w:val="single" w:sz="4" w:space="0" w:color="000000"/>
            </w:tcBorders>
            <w:textDirection w:val="btLr"/>
            <w:vAlign w:val="center"/>
          </w:tcPr>
          <w:p w14:paraId="718B64F4" w14:textId="77777777" w:rsidR="002449C2" w:rsidRDefault="002449C2">
            <w:pPr>
              <w:widowControl w:val="0"/>
              <w:shd w:val="clear" w:color="auto" w:fill="FFFFFF"/>
              <w:spacing w:after="0" w:line="240" w:lineRule="auto"/>
              <w:ind w:left="113" w:right="-108"/>
              <w:jc w:val="center"/>
              <w:rPr>
                <w:rFonts w:ascii="Times New Roman" w:eastAsia="Times New Roman" w:hAnsi="Times New Roman"/>
                <w:sz w:val="18"/>
                <w:szCs w:val="18"/>
                <w:lang w:eastAsia="ru-RU"/>
              </w:rPr>
            </w:pPr>
          </w:p>
        </w:tc>
        <w:tc>
          <w:tcPr>
            <w:tcW w:w="553" w:type="dxa"/>
            <w:tcBorders>
              <w:top w:val="single" w:sz="4" w:space="0" w:color="000000"/>
              <w:left w:val="single" w:sz="4" w:space="0" w:color="000000"/>
              <w:bottom w:val="single" w:sz="4" w:space="0" w:color="000000"/>
              <w:right w:val="single" w:sz="4" w:space="0" w:color="000000"/>
            </w:tcBorders>
            <w:textDirection w:val="btLr"/>
            <w:vAlign w:val="center"/>
          </w:tcPr>
          <w:p w14:paraId="0BACDAE2"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18, 27, 30</w:t>
            </w:r>
          </w:p>
        </w:tc>
        <w:tc>
          <w:tcPr>
            <w:tcW w:w="546" w:type="dxa"/>
            <w:tcBorders>
              <w:top w:val="single" w:sz="4" w:space="0" w:color="000000"/>
              <w:left w:val="single" w:sz="4" w:space="0" w:color="000000"/>
              <w:bottom w:val="single" w:sz="4" w:space="0" w:color="000000"/>
              <w:right w:val="single" w:sz="4" w:space="0" w:color="000000"/>
            </w:tcBorders>
            <w:textDirection w:val="btLr"/>
            <w:vAlign w:val="center"/>
          </w:tcPr>
          <w:p w14:paraId="0155B57F"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07, 28</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50206EC0"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08</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07459CA3"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16, 17</w:t>
            </w:r>
          </w:p>
        </w:tc>
      </w:tr>
    </w:tbl>
    <w:p w14:paraId="7923295D" w14:textId="77777777" w:rsidR="002449C2" w:rsidRDefault="00123961">
      <w:pPr>
        <w:shd w:val="clear" w:color="auto" w:fill="FFFFFF"/>
        <w:tabs>
          <w:tab w:val="left" w:pos="142"/>
        </w:tabs>
        <w:spacing w:after="0" w:line="240" w:lineRule="auto"/>
        <w:ind w:firstLine="567"/>
        <w:jc w:val="center"/>
        <w:rPr>
          <w:rFonts w:ascii="Times New Roman" w:eastAsia="Times New Roman" w:hAnsi="Times New Roman"/>
          <w:i/>
          <w:sz w:val="26"/>
          <w:szCs w:val="26"/>
          <w:lang w:eastAsia="ru-RU"/>
        </w:rPr>
      </w:pPr>
      <w:r>
        <w:br w:type="page"/>
      </w:r>
    </w:p>
    <w:p w14:paraId="54F6DBE1" w14:textId="77777777" w:rsidR="002449C2" w:rsidRDefault="00123961">
      <w:pPr>
        <w:shd w:val="clear" w:color="auto" w:fill="FFFFFF"/>
        <w:tabs>
          <w:tab w:val="left" w:pos="142"/>
        </w:tabs>
        <w:spacing w:after="0" w:line="240" w:lineRule="auto"/>
        <w:ind w:firstLine="567"/>
        <w:jc w:val="center"/>
        <w:rPr>
          <w:rFonts w:ascii="Times New Roman" w:eastAsia="Times New Roman" w:hAnsi="Times New Roman"/>
          <w:i/>
          <w:sz w:val="26"/>
          <w:szCs w:val="26"/>
          <w:lang w:eastAsia="ru-RU"/>
        </w:rPr>
      </w:pPr>
      <w:r>
        <w:rPr>
          <w:rFonts w:ascii="Times New Roman" w:eastAsia="Times New Roman" w:hAnsi="Times New Roman"/>
          <w:i/>
          <w:sz w:val="26"/>
          <w:szCs w:val="26"/>
          <w:lang w:eastAsia="ru-RU"/>
        </w:rPr>
        <w:t>Тематика и категории вопросов</w:t>
      </w:r>
    </w:p>
    <w:p w14:paraId="41F47E55" w14:textId="77777777" w:rsidR="002449C2" w:rsidRDefault="002449C2">
      <w:pPr>
        <w:spacing w:after="0" w:line="240" w:lineRule="auto"/>
        <w:jc w:val="both"/>
        <w:rPr>
          <w:rFonts w:ascii="Times New Roman" w:eastAsia="Times New Roman" w:hAnsi="Times New Roman"/>
          <w:sz w:val="24"/>
          <w:szCs w:val="24"/>
          <w:lang w:eastAsia="ru-RU"/>
        </w:rPr>
      </w:pPr>
    </w:p>
    <w:p w14:paraId="5B9F4916"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В 2024 году Комитетом выдано 20 рекомендаций Совету директоров Общества. Рекомендации, выданные Совету директоров по итогам работы Комитета в 2024 году, позволили улучшить практику подготовки финансовой отчетности и аудита, что соответствует интересам акционеров Компании.</w:t>
      </w:r>
    </w:p>
    <w:p w14:paraId="08C3B267" w14:textId="77777777" w:rsidR="002449C2" w:rsidRDefault="00123961">
      <w:pPr>
        <w:shd w:val="clear" w:color="auto" w:fill="FFFFFF"/>
        <w:tabs>
          <w:tab w:val="left" w:pos="142"/>
        </w:tabs>
        <w:spacing w:after="0" w:line="240" w:lineRule="auto"/>
        <w:ind w:left="-284"/>
        <w:jc w:val="both"/>
        <w:rPr>
          <w:rFonts w:ascii="Times New Roman" w:hAnsi="Times New Roman"/>
          <w:spacing w:val="-2"/>
          <w:sz w:val="26"/>
          <w:szCs w:val="26"/>
          <w:highlight w:val="yellow"/>
          <w:lang w:eastAsia="en-US"/>
        </w:rPr>
      </w:pPr>
      <w:r>
        <w:rPr>
          <w:noProof/>
          <w:lang w:eastAsia="ru-RU"/>
        </w:rPr>
        <w:drawing>
          <wp:inline distT="0" distB="0" distL="0" distR="0" wp14:anchorId="2613538B" wp14:editId="4E78BAF6">
            <wp:extent cx="6176010" cy="4383405"/>
            <wp:effectExtent l="0" t="0" r="0" b="0"/>
            <wp:docPr id="114" name="_x005F_x0000_i4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_x005F_x0000_i4493"/>
                    <pic:cNvPicPr>
                      <a:picLocks noChangeAspect="1" noChangeArrowheads="1"/>
                    </pic:cNvPicPr>
                  </pic:nvPicPr>
                  <pic:blipFill>
                    <a:blip r:embed="rId161"/>
                    <a:stretch>
                      <a:fillRect/>
                    </a:stretch>
                  </pic:blipFill>
                  <pic:spPr bwMode="auto">
                    <a:xfrm>
                      <a:off x="0" y="0"/>
                      <a:ext cx="6176010" cy="4383405"/>
                    </a:xfrm>
                    <a:prstGeom prst="rect">
                      <a:avLst/>
                    </a:prstGeom>
                    <a:noFill/>
                  </pic:spPr>
                </pic:pic>
              </a:graphicData>
            </a:graphic>
          </wp:inline>
        </w:drawing>
      </w:r>
    </w:p>
    <w:p w14:paraId="569FD1FD" w14:textId="77777777" w:rsidR="002449C2" w:rsidRDefault="002449C2">
      <w:pPr>
        <w:shd w:val="clear" w:color="auto" w:fill="FFFFFF"/>
        <w:tabs>
          <w:tab w:val="left" w:pos="142"/>
        </w:tabs>
        <w:spacing w:after="0" w:line="240" w:lineRule="auto"/>
        <w:jc w:val="center"/>
        <w:rPr>
          <w:rFonts w:ascii="Times New Roman" w:hAnsi="Times New Roman"/>
          <w:b/>
          <w:color w:val="2E74B5"/>
          <w:spacing w:val="-2"/>
          <w:sz w:val="26"/>
          <w:szCs w:val="26"/>
          <w:lang w:eastAsia="en-US"/>
        </w:rPr>
      </w:pPr>
    </w:p>
    <w:p w14:paraId="76209E3D" w14:textId="77777777" w:rsidR="002449C2" w:rsidRDefault="002449C2">
      <w:pPr>
        <w:shd w:val="clear" w:color="auto" w:fill="FFFFFF"/>
        <w:tabs>
          <w:tab w:val="left" w:pos="142"/>
        </w:tabs>
        <w:spacing w:after="0" w:line="240" w:lineRule="auto"/>
        <w:ind w:firstLine="567"/>
        <w:jc w:val="both"/>
        <w:rPr>
          <w:rFonts w:ascii="Times New Roman" w:hAnsi="Times New Roman"/>
          <w:spacing w:val="-2"/>
          <w:sz w:val="26"/>
          <w:szCs w:val="26"/>
          <w:highlight w:val="yellow"/>
          <w:lang w:eastAsia="en-US"/>
        </w:rPr>
      </w:pPr>
    </w:p>
    <w:p w14:paraId="5C6371DC" w14:textId="77777777" w:rsidR="002449C2" w:rsidRDefault="00123961">
      <w:pPr>
        <w:shd w:val="clear" w:color="auto" w:fill="FFFFFF"/>
        <w:tabs>
          <w:tab w:val="left" w:pos="142"/>
        </w:tabs>
        <w:spacing w:after="0" w:line="240" w:lineRule="auto"/>
        <w:jc w:val="center"/>
        <w:rPr>
          <w:rFonts w:ascii="Times New Roman" w:hAnsi="Times New Roman"/>
          <w:b/>
          <w:color w:val="2E74B5"/>
          <w:spacing w:val="-2"/>
          <w:sz w:val="26"/>
          <w:szCs w:val="26"/>
          <w:lang w:eastAsia="en-US"/>
        </w:rPr>
      </w:pPr>
      <w:r>
        <w:rPr>
          <w:rFonts w:ascii="Times New Roman" w:hAnsi="Times New Roman"/>
          <w:b/>
          <w:color w:val="2E74B5"/>
          <w:spacing w:val="-2"/>
          <w:sz w:val="26"/>
          <w:szCs w:val="26"/>
          <w:lang w:eastAsia="en-US"/>
        </w:rPr>
        <w:t>КОМИТЕТ ПО КАДРАМ И ВОЗНАГРАЖДЕНИЯМ</w:t>
      </w:r>
    </w:p>
    <w:p w14:paraId="6E13EDBE" w14:textId="77777777" w:rsidR="002449C2" w:rsidRDefault="002449C2">
      <w:pPr>
        <w:shd w:val="clear" w:color="auto" w:fill="FFFFFF"/>
        <w:tabs>
          <w:tab w:val="left" w:pos="142"/>
        </w:tabs>
        <w:spacing w:after="0" w:line="240" w:lineRule="auto"/>
        <w:ind w:firstLine="567"/>
        <w:jc w:val="both"/>
        <w:rPr>
          <w:rFonts w:ascii="Times New Roman" w:hAnsi="Times New Roman"/>
          <w:b/>
          <w:spacing w:val="-2"/>
          <w:sz w:val="26"/>
          <w:szCs w:val="26"/>
          <w:lang w:eastAsia="en-US"/>
        </w:rPr>
      </w:pPr>
    </w:p>
    <w:p w14:paraId="0D9496A6"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 xml:space="preserve">Деятельность регулируется </w:t>
      </w:r>
      <w:hyperlink r:id="rId162">
        <w:r>
          <w:rPr>
            <w:rStyle w:val="ab"/>
            <w:rFonts w:ascii="Times New Roman" w:hAnsi="Times New Roman"/>
            <w:spacing w:val="-2"/>
            <w:sz w:val="26"/>
            <w:szCs w:val="26"/>
            <w:lang w:eastAsia="en-US"/>
          </w:rPr>
          <w:t>Положением о Комитете по кадрам и вознаграждениям Совета директоров Общества</w:t>
        </w:r>
      </w:hyperlink>
      <w:r>
        <w:rPr>
          <w:rFonts w:ascii="Times New Roman" w:hAnsi="Times New Roman"/>
          <w:spacing w:val="-2"/>
          <w:sz w:val="26"/>
          <w:szCs w:val="26"/>
          <w:lang w:eastAsia="en-US"/>
        </w:rPr>
        <w:t>, утвержденным решением Совета директоров Общества 08.05.2024 (протокол от 08.05.2024 №571/2024) и размещенным на официальном сайте Компании.</w:t>
      </w:r>
    </w:p>
    <w:p w14:paraId="18642544" w14:textId="77777777" w:rsidR="002449C2" w:rsidRDefault="002449C2">
      <w:pPr>
        <w:shd w:val="clear" w:color="auto" w:fill="FFFFFF"/>
        <w:tabs>
          <w:tab w:val="left" w:pos="142"/>
        </w:tabs>
        <w:spacing w:after="0" w:line="240" w:lineRule="auto"/>
        <w:ind w:firstLine="567"/>
        <w:jc w:val="both"/>
        <w:rPr>
          <w:rFonts w:ascii="Times New Roman" w:hAnsi="Times New Roman"/>
          <w:spacing w:val="-2"/>
          <w:sz w:val="26"/>
          <w:szCs w:val="26"/>
          <w:lang w:eastAsia="en-US"/>
        </w:rPr>
      </w:pPr>
    </w:p>
    <w:p w14:paraId="54F655B4"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b/>
          <w:spacing w:val="-2"/>
          <w:sz w:val="26"/>
          <w:szCs w:val="26"/>
          <w:lang w:eastAsia="en-US"/>
        </w:rPr>
        <w:t>Основные задачи</w:t>
      </w:r>
    </w:p>
    <w:p w14:paraId="0942B67B"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Основной целью создания Комитета является обеспечение эффективной работы Совета директоров Общества в решении вопросов, отнесенных к его компетенции и разработка необходимых рекомендаций Совету директоров и исполнительным органам Общества.</w:t>
      </w:r>
    </w:p>
    <w:p w14:paraId="5F5F4939"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Задачей Комитета является выработка и представление рекомендаций по размерам вознаграждений членам Совета директоров, принципам и критериям определения размера вознаграждения членов Совета директоров, членов коллегиального исполнительного органа и лица, осуществляющего функции единоличного исполнительного органа Общества, в том числе управляющей организации или управляющего, предложений по определению существенных условий договоров с членами Совета директоров, членами коллегиального исполнительного органа и лицом, осуществляющим функции единоличного исполнительного органа, а также определение критериев подбора кандидатов в члены Совета директоров, члены коллегиального исполнительного органа и на должность единоличного исполнительного органа, предварительная оценка указанных кандидатов и регулярная оценка деятельности лица, осуществляющего функции единоличного исполнительного органа (управляющей организации, управляющего), и членов коллегиального исполнительного органа Общества и подготовка для совета директоров предложений по возможности их повторного назначения.</w:t>
      </w:r>
    </w:p>
    <w:p w14:paraId="658906EA" w14:textId="77777777" w:rsidR="002449C2" w:rsidRDefault="002449C2">
      <w:pPr>
        <w:shd w:val="clear" w:color="auto" w:fill="FFFFFF"/>
        <w:tabs>
          <w:tab w:val="left" w:pos="142"/>
        </w:tabs>
        <w:spacing w:after="0" w:line="240" w:lineRule="auto"/>
        <w:ind w:firstLine="567"/>
        <w:jc w:val="both"/>
        <w:rPr>
          <w:rFonts w:ascii="Times New Roman" w:hAnsi="Times New Roman"/>
          <w:spacing w:val="-2"/>
          <w:sz w:val="26"/>
          <w:szCs w:val="26"/>
          <w:lang w:eastAsia="en-US"/>
        </w:rPr>
      </w:pPr>
    </w:p>
    <w:p w14:paraId="54DB3ED6" w14:textId="77777777" w:rsidR="002449C2" w:rsidRDefault="00123961">
      <w:pPr>
        <w:shd w:val="clear" w:color="auto" w:fill="FFFFFF"/>
        <w:spacing w:after="120" w:line="240" w:lineRule="auto"/>
        <w:ind w:firstLine="567"/>
        <w:rPr>
          <w:rFonts w:ascii="Times New Roman" w:eastAsia="Times New Roman" w:hAnsi="Times New Roman"/>
          <w:b/>
          <w:bCs/>
          <w:sz w:val="26"/>
          <w:szCs w:val="26"/>
          <w:shd w:val="clear" w:color="auto" w:fill="FFFFFF"/>
          <w:lang w:eastAsia="ru-RU"/>
        </w:rPr>
      </w:pPr>
      <w:r>
        <w:rPr>
          <w:rFonts w:ascii="Times New Roman" w:eastAsia="Times New Roman" w:hAnsi="Times New Roman"/>
          <w:b/>
          <w:bCs/>
          <w:sz w:val="26"/>
          <w:szCs w:val="26"/>
          <w:shd w:val="clear" w:color="auto" w:fill="FFFFFF"/>
          <w:lang w:eastAsia="ru-RU"/>
        </w:rPr>
        <w:t>Принципы формирования и срок полномочий членов Комитета</w:t>
      </w:r>
    </w:p>
    <w:p w14:paraId="7A066CEF"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Количественный состав Комитета определяется решением Совета директоров Общества в количестве не менее 3 (трех).</w:t>
      </w:r>
    </w:p>
    <w:p w14:paraId="638DFAD1"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Персональный состав Комитета избирается Советом директоров Общества из числа кандидатов, представленных членами Совета директоров Общества.</w:t>
      </w:r>
    </w:p>
    <w:p w14:paraId="58DC16A4"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Членами Комитета могут быть только физические лица. Член Комитета может не быть членом Совета директоров Общества.</w:t>
      </w:r>
    </w:p>
    <w:p w14:paraId="0E5D6EF1"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При избрании членов Комитета должны учитываться их образование, профессиональная подготовка, опыт работы в сфере деятельности Комитета и иные специальные знания, необходимые для осуществления членами Комитета своих полномочий.</w:t>
      </w:r>
    </w:p>
    <w:p w14:paraId="3175D377"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Члены Комитета избираются на срок до проведения первого заседания Совета директоров, избранного в новом составе.</w:t>
      </w:r>
    </w:p>
    <w:p w14:paraId="103E53C0"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Полномочия любого члена Комитета могут быть досрочно прекращены решением Совета директоров Общества.</w:t>
      </w:r>
    </w:p>
    <w:p w14:paraId="421FA638" w14:textId="77777777" w:rsidR="002449C2" w:rsidRDefault="002449C2">
      <w:pPr>
        <w:shd w:val="clear" w:color="auto" w:fill="FFFFFF"/>
        <w:tabs>
          <w:tab w:val="left" w:pos="142"/>
        </w:tabs>
        <w:spacing w:after="0" w:line="240" w:lineRule="auto"/>
        <w:ind w:firstLine="567"/>
        <w:jc w:val="both"/>
        <w:rPr>
          <w:rFonts w:ascii="Times New Roman" w:hAnsi="Times New Roman"/>
          <w:sz w:val="20"/>
          <w:szCs w:val="20"/>
          <w:lang w:eastAsia="en-US"/>
        </w:rPr>
      </w:pPr>
    </w:p>
    <w:p w14:paraId="53389865" w14:textId="77777777" w:rsidR="002449C2" w:rsidRDefault="00123961">
      <w:pPr>
        <w:shd w:val="clear" w:color="auto" w:fill="FFFFFF"/>
        <w:spacing w:after="120" w:line="240" w:lineRule="auto"/>
        <w:ind w:firstLine="567"/>
        <w:rPr>
          <w:rFonts w:ascii="Times New Roman" w:eastAsia="Times New Roman" w:hAnsi="Times New Roman"/>
          <w:b/>
          <w:bCs/>
          <w:sz w:val="26"/>
          <w:szCs w:val="26"/>
          <w:lang w:eastAsia="ru-RU"/>
        </w:rPr>
      </w:pPr>
      <w:r>
        <w:rPr>
          <w:rFonts w:ascii="Times New Roman" w:eastAsia="Times New Roman" w:hAnsi="Times New Roman"/>
          <w:b/>
          <w:bCs/>
          <w:sz w:val="26"/>
          <w:szCs w:val="26"/>
          <w:shd w:val="clear" w:color="auto" w:fill="FFFFFF"/>
          <w:lang w:eastAsia="ru-RU"/>
        </w:rPr>
        <w:t>Персональный состав и</w:t>
      </w:r>
      <w:r>
        <w:rPr>
          <w:rFonts w:ascii="Times New Roman" w:eastAsia="Times New Roman" w:hAnsi="Times New Roman"/>
          <w:b/>
          <w:bCs/>
          <w:sz w:val="26"/>
          <w:szCs w:val="26"/>
          <w:lang w:eastAsia="ru-RU"/>
        </w:rPr>
        <w:t xml:space="preserve"> информация об участии в 2024 году</w:t>
      </w:r>
    </w:p>
    <w:tbl>
      <w:tblPr>
        <w:tblW w:w="9360" w:type="dxa"/>
        <w:jc w:val="center"/>
        <w:tblLayout w:type="fixed"/>
        <w:tblLook w:val="04A0" w:firstRow="1" w:lastRow="0" w:firstColumn="1" w:lastColumn="0" w:noHBand="0" w:noVBand="1"/>
      </w:tblPr>
      <w:tblGrid>
        <w:gridCol w:w="2692"/>
        <w:gridCol w:w="4391"/>
        <w:gridCol w:w="1282"/>
        <w:gridCol w:w="995"/>
      </w:tblGrid>
      <w:tr w:rsidR="002449C2" w14:paraId="3FB6DA6B" w14:textId="77777777">
        <w:trPr>
          <w:cantSplit/>
          <w:tblHeader/>
          <w:jc w:val="center"/>
        </w:trPr>
        <w:tc>
          <w:tcPr>
            <w:tcW w:w="269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D3B43AB" w14:textId="77777777" w:rsidR="002449C2" w:rsidRDefault="00123961">
            <w:pPr>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Ф.И.О.</w:t>
            </w:r>
          </w:p>
        </w:tc>
        <w:tc>
          <w:tcPr>
            <w:tcW w:w="439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9FBCF5" w14:textId="77777777" w:rsidR="002449C2" w:rsidRDefault="00123961" w:rsidP="00866546">
            <w:pPr>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Должность</w:t>
            </w:r>
            <w:r w:rsidR="00866546">
              <w:rPr>
                <w:rStyle w:val="af"/>
                <w:rFonts w:ascii="Times New Roman" w:eastAsia="Times New Roman" w:hAnsi="Times New Roman"/>
                <w:b/>
                <w:sz w:val="20"/>
                <w:szCs w:val="20"/>
                <w:lang w:eastAsia="ar-SA"/>
              </w:rPr>
              <w:footnoteReference w:id="21"/>
            </w:r>
          </w:p>
        </w:tc>
        <w:tc>
          <w:tcPr>
            <w:tcW w:w="128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20C191" w14:textId="77777777" w:rsidR="002449C2" w:rsidRDefault="00123961">
            <w:pPr>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Участие</w:t>
            </w:r>
          </w:p>
        </w:tc>
        <w:tc>
          <w:tcPr>
            <w:tcW w:w="99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AECB38" w14:textId="77777777" w:rsidR="002449C2" w:rsidRDefault="00123961">
            <w:pPr>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 участия</w:t>
            </w:r>
          </w:p>
        </w:tc>
      </w:tr>
      <w:tr w:rsidR="002449C2" w14:paraId="71F8876F" w14:textId="77777777">
        <w:trPr>
          <w:cantSplit/>
          <w:jc w:val="center"/>
        </w:trPr>
        <w:tc>
          <w:tcPr>
            <w:tcW w:w="9359" w:type="dxa"/>
            <w:gridSpan w:val="4"/>
            <w:tcBorders>
              <w:top w:val="single" w:sz="4" w:space="0" w:color="000000"/>
              <w:left w:val="single" w:sz="4" w:space="0" w:color="000000"/>
              <w:bottom w:val="single" w:sz="4" w:space="0" w:color="000000"/>
              <w:right w:val="single" w:sz="4" w:space="0" w:color="000000"/>
            </w:tcBorders>
            <w:shd w:val="clear" w:color="auto" w:fill="FFFFFF"/>
          </w:tcPr>
          <w:p w14:paraId="64E601C0"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bCs/>
                <w:sz w:val="20"/>
                <w:szCs w:val="20"/>
                <w:lang w:eastAsia="ar-SA"/>
              </w:rPr>
              <w:t xml:space="preserve">Состав действующий в период </w:t>
            </w:r>
            <w:r>
              <w:rPr>
                <w:rFonts w:ascii="Times New Roman" w:eastAsia="Times New Roman" w:hAnsi="Times New Roman"/>
                <w:sz w:val="20"/>
                <w:szCs w:val="20"/>
                <w:lang w:eastAsia="ar-SA"/>
              </w:rPr>
              <w:t>с 14.08.2023 по 20.08.2024</w:t>
            </w:r>
          </w:p>
          <w:p w14:paraId="66DE1C82"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 xml:space="preserve"> избран решением</w:t>
            </w:r>
            <w:r>
              <w:rPr>
                <w:rFonts w:ascii="Times New Roman" w:eastAsia="Times New Roman" w:hAnsi="Times New Roman"/>
                <w:bCs/>
                <w:sz w:val="20"/>
                <w:szCs w:val="20"/>
                <w:lang w:eastAsia="ar-SA"/>
              </w:rPr>
              <w:t xml:space="preserve"> Совета директоров 14.08.2023 (протокол от 15.08.2023 №538/2023)</w:t>
            </w:r>
          </w:p>
        </w:tc>
      </w:tr>
      <w:tr w:rsidR="002449C2" w14:paraId="7A398A09" w14:textId="77777777">
        <w:trPr>
          <w:cantSplit/>
          <w:jc w:val="center"/>
        </w:trPr>
        <w:tc>
          <w:tcPr>
            <w:tcW w:w="9359" w:type="dxa"/>
            <w:gridSpan w:val="4"/>
            <w:tcBorders>
              <w:top w:val="single" w:sz="4" w:space="0" w:color="000000"/>
              <w:left w:val="single" w:sz="4" w:space="0" w:color="000000"/>
              <w:bottom w:val="single" w:sz="4" w:space="0" w:color="000000"/>
              <w:right w:val="single" w:sz="4" w:space="0" w:color="000000"/>
            </w:tcBorders>
            <w:shd w:val="clear" w:color="auto" w:fill="FFFFFF"/>
          </w:tcPr>
          <w:p w14:paraId="66708FDA"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Общее количество проведенных заседаний – 13 из них:</w:t>
            </w:r>
          </w:p>
          <w:p w14:paraId="074B9902" w14:textId="77777777" w:rsidR="002449C2" w:rsidRDefault="00123961">
            <w:pPr>
              <w:shd w:val="clear" w:color="auto" w:fill="FFFFFF"/>
              <w:spacing w:after="0" w:line="240" w:lineRule="auto"/>
              <w:jc w:val="center"/>
              <w:rPr>
                <w:rFonts w:ascii="Times New Roman" w:eastAsia="Times New Roman" w:hAnsi="Times New Roman"/>
                <w:bCs/>
                <w:sz w:val="20"/>
                <w:szCs w:val="20"/>
                <w:lang w:eastAsia="ar-SA"/>
              </w:rPr>
            </w:pPr>
            <w:r>
              <w:rPr>
                <w:rFonts w:ascii="Times New Roman" w:eastAsia="Times New Roman" w:hAnsi="Times New Roman"/>
                <w:sz w:val="20"/>
                <w:szCs w:val="20"/>
                <w:lang w:eastAsia="ar-SA"/>
              </w:rPr>
              <w:t>1 – в форме совместного присутствия (очная форма), 12 – в заочной форме</w:t>
            </w:r>
          </w:p>
        </w:tc>
      </w:tr>
      <w:tr w:rsidR="002449C2" w14:paraId="2BFB1409" w14:textId="77777777">
        <w:trPr>
          <w:cantSplit/>
          <w:jc w:val="center"/>
        </w:trPr>
        <w:tc>
          <w:tcPr>
            <w:tcW w:w="2691" w:type="dxa"/>
            <w:tcBorders>
              <w:top w:val="single" w:sz="4" w:space="0" w:color="000000"/>
              <w:left w:val="single" w:sz="4" w:space="0" w:color="000000"/>
              <w:bottom w:val="single" w:sz="4" w:space="0" w:color="000000"/>
              <w:right w:val="single" w:sz="4" w:space="0" w:color="000000"/>
            </w:tcBorders>
          </w:tcPr>
          <w:p w14:paraId="0C7170D6" w14:textId="77777777" w:rsidR="002449C2" w:rsidRDefault="00123961">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Борисова</w:t>
            </w:r>
          </w:p>
          <w:p w14:paraId="77027511" w14:textId="77777777" w:rsidR="002449C2" w:rsidRDefault="00123961">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Дарья Викторовна,</w:t>
            </w:r>
          </w:p>
          <w:p w14:paraId="3451F746" w14:textId="77777777" w:rsidR="002449C2" w:rsidRDefault="00123961">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Председатель Комитета</w:t>
            </w:r>
          </w:p>
        </w:tc>
        <w:tc>
          <w:tcPr>
            <w:tcW w:w="4391" w:type="dxa"/>
            <w:tcBorders>
              <w:top w:val="single" w:sz="4" w:space="0" w:color="000000"/>
              <w:left w:val="single" w:sz="4" w:space="0" w:color="000000"/>
              <w:bottom w:val="single" w:sz="4" w:space="0" w:color="000000"/>
              <w:right w:val="single" w:sz="4" w:space="0" w:color="000000"/>
            </w:tcBorders>
          </w:tcPr>
          <w:p w14:paraId="47881A10" w14:textId="77777777" w:rsidR="002449C2" w:rsidRDefault="00123961">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Директор по управлению персоналом ПАО «Россети»</w:t>
            </w:r>
          </w:p>
        </w:tc>
        <w:tc>
          <w:tcPr>
            <w:tcW w:w="1282" w:type="dxa"/>
            <w:tcBorders>
              <w:top w:val="single" w:sz="4" w:space="0" w:color="000000"/>
              <w:left w:val="single" w:sz="4" w:space="0" w:color="000000"/>
              <w:bottom w:val="single" w:sz="4" w:space="0" w:color="000000"/>
              <w:right w:val="single" w:sz="4" w:space="0" w:color="000000"/>
            </w:tcBorders>
            <w:shd w:val="clear" w:color="auto" w:fill="FFFFFF"/>
          </w:tcPr>
          <w:p w14:paraId="4B5CA54A" w14:textId="77777777" w:rsidR="002449C2" w:rsidRDefault="00123961">
            <w:pPr>
              <w:spacing w:after="160" w:line="259" w:lineRule="auto"/>
              <w:jc w:val="center"/>
              <w:rPr>
                <w:rFonts w:ascii="Times New Roman" w:hAnsi="Times New Roman"/>
                <w:sz w:val="20"/>
                <w:szCs w:val="20"/>
                <w:lang w:eastAsia="en-US"/>
              </w:rPr>
            </w:pPr>
            <w:r>
              <w:rPr>
                <w:rFonts w:ascii="Times New Roman" w:hAnsi="Times New Roman"/>
                <w:sz w:val="20"/>
                <w:szCs w:val="20"/>
                <w:lang w:eastAsia="en-US"/>
              </w:rPr>
              <w:t>13/13</w:t>
            </w:r>
          </w:p>
        </w:tc>
        <w:tc>
          <w:tcPr>
            <w:tcW w:w="995" w:type="dxa"/>
            <w:tcBorders>
              <w:top w:val="single" w:sz="4" w:space="0" w:color="000000"/>
              <w:left w:val="single" w:sz="4" w:space="0" w:color="000000"/>
              <w:bottom w:val="single" w:sz="4" w:space="0" w:color="000000"/>
              <w:right w:val="single" w:sz="4" w:space="0" w:color="000000"/>
            </w:tcBorders>
            <w:shd w:val="clear" w:color="auto" w:fill="FFFFFF"/>
          </w:tcPr>
          <w:p w14:paraId="3C3DDAAE"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759E70C6" w14:textId="77777777">
        <w:trPr>
          <w:cantSplit/>
          <w:jc w:val="center"/>
        </w:trPr>
        <w:tc>
          <w:tcPr>
            <w:tcW w:w="2691" w:type="dxa"/>
            <w:tcBorders>
              <w:top w:val="single" w:sz="4" w:space="0" w:color="000000"/>
              <w:left w:val="single" w:sz="4" w:space="0" w:color="000000"/>
              <w:bottom w:val="single" w:sz="4" w:space="0" w:color="000000"/>
              <w:right w:val="single" w:sz="4" w:space="0" w:color="000000"/>
            </w:tcBorders>
          </w:tcPr>
          <w:p w14:paraId="5A3C7A67"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Никитчанова</w:t>
            </w:r>
          </w:p>
          <w:p w14:paraId="5D30B927"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Екатерина Владимировна</w:t>
            </w:r>
          </w:p>
          <w:p w14:paraId="313BF10C"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Независимый директор</w:t>
            </w:r>
          </w:p>
        </w:tc>
        <w:tc>
          <w:tcPr>
            <w:tcW w:w="4391" w:type="dxa"/>
            <w:tcBorders>
              <w:top w:val="single" w:sz="4" w:space="0" w:color="000000"/>
              <w:left w:val="single" w:sz="4" w:space="0" w:color="000000"/>
              <w:bottom w:val="single" w:sz="4" w:space="0" w:color="000000"/>
              <w:right w:val="single" w:sz="4" w:space="0" w:color="000000"/>
            </w:tcBorders>
          </w:tcPr>
          <w:p w14:paraId="639B3811" w14:textId="77777777" w:rsidR="002449C2" w:rsidRDefault="00123961">
            <w:pPr>
              <w:shd w:val="clear" w:color="auto" w:fill="FFFFFF"/>
              <w:spacing w:after="0" w:line="240" w:lineRule="auto"/>
              <w:jc w:val="both"/>
              <w:rPr>
                <w:rFonts w:ascii="Times New Roman" w:hAnsi="Times New Roman"/>
                <w:i/>
                <w:sz w:val="20"/>
                <w:szCs w:val="20"/>
                <w:lang w:eastAsia="ar-SA"/>
              </w:rPr>
            </w:pPr>
            <w:r>
              <w:rPr>
                <w:rFonts w:ascii="Times New Roman" w:hAnsi="Times New Roman"/>
                <w:sz w:val="20"/>
                <w:szCs w:val="20"/>
                <w:lang w:eastAsia="ar-SA"/>
              </w:rPr>
              <w:t xml:space="preserve">Заместитель директора – руководитель Экспертного центра Некоммерческое партнерство «Российский институт директоров», </w:t>
            </w:r>
            <w:r>
              <w:rPr>
                <w:rFonts w:ascii="Times New Roman" w:hAnsi="Times New Roman"/>
                <w:i/>
                <w:sz w:val="20"/>
                <w:szCs w:val="20"/>
                <w:lang w:eastAsia="ar-SA"/>
              </w:rPr>
              <w:t>член Совета директоров      ПАО «Россети Юг»</w:t>
            </w:r>
          </w:p>
        </w:tc>
        <w:tc>
          <w:tcPr>
            <w:tcW w:w="1282" w:type="dxa"/>
            <w:tcBorders>
              <w:top w:val="single" w:sz="4" w:space="0" w:color="000000"/>
              <w:left w:val="single" w:sz="4" w:space="0" w:color="000000"/>
              <w:bottom w:val="single" w:sz="4" w:space="0" w:color="000000"/>
              <w:right w:val="single" w:sz="4" w:space="0" w:color="000000"/>
            </w:tcBorders>
            <w:shd w:val="clear" w:color="auto" w:fill="FFFFFF"/>
          </w:tcPr>
          <w:p w14:paraId="54C2D4CB" w14:textId="77777777" w:rsidR="002449C2" w:rsidRDefault="00123961">
            <w:pPr>
              <w:spacing w:after="160" w:line="259" w:lineRule="auto"/>
              <w:jc w:val="center"/>
              <w:rPr>
                <w:rFonts w:ascii="Times New Roman" w:hAnsi="Times New Roman"/>
                <w:sz w:val="20"/>
                <w:szCs w:val="20"/>
                <w:lang w:eastAsia="en-US"/>
              </w:rPr>
            </w:pPr>
            <w:r>
              <w:rPr>
                <w:rFonts w:ascii="Times New Roman" w:hAnsi="Times New Roman"/>
                <w:sz w:val="20"/>
                <w:szCs w:val="20"/>
                <w:lang w:eastAsia="en-US"/>
              </w:rPr>
              <w:t>13/13</w:t>
            </w:r>
          </w:p>
        </w:tc>
        <w:tc>
          <w:tcPr>
            <w:tcW w:w="995" w:type="dxa"/>
            <w:tcBorders>
              <w:top w:val="single" w:sz="4" w:space="0" w:color="000000"/>
              <w:left w:val="single" w:sz="4" w:space="0" w:color="000000"/>
              <w:bottom w:val="single" w:sz="4" w:space="0" w:color="000000"/>
              <w:right w:val="single" w:sz="4" w:space="0" w:color="000000"/>
            </w:tcBorders>
            <w:shd w:val="clear" w:color="auto" w:fill="FFFFFF"/>
          </w:tcPr>
          <w:p w14:paraId="516A49CF"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068F675B" w14:textId="77777777">
        <w:trPr>
          <w:cantSplit/>
          <w:jc w:val="center"/>
        </w:trPr>
        <w:tc>
          <w:tcPr>
            <w:tcW w:w="2691" w:type="dxa"/>
            <w:tcBorders>
              <w:top w:val="single" w:sz="4" w:space="0" w:color="000000"/>
              <w:left w:val="single" w:sz="4" w:space="0" w:color="000000"/>
              <w:bottom w:val="single" w:sz="4" w:space="0" w:color="000000"/>
              <w:right w:val="single" w:sz="4" w:space="0" w:color="000000"/>
            </w:tcBorders>
          </w:tcPr>
          <w:p w14:paraId="5A594F51"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Суворовский</w:t>
            </w:r>
          </w:p>
          <w:p w14:paraId="2F44CC24"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Константин Сергеевич</w:t>
            </w:r>
          </w:p>
        </w:tc>
        <w:tc>
          <w:tcPr>
            <w:tcW w:w="4391" w:type="dxa"/>
            <w:tcBorders>
              <w:top w:val="single" w:sz="4" w:space="0" w:color="000000"/>
              <w:left w:val="single" w:sz="4" w:space="0" w:color="000000"/>
              <w:bottom w:val="single" w:sz="4" w:space="0" w:color="000000"/>
              <w:right w:val="single" w:sz="4" w:space="0" w:color="000000"/>
            </w:tcBorders>
          </w:tcPr>
          <w:p w14:paraId="7D584243" w14:textId="77777777" w:rsidR="002449C2" w:rsidRDefault="00123961">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Начальник Департамента оплаты труда, организационного дизайна и кадрового администрирования ПАО «Россети»</w:t>
            </w:r>
          </w:p>
        </w:tc>
        <w:tc>
          <w:tcPr>
            <w:tcW w:w="1282" w:type="dxa"/>
            <w:tcBorders>
              <w:top w:val="single" w:sz="4" w:space="0" w:color="000000"/>
              <w:left w:val="single" w:sz="4" w:space="0" w:color="000000"/>
              <w:bottom w:val="single" w:sz="4" w:space="0" w:color="000000"/>
              <w:right w:val="single" w:sz="4" w:space="0" w:color="000000"/>
            </w:tcBorders>
            <w:shd w:val="clear" w:color="auto" w:fill="FFFFFF"/>
          </w:tcPr>
          <w:p w14:paraId="3DF30597" w14:textId="77777777" w:rsidR="002449C2" w:rsidRDefault="00123961">
            <w:pPr>
              <w:spacing w:after="160" w:line="259" w:lineRule="auto"/>
              <w:jc w:val="center"/>
              <w:rPr>
                <w:rFonts w:ascii="Times New Roman" w:hAnsi="Times New Roman"/>
                <w:sz w:val="20"/>
                <w:szCs w:val="20"/>
                <w:lang w:eastAsia="en-US"/>
              </w:rPr>
            </w:pPr>
            <w:r>
              <w:rPr>
                <w:rFonts w:ascii="Times New Roman" w:hAnsi="Times New Roman"/>
                <w:sz w:val="20"/>
                <w:szCs w:val="20"/>
                <w:lang w:eastAsia="en-US"/>
              </w:rPr>
              <w:t>13/13</w:t>
            </w:r>
          </w:p>
        </w:tc>
        <w:tc>
          <w:tcPr>
            <w:tcW w:w="995" w:type="dxa"/>
            <w:tcBorders>
              <w:top w:val="single" w:sz="4" w:space="0" w:color="000000"/>
              <w:left w:val="single" w:sz="4" w:space="0" w:color="000000"/>
              <w:bottom w:val="single" w:sz="4" w:space="0" w:color="000000"/>
              <w:right w:val="single" w:sz="4" w:space="0" w:color="000000"/>
            </w:tcBorders>
            <w:shd w:val="clear" w:color="auto" w:fill="FFFFFF"/>
          </w:tcPr>
          <w:p w14:paraId="2F2A586F"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0C5FBDC0" w14:textId="77777777">
        <w:trPr>
          <w:cantSplit/>
          <w:jc w:val="center"/>
        </w:trPr>
        <w:tc>
          <w:tcPr>
            <w:tcW w:w="9359" w:type="dxa"/>
            <w:gridSpan w:val="4"/>
            <w:tcBorders>
              <w:top w:val="single" w:sz="4" w:space="0" w:color="000000"/>
              <w:left w:val="single" w:sz="4" w:space="0" w:color="000000"/>
              <w:bottom w:val="single" w:sz="4" w:space="0" w:color="000000"/>
              <w:right w:val="single" w:sz="4" w:space="0" w:color="000000"/>
            </w:tcBorders>
          </w:tcPr>
          <w:p w14:paraId="467CB70B"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bCs/>
                <w:sz w:val="20"/>
                <w:szCs w:val="20"/>
                <w:lang w:eastAsia="ar-SA"/>
              </w:rPr>
              <w:t xml:space="preserve">Состав действующий в период </w:t>
            </w:r>
            <w:r>
              <w:rPr>
                <w:rFonts w:ascii="Times New Roman" w:eastAsia="Times New Roman" w:hAnsi="Times New Roman"/>
                <w:sz w:val="20"/>
                <w:szCs w:val="20"/>
                <w:lang w:eastAsia="ar-SA"/>
              </w:rPr>
              <w:t>с 21.08.2024 по 31.12.2024</w:t>
            </w:r>
          </w:p>
          <w:p w14:paraId="3987088C"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 xml:space="preserve"> избран решением</w:t>
            </w:r>
            <w:r>
              <w:rPr>
                <w:rFonts w:ascii="Times New Roman" w:eastAsia="Times New Roman" w:hAnsi="Times New Roman"/>
                <w:bCs/>
                <w:sz w:val="20"/>
                <w:szCs w:val="20"/>
                <w:lang w:eastAsia="ar-SA"/>
              </w:rPr>
              <w:t xml:space="preserve"> Совета директоров 21.08.2024 (протокол от 21.08.2024 №588/2024)</w:t>
            </w:r>
          </w:p>
        </w:tc>
      </w:tr>
      <w:tr w:rsidR="002449C2" w14:paraId="0BB6A6E4" w14:textId="77777777">
        <w:trPr>
          <w:cantSplit/>
          <w:jc w:val="center"/>
        </w:trPr>
        <w:tc>
          <w:tcPr>
            <w:tcW w:w="9359" w:type="dxa"/>
            <w:gridSpan w:val="4"/>
            <w:tcBorders>
              <w:top w:val="single" w:sz="4" w:space="0" w:color="000000"/>
              <w:left w:val="single" w:sz="4" w:space="0" w:color="000000"/>
              <w:bottom w:val="single" w:sz="4" w:space="0" w:color="000000"/>
              <w:right w:val="single" w:sz="4" w:space="0" w:color="000000"/>
            </w:tcBorders>
          </w:tcPr>
          <w:p w14:paraId="4FFF2EE3"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Общее количество проведенных заседаний – 8 в заочной форме</w:t>
            </w:r>
          </w:p>
        </w:tc>
      </w:tr>
      <w:tr w:rsidR="002449C2" w14:paraId="0A7EC642" w14:textId="77777777">
        <w:trPr>
          <w:cantSplit/>
          <w:jc w:val="center"/>
        </w:trPr>
        <w:tc>
          <w:tcPr>
            <w:tcW w:w="2691" w:type="dxa"/>
            <w:tcBorders>
              <w:top w:val="single" w:sz="4" w:space="0" w:color="000000"/>
              <w:left w:val="single" w:sz="4" w:space="0" w:color="000000"/>
              <w:bottom w:val="single" w:sz="4" w:space="0" w:color="000000"/>
              <w:right w:val="single" w:sz="4" w:space="0" w:color="000000"/>
            </w:tcBorders>
          </w:tcPr>
          <w:p w14:paraId="792D25EF"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Борисова</w:t>
            </w:r>
          </w:p>
          <w:p w14:paraId="54152900"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Дарья Викторовна,</w:t>
            </w:r>
          </w:p>
          <w:p w14:paraId="4AD2C37C"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b/>
                <w:sz w:val="20"/>
                <w:szCs w:val="20"/>
                <w:lang w:eastAsia="ar-SA"/>
              </w:rPr>
              <w:t>Председатель Комитета</w:t>
            </w:r>
          </w:p>
        </w:tc>
        <w:tc>
          <w:tcPr>
            <w:tcW w:w="4391" w:type="dxa"/>
            <w:tcBorders>
              <w:top w:val="single" w:sz="4" w:space="0" w:color="000000"/>
              <w:left w:val="single" w:sz="4" w:space="0" w:color="000000"/>
              <w:bottom w:val="single" w:sz="4" w:space="0" w:color="000000"/>
              <w:right w:val="single" w:sz="4" w:space="0" w:color="000000"/>
            </w:tcBorders>
          </w:tcPr>
          <w:p w14:paraId="12A247C3" w14:textId="77777777" w:rsidR="002449C2" w:rsidRDefault="00123961">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Директор по управлению персоналом ПАО «Россети»</w:t>
            </w:r>
          </w:p>
        </w:tc>
        <w:tc>
          <w:tcPr>
            <w:tcW w:w="1282" w:type="dxa"/>
            <w:tcBorders>
              <w:top w:val="single" w:sz="4" w:space="0" w:color="000000"/>
              <w:left w:val="single" w:sz="4" w:space="0" w:color="000000"/>
              <w:bottom w:val="single" w:sz="4" w:space="0" w:color="000000"/>
              <w:right w:val="single" w:sz="4" w:space="0" w:color="000000"/>
            </w:tcBorders>
            <w:shd w:val="clear" w:color="auto" w:fill="FFFFFF"/>
          </w:tcPr>
          <w:p w14:paraId="76A7C3E7" w14:textId="77777777" w:rsidR="002449C2" w:rsidRDefault="00123961">
            <w:pPr>
              <w:spacing w:after="160" w:line="259"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8/8</w:t>
            </w:r>
          </w:p>
        </w:tc>
        <w:tc>
          <w:tcPr>
            <w:tcW w:w="995" w:type="dxa"/>
            <w:tcBorders>
              <w:top w:val="single" w:sz="4" w:space="0" w:color="000000"/>
              <w:left w:val="single" w:sz="4" w:space="0" w:color="000000"/>
              <w:bottom w:val="single" w:sz="4" w:space="0" w:color="000000"/>
              <w:right w:val="single" w:sz="4" w:space="0" w:color="000000"/>
            </w:tcBorders>
            <w:shd w:val="clear" w:color="auto" w:fill="FFFFFF"/>
          </w:tcPr>
          <w:p w14:paraId="1D135A60"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377378F1" w14:textId="77777777">
        <w:trPr>
          <w:cantSplit/>
          <w:jc w:val="center"/>
        </w:trPr>
        <w:tc>
          <w:tcPr>
            <w:tcW w:w="2691" w:type="dxa"/>
            <w:tcBorders>
              <w:top w:val="single" w:sz="4" w:space="0" w:color="000000"/>
              <w:left w:val="single" w:sz="4" w:space="0" w:color="000000"/>
              <w:bottom w:val="single" w:sz="4" w:space="0" w:color="000000"/>
              <w:right w:val="single" w:sz="4" w:space="0" w:color="000000"/>
            </w:tcBorders>
          </w:tcPr>
          <w:p w14:paraId="3C8879FD"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Никитчанова</w:t>
            </w:r>
          </w:p>
          <w:p w14:paraId="5ABCB899"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Екатерина Владимировна</w:t>
            </w:r>
          </w:p>
          <w:p w14:paraId="1502AFAF"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i/>
                <w:sz w:val="20"/>
                <w:szCs w:val="20"/>
                <w:lang w:eastAsia="ar-SA"/>
              </w:rPr>
              <w:t>Независимый директор</w:t>
            </w:r>
          </w:p>
        </w:tc>
        <w:tc>
          <w:tcPr>
            <w:tcW w:w="4391" w:type="dxa"/>
            <w:tcBorders>
              <w:top w:val="single" w:sz="4" w:space="0" w:color="000000"/>
              <w:left w:val="single" w:sz="4" w:space="0" w:color="000000"/>
              <w:bottom w:val="single" w:sz="4" w:space="0" w:color="000000"/>
              <w:right w:val="single" w:sz="4" w:space="0" w:color="000000"/>
            </w:tcBorders>
          </w:tcPr>
          <w:p w14:paraId="231A87D8" w14:textId="77777777" w:rsidR="002449C2" w:rsidRDefault="00123961">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 xml:space="preserve">Заместитель директора – руководитель Экспертного центра Некоммерческое партнерство «Российский институт директоров», </w:t>
            </w:r>
            <w:r>
              <w:rPr>
                <w:rFonts w:ascii="Times New Roman" w:hAnsi="Times New Roman"/>
                <w:i/>
                <w:sz w:val="20"/>
                <w:szCs w:val="20"/>
                <w:lang w:eastAsia="ar-SA"/>
              </w:rPr>
              <w:t>член Совета директоров      ПАО «Россети Юг»</w:t>
            </w:r>
          </w:p>
        </w:tc>
        <w:tc>
          <w:tcPr>
            <w:tcW w:w="1282" w:type="dxa"/>
            <w:tcBorders>
              <w:top w:val="single" w:sz="4" w:space="0" w:color="000000"/>
              <w:left w:val="single" w:sz="4" w:space="0" w:color="000000"/>
              <w:bottom w:val="single" w:sz="4" w:space="0" w:color="000000"/>
              <w:right w:val="single" w:sz="4" w:space="0" w:color="000000"/>
            </w:tcBorders>
            <w:shd w:val="clear" w:color="auto" w:fill="FFFFFF"/>
          </w:tcPr>
          <w:p w14:paraId="4BDA36F2" w14:textId="77777777" w:rsidR="002449C2" w:rsidRDefault="00123961">
            <w:pPr>
              <w:spacing w:after="160" w:line="259"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8/8</w:t>
            </w:r>
          </w:p>
        </w:tc>
        <w:tc>
          <w:tcPr>
            <w:tcW w:w="995" w:type="dxa"/>
            <w:tcBorders>
              <w:top w:val="single" w:sz="4" w:space="0" w:color="000000"/>
              <w:left w:val="single" w:sz="4" w:space="0" w:color="000000"/>
              <w:bottom w:val="single" w:sz="4" w:space="0" w:color="000000"/>
              <w:right w:val="single" w:sz="4" w:space="0" w:color="000000"/>
            </w:tcBorders>
            <w:shd w:val="clear" w:color="auto" w:fill="FFFFFF"/>
          </w:tcPr>
          <w:p w14:paraId="0D7AB4B7"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0EB0A479" w14:textId="77777777">
        <w:trPr>
          <w:cantSplit/>
          <w:jc w:val="center"/>
        </w:trPr>
        <w:tc>
          <w:tcPr>
            <w:tcW w:w="2691" w:type="dxa"/>
            <w:tcBorders>
              <w:top w:val="single" w:sz="4" w:space="0" w:color="000000"/>
              <w:left w:val="single" w:sz="4" w:space="0" w:color="000000"/>
              <w:bottom w:val="single" w:sz="4" w:space="0" w:color="000000"/>
              <w:right w:val="single" w:sz="4" w:space="0" w:color="000000"/>
            </w:tcBorders>
          </w:tcPr>
          <w:p w14:paraId="63F392AF"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Суворовский</w:t>
            </w:r>
          </w:p>
          <w:p w14:paraId="124F3B50"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Константин Сергеевич</w:t>
            </w:r>
          </w:p>
        </w:tc>
        <w:tc>
          <w:tcPr>
            <w:tcW w:w="4391" w:type="dxa"/>
            <w:tcBorders>
              <w:top w:val="single" w:sz="4" w:space="0" w:color="000000"/>
              <w:left w:val="single" w:sz="4" w:space="0" w:color="000000"/>
              <w:bottom w:val="single" w:sz="4" w:space="0" w:color="000000"/>
              <w:right w:val="single" w:sz="4" w:space="0" w:color="000000"/>
            </w:tcBorders>
          </w:tcPr>
          <w:p w14:paraId="04A32995" w14:textId="77777777" w:rsidR="002449C2" w:rsidRDefault="00123961">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Начальник Департамента оплаты труда, организационного дизайна и кадрового администрирования ПАО «Россети»</w:t>
            </w:r>
          </w:p>
        </w:tc>
        <w:tc>
          <w:tcPr>
            <w:tcW w:w="1282" w:type="dxa"/>
            <w:tcBorders>
              <w:top w:val="single" w:sz="4" w:space="0" w:color="000000"/>
              <w:left w:val="single" w:sz="4" w:space="0" w:color="000000"/>
              <w:bottom w:val="single" w:sz="4" w:space="0" w:color="000000"/>
              <w:right w:val="single" w:sz="4" w:space="0" w:color="000000"/>
            </w:tcBorders>
            <w:shd w:val="clear" w:color="auto" w:fill="FFFFFF"/>
          </w:tcPr>
          <w:p w14:paraId="027EF17B" w14:textId="77777777" w:rsidR="002449C2" w:rsidRDefault="00123961">
            <w:pPr>
              <w:spacing w:after="160" w:line="259"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8/8</w:t>
            </w:r>
          </w:p>
        </w:tc>
        <w:tc>
          <w:tcPr>
            <w:tcW w:w="995" w:type="dxa"/>
            <w:tcBorders>
              <w:top w:val="single" w:sz="4" w:space="0" w:color="000000"/>
              <w:left w:val="single" w:sz="4" w:space="0" w:color="000000"/>
              <w:bottom w:val="single" w:sz="4" w:space="0" w:color="000000"/>
              <w:right w:val="single" w:sz="4" w:space="0" w:color="000000"/>
            </w:tcBorders>
            <w:shd w:val="clear" w:color="auto" w:fill="FFFFFF"/>
          </w:tcPr>
          <w:p w14:paraId="5B029F93"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bl>
    <w:p w14:paraId="29A266D0" w14:textId="77777777" w:rsidR="002449C2" w:rsidRDefault="002449C2">
      <w:pPr>
        <w:shd w:val="clear" w:color="auto" w:fill="FFFFFF"/>
        <w:tabs>
          <w:tab w:val="left" w:pos="142"/>
        </w:tabs>
        <w:spacing w:after="0" w:line="240" w:lineRule="auto"/>
        <w:jc w:val="both"/>
        <w:rPr>
          <w:rFonts w:ascii="Times New Roman" w:eastAsia="Times New Roman" w:hAnsi="Times New Roman"/>
          <w:sz w:val="24"/>
          <w:szCs w:val="24"/>
          <w:lang w:eastAsia="ru-RU"/>
        </w:rPr>
      </w:pPr>
    </w:p>
    <w:p w14:paraId="564EFD85"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Деятельность в 2024 году</w:t>
      </w:r>
    </w:p>
    <w:p w14:paraId="2F60CDDB"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отчетном году проведено 15 заседаний Комитета, на которых рассмотрено 18 вопросов.</w:t>
      </w:r>
    </w:p>
    <w:p w14:paraId="2FC60BAC" w14:textId="77777777" w:rsidR="002449C2" w:rsidRDefault="002449C2">
      <w:pPr>
        <w:shd w:val="clear" w:color="auto" w:fill="FFFFFF"/>
        <w:tabs>
          <w:tab w:val="left" w:pos="142"/>
        </w:tabs>
        <w:spacing w:after="0" w:line="240" w:lineRule="auto"/>
        <w:ind w:firstLine="567"/>
        <w:jc w:val="both"/>
        <w:rPr>
          <w:rFonts w:ascii="Times New Roman" w:eastAsia="Times New Roman" w:hAnsi="Times New Roman"/>
          <w:i/>
          <w:sz w:val="26"/>
          <w:szCs w:val="26"/>
          <w:lang w:eastAsia="ru-RU"/>
        </w:rPr>
      </w:pPr>
    </w:p>
    <w:p w14:paraId="5BBA9967" w14:textId="77777777" w:rsidR="002449C2" w:rsidRDefault="00123961">
      <w:pPr>
        <w:shd w:val="clear" w:color="auto" w:fill="FFFFFF"/>
        <w:tabs>
          <w:tab w:val="left" w:pos="142"/>
        </w:tabs>
        <w:spacing w:after="0" w:line="240" w:lineRule="auto"/>
        <w:ind w:firstLine="567"/>
        <w:jc w:val="center"/>
        <w:rPr>
          <w:rFonts w:ascii="Times New Roman" w:eastAsia="Times New Roman" w:hAnsi="Times New Roman"/>
          <w:i/>
          <w:sz w:val="26"/>
          <w:szCs w:val="26"/>
          <w:lang w:eastAsia="ru-RU"/>
        </w:rPr>
      </w:pPr>
      <w:r>
        <w:rPr>
          <w:rFonts w:ascii="Times New Roman" w:eastAsia="Times New Roman" w:hAnsi="Times New Roman"/>
          <w:i/>
          <w:sz w:val="26"/>
          <w:szCs w:val="26"/>
          <w:lang w:eastAsia="ru-RU"/>
        </w:rPr>
        <w:t>Статистика заседаний</w:t>
      </w:r>
    </w:p>
    <w:p w14:paraId="209BEF0B" w14:textId="77777777" w:rsidR="002449C2" w:rsidRDefault="00123961">
      <w:pPr>
        <w:shd w:val="clear" w:color="auto" w:fill="FFFFFF"/>
        <w:tabs>
          <w:tab w:val="left" w:pos="142"/>
        </w:tabs>
        <w:spacing w:after="0" w:line="240" w:lineRule="auto"/>
        <w:jc w:val="both"/>
        <w:rPr>
          <w:rFonts w:ascii="Times New Roman" w:eastAsia="Times New Roman" w:hAnsi="Times New Roman"/>
          <w:sz w:val="24"/>
          <w:szCs w:val="24"/>
          <w:lang w:eastAsia="ru-RU"/>
        </w:rPr>
      </w:pPr>
      <w:r>
        <w:rPr>
          <w:noProof/>
          <w:lang w:eastAsia="ru-RU"/>
        </w:rPr>
        <w:drawing>
          <wp:inline distT="0" distB="0" distL="0" distR="0" wp14:anchorId="08A94371" wp14:editId="608CF1E2">
            <wp:extent cx="6041390" cy="2438400"/>
            <wp:effectExtent l="0" t="0" r="0" b="0"/>
            <wp:docPr id="115" name="_x005F_x0000_i4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_x005F_x0000_i4494"/>
                    <pic:cNvPicPr>
                      <a:picLocks noChangeAspect="1" noChangeArrowheads="1"/>
                    </pic:cNvPicPr>
                  </pic:nvPicPr>
                  <pic:blipFill>
                    <a:blip r:embed="rId163"/>
                    <a:stretch>
                      <a:fillRect/>
                    </a:stretch>
                  </pic:blipFill>
                  <pic:spPr bwMode="auto">
                    <a:xfrm>
                      <a:off x="0" y="0"/>
                      <a:ext cx="6041390" cy="2438400"/>
                    </a:xfrm>
                    <a:prstGeom prst="rect">
                      <a:avLst/>
                    </a:prstGeom>
                    <a:noFill/>
                  </pic:spPr>
                </pic:pic>
              </a:graphicData>
            </a:graphic>
          </wp:inline>
        </w:drawing>
      </w:r>
    </w:p>
    <w:p w14:paraId="192E3EAF" w14:textId="77777777" w:rsidR="002449C2" w:rsidRDefault="002449C2">
      <w:pPr>
        <w:shd w:val="clear" w:color="auto" w:fill="FFFFFF"/>
        <w:tabs>
          <w:tab w:val="left" w:pos="142"/>
        </w:tabs>
        <w:spacing w:after="0" w:line="240" w:lineRule="auto"/>
        <w:jc w:val="both"/>
        <w:rPr>
          <w:rFonts w:ascii="Times New Roman" w:eastAsia="Times New Roman" w:hAnsi="Times New Roman"/>
          <w:sz w:val="24"/>
          <w:szCs w:val="24"/>
          <w:lang w:eastAsia="ru-RU"/>
        </w:rPr>
      </w:pPr>
    </w:p>
    <w:p w14:paraId="1E277034" w14:textId="77777777" w:rsidR="002449C2" w:rsidRDefault="00123961">
      <w:pPr>
        <w:shd w:val="clear" w:color="auto" w:fill="FFFFFF"/>
        <w:tabs>
          <w:tab w:val="left" w:pos="142"/>
        </w:tabs>
        <w:spacing w:after="0" w:line="240" w:lineRule="auto"/>
        <w:jc w:val="center"/>
        <w:rPr>
          <w:rFonts w:ascii="Times New Roman" w:eastAsia="Times New Roman" w:hAnsi="Times New Roman"/>
          <w:i/>
          <w:sz w:val="26"/>
          <w:szCs w:val="26"/>
          <w:lang w:eastAsia="ru-RU"/>
        </w:rPr>
      </w:pPr>
      <w:r>
        <w:rPr>
          <w:rFonts w:ascii="Times New Roman" w:eastAsia="Times New Roman" w:hAnsi="Times New Roman"/>
          <w:i/>
          <w:sz w:val="26"/>
          <w:szCs w:val="26"/>
          <w:lang w:eastAsia="ru-RU"/>
        </w:rPr>
        <w:t>Анализ изменений 2023/2024 годы</w:t>
      </w:r>
    </w:p>
    <w:tbl>
      <w:tblPr>
        <w:tblW w:w="9345" w:type="dxa"/>
        <w:tblLayout w:type="fixed"/>
        <w:tblLook w:val="04A0" w:firstRow="1" w:lastRow="0" w:firstColumn="1" w:lastColumn="0" w:noHBand="0" w:noVBand="1"/>
      </w:tblPr>
      <w:tblGrid>
        <w:gridCol w:w="1869"/>
        <w:gridCol w:w="1869"/>
        <w:gridCol w:w="1869"/>
        <w:gridCol w:w="1869"/>
        <w:gridCol w:w="1869"/>
      </w:tblGrid>
      <w:tr w:rsidR="002449C2" w14:paraId="07D44EA6" w14:textId="77777777">
        <w:tc>
          <w:tcPr>
            <w:tcW w:w="1869" w:type="dxa"/>
            <w:tcBorders>
              <w:top w:val="single" w:sz="4" w:space="0" w:color="000000"/>
              <w:left w:val="single" w:sz="4" w:space="0" w:color="000000"/>
              <w:bottom w:val="single" w:sz="4" w:space="0" w:color="000000"/>
              <w:right w:val="single" w:sz="4" w:space="0" w:color="000000"/>
            </w:tcBorders>
          </w:tcPr>
          <w:p w14:paraId="6A08504E" w14:textId="77777777" w:rsidR="002449C2" w:rsidRDefault="00123961">
            <w:pPr>
              <w:tabs>
                <w:tab w:val="left" w:pos="142"/>
              </w:tabs>
              <w:spacing w:after="160" w:line="259" w:lineRule="auto"/>
              <w:jc w:val="center"/>
              <w:rPr>
                <w:rFonts w:ascii="Times New Roman" w:hAnsi="Times New Roman"/>
                <w:b/>
                <w:sz w:val="20"/>
                <w:szCs w:val="20"/>
                <w:lang w:eastAsia="en-US"/>
              </w:rPr>
            </w:pPr>
            <w:r>
              <w:rPr>
                <w:rFonts w:ascii="Times New Roman" w:eastAsia="Times New Roman" w:hAnsi="Times New Roman"/>
                <w:b/>
                <w:sz w:val="20"/>
                <w:szCs w:val="20"/>
                <w:lang w:eastAsia="ru-RU"/>
              </w:rPr>
              <w:t>Заседания/ Вопросы</w:t>
            </w:r>
          </w:p>
        </w:tc>
        <w:tc>
          <w:tcPr>
            <w:tcW w:w="1869" w:type="dxa"/>
            <w:tcBorders>
              <w:top w:val="single" w:sz="4" w:space="0" w:color="000000"/>
              <w:left w:val="single" w:sz="4" w:space="0" w:color="000000"/>
              <w:bottom w:val="single" w:sz="4" w:space="0" w:color="000000"/>
              <w:right w:val="single" w:sz="4" w:space="0" w:color="000000"/>
            </w:tcBorders>
          </w:tcPr>
          <w:p w14:paraId="5BFDC33C" w14:textId="77777777" w:rsidR="002449C2" w:rsidRDefault="00123961">
            <w:pPr>
              <w:tabs>
                <w:tab w:val="left" w:pos="142"/>
              </w:tabs>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2023, шт.</w:t>
            </w:r>
          </w:p>
        </w:tc>
        <w:tc>
          <w:tcPr>
            <w:tcW w:w="1869" w:type="dxa"/>
            <w:tcBorders>
              <w:top w:val="single" w:sz="4" w:space="0" w:color="000000"/>
              <w:left w:val="single" w:sz="4" w:space="0" w:color="000000"/>
              <w:bottom w:val="single" w:sz="4" w:space="0" w:color="000000"/>
              <w:right w:val="single" w:sz="4" w:space="0" w:color="000000"/>
            </w:tcBorders>
          </w:tcPr>
          <w:p w14:paraId="3137BB26" w14:textId="77777777" w:rsidR="002449C2" w:rsidRDefault="00123961">
            <w:pPr>
              <w:tabs>
                <w:tab w:val="left" w:pos="142"/>
              </w:tabs>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2024, шт.</w:t>
            </w:r>
          </w:p>
        </w:tc>
        <w:tc>
          <w:tcPr>
            <w:tcW w:w="1869" w:type="dxa"/>
            <w:tcBorders>
              <w:top w:val="single" w:sz="4" w:space="0" w:color="000000"/>
              <w:left w:val="single" w:sz="4" w:space="0" w:color="000000"/>
              <w:bottom w:val="single" w:sz="4" w:space="0" w:color="000000"/>
              <w:right w:val="single" w:sz="4" w:space="0" w:color="000000"/>
            </w:tcBorders>
          </w:tcPr>
          <w:p w14:paraId="42137F4A" w14:textId="77777777" w:rsidR="002449C2" w:rsidRDefault="00123961">
            <w:pPr>
              <w:tabs>
                <w:tab w:val="left" w:pos="142"/>
              </w:tabs>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Изменения 2023/2024, шт.</w:t>
            </w:r>
          </w:p>
        </w:tc>
        <w:tc>
          <w:tcPr>
            <w:tcW w:w="1869" w:type="dxa"/>
            <w:tcBorders>
              <w:top w:val="single" w:sz="4" w:space="0" w:color="000000"/>
              <w:left w:val="single" w:sz="4" w:space="0" w:color="000000"/>
              <w:bottom w:val="single" w:sz="4" w:space="0" w:color="000000"/>
              <w:right w:val="single" w:sz="4" w:space="0" w:color="000000"/>
            </w:tcBorders>
          </w:tcPr>
          <w:p w14:paraId="01071599" w14:textId="77777777" w:rsidR="002449C2" w:rsidRDefault="00123961">
            <w:pPr>
              <w:tabs>
                <w:tab w:val="left" w:pos="142"/>
              </w:tabs>
              <w:spacing w:after="0" w:line="240" w:lineRule="auto"/>
              <w:jc w:val="center"/>
              <w:rPr>
                <w:rFonts w:ascii="Times New Roman" w:eastAsia="Times New Roman" w:hAnsi="Times New Roman"/>
                <w:i/>
                <w:sz w:val="26"/>
                <w:szCs w:val="26"/>
                <w:lang w:eastAsia="ru-RU"/>
              </w:rPr>
            </w:pPr>
            <w:r>
              <w:rPr>
                <w:rFonts w:ascii="Times New Roman" w:eastAsia="Times New Roman" w:hAnsi="Times New Roman"/>
                <w:b/>
                <w:sz w:val="20"/>
                <w:szCs w:val="20"/>
                <w:lang w:eastAsia="ru-RU"/>
              </w:rPr>
              <w:t>Изменения 2023/2024, %</w:t>
            </w:r>
          </w:p>
        </w:tc>
      </w:tr>
      <w:tr w:rsidR="002449C2" w14:paraId="2F06611B" w14:textId="77777777">
        <w:tc>
          <w:tcPr>
            <w:tcW w:w="1869" w:type="dxa"/>
            <w:tcBorders>
              <w:top w:val="single" w:sz="4" w:space="0" w:color="000000"/>
              <w:left w:val="single" w:sz="4" w:space="0" w:color="000000"/>
              <w:bottom w:val="single" w:sz="4" w:space="0" w:color="000000"/>
              <w:right w:val="single" w:sz="4" w:space="0" w:color="000000"/>
            </w:tcBorders>
          </w:tcPr>
          <w:p w14:paraId="76D9F564"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очные</w:t>
            </w:r>
          </w:p>
        </w:tc>
        <w:tc>
          <w:tcPr>
            <w:tcW w:w="1869" w:type="dxa"/>
            <w:tcBorders>
              <w:top w:val="single" w:sz="4" w:space="0" w:color="000000"/>
              <w:left w:val="single" w:sz="4" w:space="0" w:color="000000"/>
              <w:bottom w:val="single" w:sz="4" w:space="0" w:color="000000"/>
              <w:right w:val="single" w:sz="4" w:space="0" w:color="000000"/>
            </w:tcBorders>
          </w:tcPr>
          <w:p w14:paraId="22A806C9"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eastAsia="Times New Roman" w:hAnsi="Times New Roman"/>
                <w:sz w:val="20"/>
                <w:szCs w:val="20"/>
                <w:lang w:eastAsia="ru-RU"/>
              </w:rPr>
              <w:t>0</w:t>
            </w:r>
          </w:p>
        </w:tc>
        <w:tc>
          <w:tcPr>
            <w:tcW w:w="1869" w:type="dxa"/>
            <w:tcBorders>
              <w:top w:val="single" w:sz="4" w:space="0" w:color="000000"/>
              <w:left w:val="single" w:sz="4" w:space="0" w:color="000000"/>
              <w:bottom w:val="single" w:sz="4" w:space="0" w:color="000000"/>
              <w:right w:val="single" w:sz="4" w:space="0" w:color="000000"/>
            </w:tcBorders>
          </w:tcPr>
          <w:p w14:paraId="23191C39"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0</w:t>
            </w:r>
          </w:p>
        </w:tc>
        <w:tc>
          <w:tcPr>
            <w:tcW w:w="1869" w:type="dxa"/>
            <w:tcBorders>
              <w:top w:val="single" w:sz="4" w:space="0" w:color="000000"/>
              <w:left w:val="single" w:sz="4" w:space="0" w:color="000000"/>
              <w:bottom w:val="single" w:sz="4" w:space="0" w:color="000000"/>
              <w:right w:val="single" w:sz="4" w:space="0" w:color="000000"/>
            </w:tcBorders>
          </w:tcPr>
          <w:p w14:paraId="155C69F6"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0</w:t>
            </w:r>
          </w:p>
        </w:tc>
        <w:tc>
          <w:tcPr>
            <w:tcW w:w="1869" w:type="dxa"/>
            <w:tcBorders>
              <w:top w:val="single" w:sz="4" w:space="0" w:color="000000"/>
              <w:left w:val="single" w:sz="4" w:space="0" w:color="000000"/>
              <w:bottom w:val="single" w:sz="4" w:space="0" w:color="000000"/>
              <w:right w:val="single" w:sz="4" w:space="0" w:color="000000"/>
            </w:tcBorders>
          </w:tcPr>
          <w:p w14:paraId="1559BF23"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0</w:t>
            </w:r>
          </w:p>
        </w:tc>
      </w:tr>
      <w:tr w:rsidR="002449C2" w14:paraId="1747EC7C" w14:textId="77777777">
        <w:tc>
          <w:tcPr>
            <w:tcW w:w="1869" w:type="dxa"/>
            <w:tcBorders>
              <w:top w:val="single" w:sz="4" w:space="0" w:color="000000"/>
              <w:left w:val="single" w:sz="4" w:space="0" w:color="000000"/>
              <w:bottom w:val="single" w:sz="4" w:space="0" w:color="000000"/>
              <w:right w:val="single" w:sz="4" w:space="0" w:color="000000"/>
            </w:tcBorders>
          </w:tcPr>
          <w:p w14:paraId="22C815E9"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заочные</w:t>
            </w:r>
          </w:p>
        </w:tc>
        <w:tc>
          <w:tcPr>
            <w:tcW w:w="1869" w:type="dxa"/>
            <w:tcBorders>
              <w:top w:val="single" w:sz="4" w:space="0" w:color="000000"/>
              <w:left w:val="single" w:sz="4" w:space="0" w:color="000000"/>
              <w:bottom w:val="single" w:sz="4" w:space="0" w:color="000000"/>
              <w:right w:val="single" w:sz="4" w:space="0" w:color="000000"/>
            </w:tcBorders>
          </w:tcPr>
          <w:p w14:paraId="70FD61F6"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eastAsia="Times New Roman" w:hAnsi="Times New Roman"/>
                <w:sz w:val="20"/>
                <w:szCs w:val="20"/>
                <w:lang w:eastAsia="ru-RU"/>
              </w:rPr>
              <w:t>13</w:t>
            </w:r>
          </w:p>
        </w:tc>
        <w:tc>
          <w:tcPr>
            <w:tcW w:w="1869" w:type="dxa"/>
            <w:tcBorders>
              <w:top w:val="single" w:sz="4" w:space="0" w:color="000000"/>
              <w:left w:val="single" w:sz="4" w:space="0" w:color="000000"/>
              <w:bottom w:val="single" w:sz="4" w:space="0" w:color="000000"/>
              <w:right w:val="single" w:sz="4" w:space="0" w:color="000000"/>
            </w:tcBorders>
          </w:tcPr>
          <w:p w14:paraId="43A3FDCC"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15</w:t>
            </w:r>
          </w:p>
        </w:tc>
        <w:tc>
          <w:tcPr>
            <w:tcW w:w="1869" w:type="dxa"/>
            <w:tcBorders>
              <w:top w:val="single" w:sz="4" w:space="0" w:color="000000"/>
              <w:left w:val="single" w:sz="4" w:space="0" w:color="000000"/>
              <w:bottom w:val="single" w:sz="4" w:space="0" w:color="000000"/>
              <w:right w:val="single" w:sz="4" w:space="0" w:color="000000"/>
            </w:tcBorders>
          </w:tcPr>
          <w:p w14:paraId="054C5673"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+3</w:t>
            </w:r>
          </w:p>
        </w:tc>
        <w:tc>
          <w:tcPr>
            <w:tcW w:w="1869" w:type="dxa"/>
            <w:tcBorders>
              <w:top w:val="single" w:sz="4" w:space="0" w:color="000000"/>
              <w:left w:val="single" w:sz="4" w:space="0" w:color="000000"/>
              <w:bottom w:val="single" w:sz="4" w:space="0" w:color="000000"/>
              <w:right w:val="single" w:sz="4" w:space="0" w:color="000000"/>
            </w:tcBorders>
          </w:tcPr>
          <w:p w14:paraId="5C9D3D5C"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13,33</w:t>
            </w:r>
          </w:p>
        </w:tc>
      </w:tr>
      <w:tr w:rsidR="002449C2" w14:paraId="07790D14" w14:textId="77777777">
        <w:tc>
          <w:tcPr>
            <w:tcW w:w="1869" w:type="dxa"/>
            <w:tcBorders>
              <w:top w:val="single" w:sz="4" w:space="0" w:color="000000"/>
              <w:left w:val="single" w:sz="4" w:space="0" w:color="000000"/>
              <w:bottom w:val="single" w:sz="4" w:space="0" w:color="000000"/>
              <w:right w:val="single" w:sz="4" w:space="0" w:color="000000"/>
            </w:tcBorders>
          </w:tcPr>
          <w:p w14:paraId="3D480067"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всего заседаний</w:t>
            </w:r>
          </w:p>
        </w:tc>
        <w:tc>
          <w:tcPr>
            <w:tcW w:w="1869" w:type="dxa"/>
            <w:tcBorders>
              <w:top w:val="single" w:sz="4" w:space="0" w:color="000000"/>
              <w:left w:val="single" w:sz="4" w:space="0" w:color="000000"/>
              <w:bottom w:val="single" w:sz="4" w:space="0" w:color="000000"/>
              <w:right w:val="single" w:sz="4" w:space="0" w:color="000000"/>
            </w:tcBorders>
          </w:tcPr>
          <w:p w14:paraId="0E444178"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eastAsia="Times New Roman" w:hAnsi="Times New Roman"/>
                <w:sz w:val="20"/>
                <w:szCs w:val="20"/>
                <w:lang w:eastAsia="ru-RU"/>
              </w:rPr>
              <w:t>13</w:t>
            </w:r>
          </w:p>
        </w:tc>
        <w:tc>
          <w:tcPr>
            <w:tcW w:w="1869" w:type="dxa"/>
            <w:tcBorders>
              <w:top w:val="single" w:sz="4" w:space="0" w:color="000000"/>
              <w:left w:val="single" w:sz="4" w:space="0" w:color="000000"/>
              <w:bottom w:val="single" w:sz="4" w:space="0" w:color="000000"/>
              <w:right w:val="single" w:sz="4" w:space="0" w:color="000000"/>
            </w:tcBorders>
          </w:tcPr>
          <w:p w14:paraId="6B904819"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15</w:t>
            </w:r>
          </w:p>
        </w:tc>
        <w:tc>
          <w:tcPr>
            <w:tcW w:w="1869" w:type="dxa"/>
            <w:tcBorders>
              <w:top w:val="single" w:sz="4" w:space="0" w:color="000000"/>
              <w:left w:val="single" w:sz="4" w:space="0" w:color="000000"/>
              <w:bottom w:val="single" w:sz="4" w:space="0" w:color="000000"/>
              <w:right w:val="single" w:sz="4" w:space="0" w:color="000000"/>
            </w:tcBorders>
          </w:tcPr>
          <w:p w14:paraId="192AC711"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+2</w:t>
            </w:r>
          </w:p>
        </w:tc>
        <w:tc>
          <w:tcPr>
            <w:tcW w:w="1869" w:type="dxa"/>
            <w:tcBorders>
              <w:top w:val="single" w:sz="4" w:space="0" w:color="000000"/>
              <w:left w:val="single" w:sz="4" w:space="0" w:color="000000"/>
              <w:bottom w:val="single" w:sz="4" w:space="0" w:color="000000"/>
              <w:right w:val="single" w:sz="4" w:space="0" w:color="000000"/>
            </w:tcBorders>
          </w:tcPr>
          <w:p w14:paraId="1923A4E1"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13,33</w:t>
            </w:r>
          </w:p>
        </w:tc>
      </w:tr>
      <w:tr w:rsidR="002449C2" w14:paraId="13928132" w14:textId="77777777">
        <w:tc>
          <w:tcPr>
            <w:tcW w:w="1869" w:type="dxa"/>
            <w:tcBorders>
              <w:top w:val="single" w:sz="4" w:space="0" w:color="000000"/>
              <w:left w:val="single" w:sz="4" w:space="0" w:color="000000"/>
              <w:bottom w:val="single" w:sz="4" w:space="0" w:color="000000"/>
              <w:right w:val="single" w:sz="4" w:space="0" w:color="000000"/>
            </w:tcBorders>
          </w:tcPr>
          <w:p w14:paraId="49F77ABA"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всего вопросов</w:t>
            </w:r>
          </w:p>
        </w:tc>
        <w:tc>
          <w:tcPr>
            <w:tcW w:w="1869" w:type="dxa"/>
            <w:tcBorders>
              <w:top w:val="single" w:sz="4" w:space="0" w:color="000000"/>
              <w:left w:val="single" w:sz="4" w:space="0" w:color="000000"/>
              <w:bottom w:val="single" w:sz="4" w:space="0" w:color="000000"/>
              <w:right w:val="single" w:sz="4" w:space="0" w:color="000000"/>
            </w:tcBorders>
          </w:tcPr>
          <w:p w14:paraId="362C0FD5"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eastAsia="Times New Roman" w:hAnsi="Times New Roman"/>
                <w:sz w:val="20"/>
                <w:szCs w:val="20"/>
                <w:lang w:eastAsia="ru-RU"/>
              </w:rPr>
              <w:t>30</w:t>
            </w:r>
          </w:p>
        </w:tc>
        <w:tc>
          <w:tcPr>
            <w:tcW w:w="1869" w:type="dxa"/>
            <w:tcBorders>
              <w:top w:val="single" w:sz="4" w:space="0" w:color="000000"/>
              <w:left w:val="single" w:sz="4" w:space="0" w:color="000000"/>
              <w:bottom w:val="single" w:sz="4" w:space="0" w:color="000000"/>
              <w:right w:val="single" w:sz="4" w:space="0" w:color="000000"/>
            </w:tcBorders>
          </w:tcPr>
          <w:p w14:paraId="5368252F"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18</w:t>
            </w:r>
          </w:p>
        </w:tc>
        <w:tc>
          <w:tcPr>
            <w:tcW w:w="1869" w:type="dxa"/>
            <w:tcBorders>
              <w:top w:val="single" w:sz="4" w:space="0" w:color="000000"/>
              <w:left w:val="single" w:sz="4" w:space="0" w:color="000000"/>
              <w:bottom w:val="single" w:sz="4" w:space="0" w:color="000000"/>
              <w:right w:val="single" w:sz="4" w:space="0" w:color="000000"/>
            </w:tcBorders>
          </w:tcPr>
          <w:p w14:paraId="5D676EDD"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-12</w:t>
            </w:r>
          </w:p>
        </w:tc>
        <w:tc>
          <w:tcPr>
            <w:tcW w:w="1869" w:type="dxa"/>
            <w:tcBorders>
              <w:top w:val="single" w:sz="4" w:space="0" w:color="000000"/>
              <w:left w:val="single" w:sz="4" w:space="0" w:color="000000"/>
              <w:bottom w:val="single" w:sz="4" w:space="0" w:color="000000"/>
              <w:right w:val="single" w:sz="4" w:space="0" w:color="000000"/>
            </w:tcBorders>
          </w:tcPr>
          <w:p w14:paraId="6414F89D" w14:textId="77777777" w:rsidR="002449C2" w:rsidRDefault="00123961">
            <w:pPr>
              <w:tabs>
                <w:tab w:val="left" w:pos="142"/>
              </w:tabs>
              <w:spacing w:after="0" w:line="240" w:lineRule="auto"/>
              <w:jc w:val="center"/>
              <w:rPr>
                <w:rFonts w:ascii="Times New Roman" w:hAnsi="Times New Roman"/>
                <w:sz w:val="20"/>
                <w:szCs w:val="20"/>
                <w:lang w:val="en-US" w:eastAsia="en-US"/>
              </w:rPr>
            </w:pPr>
            <w:r>
              <w:rPr>
                <w:rFonts w:ascii="Times New Roman" w:hAnsi="Times New Roman"/>
                <w:sz w:val="20"/>
                <w:szCs w:val="20"/>
                <w:lang w:eastAsia="en-US"/>
              </w:rPr>
              <w:t>-66,67</w:t>
            </w:r>
          </w:p>
        </w:tc>
      </w:tr>
    </w:tbl>
    <w:p w14:paraId="76730CB0" w14:textId="77777777" w:rsidR="002449C2" w:rsidRDefault="002449C2">
      <w:pPr>
        <w:shd w:val="clear" w:color="auto" w:fill="FFFFFF"/>
        <w:tabs>
          <w:tab w:val="left" w:pos="142"/>
        </w:tabs>
        <w:spacing w:after="0" w:line="240" w:lineRule="auto"/>
        <w:jc w:val="both"/>
        <w:rPr>
          <w:rFonts w:ascii="Times New Roman" w:eastAsia="Times New Roman" w:hAnsi="Times New Roman"/>
          <w:i/>
          <w:sz w:val="26"/>
          <w:szCs w:val="26"/>
          <w:lang w:eastAsia="ru-RU"/>
        </w:rPr>
      </w:pPr>
    </w:p>
    <w:p w14:paraId="409367A1" w14:textId="77777777" w:rsidR="002449C2" w:rsidRDefault="00123961">
      <w:pPr>
        <w:shd w:val="clear" w:color="auto" w:fill="FFFFFF"/>
        <w:tabs>
          <w:tab w:val="left" w:pos="142"/>
        </w:tabs>
        <w:spacing w:after="0" w:line="240" w:lineRule="auto"/>
        <w:ind w:firstLine="567"/>
        <w:jc w:val="center"/>
        <w:rPr>
          <w:rFonts w:ascii="Times New Roman" w:eastAsia="Times New Roman" w:hAnsi="Times New Roman"/>
          <w:i/>
          <w:sz w:val="26"/>
          <w:szCs w:val="26"/>
          <w:lang w:eastAsia="ru-RU"/>
        </w:rPr>
      </w:pPr>
      <w:r>
        <w:rPr>
          <w:rFonts w:ascii="Times New Roman" w:eastAsia="Times New Roman" w:hAnsi="Times New Roman"/>
          <w:i/>
          <w:sz w:val="26"/>
          <w:szCs w:val="26"/>
          <w:lang w:eastAsia="ru-RU"/>
        </w:rPr>
        <w:t>Календарь заседаний</w:t>
      </w:r>
    </w:p>
    <w:tbl>
      <w:tblPr>
        <w:tblpPr w:leftFromText="180" w:rightFromText="180" w:bottomFromText="200" w:vertAnchor="text" w:horzAnchor="margin" w:tblpY="67"/>
        <w:tblW w:w="9209" w:type="dxa"/>
        <w:tblLayout w:type="fixed"/>
        <w:tblLook w:val="04A0" w:firstRow="1" w:lastRow="0" w:firstColumn="1" w:lastColumn="0" w:noHBand="0" w:noVBand="1"/>
      </w:tblPr>
      <w:tblGrid>
        <w:gridCol w:w="2263"/>
        <w:gridCol w:w="567"/>
        <w:gridCol w:w="570"/>
        <w:gridCol w:w="564"/>
        <w:gridCol w:w="567"/>
        <w:gridCol w:w="569"/>
        <w:gridCol w:w="570"/>
        <w:gridCol w:w="562"/>
        <w:gridCol w:w="568"/>
        <w:gridCol w:w="570"/>
        <w:gridCol w:w="563"/>
        <w:gridCol w:w="568"/>
        <w:gridCol w:w="708"/>
      </w:tblGrid>
      <w:tr w:rsidR="002449C2" w14:paraId="4EBC60F1" w14:textId="77777777">
        <w:trPr>
          <w:cantSplit/>
          <w:trHeight w:val="1125"/>
        </w:trPr>
        <w:tc>
          <w:tcPr>
            <w:tcW w:w="2262" w:type="dxa"/>
            <w:tcBorders>
              <w:top w:val="single" w:sz="4" w:space="0" w:color="000000"/>
              <w:left w:val="single" w:sz="4" w:space="0" w:color="000000"/>
              <w:bottom w:val="single" w:sz="4" w:space="0" w:color="000000"/>
              <w:right w:val="single" w:sz="4" w:space="0" w:color="000000"/>
            </w:tcBorders>
            <w:vAlign w:val="center"/>
          </w:tcPr>
          <w:p w14:paraId="71FB5331" w14:textId="77777777" w:rsidR="002449C2" w:rsidRDefault="00123961">
            <w:pPr>
              <w:widowControl w:val="0"/>
              <w:shd w:val="clear" w:color="auto" w:fill="FFFFFF"/>
              <w:spacing w:after="0" w:line="240" w:lineRule="auto"/>
              <w:ind w:right="-108"/>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2024 год</w:t>
            </w:r>
          </w:p>
        </w:tc>
        <w:tc>
          <w:tcPr>
            <w:tcW w:w="567" w:type="dxa"/>
            <w:tcBorders>
              <w:top w:val="single" w:sz="4" w:space="0" w:color="000000"/>
              <w:left w:val="single" w:sz="4" w:space="0" w:color="000000"/>
              <w:bottom w:val="single" w:sz="4" w:space="0" w:color="000000"/>
              <w:right w:val="single" w:sz="4" w:space="0" w:color="000000"/>
            </w:tcBorders>
            <w:textDirection w:val="btLr"/>
            <w:vAlign w:val="center"/>
          </w:tcPr>
          <w:p w14:paraId="51B3787C"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январь</w:t>
            </w:r>
          </w:p>
        </w:tc>
        <w:tc>
          <w:tcPr>
            <w:tcW w:w="570" w:type="dxa"/>
            <w:tcBorders>
              <w:top w:val="single" w:sz="4" w:space="0" w:color="000000"/>
              <w:left w:val="single" w:sz="4" w:space="0" w:color="000000"/>
              <w:bottom w:val="single" w:sz="4" w:space="0" w:color="000000"/>
              <w:right w:val="single" w:sz="4" w:space="0" w:color="000000"/>
            </w:tcBorders>
            <w:textDirection w:val="btLr"/>
            <w:vAlign w:val="center"/>
          </w:tcPr>
          <w:p w14:paraId="6D220649"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февраль</w:t>
            </w:r>
          </w:p>
        </w:tc>
        <w:tc>
          <w:tcPr>
            <w:tcW w:w="564" w:type="dxa"/>
            <w:tcBorders>
              <w:top w:val="single" w:sz="4" w:space="0" w:color="000000"/>
              <w:left w:val="single" w:sz="4" w:space="0" w:color="000000"/>
              <w:bottom w:val="single" w:sz="4" w:space="0" w:color="000000"/>
              <w:right w:val="single" w:sz="4" w:space="0" w:color="000000"/>
            </w:tcBorders>
            <w:textDirection w:val="btLr"/>
            <w:vAlign w:val="center"/>
          </w:tcPr>
          <w:p w14:paraId="4D58052C"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март</w:t>
            </w:r>
          </w:p>
        </w:tc>
        <w:tc>
          <w:tcPr>
            <w:tcW w:w="567" w:type="dxa"/>
            <w:tcBorders>
              <w:top w:val="single" w:sz="4" w:space="0" w:color="000000"/>
              <w:left w:val="single" w:sz="4" w:space="0" w:color="000000"/>
              <w:bottom w:val="single" w:sz="4" w:space="0" w:color="000000"/>
              <w:right w:val="single" w:sz="4" w:space="0" w:color="000000"/>
            </w:tcBorders>
            <w:textDirection w:val="btLr"/>
            <w:vAlign w:val="center"/>
          </w:tcPr>
          <w:p w14:paraId="44CB3D21"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апрель</w:t>
            </w:r>
          </w:p>
        </w:tc>
        <w:tc>
          <w:tcPr>
            <w:tcW w:w="569" w:type="dxa"/>
            <w:tcBorders>
              <w:top w:val="single" w:sz="4" w:space="0" w:color="000000"/>
              <w:left w:val="single" w:sz="4" w:space="0" w:color="000000"/>
              <w:bottom w:val="single" w:sz="4" w:space="0" w:color="000000"/>
              <w:right w:val="single" w:sz="4" w:space="0" w:color="000000"/>
            </w:tcBorders>
            <w:textDirection w:val="btLr"/>
            <w:vAlign w:val="center"/>
          </w:tcPr>
          <w:p w14:paraId="43F4F427"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май</w:t>
            </w:r>
          </w:p>
        </w:tc>
        <w:tc>
          <w:tcPr>
            <w:tcW w:w="570" w:type="dxa"/>
            <w:tcBorders>
              <w:top w:val="single" w:sz="4" w:space="0" w:color="000000"/>
              <w:left w:val="single" w:sz="4" w:space="0" w:color="000000"/>
              <w:bottom w:val="single" w:sz="4" w:space="0" w:color="000000"/>
              <w:right w:val="single" w:sz="4" w:space="0" w:color="000000"/>
            </w:tcBorders>
            <w:textDirection w:val="btLr"/>
            <w:vAlign w:val="center"/>
          </w:tcPr>
          <w:p w14:paraId="27475BDA"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июнь</w:t>
            </w:r>
          </w:p>
        </w:tc>
        <w:tc>
          <w:tcPr>
            <w:tcW w:w="562" w:type="dxa"/>
            <w:tcBorders>
              <w:top w:val="single" w:sz="4" w:space="0" w:color="000000"/>
              <w:left w:val="single" w:sz="4" w:space="0" w:color="000000"/>
              <w:bottom w:val="single" w:sz="4" w:space="0" w:color="000000"/>
              <w:right w:val="single" w:sz="4" w:space="0" w:color="000000"/>
            </w:tcBorders>
            <w:textDirection w:val="btLr"/>
            <w:vAlign w:val="center"/>
          </w:tcPr>
          <w:p w14:paraId="779B924F"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июль</w:t>
            </w:r>
          </w:p>
        </w:tc>
        <w:tc>
          <w:tcPr>
            <w:tcW w:w="568" w:type="dxa"/>
            <w:tcBorders>
              <w:top w:val="single" w:sz="4" w:space="0" w:color="000000"/>
              <w:left w:val="single" w:sz="4" w:space="0" w:color="000000"/>
              <w:bottom w:val="single" w:sz="4" w:space="0" w:color="000000"/>
              <w:right w:val="single" w:sz="4" w:space="0" w:color="000000"/>
            </w:tcBorders>
            <w:textDirection w:val="btLr"/>
            <w:vAlign w:val="center"/>
          </w:tcPr>
          <w:p w14:paraId="2648D1EB"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август</w:t>
            </w:r>
          </w:p>
        </w:tc>
        <w:tc>
          <w:tcPr>
            <w:tcW w:w="570" w:type="dxa"/>
            <w:tcBorders>
              <w:top w:val="single" w:sz="4" w:space="0" w:color="000000"/>
              <w:left w:val="single" w:sz="4" w:space="0" w:color="000000"/>
              <w:bottom w:val="single" w:sz="4" w:space="0" w:color="000000"/>
              <w:right w:val="single" w:sz="4" w:space="0" w:color="000000"/>
            </w:tcBorders>
            <w:textDirection w:val="btLr"/>
            <w:vAlign w:val="center"/>
          </w:tcPr>
          <w:p w14:paraId="52A9E987"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сентябрь</w:t>
            </w:r>
          </w:p>
        </w:tc>
        <w:tc>
          <w:tcPr>
            <w:tcW w:w="563" w:type="dxa"/>
            <w:tcBorders>
              <w:top w:val="single" w:sz="4" w:space="0" w:color="000000"/>
              <w:left w:val="single" w:sz="4" w:space="0" w:color="000000"/>
              <w:bottom w:val="single" w:sz="4" w:space="0" w:color="000000"/>
              <w:right w:val="single" w:sz="4" w:space="0" w:color="000000"/>
            </w:tcBorders>
            <w:textDirection w:val="btLr"/>
            <w:vAlign w:val="center"/>
          </w:tcPr>
          <w:p w14:paraId="5B70D2FB"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октябрь</w:t>
            </w:r>
          </w:p>
        </w:tc>
        <w:tc>
          <w:tcPr>
            <w:tcW w:w="568" w:type="dxa"/>
            <w:tcBorders>
              <w:top w:val="single" w:sz="4" w:space="0" w:color="000000"/>
              <w:left w:val="single" w:sz="4" w:space="0" w:color="000000"/>
              <w:bottom w:val="single" w:sz="4" w:space="0" w:color="000000"/>
              <w:right w:val="single" w:sz="4" w:space="0" w:color="000000"/>
            </w:tcBorders>
            <w:textDirection w:val="btLr"/>
            <w:vAlign w:val="center"/>
          </w:tcPr>
          <w:p w14:paraId="125AD974"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ноябрь</w:t>
            </w:r>
          </w:p>
        </w:tc>
        <w:tc>
          <w:tcPr>
            <w:tcW w:w="708" w:type="dxa"/>
            <w:tcBorders>
              <w:top w:val="single" w:sz="4" w:space="0" w:color="000000"/>
              <w:left w:val="single" w:sz="4" w:space="0" w:color="000000"/>
              <w:bottom w:val="single" w:sz="4" w:space="0" w:color="000000"/>
              <w:right w:val="single" w:sz="4" w:space="0" w:color="000000"/>
            </w:tcBorders>
            <w:textDirection w:val="btLr"/>
            <w:vAlign w:val="center"/>
          </w:tcPr>
          <w:p w14:paraId="4254EAB1"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декабрь</w:t>
            </w:r>
          </w:p>
        </w:tc>
      </w:tr>
      <w:tr w:rsidR="002449C2" w14:paraId="2A0CC1D6" w14:textId="77777777">
        <w:trPr>
          <w:trHeight w:val="550"/>
        </w:trPr>
        <w:tc>
          <w:tcPr>
            <w:tcW w:w="2262" w:type="dxa"/>
            <w:vMerge w:val="restart"/>
            <w:tcBorders>
              <w:top w:val="single" w:sz="4" w:space="0" w:color="000000"/>
              <w:left w:val="single" w:sz="4" w:space="0" w:color="000000"/>
              <w:bottom w:val="single" w:sz="4" w:space="0" w:color="000000"/>
              <w:right w:val="single" w:sz="4" w:space="0" w:color="000000"/>
            </w:tcBorders>
            <w:vAlign w:val="center"/>
          </w:tcPr>
          <w:p w14:paraId="2BDFD2D2" w14:textId="77777777" w:rsidR="002449C2" w:rsidRDefault="00123961">
            <w:pPr>
              <w:widowControl w:val="0"/>
              <w:shd w:val="clear" w:color="auto" w:fill="FFFFFF"/>
              <w:spacing w:after="0" w:line="240" w:lineRule="auto"/>
              <w:rPr>
                <w:rFonts w:ascii="Times New Roman" w:eastAsia="Times New Roman" w:hAnsi="Times New Roman"/>
                <w:iCs/>
                <w:sz w:val="20"/>
                <w:szCs w:val="20"/>
                <w:lang w:eastAsia="ru-RU"/>
              </w:rPr>
            </w:pPr>
            <w:r>
              <w:rPr>
                <w:rFonts w:ascii="Times New Roman" w:eastAsia="Times New Roman" w:hAnsi="Times New Roman"/>
                <w:sz w:val="20"/>
                <w:szCs w:val="20"/>
                <w:lang w:eastAsia="ru-RU"/>
              </w:rPr>
              <w:t>Заседания Комитета</w:t>
            </w:r>
          </w:p>
        </w:tc>
        <w:tc>
          <w:tcPr>
            <w:tcW w:w="567" w:type="dxa"/>
            <w:tcBorders>
              <w:top w:val="single" w:sz="4" w:space="0" w:color="000000"/>
              <w:left w:val="single" w:sz="4" w:space="0" w:color="000000"/>
              <w:bottom w:val="single" w:sz="4" w:space="0" w:color="000000"/>
              <w:right w:val="single" w:sz="4" w:space="0" w:color="000000"/>
            </w:tcBorders>
            <w:vAlign w:val="center"/>
          </w:tcPr>
          <w:p w14:paraId="44A790E4"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570" w:type="dxa"/>
            <w:tcBorders>
              <w:top w:val="single" w:sz="4" w:space="0" w:color="000000"/>
              <w:left w:val="single" w:sz="4" w:space="0" w:color="000000"/>
              <w:bottom w:val="single" w:sz="4" w:space="0" w:color="000000"/>
              <w:right w:val="single" w:sz="4" w:space="0" w:color="000000"/>
            </w:tcBorders>
            <w:vAlign w:val="center"/>
          </w:tcPr>
          <w:p w14:paraId="6B6E430F"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w:t>
            </w:r>
          </w:p>
        </w:tc>
        <w:tc>
          <w:tcPr>
            <w:tcW w:w="564" w:type="dxa"/>
            <w:tcBorders>
              <w:top w:val="single" w:sz="4" w:space="0" w:color="000000"/>
              <w:left w:val="single" w:sz="4" w:space="0" w:color="000000"/>
              <w:bottom w:val="single" w:sz="4" w:space="0" w:color="000000"/>
              <w:right w:val="single" w:sz="4" w:space="0" w:color="000000"/>
            </w:tcBorders>
            <w:vAlign w:val="center"/>
          </w:tcPr>
          <w:p w14:paraId="000F7430"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567" w:type="dxa"/>
            <w:tcBorders>
              <w:top w:val="single" w:sz="4" w:space="0" w:color="000000"/>
              <w:left w:val="single" w:sz="4" w:space="0" w:color="000000"/>
              <w:bottom w:val="single" w:sz="4" w:space="0" w:color="000000"/>
              <w:right w:val="single" w:sz="4" w:space="0" w:color="000000"/>
            </w:tcBorders>
            <w:vAlign w:val="center"/>
          </w:tcPr>
          <w:p w14:paraId="6BE911E7"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569" w:type="dxa"/>
            <w:tcBorders>
              <w:top w:val="single" w:sz="4" w:space="0" w:color="000000"/>
              <w:left w:val="single" w:sz="4" w:space="0" w:color="000000"/>
              <w:bottom w:val="single" w:sz="4" w:space="0" w:color="000000"/>
              <w:right w:val="single" w:sz="4" w:space="0" w:color="000000"/>
            </w:tcBorders>
            <w:vAlign w:val="center"/>
          </w:tcPr>
          <w:p w14:paraId="6760BB29"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570" w:type="dxa"/>
            <w:tcBorders>
              <w:top w:val="single" w:sz="4" w:space="0" w:color="000000"/>
              <w:left w:val="single" w:sz="4" w:space="0" w:color="000000"/>
              <w:bottom w:val="single" w:sz="4" w:space="0" w:color="000000"/>
              <w:right w:val="single" w:sz="4" w:space="0" w:color="000000"/>
            </w:tcBorders>
            <w:vAlign w:val="center"/>
          </w:tcPr>
          <w:p w14:paraId="04F8FF45"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562" w:type="dxa"/>
            <w:tcBorders>
              <w:top w:val="single" w:sz="4" w:space="0" w:color="000000"/>
              <w:left w:val="single" w:sz="4" w:space="0" w:color="000000"/>
              <w:bottom w:val="single" w:sz="4" w:space="0" w:color="000000"/>
              <w:right w:val="single" w:sz="4" w:space="0" w:color="000000"/>
            </w:tcBorders>
            <w:vAlign w:val="center"/>
          </w:tcPr>
          <w:p w14:paraId="5F65B8B4"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568" w:type="dxa"/>
            <w:tcBorders>
              <w:top w:val="single" w:sz="4" w:space="0" w:color="000000"/>
              <w:left w:val="single" w:sz="4" w:space="0" w:color="000000"/>
              <w:bottom w:val="single" w:sz="4" w:space="0" w:color="000000"/>
              <w:right w:val="single" w:sz="4" w:space="0" w:color="000000"/>
            </w:tcBorders>
            <w:vAlign w:val="center"/>
          </w:tcPr>
          <w:p w14:paraId="5C6BCBE6"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570" w:type="dxa"/>
            <w:tcBorders>
              <w:top w:val="single" w:sz="4" w:space="0" w:color="000000"/>
              <w:left w:val="single" w:sz="4" w:space="0" w:color="000000"/>
              <w:bottom w:val="single" w:sz="4" w:space="0" w:color="000000"/>
              <w:right w:val="single" w:sz="4" w:space="0" w:color="000000"/>
            </w:tcBorders>
            <w:vAlign w:val="center"/>
          </w:tcPr>
          <w:p w14:paraId="2E7A0FB9"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563" w:type="dxa"/>
            <w:tcBorders>
              <w:top w:val="single" w:sz="4" w:space="0" w:color="000000"/>
              <w:left w:val="single" w:sz="4" w:space="0" w:color="000000"/>
              <w:bottom w:val="single" w:sz="4" w:space="0" w:color="000000"/>
              <w:right w:val="single" w:sz="4" w:space="0" w:color="000000"/>
            </w:tcBorders>
            <w:vAlign w:val="center"/>
          </w:tcPr>
          <w:p w14:paraId="1BB9E588"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w:t>
            </w:r>
          </w:p>
        </w:tc>
        <w:tc>
          <w:tcPr>
            <w:tcW w:w="568" w:type="dxa"/>
            <w:tcBorders>
              <w:top w:val="single" w:sz="4" w:space="0" w:color="000000"/>
              <w:left w:val="single" w:sz="4" w:space="0" w:color="000000"/>
              <w:bottom w:val="single" w:sz="4" w:space="0" w:color="000000"/>
              <w:right w:val="single" w:sz="4" w:space="0" w:color="000000"/>
            </w:tcBorders>
            <w:vAlign w:val="center"/>
          </w:tcPr>
          <w:p w14:paraId="45A74429"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708" w:type="dxa"/>
            <w:tcBorders>
              <w:top w:val="single" w:sz="4" w:space="0" w:color="000000"/>
              <w:left w:val="single" w:sz="4" w:space="0" w:color="000000"/>
              <w:bottom w:val="single" w:sz="4" w:space="0" w:color="000000"/>
              <w:right w:val="single" w:sz="4" w:space="0" w:color="000000"/>
            </w:tcBorders>
            <w:vAlign w:val="center"/>
          </w:tcPr>
          <w:p w14:paraId="3CEEA3C0"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w:t>
            </w:r>
          </w:p>
        </w:tc>
      </w:tr>
      <w:tr w:rsidR="002449C2" w14:paraId="339D5877" w14:textId="77777777">
        <w:trPr>
          <w:cantSplit/>
          <w:trHeight w:val="841"/>
        </w:trPr>
        <w:tc>
          <w:tcPr>
            <w:tcW w:w="2262" w:type="dxa"/>
            <w:vMerge/>
            <w:tcBorders>
              <w:top w:val="single" w:sz="4" w:space="0" w:color="000000"/>
              <w:left w:val="single" w:sz="4" w:space="0" w:color="000000"/>
              <w:bottom w:val="single" w:sz="4" w:space="0" w:color="000000"/>
              <w:right w:val="single" w:sz="4" w:space="0" w:color="000000"/>
            </w:tcBorders>
            <w:vAlign w:val="center"/>
          </w:tcPr>
          <w:p w14:paraId="4674F45A" w14:textId="77777777" w:rsidR="002449C2" w:rsidRDefault="002449C2">
            <w:pPr>
              <w:widowControl w:val="0"/>
              <w:shd w:val="clear" w:color="auto" w:fill="FFFFFF"/>
              <w:spacing w:after="0" w:line="240" w:lineRule="auto"/>
              <w:rPr>
                <w:rFonts w:ascii="Times New Roman" w:eastAsia="Times New Roman" w:hAnsi="Times New Roman"/>
                <w:sz w:val="20"/>
                <w:szCs w:val="20"/>
                <w:lang w:eastAsia="ru-RU"/>
              </w:rPr>
            </w:pPr>
          </w:p>
        </w:tc>
        <w:tc>
          <w:tcPr>
            <w:tcW w:w="567" w:type="dxa"/>
            <w:tcBorders>
              <w:top w:val="single" w:sz="4" w:space="0" w:color="000000"/>
              <w:left w:val="single" w:sz="4" w:space="0" w:color="000000"/>
              <w:bottom w:val="single" w:sz="4" w:space="0" w:color="000000"/>
              <w:right w:val="single" w:sz="4" w:space="0" w:color="000000"/>
            </w:tcBorders>
            <w:textDirection w:val="btLr"/>
            <w:vAlign w:val="center"/>
          </w:tcPr>
          <w:p w14:paraId="0FCEF0B9" w14:textId="77777777" w:rsidR="002449C2" w:rsidRDefault="002449C2">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p>
        </w:tc>
        <w:tc>
          <w:tcPr>
            <w:tcW w:w="570" w:type="dxa"/>
            <w:tcBorders>
              <w:top w:val="single" w:sz="4" w:space="0" w:color="000000"/>
              <w:left w:val="single" w:sz="4" w:space="0" w:color="000000"/>
              <w:bottom w:val="single" w:sz="4" w:space="0" w:color="000000"/>
              <w:right w:val="single" w:sz="4" w:space="0" w:color="000000"/>
            </w:tcBorders>
            <w:textDirection w:val="btLr"/>
            <w:vAlign w:val="center"/>
          </w:tcPr>
          <w:p w14:paraId="10F59C63"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w:t>
            </w:r>
          </w:p>
        </w:tc>
        <w:tc>
          <w:tcPr>
            <w:tcW w:w="564" w:type="dxa"/>
            <w:tcBorders>
              <w:top w:val="single" w:sz="4" w:space="0" w:color="000000"/>
              <w:left w:val="single" w:sz="4" w:space="0" w:color="000000"/>
              <w:bottom w:val="single" w:sz="4" w:space="0" w:color="000000"/>
              <w:right w:val="single" w:sz="4" w:space="0" w:color="000000"/>
            </w:tcBorders>
            <w:textDirection w:val="btLr"/>
            <w:vAlign w:val="center"/>
          </w:tcPr>
          <w:p w14:paraId="397D37C4" w14:textId="77777777" w:rsidR="002449C2" w:rsidRDefault="002449C2">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p>
        </w:tc>
        <w:tc>
          <w:tcPr>
            <w:tcW w:w="567" w:type="dxa"/>
            <w:tcBorders>
              <w:top w:val="single" w:sz="4" w:space="0" w:color="000000"/>
              <w:left w:val="single" w:sz="4" w:space="0" w:color="000000"/>
              <w:bottom w:val="single" w:sz="4" w:space="0" w:color="000000"/>
              <w:right w:val="single" w:sz="4" w:space="0" w:color="000000"/>
            </w:tcBorders>
            <w:textDirection w:val="btLr"/>
            <w:vAlign w:val="center"/>
          </w:tcPr>
          <w:p w14:paraId="13D11DB7"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17</w:t>
            </w:r>
          </w:p>
        </w:tc>
        <w:tc>
          <w:tcPr>
            <w:tcW w:w="569" w:type="dxa"/>
            <w:tcBorders>
              <w:top w:val="single" w:sz="4" w:space="0" w:color="000000"/>
              <w:left w:val="single" w:sz="4" w:space="0" w:color="000000"/>
              <w:bottom w:val="single" w:sz="4" w:space="0" w:color="000000"/>
              <w:right w:val="single" w:sz="4" w:space="0" w:color="000000"/>
            </w:tcBorders>
            <w:textDirection w:val="btLr"/>
            <w:vAlign w:val="center"/>
          </w:tcPr>
          <w:p w14:paraId="586DC235" w14:textId="77777777" w:rsidR="002449C2" w:rsidRDefault="002449C2">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p>
        </w:tc>
        <w:tc>
          <w:tcPr>
            <w:tcW w:w="570" w:type="dxa"/>
            <w:tcBorders>
              <w:top w:val="single" w:sz="4" w:space="0" w:color="000000"/>
              <w:left w:val="single" w:sz="4" w:space="0" w:color="000000"/>
              <w:bottom w:val="single" w:sz="4" w:space="0" w:color="000000"/>
              <w:right w:val="single" w:sz="4" w:space="0" w:color="000000"/>
            </w:tcBorders>
            <w:textDirection w:val="btLr"/>
            <w:vAlign w:val="center"/>
          </w:tcPr>
          <w:p w14:paraId="05C04519"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13,26</w:t>
            </w:r>
          </w:p>
        </w:tc>
        <w:tc>
          <w:tcPr>
            <w:tcW w:w="562" w:type="dxa"/>
            <w:tcBorders>
              <w:top w:val="single" w:sz="4" w:space="0" w:color="000000"/>
              <w:left w:val="single" w:sz="4" w:space="0" w:color="000000"/>
              <w:bottom w:val="single" w:sz="4" w:space="0" w:color="000000"/>
              <w:right w:val="single" w:sz="4" w:space="0" w:color="000000"/>
            </w:tcBorders>
            <w:textDirection w:val="btLr"/>
            <w:vAlign w:val="center"/>
          </w:tcPr>
          <w:p w14:paraId="3C277B64"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08</w:t>
            </w:r>
          </w:p>
        </w:tc>
        <w:tc>
          <w:tcPr>
            <w:tcW w:w="568" w:type="dxa"/>
            <w:tcBorders>
              <w:top w:val="single" w:sz="4" w:space="0" w:color="000000"/>
              <w:left w:val="single" w:sz="4" w:space="0" w:color="000000"/>
              <w:bottom w:val="single" w:sz="4" w:space="0" w:color="000000"/>
              <w:right w:val="single" w:sz="4" w:space="0" w:color="000000"/>
            </w:tcBorders>
            <w:textDirection w:val="btLr"/>
            <w:vAlign w:val="center"/>
          </w:tcPr>
          <w:p w14:paraId="51B584B8"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06,16</w:t>
            </w:r>
          </w:p>
        </w:tc>
        <w:tc>
          <w:tcPr>
            <w:tcW w:w="570" w:type="dxa"/>
            <w:tcBorders>
              <w:top w:val="single" w:sz="4" w:space="0" w:color="000000"/>
              <w:left w:val="single" w:sz="4" w:space="0" w:color="000000"/>
              <w:bottom w:val="single" w:sz="4" w:space="0" w:color="000000"/>
              <w:right w:val="single" w:sz="4" w:space="0" w:color="000000"/>
            </w:tcBorders>
            <w:textDirection w:val="btLr"/>
            <w:vAlign w:val="center"/>
          </w:tcPr>
          <w:p w14:paraId="3BB15512"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26</w:t>
            </w:r>
          </w:p>
        </w:tc>
        <w:tc>
          <w:tcPr>
            <w:tcW w:w="563" w:type="dxa"/>
            <w:tcBorders>
              <w:top w:val="single" w:sz="4" w:space="0" w:color="000000"/>
              <w:left w:val="single" w:sz="4" w:space="0" w:color="000000"/>
              <w:bottom w:val="single" w:sz="4" w:space="0" w:color="000000"/>
              <w:right w:val="single" w:sz="4" w:space="0" w:color="000000"/>
            </w:tcBorders>
            <w:textDirection w:val="btLr"/>
            <w:vAlign w:val="center"/>
          </w:tcPr>
          <w:p w14:paraId="1D195F4B"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08,10,</w:t>
            </w:r>
          </w:p>
          <w:p w14:paraId="71698C38"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28</w:t>
            </w:r>
          </w:p>
        </w:tc>
        <w:tc>
          <w:tcPr>
            <w:tcW w:w="568" w:type="dxa"/>
            <w:tcBorders>
              <w:top w:val="single" w:sz="4" w:space="0" w:color="000000"/>
              <w:left w:val="single" w:sz="4" w:space="0" w:color="000000"/>
              <w:bottom w:val="single" w:sz="4" w:space="0" w:color="000000"/>
              <w:right w:val="single" w:sz="4" w:space="0" w:color="000000"/>
            </w:tcBorders>
            <w:textDirection w:val="btLr"/>
            <w:vAlign w:val="center"/>
          </w:tcPr>
          <w:p w14:paraId="79354796"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28</w:t>
            </w:r>
          </w:p>
        </w:tc>
        <w:tc>
          <w:tcPr>
            <w:tcW w:w="708" w:type="dxa"/>
            <w:tcBorders>
              <w:top w:val="single" w:sz="4" w:space="0" w:color="000000"/>
              <w:left w:val="single" w:sz="4" w:space="0" w:color="000000"/>
              <w:bottom w:val="single" w:sz="4" w:space="0" w:color="000000"/>
              <w:right w:val="single" w:sz="4" w:space="0" w:color="000000"/>
            </w:tcBorders>
            <w:textDirection w:val="btLr"/>
            <w:vAlign w:val="center"/>
          </w:tcPr>
          <w:p w14:paraId="0C084074"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12, 27</w:t>
            </w:r>
          </w:p>
        </w:tc>
      </w:tr>
    </w:tbl>
    <w:p w14:paraId="36579B28" w14:textId="77777777" w:rsidR="002449C2" w:rsidRDefault="00123961">
      <w:pPr>
        <w:shd w:val="clear" w:color="auto" w:fill="FFFFFF"/>
        <w:tabs>
          <w:tab w:val="left" w:pos="142"/>
        </w:tabs>
        <w:spacing w:after="0" w:line="240" w:lineRule="auto"/>
        <w:jc w:val="both"/>
        <w:rPr>
          <w:rFonts w:ascii="Times New Roman" w:eastAsia="Times New Roman" w:hAnsi="Times New Roman"/>
          <w:i/>
          <w:sz w:val="26"/>
          <w:szCs w:val="26"/>
          <w:lang w:eastAsia="ru-RU"/>
        </w:rPr>
      </w:pPr>
      <w:r>
        <w:rPr>
          <w:noProof/>
          <w:lang w:eastAsia="ru-RU"/>
        </w:rPr>
        <w:drawing>
          <wp:inline distT="0" distB="0" distL="0" distR="0" wp14:anchorId="1A284EE9" wp14:editId="1767F206">
            <wp:extent cx="5499100" cy="3213100"/>
            <wp:effectExtent l="0" t="0" r="0" b="0"/>
            <wp:docPr id="116" name="_x005F_x0000_i4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_x005F_x0000_i4495"/>
                    <pic:cNvPicPr>
                      <a:picLocks noChangeAspect="1" noChangeArrowheads="1"/>
                    </pic:cNvPicPr>
                  </pic:nvPicPr>
                  <pic:blipFill>
                    <a:blip r:embed="rId164"/>
                    <a:stretch>
                      <a:fillRect/>
                    </a:stretch>
                  </pic:blipFill>
                  <pic:spPr bwMode="auto">
                    <a:xfrm>
                      <a:off x="0" y="0"/>
                      <a:ext cx="5499100" cy="3213100"/>
                    </a:xfrm>
                    <a:prstGeom prst="rect">
                      <a:avLst/>
                    </a:prstGeom>
                    <a:noFill/>
                  </pic:spPr>
                </pic:pic>
              </a:graphicData>
            </a:graphic>
          </wp:inline>
        </w:drawing>
      </w:r>
    </w:p>
    <w:p w14:paraId="59E823C6" w14:textId="77777777" w:rsidR="002449C2" w:rsidRDefault="002449C2">
      <w:pPr>
        <w:shd w:val="clear" w:color="auto" w:fill="FFFFFF"/>
        <w:spacing w:after="0" w:line="240" w:lineRule="auto"/>
        <w:ind w:firstLine="567"/>
        <w:jc w:val="both"/>
        <w:rPr>
          <w:rFonts w:ascii="Times New Roman" w:hAnsi="Times New Roman"/>
          <w:spacing w:val="-2"/>
          <w:sz w:val="26"/>
          <w:szCs w:val="26"/>
          <w:lang w:eastAsia="en-US"/>
        </w:rPr>
      </w:pPr>
    </w:p>
    <w:p w14:paraId="39B13F64"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В отчетном периоде Комитетом выдано 7 рекомендаций Совету директоров.</w:t>
      </w:r>
    </w:p>
    <w:p w14:paraId="5FD9BEB6"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В отчетном периоде особое внимание было уделено:</w:t>
      </w:r>
    </w:p>
    <w:p w14:paraId="3F762EB9"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 рассмотрению отчета Комитета по кадрам и вознаграждениям Совета директоров ПАО «Россети Юг» за 2023-2024 корпоративный год;</w:t>
      </w:r>
    </w:p>
    <w:p w14:paraId="33EB4A8C"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 рассмотрению отчета Корпоративного секретаря Общества по итогам работы за 2023- 2024 корпоративный год;</w:t>
      </w:r>
    </w:p>
    <w:p w14:paraId="6497A071"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 xml:space="preserve">- подбору и оценке лиц, назначаемых на отдельные должности исполнительного аппарата Компании и выдаче рекомендаций Совету директоров Общества; </w:t>
      </w:r>
    </w:p>
    <w:p w14:paraId="27F3091C"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 вопросу об изменении условий трудового договора Генерального директора Общества;</w:t>
      </w:r>
    </w:p>
    <w:p w14:paraId="31B14CE4"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 xml:space="preserve">- вопросу об утверждении ключевых показателей эффективности и функциональных ключевых показателей эффективности руководящего состава ПАО «Россети Юг» на 2024-2026 годы. </w:t>
      </w:r>
    </w:p>
    <w:p w14:paraId="79DF98DF"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 рассмотрению результатов самооценки эффективности работы Совета директоров и Комитетов Совета директоров ПАО «Россети Юг» за 2023-2024 корпоративный год.</w:t>
      </w:r>
    </w:p>
    <w:p w14:paraId="11F89F3F"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 xml:space="preserve">На заседании Комитета в форме совместного присутствия (очная форма) внимательным образом рассмотрены и одобрены актуализированные составы управленческого кадрового резерва и молодежного кадрового резерва Общества. </w:t>
      </w:r>
    </w:p>
    <w:p w14:paraId="07072199" w14:textId="77777777" w:rsidR="002449C2" w:rsidRDefault="002449C2">
      <w:pPr>
        <w:shd w:val="clear" w:color="auto" w:fill="FFFFFF"/>
        <w:spacing w:after="0" w:line="240" w:lineRule="auto"/>
        <w:rPr>
          <w:rFonts w:ascii="Cambria" w:eastAsia="Times New Roman" w:hAnsi="Cambria"/>
          <w:b/>
          <w:bCs/>
          <w:sz w:val="26"/>
          <w:szCs w:val="26"/>
          <w:shd w:val="clear" w:color="auto" w:fill="FFFFFF"/>
          <w:lang w:eastAsia="ru-RU"/>
        </w:rPr>
      </w:pPr>
    </w:p>
    <w:p w14:paraId="37A09CB6" w14:textId="77777777" w:rsidR="002449C2" w:rsidRDefault="00123961">
      <w:pPr>
        <w:shd w:val="clear" w:color="auto" w:fill="FFFFFF"/>
        <w:spacing w:after="0" w:line="240" w:lineRule="auto"/>
        <w:jc w:val="center"/>
        <w:rPr>
          <w:rFonts w:ascii="Times New Roman" w:eastAsia="Times New Roman" w:hAnsi="Times New Roman"/>
          <w:b/>
          <w:bCs/>
          <w:color w:val="2E74B5"/>
          <w:sz w:val="26"/>
          <w:szCs w:val="26"/>
          <w:shd w:val="clear" w:color="auto" w:fill="FFFFFF"/>
          <w:lang w:eastAsia="ru-RU"/>
        </w:rPr>
      </w:pPr>
      <w:r>
        <w:rPr>
          <w:rFonts w:ascii="Times New Roman" w:eastAsia="Times New Roman" w:hAnsi="Times New Roman"/>
          <w:b/>
          <w:bCs/>
          <w:color w:val="2E74B5"/>
          <w:sz w:val="26"/>
          <w:szCs w:val="26"/>
          <w:shd w:val="clear" w:color="auto" w:fill="FFFFFF"/>
          <w:lang w:eastAsia="ru-RU"/>
        </w:rPr>
        <w:t>КОМИТЕТ ПО СТРАТЕГИИ</w:t>
      </w:r>
    </w:p>
    <w:p w14:paraId="27A8B973" w14:textId="77777777" w:rsidR="002449C2" w:rsidRDefault="002449C2">
      <w:pPr>
        <w:shd w:val="clear" w:color="auto" w:fill="FFFFFF"/>
        <w:tabs>
          <w:tab w:val="left" w:pos="142"/>
        </w:tabs>
        <w:spacing w:after="0" w:line="240" w:lineRule="auto"/>
        <w:ind w:firstLine="567"/>
        <w:jc w:val="both"/>
        <w:rPr>
          <w:rFonts w:ascii="Times New Roman" w:hAnsi="Times New Roman"/>
          <w:b/>
          <w:spacing w:val="-2"/>
          <w:sz w:val="26"/>
          <w:szCs w:val="26"/>
          <w:lang w:eastAsia="en-US"/>
        </w:rPr>
      </w:pPr>
    </w:p>
    <w:p w14:paraId="0EDF479F"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 xml:space="preserve">Деятельность регулируется </w:t>
      </w:r>
      <w:hyperlink r:id="rId165">
        <w:r>
          <w:rPr>
            <w:rFonts w:ascii="Times New Roman" w:hAnsi="Times New Roman"/>
            <w:color w:val="0000FF"/>
            <w:spacing w:val="-2"/>
            <w:sz w:val="26"/>
            <w:szCs w:val="26"/>
            <w:u w:val="single"/>
            <w:lang w:eastAsia="en-US"/>
          </w:rPr>
          <w:t>Положением о Комитете по стратегии</w:t>
        </w:r>
      </w:hyperlink>
      <w:r>
        <w:rPr>
          <w:rFonts w:ascii="Times New Roman" w:hAnsi="Times New Roman"/>
          <w:spacing w:val="-2"/>
          <w:sz w:val="26"/>
          <w:szCs w:val="26"/>
          <w:lang w:eastAsia="en-US"/>
        </w:rPr>
        <w:t xml:space="preserve"> Совета директоров Общества, утвержденным решением Совета директоров Общества 25.07.2019 (протокол от 29.07.2019 № 327/2019) и размещенным на официальном сайте Компании.</w:t>
      </w:r>
    </w:p>
    <w:p w14:paraId="26CB663F" w14:textId="77777777" w:rsidR="002449C2" w:rsidRDefault="002449C2">
      <w:pPr>
        <w:shd w:val="clear" w:color="auto" w:fill="FFFFFF"/>
        <w:tabs>
          <w:tab w:val="left" w:pos="142"/>
        </w:tabs>
        <w:spacing w:after="0" w:line="240" w:lineRule="auto"/>
        <w:ind w:firstLine="567"/>
        <w:jc w:val="both"/>
        <w:rPr>
          <w:rFonts w:ascii="Times New Roman" w:hAnsi="Times New Roman"/>
          <w:spacing w:val="-2"/>
          <w:sz w:val="26"/>
          <w:szCs w:val="26"/>
          <w:lang w:eastAsia="en-US"/>
        </w:rPr>
      </w:pPr>
    </w:p>
    <w:p w14:paraId="641E3D4D" w14:textId="77777777" w:rsidR="002449C2" w:rsidRDefault="00123961">
      <w:pPr>
        <w:shd w:val="clear" w:color="auto" w:fill="FFFFFF"/>
        <w:tabs>
          <w:tab w:val="left" w:pos="142"/>
        </w:tabs>
        <w:spacing w:after="0" w:line="240" w:lineRule="auto"/>
        <w:ind w:firstLine="567"/>
        <w:jc w:val="both"/>
        <w:rPr>
          <w:rFonts w:ascii="Times New Roman" w:hAnsi="Times New Roman"/>
          <w:b/>
          <w:spacing w:val="-2"/>
          <w:sz w:val="26"/>
          <w:szCs w:val="26"/>
          <w:lang w:eastAsia="en-US"/>
        </w:rPr>
      </w:pPr>
      <w:r>
        <w:rPr>
          <w:rFonts w:ascii="Times New Roman" w:hAnsi="Times New Roman"/>
          <w:b/>
          <w:spacing w:val="-2"/>
          <w:sz w:val="26"/>
          <w:szCs w:val="26"/>
          <w:lang w:eastAsia="en-US"/>
        </w:rPr>
        <w:t>Основные задачи</w:t>
      </w:r>
    </w:p>
    <w:p w14:paraId="77229893" w14:textId="77777777" w:rsidR="002449C2" w:rsidRDefault="00123961">
      <w:pPr>
        <w:shd w:val="clear" w:color="auto" w:fill="FFFFFF"/>
        <w:spacing w:after="0" w:line="240" w:lineRule="auto"/>
        <w:ind w:firstLine="567"/>
        <w:jc w:val="both"/>
        <w:rPr>
          <w:rFonts w:ascii="Times New Roman" w:eastAsia="Times New Roman" w:hAnsi="Times New Roman"/>
          <w:b/>
          <w:bCs/>
          <w:sz w:val="26"/>
          <w:szCs w:val="26"/>
          <w:shd w:val="clear" w:color="auto" w:fill="FFFFFF"/>
          <w:lang w:eastAsia="ru-RU"/>
        </w:rPr>
      </w:pPr>
      <w:r>
        <w:rPr>
          <w:rFonts w:ascii="Times New Roman" w:hAnsi="Times New Roman"/>
          <w:spacing w:val="-2"/>
          <w:sz w:val="26"/>
          <w:szCs w:val="26"/>
          <w:lang w:eastAsia="en-US"/>
        </w:rPr>
        <w:t xml:space="preserve">Основной задачей Комитета является выработка и представление рекомендаций Совету директоров Общества по направлениям деятельности Совета директоров, которые относятся к компетенции Комитета, в частности: стратегическое развитие и приоритетные направления деятельности, инновационное развитие, организация бизнес-процессов, бизнес-планирование, дивидендная политика, управление рисками, оценка эффективности деятельности Общества и его дочерних обществ, а также другие задачи и направления, определенные </w:t>
      </w:r>
      <w:r>
        <w:rPr>
          <w:rFonts w:ascii="Times New Roman" w:hAnsi="Times New Roman"/>
          <w:sz w:val="26"/>
          <w:szCs w:val="26"/>
          <w:lang w:eastAsia="en-US"/>
        </w:rPr>
        <w:t>Кодексом корпоративного управления Банка России.</w:t>
      </w:r>
    </w:p>
    <w:p w14:paraId="054424EF" w14:textId="77777777" w:rsidR="002449C2" w:rsidRDefault="002449C2">
      <w:pPr>
        <w:shd w:val="clear" w:color="auto" w:fill="FFFFFF"/>
        <w:tabs>
          <w:tab w:val="left" w:pos="142"/>
        </w:tabs>
        <w:spacing w:after="0" w:line="240" w:lineRule="auto"/>
        <w:ind w:firstLine="567"/>
        <w:jc w:val="both"/>
        <w:rPr>
          <w:rFonts w:ascii="Times New Roman" w:hAnsi="Times New Roman"/>
          <w:b/>
          <w:spacing w:val="-2"/>
          <w:sz w:val="26"/>
          <w:szCs w:val="26"/>
          <w:lang w:eastAsia="en-US"/>
        </w:rPr>
      </w:pPr>
    </w:p>
    <w:p w14:paraId="22499D19" w14:textId="77777777" w:rsidR="002449C2" w:rsidRDefault="00123961">
      <w:pPr>
        <w:shd w:val="clear" w:color="auto" w:fill="FFFFFF"/>
        <w:tabs>
          <w:tab w:val="left" w:pos="142"/>
        </w:tabs>
        <w:spacing w:after="0" w:line="240" w:lineRule="auto"/>
        <w:ind w:firstLine="567"/>
        <w:jc w:val="both"/>
        <w:rPr>
          <w:rFonts w:ascii="Times New Roman" w:hAnsi="Times New Roman"/>
          <w:b/>
          <w:spacing w:val="-2"/>
          <w:sz w:val="26"/>
          <w:szCs w:val="26"/>
          <w:lang w:eastAsia="en-US"/>
        </w:rPr>
      </w:pPr>
      <w:r>
        <w:rPr>
          <w:rFonts w:ascii="Times New Roman" w:hAnsi="Times New Roman"/>
          <w:b/>
          <w:spacing w:val="-2"/>
          <w:sz w:val="26"/>
          <w:szCs w:val="26"/>
          <w:lang w:eastAsia="en-US"/>
        </w:rPr>
        <w:t>Принципы формирования и срок полномочий членов Комитета</w:t>
      </w:r>
    </w:p>
    <w:p w14:paraId="7D1C8B5D"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Количественный состав Комитета определяется решением Совета директоров Общества и не может быть менее 5 (Пяти) и более 11 (Одиннадцати) человек.</w:t>
      </w:r>
    </w:p>
    <w:p w14:paraId="4B1B7355"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Персональный состав Комитета избирается Советом директоров Общества из числа кандидатов, выдвинутых членами Совета директоров Общества.</w:t>
      </w:r>
    </w:p>
    <w:p w14:paraId="77246A27"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 xml:space="preserve">Членами Комитета могут быть только физические лица. Член Комитета может не быть членом Совета директоров Общества. </w:t>
      </w:r>
    </w:p>
    <w:p w14:paraId="4B09580C"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При избрании членов Комитета должны учитываться их образование, профессиональная подготовка, опыт работы в сфере деятельности Комитета и иные специальные знания, необходимые для осуществления членами Комитета своих полномочий.</w:t>
      </w:r>
    </w:p>
    <w:p w14:paraId="4083A431"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Члены Комитета избираются на срок до избрания следующего состава Комитета.</w:t>
      </w:r>
    </w:p>
    <w:p w14:paraId="153ED1DB"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Полномочия любого члена Комитета могут быть досрочно прекращены решением Совета директоров Общества.</w:t>
      </w:r>
    </w:p>
    <w:p w14:paraId="2605812C" w14:textId="77777777" w:rsidR="002449C2" w:rsidRDefault="002449C2">
      <w:pPr>
        <w:shd w:val="clear" w:color="auto" w:fill="FFFFFF"/>
        <w:tabs>
          <w:tab w:val="left" w:pos="142"/>
        </w:tabs>
        <w:spacing w:after="0" w:line="240" w:lineRule="auto"/>
        <w:ind w:firstLine="567"/>
        <w:jc w:val="both"/>
        <w:rPr>
          <w:rFonts w:ascii="Times New Roman" w:hAnsi="Times New Roman"/>
          <w:spacing w:val="-2"/>
          <w:sz w:val="26"/>
          <w:szCs w:val="26"/>
          <w:lang w:eastAsia="en-US"/>
        </w:rPr>
      </w:pPr>
    </w:p>
    <w:p w14:paraId="3C393AD1" w14:textId="77777777" w:rsidR="002449C2" w:rsidRDefault="00123961">
      <w:pPr>
        <w:shd w:val="clear" w:color="auto" w:fill="FFFFFF"/>
        <w:spacing w:after="120" w:line="240" w:lineRule="auto"/>
        <w:ind w:firstLine="567"/>
        <w:rPr>
          <w:rFonts w:ascii="Times New Roman" w:eastAsia="Times New Roman" w:hAnsi="Times New Roman"/>
          <w:b/>
          <w:bCs/>
          <w:sz w:val="26"/>
          <w:szCs w:val="26"/>
          <w:lang w:eastAsia="ru-RU"/>
        </w:rPr>
      </w:pPr>
      <w:r>
        <w:rPr>
          <w:rFonts w:ascii="Times New Roman" w:eastAsia="Times New Roman" w:hAnsi="Times New Roman"/>
          <w:b/>
          <w:bCs/>
          <w:sz w:val="26"/>
          <w:szCs w:val="26"/>
          <w:shd w:val="clear" w:color="auto" w:fill="FFFFFF"/>
          <w:lang w:eastAsia="ru-RU"/>
        </w:rPr>
        <w:t>Персональный состав и</w:t>
      </w:r>
      <w:r>
        <w:rPr>
          <w:rFonts w:ascii="Times New Roman" w:eastAsia="Times New Roman" w:hAnsi="Times New Roman"/>
          <w:b/>
          <w:bCs/>
          <w:sz w:val="26"/>
          <w:szCs w:val="26"/>
          <w:lang w:eastAsia="ru-RU"/>
        </w:rPr>
        <w:t xml:space="preserve"> информация об участии в 2024 году</w:t>
      </w:r>
    </w:p>
    <w:tbl>
      <w:tblPr>
        <w:tblW w:w="9360" w:type="dxa"/>
        <w:jc w:val="center"/>
        <w:tblLayout w:type="fixed"/>
        <w:tblLook w:val="04A0" w:firstRow="1" w:lastRow="0" w:firstColumn="1" w:lastColumn="0" w:noHBand="0" w:noVBand="1"/>
      </w:tblPr>
      <w:tblGrid>
        <w:gridCol w:w="2689"/>
        <w:gridCol w:w="4686"/>
        <w:gridCol w:w="1125"/>
        <w:gridCol w:w="860"/>
      </w:tblGrid>
      <w:tr w:rsidR="002449C2" w14:paraId="349BEE1B" w14:textId="77777777">
        <w:trPr>
          <w:cantSplit/>
          <w:tblHeade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9248DA" w14:textId="77777777" w:rsidR="002449C2" w:rsidRDefault="00123961">
            <w:pPr>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Ф.И.О.</w:t>
            </w:r>
          </w:p>
        </w:tc>
        <w:tc>
          <w:tcPr>
            <w:tcW w:w="468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01C6BC" w14:textId="77777777" w:rsidR="002449C2" w:rsidRDefault="00123961" w:rsidP="00866546">
            <w:pPr>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Должность</w:t>
            </w:r>
            <w:r w:rsidR="00866546">
              <w:rPr>
                <w:rStyle w:val="af"/>
                <w:rFonts w:ascii="Times New Roman" w:eastAsia="Times New Roman" w:hAnsi="Times New Roman"/>
                <w:b/>
                <w:sz w:val="20"/>
                <w:szCs w:val="20"/>
                <w:lang w:eastAsia="ar-SA"/>
              </w:rPr>
              <w:footnoteReference w:id="22"/>
            </w:r>
          </w:p>
        </w:tc>
        <w:tc>
          <w:tcPr>
            <w:tcW w:w="11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31F7BC" w14:textId="77777777" w:rsidR="002449C2" w:rsidRDefault="00123961">
            <w:pPr>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Участие</w:t>
            </w:r>
          </w:p>
        </w:tc>
        <w:tc>
          <w:tcPr>
            <w:tcW w:w="8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F9AE2D" w14:textId="77777777" w:rsidR="002449C2" w:rsidRDefault="00123961">
            <w:pPr>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 участия</w:t>
            </w:r>
          </w:p>
        </w:tc>
      </w:tr>
      <w:tr w:rsidR="002449C2" w14:paraId="3321A2CF" w14:textId="77777777">
        <w:trPr>
          <w:cantSplit/>
          <w:jc w:val="center"/>
        </w:trPr>
        <w:tc>
          <w:tcPr>
            <w:tcW w:w="9359" w:type="dxa"/>
            <w:gridSpan w:val="4"/>
            <w:tcBorders>
              <w:top w:val="single" w:sz="4" w:space="0" w:color="000000"/>
              <w:left w:val="single" w:sz="4" w:space="0" w:color="000000"/>
              <w:bottom w:val="single" w:sz="4" w:space="0" w:color="000000"/>
              <w:right w:val="single" w:sz="4" w:space="0" w:color="000000"/>
            </w:tcBorders>
            <w:shd w:val="clear" w:color="auto" w:fill="FFFFFF"/>
          </w:tcPr>
          <w:p w14:paraId="5D0A6217"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bCs/>
                <w:sz w:val="20"/>
                <w:szCs w:val="20"/>
                <w:lang w:eastAsia="ar-SA"/>
              </w:rPr>
              <w:t xml:space="preserve">Состав действующий в период </w:t>
            </w:r>
            <w:r>
              <w:rPr>
                <w:rFonts w:ascii="Times New Roman" w:eastAsia="Times New Roman" w:hAnsi="Times New Roman"/>
                <w:sz w:val="20"/>
                <w:szCs w:val="20"/>
                <w:lang w:eastAsia="ar-SA"/>
              </w:rPr>
              <w:t>с 11.09.2023 по 20.08.2024</w:t>
            </w:r>
          </w:p>
          <w:p w14:paraId="7261F5DA"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bCs/>
                <w:sz w:val="20"/>
                <w:szCs w:val="20"/>
                <w:lang w:eastAsia="ar-SA"/>
              </w:rPr>
              <w:t>избран решением Совета директоров 11.09.2023 (протокол от 12.09.2023 № 542/2023)</w:t>
            </w:r>
          </w:p>
        </w:tc>
      </w:tr>
      <w:tr w:rsidR="002449C2" w14:paraId="527424D3" w14:textId="77777777">
        <w:trPr>
          <w:cantSplit/>
          <w:jc w:val="center"/>
        </w:trPr>
        <w:tc>
          <w:tcPr>
            <w:tcW w:w="9359" w:type="dxa"/>
            <w:gridSpan w:val="4"/>
            <w:tcBorders>
              <w:top w:val="single" w:sz="4" w:space="0" w:color="000000"/>
              <w:left w:val="single" w:sz="4" w:space="0" w:color="000000"/>
              <w:bottom w:val="single" w:sz="4" w:space="0" w:color="000000"/>
              <w:right w:val="single" w:sz="4" w:space="0" w:color="000000"/>
            </w:tcBorders>
            <w:shd w:val="clear" w:color="auto" w:fill="FFFFFF"/>
          </w:tcPr>
          <w:p w14:paraId="2C6FA75B" w14:textId="77777777" w:rsidR="002449C2" w:rsidRDefault="00123961">
            <w:pPr>
              <w:shd w:val="clear" w:color="auto" w:fill="FFFFFF"/>
              <w:spacing w:after="0" w:line="240" w:lineRule="auto"/>
              <w:jc w:val="center"/>
              <w:rPr>
                <w:rFonts w:ascii="Times New Roman" w:eastAsia="Times New Roman" w:hAnsi="Times New Roman"/>
                <w:bCs/>
                <w:sz w:val="20"/>
                <w:szCs w:val="20"/>
                <w:lang w:eastAsia="ar-SA"/>
              </w:rPr>
            </w:pPr>
            <w:r>
              <w:rPr>
                <w:rFonts w:ascii="Times New Roman" w:eastAsia="Times New Roman" w:hAnsi="Times New Roman"/>
                <w:sz w:val="20"/>
                <w:szCs w:val="20"/>
                <w:lang w:eastAsia="ar-SA"/>
              </w:rPr>
              <w:t>Общее количество проведенных заседаний – 16 в заочной форме</w:t>
            </w:r>
          </w:p>
        </w:tc>
      </w:tr>
      <w:tr w:rsidR="002449C2" w14:paraId="54077143"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4CB59987" w14:textId="77777777" w:rsidR="002449C2" w:rsidRDefault="00123961">
            <w:pPr>
              <w:spacing w:after="0" w:line="240" w:lineRule="auto"/>
              <w:jc w:val="both"/>
              <w:rPr>
                <w:rFonts w:ascii="Times New Roman" w:hAnsi="Times New Roman"/>
                <w:sz w:val="20"/>
                <w:szCs w:val="20"/>
                <w:lang w:eastAsia="ar-SA"/>
              </w:rPr>
            </w:pPr>
            <w:r>
              <w:rPr>
                <w:rFonts w:ascii="Times New Roman" w:hAnsi="Times New Roman"/>
                <w:sz w:val="20"/>
                <w:szCs w:val="20"/>
                <w:lang w:eastAsia="ar-SA"/>
              </w:rPr>
              <w:t>Полинов</w:t>
            </w:r>
          </w:p>
          <w:p w14:paraId="6DCFB8F1"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Алексей Александрович</w:t>
            </w:r>
          </w:p>
        </w:tc>
        <w:tc>
          <w:tcPr>
            <w:tcW w:w="4685" w:type="dxa"/>
            <w:tcBorders>
              <w:top w:val="single" w:sz="4" w:space="0" w:color="000000"/>
              <w:left w:val="single" w:sz="4" w:space="0" w:color="000000"/>
              <w:bottom w:val="single" w:sz="4" w:space="0" w:color="000000"/>
              <w:right w:val="single" w:sz="4" w:space="0" w:color="000000"/>
            </w:tcBorders>
          </w:tcPr>
          <w:p w14:paraId="54F6DAC7"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Заместитель Генерального директора по экономике и финансам ПАО «Россети»</w:t>
            </w:r>
          </w:p>
        </w:tc>
        <w:tc>
          <w:tcPr>
            <w:tcW w:w="11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33ED6B"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18/18</w:t>
            </w:r>
          </w:p>
        </w:tc>
        <w:tc>
          <w:tcPr>
            <w:tcW w:w="8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27F5A3"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19558979"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3C910BB4" w14:textId="77777777" w:rsidR="002449C2" w:rsidRDefault="00123961">
            <w:pPr>
              <w:spacing w:after="0" w:line="240" w:lineRule="auto"/>
              <w:jc w:val="both"/>
              <w:rPr>
                <w:rFonts w:ascii="Times New Roman" w:hAnsi="Times New Roman"/>
                <w:sz w:val="20"/>
                <w:szCs w:val="20"/>
                <w:lang w:eastAsia="ar-SA"/>
              </w:rPr>
            </w:pPr>
            <w:r>
              <w:rPr>
                <w:rFonts w:ascii="Times New Roman" w:hAnsi="Times New Roman"/>
                <w:sz w:val="20"/>
                <w:szCs w:val="20"/>
                <w:lang w:eastAsia="ar-SA"/>
              </w:rPr>
              <w:t>Лещевская</w:t>
            </w:r>
          </w:p>
          <w:p w14:paraId="237AD59A" w14:textId="77777777" w:rsidR="002449C2" w:rsidRDefault="00123961">
            <w:pPr>
              <w:widowControl w:val="0"/>
              <w:spacing w:after="0" w:line="240" w:lineRule="auto"/>
              <w:rPr>
                <w:rFonts w:ascii="Times New Roman" w:hAnsi="Times New Roman"/>
                <w:sz w:val="20"/>
                <w:szCs w:val="20"/>
                <w:lang w:eastAsia="ar-SA"/>
              </w:rPr>
            </w:pPr>
            <w:r>
              <w:rPr>
                <w:rFonts w:ascii="Times New Roman" w:hAnsi="Times New Roman"/>
                <w:sz w:val="20"/>
                <w:szCs w:val="20"/>
                <w:lang w:eastAsia="ar-SA"/>
              </w:rPr>
              <w:t>Юлия Александровна</w:t>
            </w:r>
          </w:p>
        </w:tc>
        <w:tc>
          <w:tcPr>
            <w:tcW w:w="4685" w:type="dxa"/>
            <w:tcBorders>
              <w:top w:val="single" w:sz="4" w:space="0" w:color="000000"/>
              <w:left w:val="single" w:sz="4" w:space="0" w:color="000000"/>
              <w:bottom w:val="single" w:sz="4" w:space="0" w:color="000000"/>
              <w:right w:val="single" w:sz="4" w:space="0" w:color="000000"/>
            </w:tcBorders>
          </w:tcPr>
          <w:p w14:paraId="3A614D49" w14:textId="77777777" w:rsidR="002449C2" w:rsidRDefault="00123961">
            <w:pPr>
              <w:widowControl w:val="0"/>
              <w:spacing w:after="0" w:line="240" w:lineRule="auto"/>
              <w:jc w:val="both"/>
              <w:rPr>
                <w:rFonts w:ascii="Times New Roman" w:hAnsi="Times New Roman"/>
                <w:i/>
                <w:sz w:val="20"/>
                <w:szCs w:val="20"/>
                <w:lang w:eastAsia="ar-SA"/>
              </w:rPr>
            </w:pPr>
            <w:r>
              <w:rPr>
                <w:rFonts w:ascii="Times New Roman" w:hAnsi="Times New Roman"/>
                <w:sz w:val="20"/>
                <w:szCs w:val="20"/>
                <w:lang w:eastAsia="ar-SA"/>
              </w:rPr>
              <w:t>Заместитель Генерального директора по стратегии ПАО «Россети»</w:t>
            </w:r>
          </w:p>
        </w:tc>
        <w:tc>
          <w:tcPr>
            <w:tcW w:w="11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DEC947"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18/18</w:t>
            </w:r>
          </w:p>
        </w:tc>
        <w:tc>
          <w:tcPr>
            <w:tcW w:w="8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DC87E1"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4BB85474"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0187AC6B" w14:textId="77777777" w:rsidR="002449C2" w:rsidRDefault="00123961">
            <w:pPr>
              <w:spacing w:after="0" w:line="240" w:lineRule="auto"/>
              <w:jc w:val="both"/>
              <w:rPr>
                <w:rFonts w:ascii="Times New Roman" w:hAnsi="Times New Roman"/>
                <w:sz w:val="20"/>
                <w:szCs w:val="20"/>
                <w:lang w:eastAsia="ar-SA"/>
              </w:rPr>
            </w:pPr>
            <w:r>
              <w:rPr>
                <w:rFonts w:ascii="Times New Roman" w:hAnsi="Times New Roman"/>
                <w:sz w:val="20"/>
                <w:szCs w:val="20"/>
                <w:lang w:eastAsia="ar-SA"/>
              </w:rPr>
              <w:t>Корнеев</w:t>
            </w:r>
          </w:p>
          <w:p w14:paraId="4CEE46F5" w14:textId="77777777" w:rsidR="002449C2" w:rsidRDefault="00123961">
            <w:pPr>
              <w:spacing w:after="0" w:line="240" w:lineRule="auto"/>
              <w:rPr>
                <w:rFonts w:ascii="Times New Roman" w:hAnsi="Times New Roman"/>
                <w:sz w:val="20"/>
                <w:szCs w:val="20"/>
                <w:lang w:eastAsia="ar-SA"/>
              </w:rPr>
            </w:pPr>
            <w:r>
              <w:rPr>
                <w:rFonts w:ascii="Times New Roman" w:hAnsi="Times New Roman"/>
                <w:sz w:val="20"/>
                <w:szCs w:val="20"/>
                <w:lang w:eastAsia="ar-SA"/>
              </w:rPr>
              <w:t>Александр Юрьевич</w:t>
            </w:r>
          </w:p>
        </w:tc>
        <w:tc>
          <w:tcPr>
            <w:tcW w:w="4685" w:type="dxa"/>
            <w:tcBorders>
              <w:top w:val="single" w:sz="4" w:space="0" w:color="000000"/>
              <w:left w:val="single" w:sz="4" w:space="0" w:color="000000"/>
              <w:bottom w:val="single" w:sz="4" w:space="0" w:color="000000"/>
              <w:right w:val="single" w:sz="4" w:space="0" w:color="000000"/>
            </w:tcBorders>
          </w:tcPr>
          <w:p w14:paraId="6C2506C9" w14:textId="77777777" w:rsidR="002449C2" w:rsidRDefault="00123961">
            <w:pPr>
              <w:widowControl w:val="0"/>
              <w:spacing w:after="0" w:line="240" w:lineRule="auto"/>
              <w:jc w:val="both"/>
              <w:rPr>
                <w:rFonts w:ascii="Times New Roman" w:hAnsi="Times New Roman"/>
                <w:sz w:val="20"/>
                <w:szCs w:val="20"/>
                <w:lang w:eastAsia="ar-SA"/>
              </w:rPr>
            </w:pPr>
            <w:r>
              <w:rPr>
                <w:rFonts w:ascii="Times New Roman" w:hAnsi="Times New Roman"/>
                <w:sz w:val="20"/>
                <w:szCs w:val="20"/>
                <w:lang w:eastAsia="ar-SA"/>
              </w:rPr>
              <w:t>Начальник Департамента технологического присоединения и развития инфраструктуры ПАО «Россети Юг»</w:t>
            </w:r>
          </w:p>
        </w:tc>
        <w:tc>
          <w:tcPr>
            <w:tcW w:w="11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8233E5"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18/18</w:t>
            </w:r>
          </w:p>
        </w:tc>
        <w:tc>
          <w:tcPr>
            <w:tcW w:w="8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50DC12B"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5D357D5A"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798CCB11" w14:textId="77777777" w:rsidR="002449C2" w:rsidRDefault="00123961">
            <w:pPr>
              <w:spacing w:after="0" w:line="240" w:lineRule="auto"/>
              <w:jc w:val="both"/>
              <w:rPr>
                <w:rFonts w:ascii="Times New Roman" w:hAnsi="Times New Roman"/>
                <w:sz w:val="20"/>
                <w:szCs w:val="20"/>
                <w:lang w:eastAsia="ar-SA"/>
              </w:rPr>
            </w:pPr>
            <w:r>
              <w:rPr>
                <w:rFonts w:ascii="Times New Roman" w:hAnsi="Times New Roman"/>
                <w:sz w:val="20"/>
                <w:szCs w:val="20"/>
                <w:lang w:eastAsia="ar-SA"/>
              </w:rPr>
              <w:t>Короткова</w:t>
            </w:r>
          </w:p>
          <w:p w14:paraId="29573EB8" w14:textId="77777777" w:rsidR="002449C2" w:rsidRDefault="00123961">
            <w:pPr>
              <w:spacing w:after="0" w:line="240" w:lineRule="auto"/>
              <w:rPr>
                <w:rFonts w:ascii="Times New Roman" w:hAnsi="Times New Roman"/>
                <w:sz w:val="20"/>
                <w:szCs w:val="20"/>
                <w:lang w:eastAsia="ar-SA"/>
              </w:rPr>
            </w:pPr>
            <w:r>
              <w:rPr>
                <w:rFonts w:ascii="Times New Roman" w:hAnsi="Times New Roman"/>
                <w:sz w:val="20"/>
                <w:szCs w:val="20"/>
                <w:lang w:eastAsia="ar-SA"/>
              </w:rPr>
              <w:t>Мария Вячеславна</w:t>
            </w:r>
          </w:p>
          <w:p w14:paraId="130DCFEB" w14:textId="77777777" w:rsidR="002449C2" w:rsidRDefault="00123961">
            <w:pPr>
              <w:spacing w:after="0" w:line="240" w:lineRule="auto"/>
              <w:rPr>
                <w:rFonts w:ascii="Times New Roman" w:hAnsi="Times New Roman"/>
                <w:sz w:val="20"/>
                <w:szCs w:val="20"/>
                <w:lang w:eastAsia="ar-SA"/>
              </w:rPr>
            </w:pPr>
            <w:r>
              <w:rPr>
                <w:rFonts w:ascii="Times New Roman" w:hAnsi="Times New Roman"/>
                <w:i/>
                <w:sz w:val="20"/>
                <w:szCs w:val="20"/>
                <w:lang w:eastAsia="ar-SA"/>
              </w:rPr>
              <w:t>Независимый директор</w:t>
            </w:r>
          </w:p>
        </w:tc>
        <w:tc>
          <w:tcPr>
            <w:tcW w:w="4685" w:type="dxa"/>
            <w:tcBorders>
              <w:top w:val="single" w:sz="4" w:space="0" w:color="000000"/>
              <w:left w:val="single" w:sz="4" w:space="0" w:color="000000"/>
              <w:bottom w:val="single" w:sz="4" w:space="0" w:color="000000"/>
              <w:right w:val="single" w:sz="4" w:space="0" w:color="000000"/>
            </w:tcBorders>
          </w:tcPr>
          <w:p w14:paraId="13EE3142" w14:textId="77777777" w:rsidR="002449C2" w:rsidRDefault="00123961">
            <w:pPr>
              <w:spacing w:after="0" w:line="240" w:lineRule="auto"/>
              <w:jc w:val="both"/>
              <w:rPr>
                <w:rFonts w:ascii="Times New Roman" w:hAnsi="Times New Roman"/>
                <w:sz w:val="20"/>
                <w:szCs w:val="20"/>
                <w:lang w:eastAsia="ar-SA"/>
              </w:rPr>
            </w:pPr>
            <w:r>
              <w:rPr>
                <w:rFonts w:ascii="Times New Roman" w:hAnsi="Times New Roman"/>
                <w:sz w:val="20"/>
                <w:szCs w:val="20"/>
                <w:lang w:eastAsia="ar-SA"/>
              </w:rPr>
              <w:t>Директор по развитию ООО «Техноинновация»</w:t>
            </w:r>
          </w:p>
        </w:tc>
        <w:tc>
          <w:tcPr>
            <w:tcW w:w="11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E45E02"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18/18</w:t>
            </w:r>
          </w:p>
        </w:tc>
        <w:tc>
          <w:tcPr>
            <w:tcW w:w="8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F752EF"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0E8E9EC4"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6816E06D" w14:textId="77777777" w:rsidR="002449C2" w:rsidRDefault="00123961">
            <w:pPr>
              <w:tabs>
                <w:tab w:val="left" w:pos="709"/>
                <w:tab w:val="left" w:pos="851"/>
              </w:tabs>
              <w:spacing w:after="0" w:line="240" w:lineRule="auto"/>
              <w:jc w:val="both"/>
              <w:rPr>
                <w:rFonts w:ascii="Times New Roman" w:hAnsi="Times New Roman"/>
                <w:sz w:val="20"/>
                <w:szCs w:val="20"/>
                <w:lang w:eastAsia="ar-SA"/>
              </w:rPr>
            </w:pPr>
            <w:r>
              <w:rPr>
                <w:rFonts w:ascii="Times New Roman" w:hAnsi="Times New Roman"/>
                <w:sz w:val="20"/>
                <w:szCs w:val="20"/>
                <w:lang w:eastAsia="ar-SA"/>
              </w:rPr>
              <w:t>Калоева</w:t>
            </w:r>
          </w:p>
          <w:p w14:paraId="50ACA3AB" w14:textId="77777777" w:rsidR="002449C2" w:rsidRDefault="00123961">
            <w:pPr>
              <w:spacing w:after="0" w:line="240" w:lineRule="auto"/>
              <w:rPr>
                <w:rFonts w:ascii="Times New Roman" w:hAnsi="Times New Roman"/>
                <w:sz w:val="20"/>
                <w:szCs w:val="20"/>
                <w:lang w:eastAsia="ar-SA"/>
              </w:rPr>
            </w:pPr>
            <w:r>
              <w:rPr>
                <w:rFonts w:ascii="Times New Roman" w:hAnsi="Times New Roman"/>
                <w:sz w:val="20"/>
                <w:szCs w:val="20"/>
                <w:lang w:eastAsia="ar-SA"/>
              </w:rPr>
              <w:t>Мадина Валерьевна</w:t>
            </w:r>
          </w:p>
        </w:tc>
        <w:tc>
          <w:tcPr>
            <w:tcW w:w="4685" w:type="dxa"/>
            <w:tcBorders>
              <w:top w:val="single" w:sz="4" w:space="0" w:color="000000"/>
              <w:left w:val="single" w:sz="4" w:space="0" w:color="000000"/>
              <w:bottom w:val="single" w:sz="4" w:space="0" w:color="000000"/>
              <w:right w:val="single" w:sz="4" w:space="0" w:color="000000"/>
            </w:tcBorders>
          </w:tcPr>
          <w:p w14:paraId="0A0FAA72" w14:textId="77777777" w:rsidR="002449C2" w:rsidRDefault="00123961">
            <w:pPr>
              <w:widowControl w:val="0"/>
              <w:spacing w:after="0" w:line="240" w:lineRule="auto"/>
              <w:jc w:val="both"/>
              <w:rPr>
                <w:rFonts w:ascii="Times New Roman" w:hAnsi="Times New Roman"/>
                <w:sz w:val="20"/>
                <w:szCs w:val="20"/>
                <w:lang w:eastAsia="ar-SA"/>
              </w:rPr>
            </w:pPr>
            <w:r>
              <w:rPr>
                <w:rFonts w:ascii="Times New Roman" w:hAnsi="Times New Roman"/>
                <w:sz w:val="20"/>
                <w:szCs w:val="20"/>
                <w:lang w:eastAsia="ar-SA"/>
              </w:rPr>
              <w:t>Директор по корпоративному управлению – начальник Департамента корпоративного управления ПАО «Россети»</w:t>
            </w:r>
          </w:p>
        </w:tc>
        <w:tc>
          <w:tcPr>
            <w:tcW w:w="11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0A8A4B"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18/18</w:t>
            </w:r>
          </w:p>
        </w:tc>
        <w:tc>
          <w:tcPr>
            <w:tcW w:w="8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681F89"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7BA92233"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106D906F" w14:textId="77777777" w:rsidR="002449C2" w:rsidRDefault="00123961">
            <w:pPr>
              <w:spacing w:after="0" w:line="240" w:lineRule="auto"/>
              <w:rPr>
                <w:rFonts w:ascii="Times New Roman" w:hAnsi="Times New Roman"/>
                <w:sz w:val="20"/>
                <w:szCs w:val="20"/>
                <w:lang w:eastAsia="ar-SA"/>
              </w:rPr>
            </w:pPr>
            <w:r>
              <w:rPr>
                <w:rFonts w:ascii="Times New Roman" w:hAnsi="Times New Roman"/>
                <w:sz w:val="20"/>
                <w:szCs w:val="20"/>
                <w:lang w:eastAsia="ar-SA"/>
              </w:rPr>
              <w:t>Иорданиди</w:t>
            </w:r>
          </w:p>
          <w:p w14:paraId="564AB3E3" w14:textId="77777777" w:rsidR="002449C2" w:rsidRDefault="00123961">
            <w:pPr>
              <w:spacing w:after="0" w:line="240" w:lineRule="auto"/>
              <w:rPr>
                <w:rFonts w:ascii="Times New Roman" w:hAnsi="Times New Roman"/>
                <w:sz w:val="20"/>
                <w:szCs w:val="20"/>
                <w:lang w:eastAsia="ar-SA"/>
              </w:rPr>
            </w:pPr>
            <w:r>
              <w:rPr>
                <w:rFonts w:ascii="Times New Roman" w:hAnsi="Times New Roman"/>
                <w:sz w:val="20"/>
                <w:szCs w:val="20"/>
                <w:lang w:eastAsia="ar-SA"/>
              </w:rPr>
              <w:t>Кирилл Александрович</w:t>
            </w:r>
          </w:p>
        </w:tc>
        <w:tc>
          <w:tcPr>
            <w:tcW w:w="4685" w:type="dxa"/>
            <w:tcBorders>
              <w:top w:val="single" w:sz="4" w:space="0" w:color="000000"/>
              <w:left w:val="single" w:sz="4" w:space="0" w:color="000000"/>
              <w:bottom w:val="single" w:sz="4" w:space="0" w:color="000000"/>
              <w:right w:val="single" w:sz="4" w:space="0" w:color="000000"/>
            </w:tcBorders>
          </w:tcPr>
          <w:p w14:paraId="0AE3E2D6"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Заместитель Генерального директора по экономике и финансам ПАО «Россети Юг»,</w:t>
            </w:r>
          </w:p>
          <w:p w14:paraId="6381D746" w14:textId="77777777" w:rsidR="002449C2" w:rsidRDefault="00123961">
            <w:pPr>
              <w:spacing w:after="0" w:line="240" w:lineRule="auto"/>
              <w:jc w:val="both"/>
              <w:rPr>
                <w:rFonts w:ascii="Times New Roman" w:hAnsi="Times New Roman"/>
                <w:sz w:val="20"/>
                <w:szCs w:val="20"/>
                <w:lang w:eastAsia="ar-SA"/>
              </w:rPr>
            </w:pPr>
            <w:r>
              <w:rPr>
                <w:rFonts w:ascii="Times New Roman" w:hAnsi="Times New Roman"/>
                <w:i/>
                <w:sz w:val="20"/>
                <w:szCs w:val="20"/>
                <w:lang w:eastAsia="ar-SA"/>
              </w:rPr>
              <w:t>член Правления ПАО «Россети Юг»</w:t>
            </w:r>
          </w:p>
        </w:tc>
        <w:tc>
          <w:tcPr>
            <w:tcW w:w="11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72C86BA"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18/18</w:t>
            </w:r>
          </w:p>
        </w:tc>
        <w:tc>
          <w:tcPr>
            <w:tcW w:w="8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394F6E"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0817C000"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2291E64E" w14:textId="77777777" w:rsidR="002449C2" w:rsidRDefault="00123961">
            <w:pPr>
              <w:spacing w:after="0" w:line="240" w:lineRule="auto"/>
              <w:jc w:val="both"/>
              <w:rPr>
                <w:rFonts w:ascii="Times New Roman" w:hAnsi="Times New Roman"/>
                <w:sz w:val="20"/>
                <w:szCs w:val="20"/>
                <w:lang w:eastAsia="ar-SA"/>
              </w:rPr>
            </w:pPr>
            <w:r>
              <w:rPr>
                <w:rFonts w:ascii="Times New Roman" w:hAnsi="Times New Roman"/>
                <w:sz w:val="20"/>
                <w:szCs w:val="20"/>
                <w:lang w:eastAsia="ar-SA"/>
              </w:rPr>
              <w:t>Краинский</w:t>
            </w:r>
          </w:p>
          <w:p w14:paraId="523D07D7" w14:textId="77777777" w:rsidR="002449C2" w:rsidRDefault="00123961">
            <w:pPr>
              <w:spacing w:after="0" w:line="240" w:lineRule="auto"/>
              <w:rPr>
                <w:rFonts w:ascii="Times New Roman" w:hAnsi="Times New Roman"/>
                <w:sz w:val="20"/>
                <w:szCs w:val="20"/>
                <w:lang w:eastAsia="ar-SA"/>
              </w:rPr>
            </w:pPr>
            <w:r>
              <w:rPr>
                <w:rFonts w:ascii="Times New Roman" w:hAnsi="Times New Roman"/>
                <w:sz w:val="20"/>
                <w:szCs w:val="20"/>
                <w:lang w:eastAsia="ar-SA"/>
              </w:rPr>
              <w:t>Даниил Владимирович</w:t>
            </w:r>
          </w:p>
        </w:tc>
        <w:tc>
          <w:tcPr>
            <w:tcW w:w="4685" w:type="dxa"/>
            <w:tcBorders>
              <w:top w:val="single" w:sz="4" w:space="0" w:color="000000"/>
              <w:left w:val="single" w:sz="4" w:space="0" w:color="000000"/>
              <w:bottom w:val="single" w:sz="4" w:space="0" w:color="000000"/>
              <w:right w:val="single" w:sz="4" w:space="0" w:color="000000"/>
            </w:tcBorders>
          </w:tcPr>
          <w:p w14:paraId="0A62A437" w14:textId="77777777" w:rsidR="002449C2" w:rsidRDefault="00123961">
            <w:pPr>
              <w:spacing w:after="0" w:line="240" w:lineRule="auto"/>
              <w:jc w:val="both"/>
              <w:rPr>
                <w:rFonts w:ascii="Times New Roman" w:hAnsi="Times New Roman"/>
                <w:sz w:val="20"/>
                <w:szCs w:val="20"/>
                <w:lang w:eastAsia="ar-SA"/>
              </w:rPr>
            </w:pPr>
            <w:r>
              <w:rPr>
                <w:rFonts w:ascii="Times New Roman" w:hAnsi="Times New Roman"/>
                <w:sz w:val="20"/>
                <w:szCs w:val="20"/>
                <w:lang w:eastAsia="ar-SA"/>
              </w:rPr>
              <w:t xml:space="preserve">Заместитель Генерального директора по правовому обеспечению ПАО «Россети», </w:t>
            </w:r>
            <w:r>
              <w:rPr>
                <w:rFonts w:ascii="Times New Roman" w:hAnsi="Times New Roman"/>
                <w:i/>
                <w:sz w:val="20"/>
                <w:szCs w:val="20"/>
                <w:lang w:eastAsia="ar-SA"/>
              </w:rPr>
              <w:t>Председатель Совета директоров ПАО «Россети Юг»</w:t>
            </w:r>
          </w:p>
        </w:tc>
        <w:tc>
          <w:tcPr>
            <w:tcW w:w="11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42950C"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18/18</w:t>
            </w:r>
          </w:p>
        </w:tc>
        <w:tc>
          <w:tcPr>
            <w:tcW w:w="8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5C9046"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162FF4BD"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122D6910" w14:textId="77777777" w:rsidR="002449C2" w:rsidRDefault="00123961">
            <w:pPr>
              <w:spacing w:after="0" w:line="240" w:lineRule="auto"/>
              <w:jc w:val="both"/>
              <w:rPr>
                <w:rFonts w:ascii="Times New Roman" w:hAnsi="Times New Roman"/>
                <w:sz w:val="20"/>
                <w:szCs w:val="20"/>
                <w:lang w:eastAsia="ar-SA"/>
              </w:rPr>
            </w:pPr>
            <w:r>
              <w:rPr>
                <w:rFonts w:ascii="Times New Roman" w:hAnsi="Times New Roman"/>
                <w:sz w:val="20"/>
                <w:szCs w:val="20"/>
                <w:lang w:eastAsia="ar-SA"/>
              </w:rPr>
              <w:t>Тулба</w:t>
            </w:r>
          </w:p>
          <w:p w14:paraId="732452F7" w14:textId="77777777" w:rsidR="002449C2" w:rsidRDefault="00123961">
            <w:pPr>
              <w:spacing w:after="0" w:line="240" w:lineRule="auto"/>
              <w:rPr>
                <w:rFonts w:ascii="Times New Roman" w:hAnsi="Times New Roman"/>
                <w:sz w:val="20"/>
                <w:szCs w:val="20"/>
                <w:lang w:eastAsia="ar-SA"/>
              </w:rPr>
            </w:pPr>
            <w:r>
              <w:rPr>
                <w:rFonts w:ascii="Times New Roman" w:hAnsi="Times New Roman"/>
                <w:sz w:val="20"/>
                <w:szCs w:val="20"/>
                <w:lang w:eastAsia="ar-SA"/>
              </w:rPr>
              <w:t>Андрей Петрович</w:t>
            </w:r>
          </w:p>
        </w:tc>
        <w:tc>
          <w:tcPr>
            <w:tcW w:w="4685" w:type="dxa"/>
            <w:tcBorders>
              <w:top w:val="single" w:sz="4" w:space="0" w:color="000000"/>
              <w:left w:val="single" w:sz="4" w:space="0" w:color="000000"/>
              <w:bottom w:val="single" w:sz="4" w:space="0" w:color="000000"/>
              <w:right w:val="single" w:sz="4" w:space="0" w:color="000000"/>
            </w:tcBorders>
          </w:tcPr>
          <w:p w14:paraId="538FCADC" w14:textId="77777777" w:rsidR="002449C2" w:rsidRDefault="00123961">
            <w:pPr>
              <w:spacing w:after="0" w:line="240" w:lineRule="auto"/>
              <w:jc w:val="both"/>
              <w:rPr>
                <w:rFonts w:ascii="Times New Roman" w:hAnsi="Times New Roman"/>
                <w:sz w:val="20"/>
                <w:szCs w:val="20"/>
                <w:lang w:eastAsia="ar-SA"/>
              </w:rPr>
            </w:pPr>
            <w:r>
              <w:rPr>
                <w:rFonts w:ascii="Times New Roman" w:hAnsi="Times New Roman"/>
                <w:sz w:val="20"/>
                <w:szCs w:val="20"/>
                <w:lang w:eastAsia="ar-SA"/>
              </w:rPr>
              <w:t>Директор по экономике - начальник Департамента экономики ПАО «Россети»</w:t>
            </w:r>
          </w:p>
        </w:tc>
        <w:tc>
          <w:tcPr>
            <w:tcW w:w="11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6640F3"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18/18</w:t>
            </w:r>
          </w:p>
        </w:tc>
        <w:tc>
          <w:tcPr>
            <w:tcW w:w="8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3D67AC0"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375E00DC"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48CCBA18" w14:textId="77777777" w:rsidR="002449C2" w:rsidRDefault="00123961">
            <w:pPr>
              <w:spacing w:after="0" w:line="240" w:lineRule="auto"/>
              <w:jc w:val="both"/>
              <w:rPr>
                <w:rFonts w:ascii="Times New Roman" w:hAnsi="Times New Roman"/>
                <w:sz w:val="20"/>
                <w:szCs w:val="20"/>
                <w:lang w:eastAsia="ar-SA"/>
              </w:rPr>
            </w:pPr>
            <w:r>
              <w:rPr>
                <w:rFonts w:ascii="Times New Roman" w:hAnsi="Times New Roman"/>
                <w:sz w:val="20"/>
                <w:szCs w:val="20"/>
                <w:lang w:eastAsia="ar-SA"/>
              </w:rPr>
              <w:t>Зархин</w:t>
            </w:r>
          </w:p>
          <w:p w14:paraId="77D51410" w14:textId="2CE3D3BE" w:rsidR="002449C2" w:rsidRDefault="00123961" w:rsidP="003B7295">
            <w:pPr>
              <w:spacing w:after="0" w:line="240" w:lineRule="auto"/>
              <w:rPr>
                <w:rFonts w:ascii="Times New Roman" w:hAnsi="Times New Roman"/>
                <w:sz w:val="20"/>
                <w:szCs w:val="20"/>
                <w:lang w:eastAsia="ar-SA"/>
              </w:rPr>
            </w:pPr>
            <w:r>
              <w:rPr>
                <w:rFonts w:ascii="Times New Roman" w:hAnsi="Times New Roman"/>
                <w:sz w:val="20"/>
                <w:szCs w:val="20"/>
                <w:lang w:eastAsia="ar-SA"/>
              </w:rPr>
              <w:t>Виталий Юрьевич</w:t>
            </w:r>
          </w:p>
        </w:tc>
        <w:tc>
          <w:tcPr>
            <w:tcW w:w="4685" w:type="dxa"/>
            <w:tcBorders>
              <w:top w:val="single" w:sz="4" w:space="0" w:color="000000"/>
              <w:left w:val="single" w:sz="4" w:space="0" w:color="000000"/>
              <w:bottom w:val="single" w:sz="4" w:space="0" w:color="000000"/>
              <w:right w:val="single" w:sz="4" w:space="0" w:color="000000"/>
            </w:tcBorders>
          </w:tcPr>
          <w:p w14:paraId="446FA19F"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i/>
                <w:sz w:val="20"/>
                <w:szCs w:val="20"/>
                <w:lang w:eastAsia="ar-SA"/>
              </w:rPr>
              <w:t>член Совета директоров ПАО «Россети Юг»</w:t>
            </w:r>
          </w:p>
        </w:tc>
        <w:tc>
          <w:tcPr>
            <w:tcW w:w="11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9983BB0"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18/18</w:t>
            </w:r>
          </w:p>
        </w:tc>
        <w:tc>
          <w:tcPr>
            <w:tcW w:w="8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0368A22"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0844143F" w14:textId="77777777">
        <w:trPr>
          <w:cantSplit/>
          <w:jc w:val="center"/>
        </w:trPr>
        <w:tc>
          <w:tcPr>
            <w:tcW w:w="9359" w:type="dxa"/>
            <w:gridSpan w:val="4"/>
            <w:tcBorders>
              <w:top w:val="single" w:sz="4" w:space="0" w:color="000000"/>
              <w:left w:val="single" w:sz="4" w:space="0" w:color="000000"/>
              <w:bottom w:val="single" w:sz="4" w:space="0" w:color="000000"/>
              <w:right w:val="single" w:sz="4" w:space="0" w:color="000000"/>
            </w:tcBorders>
          </w:tcPr>
          <w:p w14:paraId="2C53CED7"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bCs/>
                <w:sz w:val="20"/>
                <w:szCs w:val="20"/>
                <w:lang w:eastAsia="ar-SA"/>
              </w:rPr>
              <w:t xml:space="preserve">Состав действующий в период </w:t>
            </w:r>
            <w:r>
              <w:rPr>
                <w:rFonts w:ascii="Times New Roman" w:eastAsia="Times New Roman" w:hAnsi="Times New Roman"/>
                <w:sz w:val="20"/>
                <w:szCs w:val="20"/>
                <w:lang w:eastAsia="ar-SA"/>
              </w:rPr>
              <w:t>с 21.08.2024 по 31.12.2024</w:t>
            </w:r>
          </w:p>
          <w:p w14:paraId="2632DC8F"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bCs/>
                <w:sz w:val="20"/>
                <w:szCs w:val="20"/>
                <w:lang w:eastAsia="ar-SA"/>
              </w:rPr>
              <w:t>избран решением Совета директоров 21.08.2024 (протокол от 21.08.2024 № 588/2024)</w:t>
            </w:r>
          </w:p>
        </w:tc>
      </w:tr>
      <w:tr w:rsidR="002449C2" w14:paraId="02F6292F" w14:textId="77777777">
        <w:trPr>
          <w:cantSplit/>
          <w:jc w:val="center"/>
        </w:trPr>
        <w:tc>
          <w:tcPr>
            <w:tcW w:w="9359" w:type="dxa"/>
            <w:gridSpan w:val="4"/>
            <w:tcBorders>
              <w:top w:val="single" w:sz="4" w:space="0" w:color="000000"/>
              <w:left w:val="single" w:sz="4" w:space="0" w:color="000000"/>
              <w:bottom w:val="single" w:sz="4" w:space="0" w:color="000000"/>
              <w:right w:val="single" w:sz="4" w:space="0" w:color="000000"/>
            </w:tcBorders>
          </w:tcPr>
          <w:p w14:paraId="36C97480"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Общее количество проведенных заседаний – 10, из них:</w:t>
            </w:r>
          </w:p>
          <w:p w14:paraId="69873481"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11 - в заочной форме, 1 - в форме совместного присутствия (очная форма)</w:t>
            </w:r>
          </w:p>
        </w:tc>
      </w:tr>
      <w:tr w:rsidR="002449C2" w14:paraId="5186DA03"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3896AE44" w14:textId="77777777" w:rsidR="002449C2" w:rsidRDefault="00123961">
            <w:pPr>
              <w:spacing w:after="0" w:line="240" w:lineRule="auto"/>
              <w:rPr>
                <w:rFonts w:ascii="Times New Roman" w:hAnsi="Times New Roman"/>
                <w:sz w:val="20"/>
                <w:szCs w:val="20"/>
                <w:lang w:eastAsia="ar-SA"/>
              </w:rPr>
            </w:pPr>
            <w:r>
              <w:rPr>
                <w:rFonts w:ascii="Times New Roman" w:hAnsi="Times New Roman"/>
                <w:sz w:val="20"/>
                <w:szCs w:val="20"/>
                <w:lang w:eastAsia="ar-SA"/>
              </w:rPr>
              <w:t>Алешин Артем Геннадьевич</w:t>
            </w:r>
          </w:p>
        </w:tc>
        <w:tc>
          <w:tcPr>
            <w:tcW w:w="4685" w:type="dxa"/>
            <w:tcBorders>
              <w:top w:val="single" w:sz="4" w:space="0" w:color="000000"/>
              <w:left w:val="single" w:sz="4" w:space="0" w:color="000000"/>
              <w:bottom w:val="single" w:sz="4" w:space="0" w:color="000000"/>
              <w:right w:val="single" w:sz="4" w:space="0" w:color="000000"/>
            </w:tcBorders>
          </w:tcPr>
          <w:p w14:paraId="07A83768"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Заместитель Генерального директора по экономике и финансам ПАО «Россети»</w:t>
            </w:r>
          </w:p>
        </w:tc>
        <w:tc>
          <w:tcPr>
            <w:tcW w:w="11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B624CF3"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7/7</w:t>
            </w:r>
          </w:p>
        </w:tc>
        <w:tc>
          <w:tcPr>
            <w:tcW w:w="8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2EDAA5"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1379827C"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3D667869" w14:textId="77777777" w:rsidR="002449C2" w:rsidRDefault="00123961">
            <w:pPr>
              <w:spacing w:after="0" w:line="240" w:lineRule="auto"/>
              <w:jc w:val="both"/>
              <w:rPr>
                <w:rFonts w:ascii="Times New Roman" w:hAnsi="Times New Roman"/>
                <w:sz w:val="20"/>
                <w:szCs w:val="20"/>
                <w:lang w:eastAsia="ar-SA"/>
              </w:rPr>
            </w:pPr>
            <w:r>
              <w:rPr>
                <w:rFonts w:ascii="Times New Roman" w:hAnsi="Times New Roman"/>
                <w:sz w:val="20"/>
                <w:szCs w:val="20"/>
                <w:lang w:eastAsia="ar-SA"/>
              </w:rPr>
              <w:t>Лещевская</w:t>
            </w:r>
          </w:p>
          <w:p w14:paraId="1F262D63" w14:textId="77777777" w:rsidR="002449C2" w:rsidRDefault="00123961">
            <w:pPr>
              <w:spacing w:after="0" w:line="240" w:lineRule="auto"/>
              <w:rPr>
                <w:rFonts w:ascii="Times New Roman" w:hAnsi="Times New Roman"/>
                <w:sz w:val="20"/>
                <w:szCs w:val="20"/>
                <w:lang w:eastAsia="ar-SA"/>
              </w:rPr>
            </w:pPr>
            <w:r>
              <w:rPr>
                <w:rFonts w:ascii="Times New Roman" w:hAnsi="Times New Roman"/>
                <w:sz w:val="20"/>
                <w:szCs w:val="20"/>
                <w:lang w:eastAsia="ar-SA"/>
              </w:rPr>
              <w:t>Юлия Александровна</w:t>
            </w:r>
          </w:p>
        </w:tc>
        <w:tc>
          <w:tcPr>
            <w:tcW w:w="4685" w:type="dxa"/>
            <w:tcBorders>
              <w:top w:val="single" w:sz="4" w:space="0" w:color="000000"/>
              <w:left w:val="single" w:sz="4" w:space="0" w:color="000000"/>
              <w:bottom w:val="single" w:sz="4" w:space="0" w:color="000000"/>
              <w:right w:val="single" w:sz="4" w:space="0" w:color="000000"/>
            </w:tcBorders>
          </w:tcPr>
          <w:p w14:paraId="16A7EF42"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Заместитель Генерального директора по стратегии ПАО «Россети»</w:t>
            </w:r>
          </w:p>
        </w:tc>
        <w:tc>
          <w:tcPr>
            <w:tcW w:w="1125" w:type="dxa"/>
            <w:tcBorders>
              <w:top w:val="single" w:sz="4" w:space="0" w:color="000000"/>
              <w:left w:val="single" w:sz="4" w:space="0" w:color="000000"/>
              <w:bottom w:val="single" w:sz="4" w:space="0" w:color="000000"/>
              <w:right w:val="single" w:sz="4" w:space="0" w:color="000000"/>
            </w:tcBorders>
            <w:shd w:val="clear" w:color="auto" w:fill="FFFFFF"/>
          </w:tcPr>
          <w:p w14:paraId="4392649C"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7/7</w:t>
            </w:r>
          </w:p>
        </w:tc>
        <w:tc>
          <w:tcPr>
            <w:tcW w:w="8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2A7FE6"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18F7934D"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378F800D" w14:textId="77777777" w:rsidR="002449C2" w:rsidRDefault="00123961">
            <w:pPr>
              <w:spacing w:after="0" w:line="240" w:lineRule="auto"/>
              <w:jc w:val="both"/>
              <w:rPr>
                <w:rFonts w:ascii="Times New Roman" w:hAnsi="Times New Roman"/>
                <w:sz w:val="20"/>
                <w:szCs w:val="20"/>
                <w:lang w:eastAsia="ar-SA"/>
              </w:rPr>
            </w:pPr>
            <w:r>
              <w:rPr>
                <w:rFonts w:ascii="Times New Roman" w:hAnsi="Times New Roman"/>
                <w:sz w:val="20"/>
                <w:szCs w:val="20"/>
                <w:lang w:eastAsia="ar-SA"/>
              </w:rPr>
              <w:t>Корнеев</w:t>
            </w:r>
          </w:p>
          <w:p w14:paraId="1730449F" w14:textId="77777777" w:rsidR="002449C2" w:rsidRDefault="00123961">
            <w:pPr>
              <w:spacing w:after="0" w:line="240" w:lineRule="auto"/>
              <w:rPr>
                <w:rFonts w:ascii="Times New Roman" w:hAnsi="Times New Roman"/>
                <w:sz w:val="20"/>
                <w:szCs w:val="20"/>
                <w:lang w:eastAsia="ar-SA"/>
              </w:rPr>
            </w:pPr>
            <w:r>
              <w:rPr>
                <w:rFonts w:ascii="Times New Roman" w:hAnsi="Times New Roman"/>
                <w:sz w:val="20"/>
                <w:szCs w:val="20"/>
                <w:lang w:eastAsia="ar-SA"/>
              </w:rPr>
              <w:t>Александр Юрьевич</w:t>
            </w:r>
          </w:p>
        </w:tc>
        <w:tc>
          <w:tcPr>
            <w:tcW w:w="4685" w:type="dxa"/>
            <w:tcBorders>
              <w:top w:val="single" w:sz="4" w:space="0" w:color="000000"/>
              <w:left w:val="single" w:sz="4" w:space="0" w:color="000000"/>
              <w:bottom w:val="single" w:sz="4" w:space="0" w:color="000000"/>
              <w:right w:val="single" w:sz="4" w:space="0" w:color="000000"/>
            </w:tcBorders>
          </w:tcPr>
          <w:p w14:paraId="31C54FB2"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Начальник Департамента технологического присоединения и развития инфраструктуры ПАО «Россети Юг»</w:t>
            </w:r>
          </w:p>
        </w:tc>
        <w:tc>
          <w:tcPr>
            <w:tcW w:w="1125" w:type="dxa"/>
            <w:tcBorders>
              <w:top w:val="single" w:sz="4" w:space="0" w:color="000000"/>
              <w:left w:val="single" w:sz="4" w:space="0" w:color="000000"/>
              <w:bottom w:val="single" w:sz="4" w:space="0" w:color="000000"/>
              <w:right w:val="single" w:sz="4" w:space="0" w:color="000000"/>
            </w:tcBorders>
            <w:shd w:val="clear" w:color="auto" w:fill="FFFFFF"/>
          </w:tcPr>
          <w:p w14:paraId="798F2186"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7/7</w:t>
            </w:r>
          </w:p>
        </w:tc>
        <w:tc>
          <w:tcPr>
            <w:tcW w:w="8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0604EC"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580BD270"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6CDAA1FA" w14:textId="77777777" w:rsidR="002449C2" w:rsidRDefault="00123961">
            <w:pPr>
              <w:spacing w:after="0" w:line="240" w:lineRule="auto"/>
              <w:jc w:val="both"/>
              <w:rPr>
                <w:rFonts w:ascii="Times New Roman" w:hAnsi="Times New Roman"/>
                <w:sz w:val="20"/>
                <w:szCs w:val="20"/>
                <w:lang w:eastAsia="ar-SA"/>
              </w:rPr>
            </w:pPr>
            <w:r>
              <w:rPr>
                <w:rFonts w:ascii="Times New Roman" w:hAnsi="Times New Roman"/>
                <w:sz w:val="20"/>
                <w:szCs w:val="20"/>
                <w:lang w:eastAsia="ar-SA"/>
              </w:rPr>
              <w:t>Короткова</w:t>
            </w:r>
          </w:p>
          <w:p w14:paraId="1A84DCB9" w14:textId="77777777" w:rsidR="002449C2" w:rsidRDefault="00123961">
            <w:pPr>
              <w:spacing w:after="0" w:line="240" w:lineRule="auto"/>
              <w:rPr>
                <w:rFonts w:ascii="Times New Roman" w:hAnsi="Times New Roman"/>
                <w:sz w:val="20"/>
                <w:szCs w:val="20"/>
                <w:lang w:eastAsia="ar-SA"/>
              </w:rPr>
            </w:pPr>
            <w:r>
              <w:rPr>
                <w:rFonts w:ascii="Times New Roman" w:hAnsi="Times New Roman"/>
                <w:sz w:val="20"/>
                <w:szCs w:val="20"/>
                <w:lang w:eastAsia="ar-SA"/>
              </w:rPr>
              <w:t>Мария Вячеславна</w:t>
            </w:r>
          </w:p>
          <w:p w14:paraId="76146412" w14:textId="77777777" w:rsidR="002449C2" w:rsidRDefault="00123961">
            <w:pPr>
              <w:spacing w:after="0" w:line="240" w:lineRule="auto"/>
              <w:rPr>
                <w:rFonts w:ascii="Times New Roman" w:hAnsi="Times New Roman"/>
                <w:sz w:val="20"/>
                <w:szCs w:val="20"/>
                <w:lang w:eastAsia="ar-SA"/>
              </w:rPr>
            </w:pPr>
            <w:r>
              <w:rPr>
                <w:rFonts w:ascii="Times New Roman" w:hAnsi="Times New Roman"/>
                <w:i/>
                <w:sz w:val="20"/>
                <w:szCs w:val="20"/>
                <w:lang w:eastAsia="ar-SA"/>
              </w:rPr>
              <w:t>Независимый директор</w:t>
            </w:r>
          </w:p>
        </w:tc>
        <w:tc>
          <w:tcPr>
            <w:tcW w:w="4685" w:type="dxa"/>
            <w:tcBorders>
              <w:top w:val="single" w:sz="4" w:space="0" w:color="000000"/>
              <w:left w:val="single" w:sz="4" w:space="0" w:color="000000"/>
              <w:bottom w:val="single" w:sz="4" w:space="0" w:color="000000"/>
              <w:right w:val="single" w:sz="4" w:space="0" w:color="000000"/>
            </w:tcBorders>
          </w:tcPr>
          <w:p w14:paraId="074FEF98"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Директор по развитию ООО «Техноинновация»</w:t>
            </w:r>
          </w:p>
        </w:tc>
        <w:tc>
          <w:tcPr>
            <w:tcW w:w="1125" w:type="dxa"/>
            <w:tcBorders>
              <w:top w:val="single" w:sz="4" w:space="0" w:color="000000"/>
              <w:left w:val="single" w:sz="4" w:space="0" w:color="000000"/>
              <w:bottom w:val="single" w:sz="4" w:space="0" w:color="000000"/>
              <w:right w:val="single" w:sz="4" w:space="0" w:color="000000"/>
            </w:tcBorders>
            <w:shd w:val="clear" w:color="auto" w:fill="FFFFFF"/>
          </w:tcPr>
          <w:p w14:paraId="20A740CF"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7/7</w:t>
            </w:r>
          </w:p>
        </w:tc>
        <w:tc>
          <w:tcPr>
            <w:tcW w:w="8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6E0D94"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53486C24"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5894ED33" w14:textId="77777777" w:rsidR="002449C2" w:rsidRDefault="00123961">
            <w:pPr>
              <w:tabs>
                <w:tab w:val="left" w:pos="709"/>
                <w:tab w:val="left" w:pos="851"/>
              </w:tabs>
              <w:spacing w:after="0" w:line="240" w:lineRule="auto"/>
              <w:jc w:val="both"/>
              <w:rPr>
                <w:rFonts w:ascii="Times New Roman" w:hAnsi="Times New Roman"/>
                <w:sz w:val="20"/>
                <w:szCs w:val="20"/>
                <w:lang w:eastAsia="ar-SA"/>
              </w:rPr>
            </w:pPr>
            <w:r>
              <w:rPr>
                <w:rFonts w:ascii="Times New Roman" w:hAnsi="Times New Roman"/>
                <w:sz w:val="20"/>
                <w:szCs w:val="20"/>
                <w:lang w:eastAsia="ar-SA"/>
              </w:rPr>
              <w:t>Калоева</w:t>
            </w:r>
          </w:p>
          <w:p w14:paraId="645CA78D" w14:textId="77777777" w:rsidR="002449C2" w:rsidRDefault="00123961">
            <w:pPr>
              <w:spacing w:after="0" w:line="240" w:lineRule="auto"/>
              <w:rPr>
                <w:rFonts w:ascii="Times New Roman" w:hAnsi="Times New Roman"/>
                <w:sz w:val="20"/>
                <w:szCs w:val="20"/>
                <w:lang w:eastAsia="ar-SA"/>
              </w:rPr>
            </w:pPr>
            <w:r>
              <w:rPr>
                <w:rFonts w:ascii="Times New Roman" w:hAnsi="Times New Roman"/>
                <w:sz w:val="20"/>
                <w:szCs w:val="20"/>
                <w:lang w:eastAsia="ar-SA"/>
              </w:rPr>
              <w:t>Мадина Валерьевна</w:t>
            </w:r>
          </w:p>
        </w:tc>
        <w:tc>
          <w:tcPr>
            <w:tcW w:w="4685" w:type="dxa"/>
            <w:tcBorders>
              <w:top w:val="single" w:sz="4" w:space="0" w:color="000000"/>
              <w:left w:val="single" w:sz="4" w:space="0" w:color="000000"/>
              <w:bottom w:val="single" w:sz="4" w:space="0" w:color="000000"/>
              <w:right w:val="single" w:sz="4" w:space="0" w:color="000000"/>
            </w:tcBorders>
          </w:tcPr>
          <w:p w14:paraId="5194A6E3"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Директор по корпоративному управлению – начальник Департамента корпоративного управления ПАО «Россети»</w:t>
            </w:r>
          </w:p>
        </w:tc>
        <w:tc>
          <w:tcPr>
            <w:tcW w:w="1125" w:type="dxa"/>
            <w:tcBorders>
              <w:top w:val="single" w:sz="4" w:space="0" w:color="000000"/>
              <w:left w:val="single" w:sz="4" w:space="0" w:color="000000"/>
              <w:bottom w:val="single" w:sz="4" w:space="0" w:color="000000"/>
              <w:right w:val="single" w:sz="4" w:space="0" w:color="000000"/>
            </w:tcBorders>
            <w:shd w:val="clear" w:color="auto" w:fill="FFFFFF"/>
          </w:tcPr>
          <w:p w14:paraId="4ED32410"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7/7</w:t>
            </w:r>
          </w:p>
        </w:tc>
        <w:tc>
          <w:tcPr>
            <w:tcW w:w="8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51B4C3D"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24F16A78"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1C6992D2" w14:textId="77777777" w:rsidR="002449C2" w:rsidRDefault="00123961">
            <w:pPr>
              <w:spacing w:after="0" w:line="240" w:lineRule="auto"/>
              <w:rPr>
                <w:rFonts w:ascii="Times New Roman" w:hAnsi="Times New Roman"/>
                <w:sz w:val="20"/>
                <w:szCs w:val="20"/>
                <w:lang w:eastAsia="ar-SA"/>
              </w:rPr>
            </w:pPr>
            <w:r>
              <w:rPr>
                <w:rFonts w:ascii="Times New Roman" w:hAnsi="Times New Roman"/>
                <w:sz w:val="20"/>
                <w:szCs w:val="20"/>
                <w:lang w:eastAsia="ar-SA"/>
              </w:rPr>
              <w:t>Иорданиди</w:t>
            </w:r>
          </w:p>
          <w:p w14:paraId="193251CA" w14:textId="77777777" w:rsidR="002449C2" w:rsidRDefault="00123961">
            <w:pPr>
              <w:spacing w:after="0" w:line="240" w:lineRule="auto"/>
              <w:rPr>
                <w:rFonts w:ascii="Times New Roman" w:hAnsi="Times New Roman"/>
                <w:sz w:val="20"/>
                <w:szCs w:val="20"/>
                <w:lang w:eastAsia="ar-SA"/>
              </w:rPr>
            </w:pPr>
            <w:r>
              <w:rPr>
                <w:rFonts w:ascii="Times New Roman" w:hAnsi="Times New Roman"/>
                <w:sz w:val="20"/>
                <w:szCs w:val="20"/>
                <w:lang w:eastAsia="ar-SA"/>
              </w:rPr>
              <w:t>Кирилл Александрович</w:t>
            </w:r>
          </w:p>
        </w:tc>
        <w:tc>
          <w:tcPr>
            <w:tcW w:w="4685" w:type="dxa"/>
            <w:tcBorders>
              <w:top w:val="single" w:sz="4" w:space="0" w:color="000000"/>
              <w:left w:val="single" w:sz="4" w:space="0" w:color="000000"/>
              <w:bottom w:val="single" w:sz="4" w:space="0" w:color="000000"/>
              <w:right w:val="single" w:sz="4" w:space="0" w:color="000000"/>
            </w:tcBorders>
          </w:tcPr>
          <w:p w14:paraId="3A788182"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Заместитель Генерального директора по экономике и финансам ПАО «Россети Юг»,</w:t>
            </w:r>
          </w:p>
          <w:p w14:paraId="3C0D2ADF"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i/>
                <w:sz w:val="20"/>
                <w:szCs w:val="20"/>
                <w:lang w:eastAsia="ar-SA"/>
              </w:rPr>
              <w:t>член Правления ПАО «Россети Юг»</w:t>
            </w:r>
          </w:p>
        </w:tc>
        <w:tc>
          <w:tcPr>
            <w:tcW w:w="1125" w:type="dxa"/>
            <w:tcBorders>
              <w:top w:val="single" w:sz="4" w:space="0" w:color="000000"/>
              <w:left w:val="single" w:sz="4" w:space="0" w:color="000000"/>
              <w:bottom w:val="single" w:sz="4" w:space="0" w:color="000000"/>
              <w:right w:val="single" w:sz="4" w:space="0" w:color="000000"/>
            </w:tcBorders>
            <w:shd w:val="clear" w:color="auto" w:fill="FFFFFF"/>
          </w:tcPr>
          <w:p w14:paraId="60329443"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7/7</w:t>
            </w:r>
          </w:p>
        </w:tc>
        <w:tc>
          <w:tcPr>
            <w:tcW w:w="8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6EB3B9"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60583169"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5C8E4227" w14:textId="77777777" w:rsidR="002449C2" w:rsidRDefault="00123961">
            <w:pPr>
              <w:spacing w:after="0" w:line="240" w:lineRule="auto"/>
              <w:jc w:val="both"/>
              <w:rPr>
                <w:rFonts w:ascii="Times New Roman" w:hAnsi="Times New Roman"/>
                <w:sz w:val="20"/>
                <w:szCs w:val="20"/>
                <w:lang w:eastAsia="ar-SA"/>
              </w:rPr>
            </w:pPr>
            <w:r>
              <w:rPr>
                <w:rFonts w:ascii="Times New Roman" w:hAnsi="Times New Roman"/>
                <w:sz w:val="20"/>
                <w:szCs w:val="20"/>
                <w:lang w:eastAsia="ar-SA"/>
              </w:rPr>
              <w:t>Краинский</w:t>
            </w:r>
          </w:p>
          <w:p w14:paraId="588CB3B9" w14:textId="77777777" w:rsidR="002449C2" w:rsidRDefault="00123961">
            <w:pPr>
              <w:spacing w:after="0" w:line="240" w:lineRule="auto"/>
              <w:rPr>
                <w:rFonts w:ascii="Times New Roman" w:hAnsi="Times New Roman"/>
                <w:sz w:val="20"/>
                <w:szCs w:val="20"/>
                <w:lang w:eastAsia="ar-SA"/>
              </w:rPr>
            </w:pPr>
            <w:r>
              <w:rPr>
                <w:rFonts w:ascii="Times New Roman" w:hAnsi="Times New Roman"/>
                <w:sz w:val="20"/>
                <w:szCs w:val="20"/>
                <w:lang w:eastAsia="ar-SA"/>
              </w:rPr>
              <w:t>Даниил Владимирович</w:t>
            </w:r>
          </w:p>
        </w:tc>
        <w:tc>
          <w:tcPr>
            <w:tcW w:w="4685" w:type="dxa"/>
            <w:tcBorders>
              <w:top w:val="single" w:sz="4" w:space="0" w:color="000000"/>
              <w:left w:val="single" w:sz="4" w:space="0" w:color="000000"/>
              <w:bottom w:val="single" w:sz="4" w:space="0" w:color="000000"/>
              <w:right w:val="single" w:sz="4" w:space="0" w:color="000000"/>
            </w:tcBorders>
          </w:tcPr>
          <w:p w14:paraId="28D7AD14"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 xml:space="preserve">Заместитель Генерального директора по правовому обеспечению ПАО «Россети», </w:t>
            </w:r>
            <w:r>
              <w:rPr>
                <w:rFonts w:ascii="Times New Roman" w:hAnsi="Times New Roman"/>
                <w:i/>
                <w:sz w:val="20"/>
                <w:szCs w:val="20"/>
                <w:lang w:eastAsia="ar-SA"/>
              </w:rPr>
              <w:t>Председатель Совета директоров ПАО «Россети Юг»</w:t>
            </w:r>
          </w:p>
        </w:tc>
        <w:tc>
          <w:tcPr>
            <w:tcW w:w="1125" w:type="dxa"/>
            <w:tcBorders>
              <w:top w:val="single" w:sz="4" w:space="0" w:color="000000"/>
              <w:left w:val="single" w:sz="4" w:space="0" w:color="000000"/>
              <w:bottom w:val="single" w:sz="4" w:space="0" w:color="000000"/>
              <w:right w:val="single" w:sz="4" w:space="0" w:color="000000"/>
            </w:tcBorders>
            <w:shd w:val="clear" w:color="auto" w:fill="FFFFFF"/>
          </w:tcPr>
          <w:p w14:paraId="7517AF2E"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7/7</w:t>
            </w:r>
          </w:p>
        </w:tc>
        <w:tc>
          <w:tcPr>
            <w:tcW w:w="8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A86C87"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7E5B0986"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326C7617" w14:textId="77777777" w:rsidR="002449C2" w:rsidRDefault="00123961">
            <w:pPr>
              <w:spacing w:after="0" w:line="240" w:lineRule="auto"/>
              <w:rPr>
                <w:rFonts w:ascii="Times New Roman" w:hAnsi="Times New Roman"/>
                <w:sz w:val="20"/>
                <w:szCs w:val="20"/>
                <w:lang w:eastAsia="ar-SA"/>
              </w:rPr>
            </w:pPr>
            <w:r>
              <w:rPr>
                <w:rFonts w:ascii="Times New Roman" w:hAnsi="Times New Roman"/>
                <w:sz w:val="20"/>
                <w:szCs w:val="20"/>
                <w:lang w:eastAsia="ar-SA"/>
              </w:rPr>
              <w:t>Лаврова Марина Александровна</w:t>
            </w:r>
          </w:p>
        </w:tc>
        <w:tc>
          <w:tcPr>
            <w:tcW w:w="4685" w:type="dxa"/>
            <w:tcBorders>
              <w:top w:val="single" w:sz="4" w:space="0" w:color="000000"/>
              <w:left w:val="single" w:sz="4" w:space="0" w:color="000000"/>
              <w:bottom w:val="single" w:sz="4" w:space="0" w:color="000000"/>
              <w:right w:val="single" w:sz="4" w:space="0" w:color="000000"/>
            </w:tcBorders>
          </w:tcPr>
          <w:p w14:paraId="05FB2E3F"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Заместитель начальника Департамента экономики ПАО «Россети»</w:t>
            </w:r>
          </w:p>
        </w:tc>
        <w:tc>
          <w:tcPr>
            <w:tcW w:w="1125" w:type="dxa"/>
            <w:tcBorders>
              <w:top w:val="single" w:sz="4" w:space="0" w:color="000000"/>
              <w:left w:val="single" w:sz="4" w:space="0" w:color="000000"/>
              <w:bottom w:val="single" w:sz="4" w:space="0" w:color="000000"/>
              <w:right w:val="single" w:sz="4" w:space="0" w:color="000000"/>
            </w:tcBorders>
            <w:shd w:val="clear" w:color="auto" w:fill="FFFFFF"/>
          </w:tcPr>
          <w:p w14:paraId="1029CADB"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7/7</w:t>
            </w:r>
          </w:p>
        </w:tc>
        <w:tc>
          <w:tcPr>
            <w:tcW w:w="8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E57EE3B"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12A018A9"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05894D73" w14:textId="77777777" w:rsidR="002449C2" w:rsidRDefault="00123961">
            <w:pPr>
              <w:spacing w:after="0" w:line="240" w:lineRule="auto"/>
              <w:jc w:val="both"/>
              <w:rPr>
                <w:rFonts w:ascii="Times New Roman" w:hAnsi="Times New Roman"/>
                <w:sz w:val="20"/>
                <w:szCs w:val="20"/>
                <w:lang w:eastAsia="ar-SA"/>
              </w:rPr>
            </w:pPr>
            <w:r>
              <w:rPr>
                <w:rFonts w:ascii="Times New Roman" w:hAnsi="Times New Roman"/>
                <w:sz w:val="20"/>
                <w:szCs w:val="20"/>
                <w:lang w:eastAsia="ar-SA"/>
              </w:rPr>
              <w:t>Зархин</w:t>
            </w:r>
          </w:p>
          <w:p w14:paraId="0E002F58" w14:textId="6CEFFA4A" w:rsidR="002449C2" w:rsidRDefault="00123961" w:rsidP="00AE2BF6">
            <w:pPr>
              <w:spacing w:after="0" w:line="240" w:lineRule="auto"/>
              <w:rPr>
                <w:rFonts w:ascii="Times New Roman" w:hAnsi="Times New Roman"/>
                <w:sz w:val="20"/>
                <w:szCs w:val="20"/>
                <w:lang w:eastAsia="ar-SA"/>
              </w:rPr>
            </w:pPr>
            <w:r>
              <w:rPr>
                <w:rFonts w:ascii="Times New Roman" w:hAnsi="Times New Roman"/>
                <w:sz w:val="20"/>
                <w:szCs w:val="20"/>
                <w:lang w:eastAsia="ar-SA"/>
              </w:rPr>
              <w:t>Виталий Юрьевич</w:t>
            </w:r>
          </w:p>
        </w:tc>
        <w:tc>
          <w:tcPr>
            <w:tcW w:w="4685" w:type="dxa"/>
            <w:tcBorders>
              <w:top w:val="single" w:sz="4" w:space="0" w:color="000000"/>
              <w:left w:val="single" w:sz="4" w:space="0" w:color="000000"/>
              <w:bottom w:val="single" w:sz="4" w:space="0" w:color="000000"/>
              <w:right w:val="single" w:sz="4" w:space="0" w:color="000000"/>
            </w:tcBorders>
          </w:tcPr>
          <w:p w14:paraId="3824F53F" w14:textId="77777777" w:rsidR="002449C2" w:rsidRDefault="00123961">
            <w:pPr>
              <w:shd w:val="clear" w:color="auto" w:fill="FFFFFF"/>
              <w:spacing w:after="0" w:line="240" w:lineRule="auto"/>
              <w:rPr>
                <w:rFonts w:ascii="Times New Roman" w:hAnsi="Times New Roman"/>
                <w:i/>
                <w:sz w:val="20"/>
                <w:szCs w:val="20"/>
                <w:lang w:eastAsia="ar-SA"/>
              </w:rPr>
            </w:pPr>
            <w:r>
              <w:rPr>
                <w:rFonts w:ascii="Times New Roman" w:hAnsi="Times New Roman"/>
                <w:i/>
                <w:sz w:val="20"/>
                <w:szCs w:val="20"/>
                <w:lang w:eastAsia="ar-SA"/>
              </w:rPr>
              <w:t>член Совета директоров ПАО «Россети Юг»</w:t>
            </w:r>
          </w:p>
        </w:tc>
        <w:tc>
          <w:tcPr>
            <w:tcW w:w="1125" w:type="dxa"/>
            <w:tcBorders>
              <w:top w:val="single" w:sz="4" w:space="0" w:color="000000"/>
              <w:left w:val="single" w:sz="4" w:space="0" w:color="000000"/>
              <w:bottom w:val="single" w:sz="4" w:space="0" w:color="000000"/>
              <w:right w:val="single" w:sz="4" w:space="0" w:color="000000"/>
            </w:tcBorders>
            <w:shd w:val="clear" w:color="auto" w:fill="FFFFFF"/>
          </w:tcPr>
          <w:p w14:paraId="7CE14727"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7/7</w:t>
            </w:r>
          </w:p>
        </w:tc>
        <w:tc>
          <w:tcPr>
            <w:tcW w:w="8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739821"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bl>
    <w:p w14:paraId="22DEC9BD" w14:textId="77777777" w:rsidR="002449C2" w:rsidRDefault="002449C2">
      <w:pPr>
        <w:shd w:val="clear" w:color="auto" w:fill="FFFFFF"/>
        <w:tabs>
          <w:tab w:val="left" w:pos="142"/>
        </w:tabs>
        <w:spacing w:after="0" w:line="240" w:lineRule="auto"/>
        <w:ind w:firstLine="567"/>
        <w:jc w:val="center"/>
        <w:rPr>
          <w:rFonts w:ascii="Times New Roman" w:hAnsi="Times New Roman"/>
          <w:bCs/>
          <w:color w:val="0069FB"/>
          <w:sz w:val="26"/>
          <w:szCs w:val="26"/>
          <w:lang w:eastAsia="en-US"/>
        </w:rPr>
      </w:pPr>
    </w:p>
    <w:p w14:paraId="57EE0FEE"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Деятельность в 2024 году</w:t>
      </w:r>
    </w:p>
    <w:p w14:paraId="62E6071C"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отчетном году проведено 25 заседаний Комитета, на которых рассмотрено 45 вопросов.</w:t>
      </w:r>
    </w:p>
    <w:p w14:paraId="1FCDB031" w14:textId="09FF98D7" w:rsidR="001157EF" w:rsidRDefault="001157EF">
      <w:pPr>
        <w:spacing w:after="0" w:line="240" w:lineRule="auto"/>
        <w:rPr>
          <w:rFonts w:ascii="Times New Roman" w:eastAsia="Times New Roman" w:hAnsi="Times New Roman"/>
          <w:i/>
          <w:sz w:val="26"/>
          <w:szCs w:val="26"/>
          <w:lang w:eastAsia="ru-RU"/>
        </w:rPr>
      </w:pPr>
    </w:p>
    <w:p w14:paraId="50793574" w14:textId="3F1EE897" w:rsidR="002449C2" w:rsidRDefault="00123961">
      <w:pPr>
        <w:shd w:val="clear" w:color="auto" w:fill="FFFFFF"/>
        <w:tabs>
          <w:tab w:val="left" w:pos="142"/>
        </w:tabs>
        <w:spacing w:after="0" w:line="240" w:lineRule="auto"/>
        <w:ind w:firstLine="709"/>
        <w:jc w:val="center"/>
        <w:rPr>
          <w:rFonts w:ascii="Times New Roman" w:eastAsia="Times New Roman" w:hAnsi="Times New Roman"/>
          <w:i/>
          <w:sz w:val="26"/>
          <w:szCs w:val="26"/>
          <w:lang w:eastAsia="ru-RU"/>
        </w:rPr>
      </w:pPr>
      <w:r>
        <w:rPr>
          <w:rFonts w:ascii="Times New Roman" w:eastAsia="Times New Roman" w:hAnsi="Times New Roman"/>
          <w:i/>
          <w:sz w:val="26"/>
          <w:szCs w:val="26"/>
          <w:lang w:eastAsia="ru-RU"/>
        </w:rPr>
        <w:t>Статистика заседаний</w:t>
      </w:r>
    </w:p>
    <w:p w14:paraId="5504969B" w14:textId="77777777" w:rsidR="002449C2" w:rsidRDefault="00123961">
      <w:pPr>
        <w:shd w:val="clear" w:color="auto" w:fill="FFFFFF"/>
        <w:spacing w:after="0" w:line="240" w:lineRule="auto"/>
        <w:jc w:val="both"/>
        <w:rPr>
          <w:rFonts w:ascii="Times New Roman" w:eastAsia="Times New Roman" w:hAnsi="Times New Roman"/>
          <w:spacing w:val="-2"/>
          <w:sz w:val="26"/>
          <w:szCs w:val="26"/>
          <w:lang w:eastAsia="ru-RU"/>
        </w:rPr>
      </w:pPr>
      <w:r>
        <w:rPr>
          <w:noProof/>
          <w:lang w:eastAsia="ru-RU"/>
        </w:rPr>
        <w:drawing>
          <wp:inline distT="0" distB="0" distL="0" distR="0" wp14:anchorId="09BC9E8F" wp14:editId="241B8747">
            <wp:extent cx="5968365" cy="2615565"/>
            <wp:effectExtent l="0" t="0" r="0" b="0"/>
            <wp:docPr id="117" name="_x005F_x0000_i4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_x005F_x0000_i4496"/>
                    <pic:cNvPicPr>
                      <a:picLocks noChangeAspect="1" noChangeArrowheads="1"/>
                    </pic:cNvPicPr>
                  </pic:nvPicPr>
                  <pic:blipFill>
                    <a:blip r:embed="rId166"/>
                    <a:stretch>
                      <a:fillRect/>
                    </a:stretch>
                  </pic:blipFill>
                  <pic:spPr bwMode="auto">
                    <a:xfrm>
                      <a:off x="0" y="0"/>
                      <a:ext cx="5968365" cy="2615565"/>
                    </a:xfrm>
                    <a:prstGeom prst="rect">
                      <a:avLst/>
                    </a:prstGeom>
                    <a:noFill/>
                  </pic:spPr>
                </pic:pic>
              </a:graphicData>
            </a:graphic>
          </wp:inline>
        </w:drawing>
      </w:r>
    </w:p>
    <w:p w14:paraId="2C128EA1" w14:textId="77777777" w:rsidR="002449C2" w:rsidRDefault="002449C2">
      <w:pPr>
        <w:shd w:val="clear" w:color="auto" w:fill="FFFFFF"/>
        <w:spacing w:after="0" w:line="240" w:lineRule="auto"/>
        <w:jc w:val="both"/>
        <w:rPr>
          <w:rFonts w:ascii="Times New Roman" w:eastAsia="Times New Roman" w:hAnsi="Times New Roman"/>
          <w:spacing w:val="-2"/>
          <w:sz w:val="26"/>
          <w:szCs w:val="26"/>
          <w:lang w:eastAsia="ru-RU"/>
        </w:rPr>
      </w:pPr>
    </w:p>
    <w:p w14:paraId="5EF6738E" w14:textId="77777777" w:rsidR="002449C2" w:rsidRDefault="00123961">
      <w:pPr>
        <w:shd w:val="clear" w:color="auto" w:fill="FFFFFF"/>
        <w:tabs>
          <w:tab w:val="left" w:pos="142"/>
        </w:tabs>
        <w:spacing w:after="0" w:line="240" w:lineRule="auto"/>
        <w:jc w:val="center"/>
        <w:rPr>
          <w:rFonts w:ascii="Times New Roman" w:eastAsia="Times New Roman" w:hAnsi="Times New Roman"/>
          <w:i/>
          <w:sz w:val="26"/>
          <w:szCs w:val="26"/>
          <w:lang w:eastAsia="ru-RU"/>
        </w:rPr>
      </w:pPr>
      <w:r>
        <w:rPr>
          <w:rFonts w:ascii="Times New Roman" w:eastAsia="Times New Roman" w:hAnsi="Times New Roman"/>
          <w:i/>
          <w:sz w:val="26"/>
          <w:szCs w:val="26"/>
          <w:lang w:eastAsia="ru-RU"/>
        </w:rPr>
        <w:t>Анализ изменений 2023/2024 годы</w:t>
      </w:r>
    </w:p>
    <w:tbl>
      <w:tblPr>
        <w:tblW w:w="9345" w:type="dxa"/>
        <w:tblLayout w:type="fixed"/>
        <w:tblLook w:val="04A0" w:firstRow="1" w:lastRow="0" w:firstColumn="1" w:lastColumn="0" w:noHBand="0" w:noVBand="1"/>
      </w:tblPr>
      <w:tblGrid>
        <w:gridCol w:w="1869"/>
        <w:gridCol w:w="1869"/>
        <w:gridCol w:w="1869"/>
        <w:gridCol w:w="1869"/>
        <w:gridCol w:w="1869"/>
      </w:tblGrid>
      <w:tr w:rsidR="002449C2" w14:paraId="13AF254A" w14:textId="77777777">
        <w:tc>
          <w:tcPr>
            <w:tcW w:w="1869" w:type="dxa"/>
            <w:tcBorders>
              <w:top w:val="single" w:sz="4" w:space="0" w:color="000000"/>
              <w:left w:val="single" w:sz="4" w:space="0" w:color="000000"/>
              <w:bottom w:val="single" w:sz="4" w:space="0" w:color="000000"/>
              <w:right w:val="single" w:sz="4" w:space="0" w:color="000000"/>
            </w:tcBorders>
          </w:tcPr>
          <w:p w14:paraId="2FBBE9DA" w14:textId="77777777" w:rsidR="002449C2" w:rsidRDefault="00123961">
            <w:pPr>
              <w:tabs>
                <w:tab w:val="left" w:pos="142"/>
              </w:tabs>
              <w:spacing w:after="160" w:line="259" w:lineRule="auto"/>
              <w:jc w:val="center"/>
              <w:rPr>
                <w:rFonts w:ascii="Times New Roman" w:hAnsi="Times New Roman"/>
                <w:b/>
                <w:sz w:val="20"/>
                <w:szCs w:val="20"/>
                <w:lang w:eastAsia="en-US"/>
              </w:rPr>
            </w:pPr>
            <w:r>
              <w:rPr>
                <w:rFonts w:ascii="Times New Roman" w:eastAsia="Times New Roman" w:hAnsi="Times New Roman"/>
                <w:b/>
                <w:sz w:val="20"/>
                <w:szCs w:val="20"/>
                <w:lang w:eastAsia="ru-RU"/>
              </w:rPr>
              <w:t>Заседания/ Вопросы</w:t>
            </w:r>
          </w:p>
        </w:tc>
        <w:tc>
          <w:tcPr>
            <w:tcW w:w="1869" w:type="dxa"/>
            <w:tcBorders>
              <w:top w:val="single" w:sz="4" w:space="0" w:color="000000"/>
              <w:left w:val="single" w:sz="4" w:space="0" w:color="000000"/>
              <w:bottom w:val="single" w:sz="4" w:space="0" w:color="000000"/>
              <w:right w:val="single" w:sz="4" w:space="0" w:color="000000"/>
            </w:tcBorders>
          </w:tcPr>
          <w:p w14:paraId="57070CD0" w14:textId="77777777" w:rsidR="002449C2" w:rsidRDefault="00123961">
            <w:pPr>
              <w:tabs>
                <w:tab w:val="left" w:pos="142"/>
              </w:tabs>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2023, шт.</w:t>
            </w:r>
          </w:p>
        </w:tc>
        <w:tc>
          <w:tcPr>
            <w:tcW w:w="1869" w:type="dxa"/>
            <w:tcBorders>
              <w:top w:val="single" w:sz="4" w:space="0" w:color="000000"/>
              <w:left w:val="single" w:sz="4" w:space="0" w:color="000000"/>
              <w:bottom w:val="single" w:sz="4" w:space="0" w:color="000000"/>
              <w:right w:val="single" w:sz="4" w:space="0" w:color="000000"/>
            </w:tcBorders>
          </w:tcPr>
          <w:p w14:paraId="44835F61" w14:textId="77777777" w:rsidR="002449C2" w:rsidRDefault="00123961">
            <w:pPr>
              <w:tabs>
                <w:tab w:val="left" w:pos="142"/>
              </w:tabs>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2024, шт.</w:t>
            </w:r>
          </w:p>
        </w:tc>
        <w:tc>
          <w:tcPr>
            <w:tcW w:w="1869" w:type="dxa"/>
            <w:tcBorders>
              <w:top w:val="single" w:sz="4" w:space="0" w:color="000000"/>
              <w:left w:val="single" w:sz="4" w:space="0" w:color="000000"/>
              <w:bottom w:val="single" w:sz="4" w:space="0" w:color="000000"/>
              <w:right w:val="single" w:sz="4" w:space="0" w:color="000000"/>
            </w:tcBorders>
          </w:tcPr>
          <w:p w14:paraId="7EEEE194" w14:textId="77777777" w:rsidR="002449C2" w:rsidRDefault="00123961">
            <w:pPr>
              <w:tabs>
                <w:tab w:val="left" w:pos="142"/>
              </w:tabs>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Изменения 2023/2024, шт.</w:t>
            </w:r>
          </w:p>
        </w:tc>
        <w:tc>
          <w:tcPr>
            <w:tcW w:w="1869" w:type="dxa"/>
            <w:tcBorders>
              <w:top w:val="single" w:sz="4" w:space="0" w:color="000000"/>
              <w:left w:val="single" w:sz="4" w:space="0" w:color="000000"/>
              <w:bottom w:val="single" w:sz="4" w:space="0" w:color="000000"/>
              <w:right w:val="single" w:sz="4" w:space="0" w:color="000000"/>
            </w:tcBorders>
          </w:tcPr>
          <w:p w14:paraId="2D50E6B3" w14:textId="77777777" w:rsidR="002449C2" w:rsidRDefault="00123961">
            <w:pPr>
              <w:tabs>
                <w:tab w:val="left" w:pos="142"/>
              </w:tabs>
              <w:spacing w:after="0" w:line="240" w:lineRule="auto"/>
              <w:jc w:val="center"/>
              <w:rPr>
                <w:rFonts w:ascii="Times New Roman" w:eastAsia="Times New Roman" w:hAnsi="Times New Roman"/>
                <w:i/>
                <w:sz w:val="26"/>
                <w:szCs w:val="26"/>
                <w:lang w:eastAsia="ru-RU"/>
              </w:rPr>
            </w:pPr>
            <w:r>
              <w:rPr>
                <w:rFonts w:ascii="Times New Roman" w:eastAsia="Times New Roman" w:hAnsi="Times New Roman"/>
                <w:b/>
                <w:sz w:val="20"/>
                <w:szCs w:val="20"/>
                <w:lang w:eastAsia="ru-RU"/>
              </w:rPr>
              <w:t>Изменения 2023/2024, %</w:t>
            </w:r>
          </w:p>
        </w:tc>
      </w:tr>
      <w:tr w:rsidR="002449C2" w14:paraId="7DC1FB70" w14:textId="77777777">
        <w:tc>
          <w:tcPr>
            <w:tcW w:w="1869" w:type="dxa"/>
            <w:tcBorders>
              <w:top w:val="single" w:sz="4" w:space="0" w:color="000000"/>
              <w:left w:val="single" w:sz="4" w:space="0" w:color="000000"/>
              <w:bottom w:val="single" w:sz="4" w:space="0" w:color="000000"/>
              <w:right w:val="single" w:sz="4" w:space="0" w:color="000000"/>
            </w:tcBorders>
          </w:tcPr>
          <w:p w14:paraId="41364D91"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очные</w:t>
            </w:r>
          </w:p>
        </w:tc>
        <w:tc>
          <w:tcPr>
            <w:tcW w:w="1869" w:type="dxa"/>
            <w:tcBorders>
              <w:top w:val="single" w:sz="4" w:space="0" w:color="000000"/>
              <w:left w:val="single" w:sz="4" w:space="0" w:color="000000"/>
              <w:bottom w:val="single" w:sz="4" w:space="0" w:color="000000"/>
              <w:right w:val="single" w:sz="4" w:space="0" w:color="000000"/>
            </w:tcBorders>
          </w:tcPr>
          <w:p w14:paraId="5B4A8AAB"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w:t>
            </w:r>
          </w:p>
        </w:tc>
        <w:tc>
          <w:tcPr>
            <w:tcW w:w="1869" w:type="dxa"/>
            <w:tcBorders>
              <w:top w:val="single" w:sz="4" w:space="0" w:color="000000"/>
              <w:left w:val="single" w:sz="4" w:space="0" w:color="000000"/>
              <w:bottom w:val="single" w:sz="4" w:space="0" w:color="000000"/>
              <w:right w:val="single" w:sz="4" w:space="0" w:color="000000"/>
            </w:tcBorders>
          </w:tcPr>
          <w:p w14:paraId="55B6978A"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0</w:t>
            </w:r>
          </w:p>
        </w:tc>
        <w:tc>
          <w:tcPr>
            <w:tcW w:w="1869" w:type="dxa"/>
            <w:tcBorders>
              <w:top w:val="single" w:sz="4" w:space="0" w:color="000000"/>
              <w:left w:val="single" w:sz="4" w:space="0" w:color="000000"/>
              <w:bottom w:val="single" w:sz="4" w:space="0" w:color="000000"/>
              <w:right w:val="single" w:sz="4" w:space="0" w:color="000000"/>
            </w:tcBorders>
          </w:tcPr>
          <w:p w14:paraId="58E065AB"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0</w:t>
            </w:r>
          </w:p>
        </w:tc>
        <w:tc>
          <w:tcPr>
            <w:tcW w:w="1869" w:type="dxa"/>
            <w:tcBorders>
              <w:top w:val="single" w:sz="4" w:space="0" w:color="000000"/>
              <w:left w:val="single" w:sz="4" w:space="0" w:color="000000"/>
              <w:bottom w:val="single" w:sz="4" w:space="0" w:color="000000"/>
              <w:right w:val="single" w:sz="4" w:space="0" w:color="000000"/>
            </w:tcBorders>
          </w:tcPr>
          <w:p w14:paraId="33A93779"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0</w:t>
            </w:r>
          </w:p>
        </w:tc>
      </w:tr>
      <w:tr w:rsidR="002449C2" w14:paraId="234C6BBF" w14:textId="77777777">
        <w:tc>
          <w:tcPr>
            <w:tcW w:w="1869" w:type="dxa"/>
            <w:tcBorders>
              <w:top w:val="single" w:sz="4" w:space="0" w:color="000000"/>
              <w:left w:val="single" w:sz="4" w:space="0" w:color="000000"/>
              <w:bottom w:val="single" w:sz="4" w:space="0" w:color="000000"/>
              <w:right w:val="single" w:sz="4" w:space="0" w:color="000000"/>
            </w:tcBorders>
          </w:tcPr>
          <w:p w14:paraId="15D7F9C4"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заочные</w:t>
            </w:r>
          </w:p>
        </w:tc>
        <w:tc>
          <w:tcPr>
            <w:tcW w:w="1869" w:type="dxa"/>
            <w:tcBorders>
              <w:top w:val="single" w:sz="4" w:space="0" w:color="000000"/>
              <w:left w:val="single" w:sz="4" w:space="0" w:color="000000"/>
              <w:bottom w:val="single" w:sz="4" w:space="0" w:color="000000"/>
              <w:right w:val="single" w:sz="4" w:space="0" w:color="000000"/>
            </w:tcBorders>
          </w:tcPr>
          <w:p w14:paraId="19959445"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25</w:t>
            </w:r>
          </w:p>
        </w:tc>
        <w:tc>
          <w:tcPr>
            <w:tcW w:w="1869" w:type="dxa"/>
            <w:tcBorders>
              <w:top w:val="single" w:sz="4" w:space="0" w:color="000000"/>
              <w:left w:val="single" w:sz="4" w:space="0" w:color="000000"/>
              <w:bottom w:val="single" w:sz="4" w:space="0" w:color="000000"/>
              <w:right w:val="single" w:sz="4" w:space="0" w:color="000000"/>
            </w:tcBorders>
          </w:tcPr>
          <w:p w14:paraId="1A65DA29"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25</w:t>
            </w:r>
          </w:p>
        </w:tc>
        <w:tc>
          <w:tcPr>
            <w:tcW w:w="1869" w:type="dxa"/>
            <w:tcBorders>
              <w:top w:val="single" w:sz="4" w:space="0" w:color="000000"/>
              <w:left w:val="single" w:sz="4" w:space="0" w:color="000000"/>
              <w:bottom w:val="single" w:sz="4" w:space="0" w:color="000000"/>
              <w:right w:val="single" w:sz="4" w:space="0" w:color="000000"/>
            </w:tcBorders>
          </w:tcPr>
          <w:p w14:paraId="506F081F"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0</w:t>
            </w:r>
          </w:p>
        </w:tc>
        <w:tc>
          <w:tcPr>
            <w:tcW w:w="1869" w:type="dxa"/>
            <w:tcBorders>
              <w:top w:val="single" w:sz="4" w:space="0" w:color="000000"/>
              <w:left w:val="single" w:sz="4" w:space="0" w:color="000000"/>
              <w:bottom w:val="single" w:sz="4" w:space="0" w:color="000000"/>
              <w:right w:val="single" w:sz="4" w:space="0" w:color="000000"/>
            </w:tcBorders>
          </w:tcPr>
          <w:p w14:paraId="4E977410"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0</w:t>
            </w:r>
          </w:p>
        </w:tc>
      </w:tr>
      <w:tr w:rsidR="002449C2" w14:paraId="75C4843C" w14:textId="77777777">
        <w:tc>
          <w:tcPr>
            <w:tcW w:w="1869" w:type="dxa"/>
            <w:tcBorders>
              <w:top w:val="single" w:sz="4" w:space="0" w:color="000000"/>
              <w:left w:val="single" w:sz="4" w:space="0" w:color="000000"/>
              <w:bottom w:val="single" w:sz="4" w:space="0" w:color="000000"/>
              <w:right w:val="single" w:sz="4" w:space="0" w:color="000000"/>
            </w:tcBorders>
          </w:tcPr>
          <w:p w14:paraId="45CE415F"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всего заседаний</w:t>
            </w:r>
          </w:p>
        </w:tc>
        <w:tc>
          <w:tcPr>
            <w:tcW w:w="1869" w:type="dxa"/>
            <w:tcBorders>
              <w:top w:val="single" w:sz="4" w:space="0" w:color="000000"/>
              <w:left w:val="single" w:sz="4" w:space="0" w:color="000000"/>
              <w:bottom w:val="single" w:sz="4" w:space="0" w:color="000000"/>
              <w:right w:val="single" w:sz="4" w:space="0" w:color="000000"/>
            </w:tcBorders>
          </w:tcPr>
          <w:p w14:paraId="14AEC231"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26</w:t>
            </w:r>
          </w:p>
        </w:tc>
        <w:tc>
          <w:tcPr>
            <w:tcW w:w="1869" w:type="dxa"/>
            <w:tcBorders>
              <w:top w:val="single" w:sz="4" w:space="0" w:color="000000"/>
              <w:left w:val="single" w:sz="4" w:space="0" w:color="000000"/>
              <w:bottom w:val="single" w:sz="4" w:space="0" w:color="000000"/>
              <w:right w:val="single" w:sz="4" w:space="0" w:color="000000"/>
            </w:tcBorders>
          </w:tcPr>
          <w:p w14:paraId="0F5C7BC4"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25</w:t>
            </w:r>
          </w:p>
        </w:tc>
        <w:tc>
          <w:tcPr>
            <w:tcW w:w="1869" w:type="dxa"/>
            <w:tcBorders>
              <w:top w:val="single" w:sz="4" w:space="0" w:color="000000"/>
              <w:left w:val="single" w:sz="4" w:space="0" w:color="000000"/>
              <w:bottom w:val="single" w:sz="4" w:space="0" w:color="000000"/>
              <w:right w:val="single" w:sz="4" w:space="0" w:color="000000"/>
            </w:tcBorders>
          </w:tcPr>
          <w:p w14:paraId="6A04B6E3"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w:t>
            </w:r>
          </w:p>
        </w:tc>
        <w:tc>
          <w:tcPr>
            <w:tcW w:w="1869" w:type="dxa"/>
            <w:tcBorders>
              <w:top w:val="single" w:sz="4" w:space="0" w:color="000000"/>
              <w:left w:val="single" w:sz="4" w:space="0" w:color="000000"/>
              <w:bottom w:val="single" w:sz="4" w:space="0" w:color="000000"/>
              <w:right w:val="single" w:sz="4" w:space="0" w:color="000000"/>
            </w:tcBorders>
          </w:tcPr>
          <w:p w14:paraId="51E91481"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-4</w:t>
            </w:r>
          </w:p>
        </w:tc>
      </w:tr>
      <w:tr w:rsidR="002449C2" w14:paraId="51B01FF7" w14:textId="77777777">
        <w:tc>
          <w:tcPr>
            <w:tcW w:w="1869" w:type="dxa"/>
            <w:tcBorders>
              <w:top w:val="single" w:sz="4" w:space="0" w:color="000000"/>
              <w:left w:val="single" w:sz="4" w:space="0" w:color="000000"/>
              <w:bottom w:val="single" w:sz="4" w:space="0" w:color="000000"/>
              <w:right w:val="single" w:sz="4" w:space="0" w:color="000000"/>
            </w:tcBorders>
          </w:tcPr>
          <w:p w14:paraId="0F11D6CE"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всего вопросов</w:t>
            </w:r>
          </w:p>
        </w:tc>
        <w:tc>
          <w:tcPr>
            <w:tcW w:w="1869" w:type="dxa"/>
            <w:tcBorders>
              <w:top w:val="single" w:sz="4" w:space="0" w:color="000000"/>
              <w:left w:val="single" w:sz="4" w:space="0" w:color="000000"/>
              <w:bottom w:val="single" w:sz="4" w:space="0" w:color="000000"/>
              <w:right w:val="single" w:sz="4" w:space="0" w:color="000000"/>
            </w:tcBorders>
          </w:tcPr>
          <w:p w14:paraId="3A6A4A9E"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59</w:t>
            </w:r>
          </w:p>
        </w:tc>
        <w:tc>
          <w:tcPr>
            <w:tcW w:w="1869" w:type="dxa"/>
            <w:tcBorders>
              <w:top w:val="single" w:sz="4" w:space="0" w:color="000000"/>
              <w:left w:val="single" w:sz="4" w:space="0" w:color="000000"/>
              <w:bottom w:val="single" w:sz="4" w:space="0" w:color="000000"/>
              <w:right w:val="single" w:sz="4" w:space="0" w:color="000000"/>
            </w:tcBorders>
          </w:tcPr>
          <w:p w14:paraId="1ABD6891"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45</w:t>
            </w:r>
          </w:p>
        </w:tc>
        <w:tc>
          <w:tcPr>
            <w:tcW w:w="1869" w:type="dxa"/>
            <w:tcBorders>
              <w:top w:val="single" w:sz="4" w:space="0" w:color="000000"/>
              <w:left w:val="single" w:sz="4" w:space="0" w:color="000000"/>
              <w:bottom w:val="single" w:sz="4" w:space="0" w:color="000000"/>
              <w:right w:val="single" w:sz="4" w:space="0" w:color="000000"/>
            </w:tcBorders>
          </w:tcPr>
          <w:p w14:paraId="6F613BFE"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-14</w:t>
            </w:r>
          </w:p>
        </w:tc>
        <w:tc>
          <w:tcPr>
            <w:tcW w:w="1869" w:type="dxa"/>
            <w:tcBorders>
              <w:top w:val="single" w:sz="4" w:space="0" w:color="000000"/>
              <w:left w:val="single" w:sz="4" w:space="0" w:color="000000"/>
              <w:bottom w:val="single" w:sz="4" w:space="0" w:color="000000"/>
              <w:right w:val="single" w:sz="4" w:space="0" w:color="000000"/>
            </w:tcBorders>
          </w:tcPr>
          <w:p w14:paraId="00477DC2"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-31,11</w:t>
            </w:r>
          </w:p>
        </w:tc>
      </w:tr>
    </w:tbl>
    <w:p w14:paraId="6CC7322D" w14:textId="77777777" w:rsidR="002449C2" w:rsidRDefault="002449C2">
      <w:pPr>
        <w:shd w:val="clear" w:color="auto" w:fill="FFFFFF"/>
        <w:tabs>
          <w:tab w:val="left" w:pos="142"/>
        </w:tabs>
        <w:spacing w:after="0" w:line="240" w:lineRule="auto"/>
        <w:jc w:val="both"/>
        <w:rPr>
          <w:rFonts w:ascii="Times New Roman" w:eastAsia="Times New Roman" w:hAnsi="Times New Roman"/>
          <w:i/>
          <w:sz w:val="26"/>
          <w:szCs w:val="26"/>
          <w:lang w:eastAsia="ru-RU"/>
        </w:rPr>
      </w:pPr>
    </w:p>
    <w:p w14:paraId="30DCE2B5" w14:textId="77777777" w:rsidR="002449C2" w:rsidRDefault="00123961">
      <w:pPr>
        <w:shd w:val="clear" w:color="auto" w:fill="FFFFFF"/>
        <w:tabs>
          <w:tab w:val="left" w:pos="142"/>
        </w:tabs>
        <w:spacing w:after="0" w:line="240" w:lineRule="auto"/>
        <w:ind w:firstLine="709"/>
        <w:jc w:val="center"/>
        <w:rPr>
          <w:rFonts w:ascii="Times New Roman" w:eastAsia="Times New Roman" w:hAnsi="Times New Roman"/>
          <w:i/>
          <w:sz w:val="26"/>
          <w:szCs w:val="26"/>
          <w:lang w:eastAsia="ru-RU"/>
        </w:rPr>
      </w:pPr>
      <w:r>
        <w:rPr>
          <w:rFonts w:ascii="Times New Roman" w:eastAsia="Times New Roman" w:hAnsi="Times New Roman"/>
          <w:i/>
          <w:sz w:val="26"/>
          <w:szCs w:val="26"/>
          <w:lang w:eastAsia="ru-RU"/>
        </w:rPr>
        <w:t>Календарь заседаний</w:t>
      </w:r>
    </w:p>
    <w:tbl>
      <w:tblPr>
        <w:tblpPr w:leftFromText="180" w:rightFromText="180" w:bottomFromText="200" w:vertAnchor="text" w:horzAnchor="margin" w:tblpY="67"/>
        <w:tblW w:w="9570" w:type="dxa"/>
        <w:tblLayout w:type="fixed"/>
        <w:tblLook w:val="04A0" w:firstRow="1" w:lastRow="0" w:firstColumn="1" w:lastColumn="0" w:noHBand="0" w:noVBand="1"/>
      </w:tblPr>
      <w:tblGrid>
        <w:gridCol w:w="2945"/>
        <w:gridCol w:w="551"/>
        <w:gridCol w:w="555"/>
        <w:gridCol w:w="556"/>
        <w:gridCol w:w="552"/>
        <w:gridCol w:w="547"/>
        <w:gridCol w:w="552"/>
        <w:gridCol w:w="553"/>
        <w:gridCol w:w="556"/>
        <w:gridCol w:w="553"/>
        <w:gridCol w:w="546"/>
        <w:gridCol w:w="552"/>
        <w:gridCol w:w="552"/>
      </w:tblGrid>
      <w:tr w:rsidR="002449C2" w14:paraId="4DDC8896" w14:textId="77777777">
        <w:trPr>
          <w:cantSplit/>
          <w:trHeight w:val="983"/>
        </w:trPr>
        <w:tc>
          <w:tcPr>
            <w:tcW w:w="2944" w:type="dxa"/>
            <w:tcBorders>
              <w:top w:val="single" w:sz="4" w:space="0" w:color="000000"/>
              <w:left w:val="single" w:sz="4" w:space="0" w:color="000000"/>
              <w:bottom w:val="single" w:sz="4" w:space="0" w:color="000000"/>
              <w:right w:val="single" w:sz="4" w:space="0" w:color="000000"/>
            </w:tcBorders>
            <w:vAlign w:val="center"/>
          </w:tcPr>
          <w:p w14:paraId="24F2050F" w14:textId="77777777" w:rsidR="002449C2" w:rsidRDefault="00123961">
            <w:pPr>
              <w:widowControl w:val="0"/>
              <w:shd w:val="clear" w:color="auto" w:fill="FFFFFF"/>
              <w:spacing w:after="0" w:line="240" w:lineRule="auto"/>
              <w:ind w:right="-108"/>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2024 год</w:t>
            </w:r>
          </w:p>
        </w:tc>
        <w:tc>
          <w:tcPr>
            <w:tcW w:w="551" w:type="dxa"/>
            <w:tcBorders>
              <w:top w:val="single" w:sz="4" w:space="0" w:color="000000"/>
              <w:left w:val="single" w:sz="4" w:space="0" w:color="000000"/>
              <w:bottom w:val="single" w:sz="4" w:space="0" w:color="000000"/>
              <w:right w:val="single" w:sz="4" w:space="0" w:color="000000"/>
            </w:tcBorders>
            <w:textDirection w:val="btLr"/>
            <w:vAlign w:val="center"/>
          </w:tcPr>
          <w:p w14:paraId="73B8D8FA"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январь</w:t>
            </w:r>
          </w:p>
        </w:tc>
        <w:tc>
          <w:tcPr>
            <w:tcW w:w="555" w:type="dxa"/>
            <w:tcBorders>
              <w:top w:val="single" w:sz="4" w:space="0" w:color="000000"/>
              <w:left w:val="single" w:sz="4" w:space="0" w:color="000000"/>
              <w:bottom w:val="single" w:sz="4" w:space="0" w:color="000000"/>
              <w:right w:val="single" w:sz="4" w:space="0" w:color="000000"/>
            </w:tcBorders>
            <w:textDirection w:val="btLr"/>
            <w:vAlign w:val="center"/>
          </w:tcPr>
          <w:p w14:paraId="1568E86F"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февраль</w:t>
            </w:r>
          </w:p>
        </w:tc>
        <w:tc>
          <w:tcPr>
            <w:tcW w:w="556" w:type="dxa"/>
            <w:tcBorders>
              <w:top w:val="single" w:sz="4" w:space="0" w:color="000000"/>
              <w:left w:val="single" w:sz="4" w:space="0" w:color="000000"/>
              <w:bottom w:val="single" w:sz="4" w:space="0" w:color="000000"/>
              <w:right w:val="single" w:sz="4" w:space="0" w:color="000000"/>
            </w:tcBorders>
            <w:textDirection w:val="btLr"/>
            <w:vAlign w:val="center"/>
          </w:tcPr>
          <w:p w14:paraId="74A9964E"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март</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28F82014"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апрель</w:t>
            </w:r>
          </w:p>
        </w:tc>
        <w:tc>
          <w:tcPr>
            <w:tcW w:w="547" w:type="dxa"/>
            <w:tcBorders>
              <w:top w:val="single" w:sz="4" w:space="0" w:color="000000"/>
              <w:left w:val="single" w:sz="4" w:space="0" w:color="000000"/>
              <w:bottom w:val="single" w:sz="4" w:space="0" w:color="000000"/>
              <w:right w:val="single" w:sz="4" w:space="0" w:color="000000"/>
            </w:tcBorders>
            <w:textDirection w:val="btLr"/>
            <w:vAlign w:val="center"/>
          </w:tcPr>
          <w:p w14:paraId="51F36EEA"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май</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02F2E413"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июнь</w:t>
            </w:r>
          </w:p>
        </w:tc>
        <w:tc>
          <w:tcPr>
            <w:tcW w:w="553" w:type="dxa"/>
            <w:tcBorders>
              <w:top w:val="single" w:sz="4" w:space="0" w:color="000000"/>
              <w:left w:val="single" w:sz="4" w:space="0" w:color="000000"/>
              <w:bottom w:val="single" w:sz="4" w:space="0" w:color="000000"/>
              <w:right w:val="single" w:sz="4" w:space="0" w:color="000000"/>
            </w:tcBorders>
            <w:textDirection w:val="btLr"/>
            <w:vAlign w:val="center"/>
          </w:tcPr>
          <w:p w14:paraId="3B2450F2"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июль</w:t>
            </w:r>
          </w:p>
        </w:tc>
        <w:tc>
          <w:tcPr>
            <w:tcW w:w="556" w:type="dxa"/>
            <w:tcBorders>
              <w:top w:val="single" w:sz="4" w:space="0" w:color="000000"/>
              <w:left w:val="single" w:sz="4" w:space="0" w:color="000000"/>
              <w:bottom w:val="single" w:sz="4" w:space="0" w:color="000000"/>
              <w:right w:val="single" w:sz="4" w:space="0" w:color="000000"/>
            </w:tcBorders>
            <w:textDirection w:val="btLr"/>
            <w:vAlign w:val="center"/>
          </w:tcPr>
          <w:p w14:paraId="7B42158D"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август</w:t>
            </w:r>
          </w:p>
        </w:tc>
        <w:tc>
          <w:tcPr>
            <w:tcW w:w="553" w:type="dxa"/>
            <w:tcBorders>
              <w:top w:val="single" w:sz="4" w:space="0" w:color="000000"/>
              <w:left w:val="single" w:sz="4" w:space="0" w:color="000000"/>
              <w:bottom w:val="single" w:sz="4" w:space="0" w:color="000000"/>
              <w:right w:val="single" w:sz="4" w:space="0" w:color="000000"/>
            </w:tcBorders>
            <w:textDirection w:val="btLr"/>
            <w:vAlign w:val="center"/>
          </w:tcPr>
          <w:p w14:paraId="3141B790"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сентябрь</w:t>
            </w:r>
          </w:p>
        </w:tc>
        <w:tc>
          <w:tcPr>
            <w:tcW w:w="546" w:type="dxa"/>
            <w:tcBorders>
              <w:top w:val="single" w:sz="4" w:space="0" w:color="000000"/>
              <w:left w:val="single" w:sz="4" w:space="0" w:color="000000"/>
              <w:bottom w:val="single" w:sz="4" w:space="0" w:color="000000"/>
              <w:right w:val="single" w:sz="4" w:space="0" w:color="000000"/>
            </w:tcBorders>
            <w:textDirection w:val="btLr"/>
            <w:vAlign w:val="center"/>
          </w:tcPr>
          <w:p w14:paraId="412BD42C"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октябрь</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4977730D"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ноябрь</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0685961D"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декабрь</w:t>
            </w:r>
          </w:p>
        </w:tc>
      </w:tr>
      <w:tr w:rsidR="002449C2" w14:paraId="4C4424D3" w14:textId="77777777">
        <w:trPr>
          <w:trHeight w:val="478"/>
        </w:trPr>
        <w:tc>
          <w:tcPr>
            <w:tcW w:w="2944" w:type="dxa"/>
            <w:vMerge w:val="restart"/>
            <w:tcBorders>
              <w:top w:val="single" w:sz="4" w:space="0" w:color="000000"/>
              <w:left w:val="single" w:sz="4" w:space="0" w:color="000000"/>
              <w:bottom w:val="single" w:sz="4" w:space="0" w:color="000000"/>
              <w:right w:val="single" w:sz="4" w:space="0" w:color="000000"/>
            </w:tcBorders>
            <w:vAlign w:val="center"/>
          </w:tcPr>
          <w:p w14:paraId="2070C939" w14:textId="77777777" w:rsidR="002449C2" w:rsidRDefault="00123961">
            <w:pPr>
              <w:widowControl w:val="0"/>
              <w:shd w:val="clear" w:color="auto" w:fill="FFFFFF"/>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sz w:val="20"/>
                <w:szCs w:val="20"/>
                <w:lang w:eastAsia="ru-RU"/>
              </w:rPr>
              <w:t>Заседания Комитета</w:t>
            </w:r>
          </w:p>
        </w:tc>
        <w:tc>
          <w:tcPr>
            <w:tcW w:w="551" w:type="dxa"/>
            <w:tcBorders>
              <w:top w:val="single" w:sz="4" w:space="0" w:color="000000"/>
              <w:left w:val="single" w:sz="4" w:space="0" w:color="000000"/>
              <w:bottom w:val="single" w:sz="4" w:space="0" w:color="000000"/>
              <w:right w:val="single" w:sz="4" w:space="0" w:color="000000"/>
            </w:tcBorders>
            <w:vAlign w:val="center"/>
          </w:tcPr>
          <w:p w14:paraId="21E4444F"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w:t>
            </w:r>
          </w:p>
        </w:tc>
        <w:tc>
          <w:tcPr>
            <w:tcW w:w="555" w:type="dxa"/>
            <w:tcBorders>
              <w:top w:val="single" w:sz="4" w:space="0" w:color="000000"/>
              <w:left w:val="single" w:sz="4" w:space="0" w:color="000000"/>
              <w:bottom w:val="single" w:sz="4" w:space="0" w:color="000000"/>
              <w:right w:val="single" w:sz="4" w:space="0" w:color="000000"/>
            </w:tcBorders>
            <w:vAlign w:val="center"/>
          </w:tcPr>
          <w:p w14:paraId="4D1D51CE"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556" w:type="dxa"/>
            <w:tcBorders>
              <w:top w:val="single" w:sz="4" w:space="0" w:color="000000"/>
              <w:left w:val="single" w:sz="4" w:space="0" w:color="000000"/>
              <w:bottom w:val="single" w:sz="4" w:space="0" w:color="000000"/>
              <w:right w:val="single" w:sz="4" w:space="0" w:color="000000"/>
            </w:tcBorders>
            <w:vAlign w:val="center"/>
          </w:tcPr>
          <w:p w14:paraId="78D83422"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w:t>
            </w:r>
          </w:p>
        </w:tc>
        <w:tc>
          <w:tcPr>
            <w:tcW w:w="552" w:type="dxa"/>
            <w:tcBorders>
              <w:top w:val="single" w:sz="4" w:space="0" w:color="000000"/>
              <w:left w:val="single" w:sz="4" w:space="0" w:color="000000"/>
              <w:bottom w:val="single" w:sz="4" w:space="0" w:color="000000"/>
              <w:right w:val="single" w:sz="4" w:space="0" w:color="000000"/>
            </w:tcBorders>
            <w:vAlign w:val="center"/>
          </w:tcPr>
          <w:p w14:paraId="1954F690"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w:t>
            </w:r>
          </w:p>
        </w:tc>
        <w:tc>
          <w:tcPr>
            <w:tcW w:w="547" w:type="dxa"/>
            <w:tcBorders>
              <w:top w:val="single" w:sz="4" w:space="0" w:color="000000"/>
              <w:left w:val="single" w:sz="4" w:space="0" w:color="000000"/>
              <w:bottom w:val="single" w:sz="4" w:space="0" w:color="000000"/>
              <w:right w:val="single" w:sz="4" w:space="0" w:color="000000"/>
            </w:tcBorders>
            <w:vAlign w:val="center"/>
          </w:tcPr>
          <w:p w14:paraId="6B83AFAD"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w:t>
            </w:r>
          </w:p>
        </w:tc>
        <w:tc>
          <w:tcPr>
            <w:tcW w:w="552" w:type="dxa"/>
            <w:tcBorders>
              <w:top w:val="single" w:sz="4" w:space="0" w:color="000000"/>
              <w:left w:val="single" w:sz="4" w:space="0" w:color="000000"/>
              <w:bottom w:val="single" w:sz="4" w:space="0" w:color="000000"/>
              <w:right w:val="single" w:sz="4" w:space="0" w:color="000000"/>
            </w:tcBorders>
            <w:vAlign w:val="center"/>
          </w:tcPr>
          <w:p w14:paraId="35F776FC"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553" w:type="dxa"/>
            <w:tcBorders>
              <w:top w:val="single" w:sz="4" w:space="0" w:color="000000"/>
              <w:left w:val="single" w:sz="4" w:space="0" w:color="000000"/>
              <w:bottom w:val="single" w:sz="4" w:space="0" w:color="000000"/>
              <w:right w:val="single" w:sz="4" w:space="0" w:color="000000"/>
            </w:tcBorders>
            <w:vAlign w:val="center"/>
          </w:tcPr>
          <w:p w14:paraId="719C7431"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w:t>
            </w:r>
          </w:p>
        </w:tc>
        <w:tc>
          <w:tcPr>
            <w:tcW w:w="556" w:type="dxa"/>
            <w:tcBorders>
              <w:top w:val="single" w:sz="4" w:space="0" w:color="000000"/>
              <w:left w:val="single" w:sz="4" w:space="0" w:color="000000"/>
              <w:bottom w:val="single" w:sz="4" w:space="0" w:color="000000"/>
              <w:right w:val="single" w:sz="4" w:space="0" w:color="000000"/>
            </w:tcBorders>
            <w:vAlign w:val="center"/>
          </w:tcPr>
          <w:p w14:paraId="1A22630E"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w:t>
            </w:r>
          </w:p>
        </w:tc>
        <w:tc>
          <w:tcPr>
            <w:tcW w:w="553" w:type="dxa"/>
            <w:tcBorders>
              <w:top w:val="single" w:sz="4" w:space="0" w:color="000000"/>
              <w:left w:val="single" w:sz="4" w:space="0" w:color="000000"/>
              <w:bottom w:val="single" w:sz="4" w:space="0" w:color="000000"/>
              <w:right w:val="single" w:sz="4" w:space="0" w:color="000000"/>
            </w:tcBorders>
            <w:vAlign w:val="center"/>
          </w:tcPr>
          <w:p w14:paraId="343ECF40"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546" w:type="dxa"/>
            <w:tcBorders>
              <w:top w:val="single" w:sz="4" w:space="0" w:color="000000"/>
              <w:left w:val="single" w:sz="4" w:space="0" w:color="000000"/>
              <w:bottom w:val="single" w:sz="4" w:space="0" w:color="000000"/>
              <w:right w:val="single" w:sz="4" w:space="0" w:color="000000"/>
            </w:tcBorders>
            <w:vAlign w:val="center"/>
          </w:tcPr>
          <w:p w14:paraId="68A1A8CF"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552" w:type="dxa"/>
            <w:tcBorders>
              <w:top w:val="single" w:sz="4" w:space="0" w:color="000000"/>
              <w:left w:val="single" w:sz="4" w:space="0" w:color="000000"/>
              <w:bottom w:val="single" w:sz="4" w:space="0" w:color="000000"/>
              <w:right w:val="single" w:sz="4" w:space="0" w:color="000000"/>
            </w:tcBorders>
            <w:vAlign w:val="center"/>
          </w:tcPr>
          <w:p w14:paraId="1CD5EFE2"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552" w:type="dxa"/>
            <w:tcBorders>
              <w:top w:val="single" w:sz="4" w:space="0" w:color="000000"/>
              <w:left w:val="single" w:sz="4" w:space="0" w:color="000000"/>
              <w:bottom w:val="single" w:sz="4" w:space="0" w:color="000000"/>
              <w:right w:val="single" w:sz="4" w:space="0" w:color="000000"/>
            </w:tcBorders>
            <w:vAlign w:val="center"/>
          </w:tcPr>
          <w:p w14:paraId="56606D0B"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w:t>
            </w:r>
          </w:p>
        </w:tc>
      </w:tr>
      <w:tr w:rsidR="002449C2" w14:paraId="7AE46967" w14:textId="77777777">
        <w:trPr>
          <w:cantSplit/>
          <w:trHeight w:val="1833"/>
        </w:trPr>
        <w:tc>
          <w:tcPr>
            <w:tcW w:w="2944" w:type="dxa"/>
            <w:vMerge/>
            <w:tcBorders>
              <w:top w:val="single" w:sz="4" w:space="0" w:color="000000"/>
              <w:left w:val="single" w:sz="4" w:space="0" w:color="000000"/>
              <w:bottom w:val="single" w:sz="4" w:space="0" w:color="000000"/>
              <w:right w:val="single" w:sz="4" w:space="0" w:color="000000"/>
            </w:tcBorders>
            <w:vAlign w:val="center"/>
          </w:tcPr>
          <w:p w14:paraId="6D4586B8" w14:textId="77777777" w:rsidR="002449C2" w:rsidRDefault="002449C2">
            <w:pPr>
              <w:widowControl w:val="0"/>
              <w:shd w:val="clear" w:color="auto" w:fill="FFFFFF"/>
              <w:spacing w:after="0" w:line="240" w:lineRule="auto"/>
              <w:rPr>
                <w:rFonts w:ascii="Times New Roman" w:eastAsia="Times New Roman" w:hAnsi="Times New Roman"/>
                <w:sz w:val="20"/>
                <w:szCs w:val="20"/>
                <w:lang w:eastAsia="ru-RU"/>
              </w:rPr>
            </w:pPr>
          </w:p>
        </w:tc>
        <w:tc>
          <w:tcPr>
            <w:tcW w:w="551" w:type="dxa"/>
            <w:tcBorders>
              <w:top w:val="single" w:sz="4" w:space="0" w:color="000000"/>
              <w:left w:val="single" w:sz="4" w:space="0" w:color="000000"/>
              <w:bottom w:val="single" w:sz="4" w:space="0" w:color="000000"/>
              <w:right w:val="single" w:sz="4" w:space="0" w:color="000000"/>
            </w:tcBorders>
            <w:textDirection w:val="btLr"/>
            <w:vAlign w:val="center"/>
          </w:tcPr>
          <w:p w14:paraId="1F4E3968"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12,30</w:t>
            </w:r>
          </w:p>
        </w:tc>
        <w:tc>
          <w:tcPr>
            <w:tcW w:w="555" w:type="dxa"/>
            <w:tcBorders>
              <w:top w:val="single" w:sz="4" w:space="0" w:color="000000"/>
              <w:left w:val="single" w:sz="4" w:space="0" w:color="000000"/>
              <w:bottom w:val="single" w:sz="4" w:space="0" w:color="000000"/>
              <w:right w:val="single" w:sz="4" w:space="0" w:color="000000"/>
            </w:tcBorders>
            <w:textDirection w:val="btLr"/>
            <w:vAlign w:val="center"/>
          </w:tcPr>
          <w:p w14:paraId="16FD084D"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w:t>
            </w:r>
          </w:p>
        </w:tc>
        <w:tc>
          <w:tcPr>
            <w:tcW w:w="556" w:type="dxa"/>
            <w:tcBorders>
              <w:top w:val="single" w:sz="4" w:space="0" w:color="000000"/>
              <w:left w:val="single" w:sz="4" w:space="0" w:color="000000"/>
              <w:bottom w:val="single" w:sz="4" w:space="0" w:color="000000"/>
              <w:right w:val="single" w:sz="4" w:space="0" w:color="000000"/>
            </w:tcBorders>
            <w:textDirection w:val="btLr"/>
            <w:vAlign w:val="center"/>
          </w:tcPr>
          <w:p w14:paraId="04342A53"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06, 18,26</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6048560B"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w:t>
            </w:r>
          </w:p>
        </w:tc>
        <w:tc>
          <w:tcPr>
            <w:tcW w:w="547" w:type="dxa"/>
            <w:tcBorders>
              <w:top w:val="single" w:sz="4" w:space="0" w:color="000000"/>
              <w:left w:val="single" w:sz="4" w:space="0" w:color="000000"/>
              <w:bottom w:val="single" w:sz="4" w:space="0" w:color="000000"/>
              <w:right w:val="single" w:sz="4" w:space="0" w:color="000000"/>
            </w:tcBorders>
            <w:textDirection w:val="btLr"/>
            <w:vAlign w:val="center"/>
          </w:tcPr>
          <w:p w14:paraId="5219BE0F"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13,30</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409D2C07"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03,04,19,25,28</w:t>
            </w:r>
          </w:p>
        </w:tc>
        <w:tc>
          <w:tcPr>
            <w:tcW w:w="553" w:type="dxa"/>
            <w:tcBorders>
              <w:top w:val="single" w:sz="4" w:space="0" w:color="000000"/>
              <w:left w:val="single" w:sz="4" w:space="0" w:color="000000"/>
              <w:bottom w:val="single" w:sz="4" w:space="0" w:color="000000"/>
              <w:right w:val="single" w:sz="4" w:space="0" w:color="000000"/>
            </w:tcBorders>
            <w:textDirection w:val="btLr"/>
            <w:vAlign w:val="center"/>
          </w:tcPr>
          <w:p w14:paraId="68AED591"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12, 23,29</w:t>
            </w:r>
          </w:p>
        </w:tc>
        <w:tc>
          <w:tcPr>
            <w:tcW w:w="556" w:type="dxa"/>
            <w:tcBorders>
              <w:top w:val="single" w:sz="4" w:space="0" w:color="000000"/>
              <w:left w:val="single" w:sz="4" w:space="0" w:color="000000"/>
              <w:bottom w:val="single" w:sz="4" w:space="0" w:color="000000"/>
              <w:right w:val="single" w:sz="4" w:space="0" w:color="000000"/>
            </w:tcBorders>
            <w:textDirection w:val="btLr"/>
            <w:vAlign w:val="center"/>
          </w:tcPr>
          <w:p w14:paraId="16441164"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19</w:t>
            </w:r>
          </w:p>
        </w:tc>
        <w:tc>
          <w:tcPr>
            <w:tcW w:w="553" w:type="dxa"/>
            <w:tcBorders>
              <w:top w:val="single" w:sz="4" w:space="0" w:color="000000"/>
              <w:left w:val="single" w:sz="4" w:space="0" w:color="000000"/>
              <w:bottom w:val="single" w:sz="4" w:space="0" w:color="000000"/>
              <w:right w:val="single" w:sz="4" w:space="0" w:color="000000"/>
            </w:tcBorders>
            <w:textDirection w:val="btLr"/>
            <w:vAlign w:val="center"/>
          </w:tcPr>
          <w:p w14:paraId="4C5BEA84" w14:textId="77777777" w:rsidR="002449C2" w:rsidRDefault="002449C2">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p>
        </w:tc>
        <w:tc>
          <w:tcPr>
            <w:tcW w:w="546" w:type="dxa"/>
            <w:tcBorders>
              <w:top w:val="single" w:sz="4" w:space="0" w:color="000000"/>
              <w:left w:val="single" w:sz="4" w:space="0" w:color="000000"/>
              <w:bottom w:val="single" w:sz="4" w:space="0" w:color="000000"/>
              <w:right w:val="single" w:sz="4" w:space="0" w:color="000000"/>
            </w:tcBorders>
            <w:textDirection w:val="btLr"/>
            <w:vAlign w:val="center"/>
          </w:tcPr>
          <w:p w14:paraId="7D40A4D6"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09,28</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3400B29C"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19D0D0BC"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13,19, 23,27</w:t>
            </w:r>
          </w:p>
        </w:tc>
      </w:tr>
    </w:tbl>
    <w:p w14:paraId="27AC7B99" w14:textId="77777777" w:rsidR="002449C2" w:rsidRDefault="002449C2">
      <w:pPr>
        <w:shd w:val="clear" w:color="auto" w:fill="FFFFFF"/>
        <w:spacing w:after="0" w:line="240" w:lineRule="auto"/>
        <w:jc w:val="both"/>
        <w:rPr>
          <w:rFonts w:ascii="Times New Roman" w:eastAsia="Times New Roman" w:hAnsi="Times New Roman"/>
          <w:sz w:val="26"/>
          <w:szCs w:val="26"/>
          <w:lang w:eastAsia="ru-RU"/>
        </w:rPr>
      </w:pPr>
    </w:p>
    <w:p w14:paraId="1F0E54B5" w14:textId="77777777" w:rsidR="002449C2" w:rsidRDefault="002449C2">
      <w:pPr>
        <w:shd w:val="clear" w:color="auto" w:fill="FFFFFF"/>
        <w:tabs>
          <w:tab w:val="left" w:pos="142"/>
        </w:tabs>
        <w:spacing w:after="0" w:line="240" w:lineRule="auto"/>
        <w:jc w:val="both"/>
        <w:rPr>
          <w:rFonts w:ascii="Times New Roman" w:eastAsia="Times New Roman" w:hAnsi="Times New Roman"/>
          <w:i/>
          <w:sz w:val="26"/>
          <w:szCs w:val="26"/>
          <w:lang w:eastAsia="ru-RU"/>
        </w:rPr>
      </w:pPr>
    </w:p>
    <w:p w14:paraId="03D4591B" w14:textId="77777777" w:rsidR="002449C2" w:rsidRDefault="00123961">
      <w:pPr>
        <w:shd w:val="clear" w:color="auto" w:fill="FFFFFF"/>
        <w:tabs>
          <w:tab w:val="left" w:pos="142"/>
        </w:tabs>
        <w:spacing w:after="0" w:line="240" w:lineRule="auto"/>
        <w:jc w:val="both"/>
        <w:rPr>
          <w:rFonts w:ascii="Times New Roman" w:eastAsia="Times New Roman" w:hAnsi="Times New Roman"/>
          <w:i/>
          <w:sz w:val="26"/>
          <w:szCs w:val="26"/>
          <w:lang w:eastAsia="ru-RU"/>
        </w:rPr>
      </w:pPr>
      <w:r>
        <w:rPr>
          <w:noProof/>
          <w:lang w:eastAsia="ru-RU"/>
        </w:rPr>
        <w:drawing>
          <wp:inline distT="0" distB="0" distL="0" distR="0" wp14:anchorId="4F217287" wp14:editId="513386AC">
            <wp:extent cx="6163310" cy="3213100"/>
            <wp:effectExtent l="0" t="0" r="0" b="0"/>
            <wp:docPr id="118" name="_x005F_x0000_i4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_x005F_x0000_i4497"/>
                    <pic:cNvPicPr>
                      <a:picLocks noChangeAspect="1" noChangeArrowheads="1"/>
                    </pic:cNvPicPr>
                  </pic:nvPicPr>
                  <pic:blipFill>
                    <a:blip r:embed="rId167"/>
                    <a:stretch>
                      <a:fillRect/>
                    </a:stretch>
                  </pic:blipFill>
                  <pic:spPr bwMode="auto">
                    <a:xfrm>
                      <a:off x="0" y="0"/>
                      <a:ext cx="6163310" cy="3213100"/>
                    </a:xfrm>
                    <a:prstGeom prst="rect">
                      <a:avLst/>
                    </a:prstGeom>
                    <a:noFill/>
                  </pic:spPr>
                </pic:pic>
              </a:graphicData>
            </a:graphic>
          </wp:inline>
        </w:drawing>
      </w:r>
    </w:p>
    <w:p w14:paraId="046B20E0" w14:textId="77777777" w:rsidR="002449C2" w:rsidRDefault="002449C2">
      <w:pPr>
        <w:shd w:val="clear" w:color="auto" w:fill="FFFFFF"/>
        <w:tabs>
          <w:tab w:val="left" w:pos="142"/>
        </w:tabs>
        <w:spacing w:after="0" w:line="240" w:lineRule="auto"/>
        <w:jc w:val="both"/>
        <w:rPr>
          <w:rFonts w:ascii="Times New Roman" w:eastAsia="Times New Roman" w:hAnsi="Times New Roman"/>
          <w:i/>
          <w:sz w:val="26"/>
          <w:szCs w:val="26"/>
          <w:lang w:eastAsia="ru-RU"/>
        </w:rPr>
      </w:pPr>
    </w:p>
    <w:p w14:paraId="1CD8F078"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В отчетном периоде Комитетом выдано 45 рекомендаций Совету директоров Общества, в том числе в области стратегического развития и приоритетных направлений деятельности, бизнес-планирования, инвестиционной деятельности, оценки эффективности (КПЭ), управления рисками.</w:t>
      </w:r>
    </w:p>
    <w:p w14:paraId="498DDCD2" w14:textId="77777777" w:rsidR="002449C2" w:rsidRDefault="002449C2">
      <w:pPr>
        <w:shd w:val="clear" w:color="auto" w:fill="FFFFFF"/>
        <w:tabs>
          <w:tab w:val="left" w:pos="142"/>
        </w:tabs>
        <w:spacing w:after="0" w:line="240" w:lineRule="auto"/>
        <w:ind w:firstLine="567"/>
        <w:jc w:val="both"/>
        <w:rPr>
          <w:rFonts w:ascii="Times New Roman" w:hAnsi="Times New Roman"/>
          <w:spacing w:val="-2"/>
          <w:sz w:val="26"/>
          <w:szCs w:val="26"/>
          <w:highlight w:val="yellow"/>
          <w:lang w:eastAsia="en-US"/>
        </w:rPr>
      </w:pPr>
    </w:p>
    <w:p w14:paraId="625D4B17"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highlight w:val="yellow"/>
          <w:lang w:eastAsia="en-US"/>
        </w:rPr>
      </w:pPr>
      <w:bookmarkStart w:id="192" w:name="_Toc101275490"/>
      <w:r>
        <w:br w:type="page"/>
      </w:r>
    </w:p>
    <w:p w14:paraId="3016934A" w14:textId="77777777" w:rsidR="002449C2" w:rsidRDefault="00123961">
      <w:pPr>
        <w:shd w:val="clear" w:color="auto" w:fill="FFFFFF"/>
        <w:tabs>
          <w:tab w:val="left" w:pos="142"/>
        </w:tabs>
        <w:spacing w:after="0" w:line="240" w:lineRule="auto"/>
        <w:jc w:val="center"/>
        <w:rPr>
          <w:rFonts w:ascii="Times New Roman" w:eastAsia="Times New Roman" w:hAnsi="Times New Roman"/>
          <w:b/>
          <w:bCs/>
          <w:color w:val="2E74B5"/>
          <w:sz w:val="26"/>
          <w:szCs w:val="26"/>
          <w:shd w:val="clear" w:color="auto" w:fill="FFFFFF"/>
          <w:lang w:eastAsia="ru-RU"/>
        </w:rPr>
      </w:pPr>
      <w:r>
        <w:rPr>
          <w:rFonts w:ascii="Times New Roman" w:eastAsia="Times New Roman" w:hAnsi="Times New Roman"/>
          <w:b/>
          <w:bCs/>
          <w:color w:val="2E74B5"/>
          <w:sz w:val="26"/>
          <w:szCs w:val="26"/>
          <w:shd w:val="clear" w:color="auto" w:fill="FFFFFF"/>
          <w:lang w:eastAsia="ru-RU"/>
        </w:rPr>
        <w:t>КОМИТЕТ ПО НАДЕЖНОСТИ</w:t>
      </w:r>
    </w:p>
    <w:p w14:paraId="6D1D40DE" w14:textId="77777777" w:rsidR="002449C2" w:rsidRDefault="002449C2">
      <w:pPr>
        <w:shd w:val="clear" w:color="auto" w:fill="FFFFFF"/>
        <w:tabs>
          <w:tab w:val="left" w:pos="142"/>
        </w:tabs>
        <w:spacing w:after="0" w:line="240" w:lineRule="auto"/>
        <w:jc w:val="both"/>
        <w:rPr>
          <w:rFonts w:ascii="Times New Roman" w:hAnsi="Times New Roman"/>
          <w:b/>
          <w:spacing w:val="-2"/>
          <w:sz w:val="26"/>
          <w:szCs w:val="26"/>
          <w:lang w:eastAsia="en-US"/>
        </w:rPr>
      </w:pPr>
    </w:p>
    <w:p w14:paraId="164E6D53"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 xml:space="preserve">Деятельность Комитета регулируется </w:t>
      </w:r>
      <w:hyperlink r:id="rId168">
        <w:r>
          <w:rPr>
            <w:rStyle w:val="ab"/>
            <w:rFonts w:ascii="Times New Roman" w:hAnsi="Times New Roman"/>
            <w:spacing w:val="-2"/>
            <w:sz w:val="26"/>
            <w:szCs w:val="26"/>
            <w:lang w:eastAsia="en-US"/>
          </w:rPr>
          <w:t>Полож</w:t>
        </w:r>
        <w:bookmarkStart w:id="193" w:name="_Hlt193901276"/>
        <w:bookmarkStart w:id="194" w:name="_Hlt193901277"/>
        <w:r>
          <w:rPr>
            <w:rStyle w:val="ab"/>
            <w:rFonts w:ascii="Times New Roman" w:hAnsi="Times New Roman"/>
            <w:spacing w:val="-2"/>
            <w:sz w:val="26"/>
            <w:szCs w:val="26"/>
            <w:lang w:eastAsia="en-US"/>
          </w:rPr>
          <w:t>е</w:t>
        </w:r>
        <w:bookmarkEnd w:id="192"/>
        <w:bookmarkEnd w:id="193"/>
        <w:r>
          <w:rPr>
            <w:rStyle w:val="ab"/>
            <w:rFonts w:ascii="Times New Roman" w:hAnsi="Times New Roman"/>
            <w:spacing w:val="-2"/>
            <w:sz w:val="26"/>
            <w:szCs w:val="26"/>
            <w:lang w:eastAsia="en-US"/>
          </w:rPr>
          <w:t>нием о Комитете по надежности</w:t>
        </w:r>
      </w:hyperlink>
      <w:r>
        <w:rPr>
          <w:rFonts w:ascii="Times New Roman" w:hAnsi="Times New Roman"/>
          <w:spacing w:val="-2"/>
          <w:sz w:val="26"/>
          <w:szCs w:val="26"/>
          <w:lang w:eastAsia="en-US"/>
        </w:rPr>
        <w:t xml:space="preserve"> Совета директоров Общества, утвержденным решением Совета директоров Общества 08.05.2024 (протокол от 08.05.2014 №5714/2024) и размещенным на официальном сайте Компании.</w:t>
      </w:r>
    </w:p>
    <w:p w14:paraId="59C4D98D" w14:textId="77777777" w:rsidR="002449C2" w:rsidRDefault="002449C2">
      <w:pPr>
        <w:shd w:val="clear" w:color="auto" w:fill="FFFFFF"/>
        <w:tabs>
          <w:tab w:val="left" w:pos="142"/>
        </w:tabs>
        <w:spacing w:after="0" w:line="240" w:lineRule="auto"/>
        <w:ind w:firstLine="567"/>
        <w:jc w:val="both"/>
        <w:rPr>
          <w:rFonts w:ascii="Times New Roman" w:hAnsi="Times New Roman"/>
          <w:spacing w:val="-2"/>
          <w:sz w:val="26"/>
          <w:szCs w:val="26"/>
          <w:lang w:eastAsia="en-US"/>
        </w:rPr>
      </w:pPr>
    </w:p>
    <w:p w14:paraId="6FDACC3D" w14:textId="77777777" w:rsidR="002449C2" w:rsidRDefault="00123961">
      <w:pPr>
        <w:shd w:val="clear" w:color="auto" w:fill="FFFFFF"/>
        <w:tabs>
          <w:tab w:val="left" w:pos="142"/>
        </w:tabs>
        <w:spacing w:after="0" w:line="240" w:lineRule="auto"/>
        <w:ind w:firstLine="567"/>
        <w:jc w:val="both"/>
        <w:rPr>
          <w:rFonts w:ascii="Times New Roman" w:hAnsi="Times New Roman"/>
          <w:b/>
          <w:spacing w:val="-2"/>
          <w:sz w:val="26"/>
          <w:szCs w:val="26"/>
          <w:lang w:eastAsia="en-US"/>
        </w:rPr>
      </w:pPr>
      <w:r>
        <w:rPr>
          <w:rFonts w:ascii="Times New Roman" w:hAnsi="Times New Roman"/>
          <w:b/>
          <w:spacing w:val="-2"/>
          <w:sz w:val="26"/>
          <w:szCs w:val="26"/>
          <w:lang w:eastAsia="en-US"/>
        </w:rPr>
        <w:t>Основные задачи</w:t>
      </w:r>
    </w:p>
    <w:p w14:paraId="37DA2E15"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Основной задачей Комитета является выработка и представление рекомендаций Совету директоров Общества связанной с анализом производственной деятельности, оценкой качества планирования и анализом деятельности по реновации энергетических объектов, деятельности технических служб Компании, а также предварительное рассмотрение предложений по реорганизации системы управления Общества (изменение числа уровней управления, создание/ликвидация/перегруппировка производственных отделений, районов электрических сетей).</w:t>
      </w:r>
    </w:p>
    <w:p w14:paraId="4826A116" w14:textId="77777777" w:rsidR="002449C2" w:rsidRDefault="002449C2">
      <w:pPr>
        <w:shd w:val="clear" w:color="auto" w:fill="FFFFFF"/>
        <w:spacing w:after="0" w:line="240" w:lineRule="auto"/>
        <w:ind w:firstLine="567"/>
        <w:rPr>
          <w:rFonts w:ascii="Times New Roman" w:eastAsia="Times New Roman" w:hAnsi="Times New Roman"/>
          <w:b/>
          <w:bCs/>
          <w:sz w:val="26"/>
          <w:szCs w:val="26"/>
          <w:shd w:val="clear" w:color="auto" w:fill="FFFFFF"/>
          <w:lang w:eastAsia="ru-RU"/>
        </w:rPr>
      </w:pPr>
    </w:p>
    <w:p w14:paraId="0CFEB172" w14:textId="77777777" w:rsidR="002449C2" w:rsidRDefault="00123961">
      <w:pPr>
        <w:shd w:val="clear" w:color="auto" w:fill="FFFFFF"/>
        <w:spacing w:after="0" w:line="240" w:lineRule="auto"/>
        <w:ind w:firstLine="567"/>
        <w:rPr>
          <w:rFonts w:ascii="Times New Roman" w:hAnsi="Times New Roman"/>
          <w:b/>
          <w:spacing w:val="-2"/>
          <w:sz w:val="26"/>
          <w:szCs w:val="26"/>
          <w:lang w:eastAsia="en-US"/>
        </w:rPr>
      </w:pPr>
      <w:r>
        <w:rPr>
          <w:rFonts w:ascii="Times New Roman" w:hAnsi="Times New Roman"/>
          <w:b/>
          <w:spacing w:val="-2"/>
          <w:sz w:val="26"/>
          <w:szCs w:val="26"/>
          <w:lang w:eastAsia="en-US"/>
        </w:rPr>
        <w:t>Принципы формирования и срок полномочий членов Комитета</w:t>
      </w:r>
    </w:p>
    <w:p w14:paraId="21EA1DD6"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Количественный состав Комитета определяется решением Совета директоров Общества в количестве не более 7 (семи) человек.</w:t>
      </w:r>
    </w:p>
    <w:p w14:paraId="2D874FCB"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Персональный состав Комитета избирается Советом директоров Общества из числа кандидатов, представленных членами Совета директоров Общества.</w:t>
      </w:r>
    </w:p>
    <w:p w14:paraId="3B0CE94D"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Членами Комитета могут быть только физические лица. Член Комитета может не быть членом Совета директоров Общества.</w:t>
      </w:r>
    </w:p>
    <w:p w14:paraId="795EFE8B"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Члены Комитета избираются на срок до проведения первого заседания Совета директоров Общества, избранного в новом составе.</w:t>
      </w:r>
    </w:p>
    <w:p w14:paraId="4C5816F4"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Полномочия любого члена Комитета или всех членов Комитета могут быть досрочно прекращены решением Совета директоров Общества.</w:t>
      </w:r>
    </w:p>
    <w:p w14:paraId="6A755D3D" w14:textId="77777777" w:rsidR="002449C2" w:rsidRDefault="002449C2">
      <w:pPr>
        <w:shd w:val="clear" w:color="auto" w:fill="FFFFFF"/>
        <w:spacing w:after="0" w:line="240" w:lineRule="auto"/>
        <w:ind w:firstLine="567"/>
        <w:jc w:val="both"/>
        <w:rPr>
          <w:rFonts w:ascii="Times New Roman" w:hAnsi="Times New Roman"/>
          <w:spacing w:val="-2"/>
          <w:sz w:val="26"/>
          <w:szCs w:val="26"/>
          <w:lang w:eastAsia="en-US"/>
        </w:rPr>
      </w:pPr>
    </w:p>
    <w:p w14:paraId="3386DBC1" w14:textId="77777777" w:rsidR="002449C2" w:rsidRDefault="002449C2">
      <w:pPr>
        <w:shd w:val="clear" w:color="auto" w:fill="FFFFFF"/>
        <w:spacing w:after="0" w:line="240" w:lineRule="auto"/>
        <w:ind w:firstLine="567"/>
        <w:jc w:val="both"/>
        <w:rPr>
          <w:rFonts w:ascii="Times New Roman" w:hAnsi="Times New Roman"/>
          <w:spacing w:val="-2"/>
          <w:sz w:val="26"/>
          <w:szCs w:val="26"/>
          <w:lang w:eastAsia="en-US"/>
        </w:rPr>
      </w:pPr>
    </w:p>
    <w:p w14:paraId="57A958D9" w14:textId="77777777" w:rsidR="002449C2" w:rsidRDefault="00123961">
      <w:pPr>
        <w:shd w:val="clear" w:color="auto" w:fill="FFFFFF"/>
        <w:spacing w:after="0" w:line="240" w:lineRule="auto"/>
        <w:ind w:firstLine="567"/>
        <w:rPr>
          <w:rFonts w:ascii="Times New Roman" w:eastAsia="Times New Roman" w:hAnsi="Times New Roman"/>
          <w:b/>
          <w:bCs/>
          <w:sz w:val="26"/>
          <w:szCs w:val="26"/>
          <w:lang w:eastAsia="ru-RU"/>
        </w:rPr>
      </w:pPr>
      <w:r>
        <w:rPr>
          <w:rFonts w:ascii="Times New Roman" w:eastAsia="Times New Roman" w:hAnsi="Times New Roman"/>
          <w:b/>
          <w:bCs/>
          <w:sz w:val="26"/>
          <w:szCs w:val="26"/>
          <w:shd w:val="clear" w:color="auto" w:fill="FFFFFF"/>
          <w:lang w:eastAsia="ru-RU"/>
        </w:rPr>
        <w:t>Персональный состав и</w:t>
      </w:r>
      <w:r>
        <w:rPr>
          <w:rFonts w:ascii="Times New Roman" w:eastAsia="Times New Roman" w:hAnsi="Times New Roman"/>
          <w:b/>
          <w:bCs/>
          <w:sz w:val="26"/>
          <w:szCs w:val="26"/>
          <w:lang w:eastAsia="ru-RU"/>
        </w:rPr>
        <w:t xml:space="preserve"> информация об участии в 2024 году</w:t>
      </w:r>
    </w:p>
    <w:tbl>
      <w:tblPr>
        <w:tblW w:w="9360" w:type="dxa"/>
        <w:jc w:val="center"/>
        <w:tblLayout w:type="fixed"/>
        <w:tblLook w:val="04A0" w:firstRow="1" w:lastRow="0" w:firstColumn="1" w:lastColumn="0" w:noHBand="0" w:noVBand="1"/>
      </w:tblPr>
      <w:tblGrid>
        <w:gridCol w:w="2689"/>
        <w:gridCol w:w="4686"/>
        <w:gridCol w:w="1125"/>
        <w:gridCol w:w="860"/>
      </w:tblGrid>
      <w:tr w:rsidR="002449C2" w14:paraId="4620621B" w14:textId="77777777">
        <w:trPr>
          <w:cantSplit/>
          <w:tblHeade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C25F97" w14:textId="77777777" w:rsidR="002449C2" w:rsidRDefault="00123961">
            <w:pPr>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Ф.И.О.</w:t>
            </w:r>
          </w:p>
        </w:tc>
        <w:tc>
          <w:tcPr>
            <w:tcW w:w="468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9D9E6C4" w14:textId="77777777" w:rsidR="002449C2" w:rsidRDefault="00123961" w:rsidP="00CE5399">
            <w:pPr>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Должность</w:t>
            </w:r>
            <w:r w:rsidR="00CE5399">
              <w:rPr>
                <w:rStyle w:val="af"/>
                <w:rFonts w:ascii="Times New Roman" w:eastAsia="Times New Roman" w:hAnsi="Times New Roman"/>
                <w:b/>
                <w:sz w:val="20"/>
                <w:szCs w:val="20"/>
                <w:lang w:eastAsia="ar-SA"/>
              </w:rPr>
              <w:footnoteReference w:id="23"/>
            </w:r>
          </w:p>
        </w:tc>
        <w:tc>
          <w:tcPr>
            <w:tcW w:w="11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76CEE8" w14:textId="77777777" w:rsidR="002449C2" w:rsidRDefault="00123961">
            <w:pPr>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Участие</w:t>
            </w:r>
          </w:p>
        </w:tc>
        <w:tc>
          <w:tcPr>
            <w:tcW w:w="8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3EC9517" w14:textId="77777777" w:rsidR="002449C2" w:rsidRDefault="00123961">
            <w:pPr>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 участия</w:t>
            </w:r>
          </w:p>
        </w:tc>
      </w:tr>
      <w:tr w:rsidR="002449C2" w14:paraId="7A360F90" w14:textId="77777777">
        <w:trPr>
          <w:cantSplit/>
          <w:jc w:val="center"/>
        </w:trPr>
        <w:tc>
          <w:tcPr>
            <w:tcW w:w="9359" w:type="dxa"/>
            <w:gridSpan w:val="4"/>
            <w:tcBorders>
              <w:top w:val="single" w:sz="4" w:space="0" w:color="000000"/>
              <w:left w:val="single" w:sz="4" w:space="0" w:color="000000"/>
              <w:bottom w:val="single" w:sz="4" w:space="0" w:color="000000"/>
              <w:right w:val="single" w:sz="4" w:space="0" w:color="000000"/>
            </w:tcBorders>
            <w:shd w:val="clear" w:color="auto" w:fill="FFFFFF"/>
          </w:tcPr>
          <w:p w14:paraId="63607BF9"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bCs/>
                <w:sz w:val="20"/>
                <w:szCs w:val="20"/>
                <w:lang w:eastAsia="ar-SA"/>
              </w:rPr>
              <w:t xml:space="preserve">Состав действующий в период </w:t>
            </w:r>
            <w:r>
              <w:rPr>
                <w:rFonts w:ascii="Times New Roman" w:eastAsia="Times New Roman" w:hAnsi="Times New Roman"/>
                <w:sz w:val="20"/>
                <w:szCs w:val="20"/>
                <w:lang w:eastAsia="ar-SA"/>
              </w:rPr>
              <w:t>с 14.08.2023 по 22.07.2024</w:t>
            </w:r>
          </w:p>
          <w:p w14:paraId="0780FB51"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bCs/>
                <w:sz w:val="20"/>
                <w:szCs w:val="20"/>
                <w:lang w:eastAsia="ar-SA"/>
              </w:rPr>
              <w:t>избран решением Совета директоров 14.08.2023 (протокол от 15.08.2023 №538/2023)</w:t>
            </w:r>
          </w:p>
        </w:tc>
      </w:tr>
      <w:tr w:rsidR="002449C2" w14:paraId="48B41B24" w14:textId="77777777">
        <w:trPr>
          <w:cantSplit/>
          <w:jc w:val="center"/>
        </w:trPr>
        <w:tc>
          <w:tcPr>
            <w:tcW w:w="9359" w:type="dxa"/>
            <w:gridSpan w:val="4"/>
            <w:tcBorders>
              <w:top w:val="single" w:sz="4" w:space="0" w:color="000000"/>
              <w:left w:val="single" w:sz="4" w:space="0" w:color="000000"/>
              <w:bottom w:val="single" w:sz="4" w:space="0" w:color="000000"/>
              <w:right w:val="single" w:sz="4" w:space="0" w:color="000000"/>
            </w:tcBorders>
            <w:shd w:val="clear" w:color="auto" w:fill="FFFFFF"/>
          </w:tcPr>
          <w:p w14:paraId="07000FE9"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Общее количество проведенных заседаний – 9, из них:</w:t>
            </w:r>
          </w:p>
          <w:p w14:paraId="286F1638" w14:textId="77777777" w:rsidR="002449C2" w:rsidRDefault="00123961">
            <w:pPr>
              <w:shd w:val="clear" w:color="auto" w:fill="FFFFFF"/>
              <w:spacing w:after="0" w:line="240" w:lineRule="auto"/>
              <w:jc w:val="center"/>
              <w:rPr>
                <w:rFonts w:ascii="Times New Roman" w:eastAsia="Times New Roman" w:hAnsi="Times New Roman"/>
                <w:bCs/>
                <w:sz w:val="20"/>
                <w:szCs w:val="20"/>
                <w:lang w:eastAsia="ar-SA"/>
              </w:rPr>
            </w:pPr>
            <w:r>
              <w:rPr>
                <w:rFonts w:ascii="Times New Roman" w:eastAsia="Times New Roman" w:hAnsi="Times New Roman"/>
                <w:sz w:val="20"/>
                <w:szCs w:val="20"/>
                <w:lang w:eastAsia="ar-SA"/>
              </w:rPr>
              <w:t>1 - в форме совместного присутствия (очная форма), 8 - в заочной форме</w:t>
            </w:r>
          </w:p>
        </w:tc>
      </w:tr>
      <w:tr w:rsidR="002449C2" w14:paraId="67FF14B8"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408201C7"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Уколов</w:t>
            </w:r>
          </w:p>
          <w:p w14:paraId="568B16FE"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 xml:space="preserve">Владимир Анатольевич, </w:t>
            </w:r>
            <w:r>
              <w:rPr>
                <w:rFonts w:ascii="Times New Roman" w:hAnsi="Times New Roman"/>
                <w:b/>
                <w:sz w:val="20"/>
                <w:szCs w:val="20"/>
                <w:lang w:eastAsia="ar-SA"/>
              </w:rPr>
              <w:t>Председатель Комитета</w:t>
            </w:r>
          </w:p>
        </w:tc>
        <w:tc>
          <w:tcPr>
            <w:tcW w:w="4685" w:type="dxa"/>
            <w:tcBorders>
              <w:top w:val="single" w:sz="4" w:space="0" w:color="000000"/>
              <w:left w:val="single" w:sz="4" w:space="0" w:color="000000"/>
              <w:bottom w:val="single" w:sz="4" w:space="0" w:color="000000"/>
              <w:right w:val="single" w:sz="4" w:space="0" w:color="000000"/>
            </w:tcBorders>
          </w:tcPr>
          <w:p w14:paraId="30FDF719"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Руководитель Ситуационно-аналитического центра ПАО «Россети»</w:t>
            </w:r>
          </w:p>
        </w:tc>
        <w:tc>
          <w:tcPr>
            <w:tcW w:w="1125" w:type="dxa"/>
            <w:tcBorders>
              <w:top w:val="single" w:sz="4" w:space="0" w:color="000000"/>
              <w:left w:val="single" w:sz="4" w:space="0" w:color="000000"/>
              <w:bottom w:val="single" w:sz="4" w:space="0" w:color="000000"/>
              <w:right w:val="single" w:sz="4" w:space="0" w:color="000000"/>
            </w:tcBorders>
            <w:shd w:val="clear" w:color="auto" w:fill="FFFFFF"/>
          </w:tcPr>
          <w:p w14:paraId="19FD5858"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9/9</w:t>
            </w:r>
          </w:p>
        </w:tc>
        <w:tc>
          <w:tcPr>
            <w:tcW w:w="860" w:type="dxa"/>
            <w:tcBorders>
              <w:top w:val="single" w:sz="4" w:space="0" w:color="000000"/>
              <w:left w:val="single" w:sz="4" w:space="0" w:color="000000"/>
              <w:bottom w:val="single" w:sz="4" w:space="0" w:color="000000"/>
              <w:right w:val="single" w:sz="4" w:space="0" w:color="000000"/>
            </w:tcBorders>
            <w:shd w:val="clear" w:color="auto" w:fill="FFFFFF"/>
          </w:tcPr>
          <w:p w14:paraId="2732EEC7"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24708EF6"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3FCABB2C"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Гончаров</w:t>
            </w:r>
          </w:p>
          <w:p w14:paraId="5F7B6924" w14:textId="77777777" w:rsidR="002449C2" w:rsidRDefault="00123961">
            <w:pPr>
              <w:shd w:val="clear" w:color="auto" w:fill="FFFFFF"/>
              <w:spacing w:after="0" w:line="240" w:lineRule="auto"/>
              <w:rPr>
                <w:rFonts w:ascii="Times New Roman" w:hAnsi="Times New Roman"/>
                <w:b/>
                <w:sz w:val="20"/>
                <w:szCs w:val="20"/>
                <w:lang w:eastAsia="ar-SA"/>
              </w:rPr>
            </w:pPr>
            <w:r>
              <w:rPr>
                <w:rFonts w:ascii="Times New Roman" w:hAnsi="Times New Roman"/>
                <w:sz w:val="20"/>
                <w:szCs w:val="20"/>
                <w:lang w:eastAsia="ar-SA"/>
              </w:rPr>
              <w:t>Павел Викторович</w:t>
            </w:r>
          </w:p>
        </w:tc>
        <w:tc>
          <w:tcPr>
            <w:tcW w:w="4685" w:type="dxa"/>
            <w:tcBorders>
              <w:top w:val="single" w:sz="4" w:space="0" w:color="000000"/>
              <w:left w:val="single" w:sz="4" w:space="0" w:color="000000"/>
              <w:bottom w:val="single" w:sz="4" w:space="0" w:color="000000"/>
              <w:right w:val="single" w:sz="4" w:space="0" w:color="000000"/>
            </w:tcBorders>
          </w:tcPr>
          <w:p w14:paraId="1C7D61F9"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Первый заместитель Генерального директора - Главный инженер ПАО «Россети Юг»,</w:t>
            </w:r>
          </w:p>
          <w:p w14:paraId="11244369"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i/>
                <w:sz w:val="20"/>
                <w:szCs w:val="20"/>
                <w:lang w:eastAsia="ar-SA"/>
              </w:rPr>
              <w:t>член Правления ПАО «Россети Юг»</w:t>
            </w:r>
          </w:p>
        </w:tc>
        <w:tc>
          <w:tcPr>
            <w:tcW w:w="1125" w:type="dxa"/>
            <w:tcBorders>
              <w:top w:val="single" w:sz="4" w:space="0" w:color="000000"/>
              <w:left w:val="single" w:sz="4" w:space="0" w:color="000000"/>
              <w:bottom w:val="single" w:sz="4" w:space="0" w:color="000000"/>
              <w:right w:val="single" w:sz="4" w:space="0" w:color="000000"/>
            </w:tcBorders>
            <w:shd w:val="clear" w:color="auto" w:fill="FFFFFF"/>
          </w:tcPr>
          <w:p w14:paraId="373ABE3B" w14:textId="77777777" w:rsidR="002449C2" w:rsidRDefault="00123961">
            <w:pPr>
              <w:shd w:val="clear" w:color="auto" w:fill="FFFFFF"/>
              <w:spacing w:after="0" w:line="240" w:lineRule="auto"/>
              <w:jc w:val="center"/>
              <w:rPr>
                <w:rFonts w:ascii="Times New Roman" w:eastAsia="Times New Roman" w:hAnsi="Times New Roman"/>
                <w:sz w:val="20"/>
                <w:szCs w:val="20"/>
                <w:highlight w:val="yellow"/>
                <w:lang w:eastAsia="ar-SA"/>
              </w:rPr>
            </w:pPr>
            <w:r>
              <w:rPr>
                <w:rFonts w:ascii="Times New Roman" w:eastAsia="Times New Roman" w:hAnsi="Times New Roman"/>
                <w:sz w:val="20"/>
                <w:szCs w:val="20"/>
                <w:lang w:eastAsia="ar-SA"/>
              </w:rPr>
              <w:t>9/9</w:t>
            </w:r>
          </w:p>
        </w:tc>
        <w:tc>
          <w:tcPr>
            <w:tcW w:w="860" w:type="dxa"/>
            <w:tcBorders>
              <w:top w:val="single" w:sz="4" w:space="0" w:color="000000"/>
              <w:left w:val="single" w:sz="4" w:space="0" w:color="000000"/>
              <w:bottom w:val="single" w:sz="4" w:space="0" w:color="000000"/>
              <w:right w:val="single" w:sz="4" w:space="0" w:color="000000"/>
            </w:tcBorders>
            <w:shd w:val="clear" w:color="auto" w:fill="FFFFFF"/>
          </w:tcPr>
          <w:p w14:paraId="63A0A1EB" w14:textId="77777777" w:rsidR="002449C2" w:rsidRDefault="00123961">
            <w:pPr>
              <w:shd w:val="clear" w:color="auto" w:fill="FFFFFF"/>
              <w:spacing w:after="0" w:line="240" w:lineRule="auto"/>
              <w:jc w:val="center"/>
              <w:rPr>
                <w:rFonts w:ascii="Times New Roman" w:eastAsia="Times New Roman" w:hAnsi="Times New Roman"/>
                <w:sz w:val="20"/>
                <w:szCs w:val="20"/>
                <w:highlight w:val="yellow"/>
                <w:lang w:eastAsia="ar-SA"/>
              </w:rPr>
            </w:pPr>
            <w:r>
              <w:rPr>
                <w:rFonts w:ascii="Times New Roman" w:eastAsia="Times New Roman" w:hAnsi="Times New Roman"/>
                <w:sz w:val="20"/>
                <w:szCs w:val="20"/>
                <w:lang w:eastAsia="ar-SA"/>
              </w:rPr>
              <w:t>100</w:t>
            </w:r>
          </w:p>
        </w:tc>
      </w:tr>
      <w:tr w:rsidR="002449C2" w14:paraId="011C3FA7"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0D293E00"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Зархин</w:t>
            </w:r>
          </w:p>
          <w:p w14:paraId="5AF754AE" w14:textId="6E46ABA2" w:rsidR="002449C2" w:rsidRDefault="00123961" w:rsidP="001A6FA6">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Виталий Юрьевич</w:t>
            </w:r>
          </w:p>
        </w:tc>
        <w:tc>
          <w:tcPr>
            <w:tcW w:w="4685" w:type="dxa"/>
            <w:tcBorders>
              <w:top w:val="single" w:sz="4" w:space="0" w:color="000000"/>
              <w:left w:val="single" w:sz="4" w:space="0" w:color="000000"/>
              <w:bottom w:val="single" w:sz="4" w:space="0" w:color="000000"/>
              <w:right w:val="single" w:sz="4" w:space="0" w:color="000000"/>
            </w:tcBorders>
          </w:tcPr>
          <w:p w14:paraId="5D788C79" w14:textId="77777777" w:rsidR="002449C2" w:rsidRDefault="00123961">
            <w:pPr>
              <w:shd w:val="clear" w:color="auto" w:fill="FFFFFF"/>
              <w:spacing w:after="0" w:line="240" w:lineRule="auto"/>
              <w:rPr>
                <w:rFonts w:ascii="Times New Roman" w:hAnsi="Times New Roman"/>
                <w:i/>
                <w:sz w:val="20"/>
                <w:szCs w:val="20"/>
                <w:lang w:eastAsia="ar-SA"/>
              </w:rPr>
            </w:pPr>
            <w:r>
              <w:rPr>
                <w:rFonts w:ascii="Times New Roman" w:hAnsi="Times New Roman"/>
                <w:i/>
                <w:sz w:val="20"/>
                <w:szCs w:val="20"/>
                <w:lang w:eastAsia="ar-SA"/>
              </w:rPr>
              <w:t>Член Совета директоров ПАО «Россети Юг»</w:t>
            </w:r>
          </w:p>
        </w:tc>
        <w:tc>
          <w:tcPr>
            <w:tcW w:w="1125" w:type="dxa"/>
            <w:tcBorders>
              <w:top w:val="single" w:sz="4" w:space="0" w:color="000000"/>
              <w:left w:val="single" w:sz="4" w:space="0" w:color="000000"/>
              <w:bottom w:val="single" w:sz="4" w:space="0" w:color="000000"/>
              <w:right w:val="single" w:sz="4" w:space="0" w:color="000000"/>
            </w:tcBorders>
            <w:shd w:val="clear" w:color="auto" w:fill="FFFFFF"/>
          </w:tcPr>
          <w:p w14:paraId="74B1F910" w14:textId="77777777" w:rsidR="002449C2" w:rsidRDefault="00123961">
            <w:pPr>
              <w:shd w:val="clear" w:color="auto" w:fill="FFFFFF"/>
              <w:spacing w:after="0" w:line="240" w:lineRule="auto"/>
              <w:jc w:val="center"/>
              <w:rPr>
                <w:rFonts w:ascii="Times New Roman" w:eastAsia="Times New Roman" w:hAnsi="Times New Roman"/>
                <w:sz w:val="20"/>
                <w:szCs w:val="20"/>
                <w:highlight w:val="yellow"/>
                <w:lang w:eastAsia="ar-SA"/>
              </w:rPr>
            </w:pPr>
            <w:r>
              <w:rPr>
                <w:rFonts w:ascii="Times New Roman" w:eastAsia="Times New Roman" w:hAnsi="Times New Roman"/>
                <w:sz w:val="20"/>
                <w:szCs w:val="20"/>
                <w:lang w:eastAsia="ar-SA"/>
              </w:rPr>
              <w:t>9/9</w:t>
            </w:r>
          </w:p>
        </w:tc>
        <w:tc>
          <w:tcPr>
            <w:tcW w:w="860" w:type="dxa"/>
            <w:tcBorders>
              <w:top w:val="single" w:sz="4" w:space="0" w:color="000000"/>
              <w:left w:val="single" w:sz="4" w:space="0" w:color="000000"/>
              <w:bottom w:val="single" w:sz="4" w:space="0" w:color="000000"/>
              <w:right w:val="single" w:sz="4" w:space="0" w:color="000000"/>
            </w:tcBorders>
            <w:shd w:val="clear" w:color="auto" w:fill="FFFFFF"/>
          </w:tcPr>
          <w:p w14:paraId="6AACC55C" w14:textId="77777777" w:rsidR="002449C2" w:rsidRDefault="00123961">
            <w:pPr>
              <w:shd w:val="clear" w:color="auto" w:fill="FFFFFF"/>
              <w:spacing w:after="0" w:line="240" w:lineRule="auto"/>
              <w:jc w:val="center"/>
              <w:rPr>
                <w:rFonts w:ascii="Times New Roman" w:eastAsia="Times New Roman" w:hAnsi="Times New Roman"/>
                <w:sz w:val="20"/>
                <w:szCs w:val="20"/>
                <w:highlight w:val="yellow"/>
                <w:lang w:eastAsia="ar-SA"/>
              </w:rPr>
            </w:pPr>
            <w:r>
              <w:rPr>
                <w:rFonts w:ascii="Times New Roman" w:eastAsia="Times New Roman" w:hAnsi="Times New Roman"/>
                <w:sz w:val="20"/>
                <w:szCs w:val="20"/>
                <w:lang w:eastAsia="ar-SA"/>
              </w:rPr>
              <w:t>100</w:t>
            </w:r>
          </w:p>
        </w:tc>
      </w:tr>
      <w:tr w:rsidR="002449C2" w14:paraId="4AFACB41"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33C2AC5B"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Иорданиди</w:t>
            </w:r>
          </w:p>
          <w:p w14:paraId="4E5AEBDC"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Кирилл Александрович</w:t>
            </w:r>
          </w:p>
        </w:tc>
        <w:tc>
          <w:tcPr>
            <w:tcW w:w="4685" w:type="dxa"/>
            <w:tcBorders>
              <w:top w:val="single" w:sz="4" w:space="0" w:color="000000"/>
              <w:left w:val="single" w:sz="4" w:space="0" w:color="000000"/>
              <w:bottom w:val="single" w:sz="4" w:space="0" w:color="000000"/>
              <w:right w:val="single" w:sz="4" w:space="0" w:color="000000"/>
            </w:tcBorders>
          </w:tcPr>
          <w:p w14:paraId="1117433C"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Заместитель Генерального директора по экономике и финансам ПАО «Россети Юг»,</w:t>
            </w:r>
          </w:p>
          <w:p w14:paraId="447B0A98"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i/>
                <w:sz w:val="20"/>
                <w:szCs w:val="20"/>
                <w:lang w:eastAsia="ar-SA"/>
              </w:rPr>
              <w:t>член Правления ПАО «Россети Юг»</w:t>
            </w:r>
          </w:p>
        </w:tc>
        <w:tc>
          <w:tcPr>
            <w:tcW w:w="1125" w:type="dxa"/>
            <w:tcBorders>
              <w:top w:val="single" w:sz="4" w:space="0" w:color="000000"/>
              <w:left w:val="single" w:sz="4" w:space="0" w:color="000000"/>
              <w:bottom w:val="single" w:sz="4" w:space="0" w:color="000000"/>
              <w:right w:val="single" w:sz="4" w:space="0" w:color="000000"/>
            </w:tcBorders>
            <w:shd w:val="clear" w:color="auto" w:fill="FFFFFF"/>
          </w:tcPr>
          <w:p w14:paraId="3F525318" w14:textId="77777777" w:rsidR="002449C2" w:rsidRDefault="00123961">
            <w:pPr>
              <w:shd w:val="clear" w:color="auto" w:fill="FFFFFF"/>
              <w:spacing w:after="0" w:line="240" w:lineRule="auto"/>
              <w:jc w:val="center"/>
              <w:rPr>
                <w:rFonts w:ascii="Times New Roman" w:eastAsia="Times New Roman" w:hAnsi="Times New Roman"/>
                <w:sz w:val="20"/>
                <w:szCs w:val="20"/>
                <w:highlight w:val="yellow"/>
                <w:lang w:eastAsia="ar-SA"/>
              </w:rPr>
            </w:pPr>
            <w:r>
              <w:rPr>
                <w:rFonts w:ascii="Times New Roman" w:eastAsia="Times New Roman" w:hAnsi="Times New Roman"/>
                <w:sz w:val="20"/>
                <w:szCs w:val="20"/>
                <w:lang w:eastAsia="ar-SA"/>
              </w:rPr>
              <w:t>9/9</w:t>
            </w:r>
          </w:p>
        </w:tc>
        <w:tc>
          <w:tcPr>
            <w:tcW w:w="860" w:type="dxa"/>
            <w:tcBorders>
              <w:top w:val="single" w:sz="4" w:space="0" w:color="000000"/>
              <w:left w:val="single" w:sz="4" w:space="0" w:color="000000"/>
              <w:bottom w:val="single" w:sz="4" w:space="0" w:color="000000"/>
              <w:right w:val="single" w:sz="4" w:space="0" w:color="000000"/>
            </w:tcBorders>
            <w:shd w:val="clear" w:color="auto" w:fill="FFFFFF"/>
          </w:tcPr>
          <w:p w14:paraId="544A8C72" w14:textId="77777777" w:rsidR="002449C2" w:rsidRDefault="00123961">
            <w:pPr>
              <w:shd w:val="clear" w:color="auto" w:fill="FFFFFF"/>
              <w:spacing w:after="0" w:line="240" w:lineRule="auto"/>
              <w:jc w:val="center"/>
              <w:rPr>
                <w:rFonts w:ascii="Times New Roman" w:eastAsia="Times New Roman" w:hAnsi="Times New Roman"/>
                <w:sz w:val="20"/>
                <w:szCs w:val="20"/>
                <w:highlight w:val="yellow"/>
                <w:lang w:eastAsia="ar-SA"/>
              </w:rPr>
            </w:pPr>
            <w:r>
              <w:rPr>
                <w:rFonts w:ascii="Times New Roman" w:eastAsia="Times New Roman" w:hAnsi="Times New Roman"/>
                <w:sz w:val="20"/>
                <w:szCs w:val="20"/>
                <w:lang w:eastAsia="ar-SA"/>
              </w:rPr>
              <w:t>100</w:t>
            </w:r>
          </w:p>
        </w:tc>
      </w:tr>
      <w:tr w:rsidR="002449C2" w14:paraId="283AB198"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12544E4A"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Пилюгин</w:t>
            </w:r>
          </w:p>
          <w:p w14:paraId="474C1FE9"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Александр Викторович</w:t>
            </w:r>
          </w:p>
        </w:tc>
        <w:tc>
          <w:tcPr>
            <w:tcW w:w="4685" w:type="dxa"/>
            <w:tcBorders>
              <w:top w:val="single" w:sz="4" w:space="0" w:color="000000"/>
              <w:left w:val="single" w:sz="4" w:space="0" w:color="000000"/>
              <w:bottom w:val="single" w:sz="4" w:space="0" w:color="000000"/>
              <w:right w:val="single" w:sz="4" w:space="0" w:color="000000"/>
            </w:tcBorders>
          </w:tcPr>
          <w:p w14:paraId="4E70FBDE"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Заместитель директора Филиала ПАО «Россети» - Центр технического надзора</w:t>
            </w:r>
          </w:p>
        </w:tc>
        <w:tc>
          <w:tcPr>
            <w:tcW w:w="1125" w:type="dxa"/>
            <w:tcBorders>
              <w:top w:val="single" w:sz="4" w:space="0" w:color="000000"/>
              <w:left w:val="single" w:sz="4" w:space="0" w:color="000000"/>
              <w:bottom w:val="single" w:sz="4" w:space="0" w:color="000000"/>
              <w:right w:val="single" w:sz="4" w:space="0" w:color="000000"/>
            </w:tcBorders>
            <w:shd w:val="clear" w:color="auto" w:fill="FFFFFF"/>
          </w:tcPr>
          <w:p w14:paraId="5F7B65C3" w14:textId="77777777" w:rsidR="002449C2" w:rsidRDefault="00123961">
            <w:pPr>
              <w:shd w:val="clear" w:color="auto" w:fill="FFFFFF"/>
              <w:spacing w:after="0" w:line="240" w:lineRule="auto"/>
              <w:jc w:val="center"/>
              <w:rPr>
                <w:rFonts w:ascii="Times New Roman" w:eastAsia="Times New Roman" w:hAnsi="Times New Roman"/>
                <w:sz w:val="20"/>
                <w:szCs w:val="20"/>
                <w:highlight w:val="yellow"/>
                <w:lang w:eastAsia="ar-SA"/>
              </w:rPr>
            </w:pPr>
            <w:r>
              <w:rPr>
                <w:rFonts w:ascii="Times New Roman" w:eastAsia="Times New Roman" w:hAnsi="Times New Roman"/>
                <w:sz w:val="20"/>
                <w:szCs w:val="20"/>
                <w:lang w:eastAsia="ar-SA"/>
              </w:rPr>
              <w:t>9/9</w:t>
            </w:r>
          </w:p>
        </w:tc>
        <w:tc>
          <w:tcPr>
            <w:tcW w:w="860" w:type="dxa"/>
            <w:tcBorders>
              <w:top w:val="single" w:sz="4" w:space="0" w:color="000000"/>
              <w:left w:val="single" w:sz="4" w:space="0" w:color="000000"/>
              <w:bottom w:val="single" w:sz="4" w:space="0" w:color="000000"/>
              <w:right w:val="single" w:sz="4" w:space="0" w:color="000000"/>
            </w:tcBorders>
            <w:shd w:val="clear" w:color="auto" w:fill="FFFFFF"/>
          </w:tcPr>
          <w:p w14:paraId="1BFBDC2F" w14:textId="77777777" w:rsidR="002449C2" w:rsidRDefault="00123961">
            <w:pPr>
              <w:shd w:val="clear" w:color="auto" w:fill="FFFFFF"/>
              <w:spacing w:after="0" w:line="240" w:lineRule="auto"/>
              <w:jc w:val="center"/>
              <w:rPr>
                <w:rFonts w:ascii="Times New Roman" w:eastAsia="Times New Roman" w:hAnsi="Times New Roman"/>
                <w:sz w:val="20"/>
                <w:szCs w:val="20"/>
                <w:highlight w:val="yellow"/>
                <w:lang w:eastAsia="ar-SA"/>
              </w:rPr>
            </w:pPr>
            <w:r>
              <w:rPr>
                <w:rFonts w:ascii="Times New Roman" w:eastAsia="Times New Roman" w:hAnsi="Times New Roman"/>
                <w:sz w:val="20"/>
                <w:szCs w:val="20"/>
                <w:lang w:eastAsia="ar-SA"/>
              </w:rPr>
              <w:t>100</w:t>
            </w:r>
          </w:p>
        </w:tc>
      </w:tr>
      <w:tr w:rsidR="002449C2" w14:paraId="58CD2B7D" w14:textId="77777777">
        <w:trPr>
          <w:cantSplit/>
          <w:jc w:val="center"/>
        </w:trPr>
        <w:tc>
          <w:tcPr>
            <w:tcW w:w="9359" w:type="dxa"/>
            <w:gridSpan w:val="4"/>
            <w:tcBorders>
              <w:top w:val="single" w:sz="4" w:space="0" w:color="000000"/>
              <w:left w:val="single" w:sz="4" w:space="0" w:color="000000"/>
              <w:bottom w:val="single" w:sz="4" w:space="0" w:color="000000"/>
              <w:right w:val="single" w:sz="4" w:space="0" w:color="000000"/>
            </w:tcBorders>
          </w:tcPr>
          <w:p w14:paraId="6EBBE8BC"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bCs/>
                <w:sz w:val="20"/>
                <w:szCs w:val="20"/>
                <w:lang w:eastAsia="ar-SA"/>
              </w:rPr>
              <w:t xml:space="preserve">Состав действующий в период </w:t>
            </w:r>
            <w:r>
              <w:rPr>
                <w:rFonts w:ascii="Times New Roman" w:eastAsia="Times New Roman" w:hAnsi="Times New Roman"/>
                <w:sz w:val="20"/>
                <w:szCs w:val="20"/>
                <w:lang w:eastAsia="ar-SA"/>
              </w:rPr>
              <w:t>с 23.07.2024 по 31.12.2024</w:t>
            </w:r>
          </w:p>
          <w:p w14:paraId="39DC704E" w14:textId="77777777" w:rsidR="002449C2" w:rsidRDefault="00123961">
            <w:pPr>
              <w:shd w:val="clear" w:color="auto" w:fill="FFFFFF"/>
              <w:spacing w:after="0" w:line="240" w:lineRule="auto"/>
              <w:jc w:val="center"/>
              <w:rPr>
                <w:rFonts w:ascii="Times New Roman" w:eastAsia="Times New Roman" w:hAnsi="Times New Roman"/>
                <w:sz w:val="20"/>
                <w:szCs w:val="20"/>
                <w:highlight w:val="yellow"/>
                <w:lang w:eastAsia="ar-SA"/>
              </w:rPr>
            </w:pPr>
            <w:r>
              <w:rPr>
                <w:rFonts w:ascii="Times New Roman" w:eastAsia="Times New Roman" w:hAnsi="Times New Roman"/>
                <w:bCs/>
                <w:sz w:val="20"/>
                <w:szCs w:val="20"/>
                <w:lang w:eastAsia="ar-SA"/>
              </w:rPr>
              <w:t>избран решением Совета директоров 23.07.2024 (протокол от 23.07.2024 №584/2024)</w:t>
            </w:r>
          </w:p>
        </w:tc>
      </w:tr>
      <w:tr w:rsidR="002449C2" w14:paraId="704C1EBC" w14:textId="77777777">
        <w:trPr>
          <w:cantSplit/>
          <w:jc w:val="center"/>
        </w:trPr>
        <w:tc>
          <w:tcPr>
            <w:tcW w:w="9359" w:type="dxa"/>
            <w:gridSpan w:val="4"/>
            <w:tcBorders>
              <w:top w:val="single" w:sz="4" w:space="0" w:color="000000"/>
              <w:left w:val="single" w:sz="4" w:space="0" w:color="000000"/>
              <w:bottom w:val="single" w:sz="4" w:space="0" w:color="000000"/>
              <w:right w:val="single" w:sz="4" w:space="0" w:color="000000"/>
            </w:tcBorders>
          </w:tcPr>
          <w:p w14:paraId="520A3B5E"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Общее количество проведенных заседаний – 5, из них:</w:t>
            </w:r>
          </w:p>
          <w:p w14:paraId="6D9460A2" w14:textId="77777777" w:rsidR="002449C2" w:rsidRDefault="00123961">
            <w:pPr>
              <w:shd w:val="clear" w:color="auto" w:fill="FFFFFF"/>
              <w:spacing w:after="0" w:line="240" w:lineRule="auto"/>
              <w:jc w:val="center"/>
              <w:rPr>
                <w:rFonts w:ascii="Times New Roman" w:eastAsia="Times New Roman" w:hAnsi="Times New Roman"/>
                <w:sz w:val="20"/>
                <w:szCs w:val="20"/>
                <w:highlight w:val="yellow"/>
                <w:lang w:eastAsia="ar-SA"/>
              </w:rPr>
            </w:pPr>
            <w:r>
              <w:rPr>
                <w:rFonts w:ascii="Times New Roman" w:eastAsia="Times New Roman" w:hAnsi="Times New Roman"/>
                <w:sz w:val="20"/>
                <w:szCs w:val="20"/>
                <w:lang w:eastAsia="ar-SA"/>
              </w:rPr>
              <w:t>1 - в форме совместного присутствия (очная форма), 4 - в заочной форме</w:t>
            </w:r>
          </w:p>
        </w:tc>
      </w:tr>
      <w:tr w:rsidR="002449C2" w14:paraId="1DE89EB6"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3344041D"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Уколов</w:t>
            </w:r>
          </w:p>
          <w:p w14:paraId="535EA314"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 xml:space="preserve">Владимир Анатольевич, </w:t>
            </w:r>
            <w:r>
              <w:rPr>
                <w:rFonts w:ascii="Times New Roman" w:hAnsi="Times New Roman"/>
                <w:b/>
                <w:sz w:val="20"/>
                <w:szCs w:val="20"/>
                <w:lang w:eastAsia="ar-SA"/>
              </w:rPr>
              <w:t>Председатель Комитета</w:t>
            </w:r>
          </w:p>
        </w:tc>
        <w:tc>
          <w:tcPr>
            <w:tcW w:w="4685" w:type="dxa"/>
            <w:tcBorders>
              <w:top w:val="single" w:sz="4" w:space="0" w:color="000000"/>
              <w:left w:val="single" w:sz="4" w:space="0" w:color="000000"/>
              <w:bottom w:val="single" w:sz="4" w:space="0" w:color="000000"/>
              <w:right w:val="single" w:sz="4" w:space="0" w:color="000000"/>
            </w:tcBorders>
          </w:tcPr>
          <w:p w14:paraId="70A3083C"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Заместитель главного инженера – главный диспетчер ПАО «Россети»</w:t>
            </w:r>
          </w:p>
        </w:tc>
        <w:tc>
          <w:tcPr>
            <w:tcW w:w="1125" w:type="dxa"/>
            <w:tcBorders>
              <w:top w:val="single" w:sz="4" w:space="0" w:color="000000"/>
              <w:left w:val="single" w:sz="4" w:space="0" w:color="000000"/>
              <w:bottom w:val="single" w:sz="4" w:space="0" w:color="000000"/>
              <w:right w:val="single" w:sz="4" w:space="0" w:color="000000"/>
            </w:tcBorders>
            <w:shd w:val="clear" w:color="auto" w:fill="FFFFFF"/>
          </w:tcPr>
          <w:p w14:paraId="397FDB0F"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5/5</w:t>
            </w:r>
          </w:p>
        </w:tc>
        <w:tc>
          <w:tcPr>
            <w:tcW w:w="860" w:type="dxa"/>
            <w:tcBorders>
              <w:top w:val="single" w:sz="4" w:space="0" w:color="000000"/>
              <w:left w:val="single" w:sz="4" w:space="0" w:color="000000"/>
              <w:bottom w:val="single" w:sz="4" w:space="0" w:color="000000"/>
              <w:right w:val="single" w:sz="4" w:space="0" w:color="000000"/>
            </w:tcBorders>
            <w:shd w:val="clear" w:color="auto" w:fill="FFFFFF"/>
          </w:tcPr>
          <w:p w14:paraId="7903B2A0"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314FC8B5"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001D65E4"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Гончаров</w:t>
            </w:r>
          </w:p>
          <w:p w14:paraId="02DA9108"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Павел Викторович</w:t>
            </w:r>
          </w:p>
        </w:tc>
        <w:tc>
          <w:tcPr>
            <w:tcW w:w="4685" w:type="dxa"/>
            <w:tcBorders>
              <w:top w:val="single" w:sz="4" w:space="0" w:color="000000"/>
              <w:left w:val="single" w:sz="4" w:space="0" w:color="000000"/>
              <w:bottom w:val="single" w:sz="4" w:space="0" w:color="000000"/>
              <w:right w:val="single" w:sz="4" w:space="0" w:color="000000"/>
            </w:tcBorders>
          </w:tcPr>
          <w:p w14:paraId="15FA920A"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Первый заместитель Генерального директора - Главный инженер ПАО «Россети Юг»,</w:t>
            </w:r>
          </w:p>
          <w:p w14:paraId="48C138FA"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i/>
                <w:sz w:val="20"/>
                <w:szCs w:val="20"/>
                <w:lang w:eastAsia="ar-SA"/>
              </w:rPr>
              <w:t>член Правления ПАО «Россети Юг»</w:t>
            </w:r>
          </w:p>
        </w:tc>
        <w:tc>
          <w:tcPr>
            <w:tcW w:w="1125" w:type="dxa"/>
            <w:tcBorders>
              <w:top w:val="single" w:sz="4" w:space="0" w:color="000000"/>
              <w:left w:val="single" w:sz="4" w:space="0" w:color="000000"/>
              <w:bottom w:val="single" w:sz="4" w:space="0" w:color="000000"/>
              <w:right w:val="single" w:sz="4" w:space="0" w:color="000000"/>
            </w:tcBorders>
            <w:shd w:val="clear" w:color="auto" w:fill="FFFFFF"/>
          </w:tcPr>
          <w:p w14:paraId="37B3A0FB" w14:textId="77777777" w:rsidR="002449C2" w:rsidRDefault="00123961">
            <w:pPr>
              <w:shd w:val="clear" w:color="auto" w:fill="FFFFFF"/>
              <w:spacing w:after="0" w:line="240" w:lineRule="auto"/>
              <w:jc w:val="center"/>
              <w:rPr>
                <w:rFonts w:ascii="Times New Roman" w:eastAsia="Times New Roman" w:hAnsi="Times New Roman"/>
                <w:sz w:val="20"/>
                <w:szCs w:val="20"/>
                <w:highlight w:val="yellow"/>
                <w:lang w:eastAsia="ar-SA"/>
              </w:rPr>
            </w:pPr>
            <w:r>
              <w:rPr>
                <w:rFonts w:ascii="Times New Roman" w:eastAsia="Times New Roman" w:hAnsi="Times New Roman"/>
                <w:sz w:val="20"/>
                <w:szCs w:val="20"/>
                <w:lang w:eastAsia="ar-SA"/>
              </w:rPr>
              <w:t>5/5</w:t>
            </w:r>
          </w:p>
        </w:tc>
        <w:tc>
          <w:tcPr>
            <w:tcW w:w="860" w:type="dxa"/>
            <w:tcBorders>
              <w:top w:val="single" w:sz="4" w:space="0" w:color="000000"/>
              <w:left w:val="single" w:sz="4" w:space="0" w:color="000000"/>
              <w:bottom w:val="single" w:sz="4" w:space="0" w:color="000000"/>
              <w:right w:val="single" w:sz="4" w:space="0" w:color="000000"/>
            </w:tcBorders>
            <w:shd w:val="clear" w:color="auto" w:fill="FFFFFF"/>
          </w:tcPr>
          <w:p w14:paraId="01338A5D" w14:textId="77777777" w:rsidR="002449C2" w:rsidRDefault="00123961">
            <w:pPr>
              <w:shd w:val="clear" w:color="auto" w:fill="FFFFFF"/>
              <w:spacing w:after="0" w:line="240" w:lineRule="auto"/>
              <w:jc w:val="center"/>
              <w:rPr>
                <w:rFonts w:ascii="Times New Roman" w:eastAsia="Times New Roman" w:hAnsi="Times New Roman"/>
                <w:sz w:val="20"/>
                <w:szCs w:val="20"/>
                <w:highlight w:val="yellow"/>
                <w:lang w:eastAsia="ar-SA"/>
              </w:rPr>
            </w:pPr>
            <w:r>
              <w:rPr>
                <w:rFonts w:ascii="Times New Roman" w:eastAsia="Times New Roman" w:hAnsi="Times New Roman"/>
                <w:sz w:val="20"/>
                <w:szCs w:val="20"/>
                <w:lang w:eastAsia="ar-SA"/>
              </w:rPr>
              <w:t>100</w:t>
            </w:r>
          </w:p>
        </w:tc>
      </w:tr>
      <w:tr w:rsidR="002449C2" w14:paraId="37940F14"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5CD3A710"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Зархин</w:t>
            </w:r>
          </w:p>
          <w:p w14:paraId="7281136B" w14:textId="79A8DC9E" w:rsidR="002449C2" w:rsidRDefault="00123961" w:rsidP="00BD1222">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Виталий Юрьевич</w:t>
            </w:r>
            <w:bookmarkStart w:id="195" w:name="_GoBack"/>
            <w:bookmarkEnd w:id="195"/>
          </w:p>
        </w:tc>
        <w:tc>
          <w:tcPr>
            <w:tcW w:w="4685" w:type="dxa"/>
            <w:tcBorders>
              <w:top w:val="single" w:sz="4" w:space="0" w:color="000000"/>
              <w:left w:val="single" w:sz="4" w:space="0" w:color="000000"/>
              <w:bottom w:val="single" w:sz="4" w:space="0" w:color="000000"/>
              <w:right w:val="single" w:sz="4" w:space="0" w:color="000000"/>
            </w:tcBorders>
          </w:tcPr>
          <w:p w14:paraId="5CD2F086" w14:textId="77777777" w:rsidR="002449C2" w:rsidRDefault="00123961">
            <w:pPr>
              <w:shd w:val="clear" w:color="auto" w:fill="FFFFFF"/>
              <w:spacing w:after="0" w:line="240" w:lineRule="auto"/>
              <w:rPr>
                <w:rFonts w:ascii="Times New Roman" w:hAnsi="Times New Roman"/>
                <w:i/>
                <w:sz w:val="20"/>
                <w:szCs w:val="20"/>
                <w:lang w:eastAsia="ar-SA"/>
              </w:rPr>
            </w:pPr>
            <w:r>
              <w:rPr>
                <w:rFonts w:ascii="Times New Roman" w:hAnsi="Times New Roman"/>
                <w:i/>
                <w:sz w:val="20"/>
                <w:szCs w:val="20"/>
                <w:lang w:eastAsia="ar-SA"/>
              </w:rPr>
              <w:t>Член Совета директоров ПАО «Россети Юг»</w:t>
            </w:r>
          </w:p>
        </w:tc>
        <w:tc>
          <w:tcPr>
            <w:tcW w:w="1125" w:type="dxa"/>
            <w:tcBorders>
              <w:top w:val="single" w:sz="4" w:space="0" w:color="000000"/>
              <w:left w:val="single" w:sz="4" w:space="0" w:color="000000"/>
              <w:bottom w:val="single" w:sz="4" w:space="0" w:color="000000"/>
              <w:right w:val="single" w:sz="4" w:space="0" w:color="000000"/>
            </w:tcBorders>
            <w:shd w:val="clear" w:color="auto" w:fill="FFFFFF"/>
          </w:tcPr>
          <w:p w14:paraId="236219E0" w14:textId="77777777" w:rsidR="002449C2" w:rsidRDefault="00123961">
            <w:pPr>
              <w:shd w:val="clear" w:color="auto" w:fill="FFFFFF"/>
              <w:spacing w:after="0" w:line="240" w:lineRule="auto"/>
              <w:jc w:val="center"/>
              <w:rPr>
                <w:rFonts w:ascii="Times New Roman" w:eastAsia="Times New Roman" w:hAnsi="Times New Roman"/>
                <w:sz w:val="20"/>
                <w:szCs w:val="20"/>
                <w:highlight w:val="yellow"/>
                <w:lang w:eastAsia="ar-SA"/>
              </w:rPr>
            </w:pPr>
            <w:r>
              <w:rPr>
                <w:rFonts w:ascii="Times New Roman" w:eastAsia="Times New Roman" w:hAnsi="Times New Roman"/>
                <w:sz w:val="20"/>
                <w:szCs w:val="20"/>
                <w:lang w:eastAsia="ar-SA"/>
              </w:rPr>
              <w:t>5/5</w:t>
            </w:r>
          </w:p>
        </w:tc>
        <w:tc>
          <w:tcPr>
            <w:tcW w:w="860" w:type="dxa"/>
            <w:tcBorders>
              <w:top w:val="single" w:sz="4" w:space="0" w:color="000000"/>
              <w:left w:val="single" w:sz="4" w:space="0" w:color="000000"/>
              <w:bottom w:val="single" w:sz="4" w:space="0" w:color="000000"/>
              <w:right w:val="single" w:sz="4" w:space="0" w:color="000000"/>
            </w:tcBorders>
            <w:shd w:val="clear" w:color="auto" w:fill="FFFFFF"/>
          </w:tcPr>
          <w:p w14:paraId="05876E03" w14:textId="77777777" w:rsidR="002449C2" w:rsidRDefault="00123961">
            <w:pPr>
              <w:shd w:val="clear" w:color="auto" w:fill="FFFFFF"/>
              <w:spacing w:after="0" w:line="240" w:lineRule="auto"/>
              <w:jc w:val="center"/>
              <w:rPr>
                <w:rFonts w:ascii="Times New Roman" w:eastAsia="Times New Roman" w:hAnsi="Times New Roman"/>
                <w:sz w:val="20"/>
                <w:szCs w:val="20"/>
                <w:highlight w:val="yellow"/>
                <w:lang w:eastAsia="ar-SA"/>
              </w:rPr>
            </w:pPr>
            <w:r>
              <w:rPr>
                <w:rFonts w:ascii="Times New Roman" w:eastAsia="Times New Roman" w:hAnsi="Times New Roman"/>
                <w:sz w:val="20"/>
                <w:szCs w:val="20"/>
                <w:lang w:eastAsia="ar-SA"/>
              </w:rPr>
              <w:t>100</w:t>
            </w:r>
          </w:p>
        </w:tc>
      </w:tr>
      <w:tr w:rsidR="002449C2" w14:paraId="5861AE24"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46134FA0"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Иорданиди</w:t>
            </w:r>
          </w:p>
          <w:p w14:paraId="6DE29366"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Кирилл Александрович</w:t>
            </w:r>
          </w:p>
        </w:tc>
        <w:tc>
          <w:tcPr>
            <w:tcW w:w="4685" w:type="dxa"/>
            <w:tcBorders>
              <w:top w:val="single" w:sz="4" w:space="0" w:color="000000"/>
              <w:left w:val="single" w:sz="4" w:space="0" w:color="000000"/>
              <w:bottom w:val="single" w:sz="4" w:space="0" w:color="000000"/>
              <w:right w:val="single" w:sz="4" w:space="0" w:color="000000"/>
            </w:tcBorders>
          </w:tcPr>
          <w:p w14:paraId="283DADF0"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Заместитель Генерального директора по экономике и финансам ПАО «Россети Юг»,</w:t>
            </w:r>
          </w:p>
          <w:p w14:paraId="614689A8"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i/>
                <w:sz w:val="20"/>
                <w:szCs w:val="20"/>
                <w:lang w:eastAsia="ar-SA"/>
              </w:rPr>
              <w:t>член Правления ПАО «Россети Юг»</w:t>
            </w:r>
          </w:p>
        </w:tc>
        <w:tc>
          <w:tcPr>
            <w:tcW w:w="1125" w:type="dxa"/>
            <w:tcBorders>
              <w:top w:val="single" w:sz="4" w:space="0" w:color="000000"/>
              <w:left w:val="single" w:sz="4" w:space="0" w:color="000000"/>
              <w:bottom w:val="single" w:sz="4" w:space="0" w:color="000000"/>
              <w:right w:val="single" w:sz="4" w:space="0" w:color="000000"/>
            </w:tcBorders>
            <w:shd w:val="clear" w:color="auto" w:fill="FFFFFF"/>
          </w:tcPr>
          <w:p w14:paraId="6A1BD815" w14:textId="77777777" w:rsidR="002449C2" w:rsidRDefault="00123961">
            <w:pPr>
              <w:shd w:val="clear" w:color="auto" w:fill="FFFFFF"/>
              <w:spacing w:after="0" w:line="240" w:lineRule="auto"/>
              <w:jc w:val="center"/>
              <w:rPr>
                <w:rFonts w:ascii="Times New Roman" w:eastAsia="Times New Roman" w:hAnsi="Times New Roman"/>
                <w:sz w:val="20"/>
                <w:szCs w:val="20"/>
                <w:highlight w:val="yellow"/>
                <w:lang w:eastAsia="ar-SA"/>
              </w:rPr>
            </w:pPr>
            <w:r>
              <w:rPr>
                <w:rFonts w:ascii="Times New Roman" w:eastAsia="Times New Roman" w:hAnsi="Times New Roman"/>
                <w:sz w:val="20"/>
                <w:szCs w:val="20"/>
                <w:lang w:eastAsia="ar-SA"/>
              </w:rPr>
              <w:t>5/5</w:t>
            </w:r>
          </w:p>
        </w:tc>
        <w:tc>
          <w:tcPr>
            <w:tcW w:w="860" w:type="dxa"/>
            <w:tcBorders>
              <w:top w:val="single" w:sz="4" w:space="0" w:color="000000"/>
              <w:left w:val="single" w:sz="4" w:space="0" w:color="000000"/>
              <w:bottom w:val="single" w:sz="4" w:space="0" w:color="000000"/>
              <w:right w:val="single" w:sz="4" w:space="0" w:color="000000"/>
            </w:tcBorders>
            <w:shd w:val="clear" w:color="auto" w:fill="FFFFFF"/>
          </w:tcPr>
          <w:p w14:paraId="493D869A" w14:textId="77777777" w:rsidR="002449C2" w:rsidRDefault="00123961">
            <w:pPr>
              <w:shd w:val="clear" w:color="auto" w:fill="FFFFFF"/>
              <w:spacing w:after="0" w:line="240" w:lineRule="auto"/>
              <w:jc w:val="center"/>
              <w:rPr>
                <w:rFonts w:ascii="Times New Roman" w:eastAsia="Times New Roman" w:hAnsi="Times New Roman"/>
                <w:sz w:val="20"/>
                <w:szCs w:val="20"/>
                <w:highlight w:val="yellow"/>
                <w:lang w:eastAsia="ar-SA"/>
              </w:rPr>
            </w:pPr>
            <w:r>
              <w:rPr>
                <w:rFonts w:ascii="Times New Roman" w:eastAsia="Times New Roman" w:hAnsi="Times New Roman"/>
                <w:sz w:val="20"/>
                <w:szCs w:val="20"/>
                <w:lang w:eastAsia="ar-SA"/>
              </w:rPr>
              <w:t>100</w:t>
            </w:r>
          </w:p>
        </w:tc>
      </w:tr>
      <w:tr w:rsidR="002449C2" w14:paraId="707DDE9B" w14:textId="77777777">
        <w:trPr>
          <w:cantSplit/>
          <w:jc w:val="center"/>
        </w:trPr>
        <w:tc>
          <w:tcPr>
            <w:tcW w:w="2689" w:type="dxa"/>
            <w:tcBorders>
              <w:top w:val="single" w:sz="4" w:space="0" w:color="000000"/>
              <w:left w:val="single" w:sz="4" w:space="0" w:color="000000"/>
              <w:bottom w:val="single" w:sz="4" w:space="0" w:color="000000"/>
              <w:right w:val="single" w:sz="4" w:space="0" w:color="000000"/>
            </w:tcBorders>
          </w:tcPr>
          <w:p w14:paraId="36628002"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Пилюгин</w:t>
            </w:r>
          </w:p>
          <w:p w14:paraId="7BD599E6"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Александр Викторович</w:t>
            </w:r>
          </w:p>
        </w:tc>
        <w:tc>
          <w:tcPr>
            <w:tcW w:w="4685" w:type="dxa"/>
            <w:tcBorders>
              <w:top w:val="single" w:sz="4" w:space="0" w:color="000000"/>
              <w:left w:val="single" w:sz="4" w:space="0" w:color="000000"/>
              <w:bottom w:val="single" w:sz="4" w:space="0" w:color="000000"/>
              <w:right w:val="single" w:sz="4" w:space="0" w:color="000000"/>
            </w:tcBorders>
          </w:tcPr>
          <w:p w14:paraId="4C7E1034"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Заместитель Генерального директора  по производственному контролю</w:t>
            </w:r>
          </w:p>
        </w:tc>
        <w:tc>
          <w:tcPr>
            <w:tcW w:w="1125" w:type="dxa"/>
            <w:tcBorders>
              <w:top w:val="single" w:sz="4" w:space="0" w:color="000000"/>
              <w:left w:val="single" w:sz="4" w:space="0" w:color="000000"/>
              <w:bottom w:val="single" w:sz="4" w:space="0" w:color="000000"/>
              <w:right w:val="single" w:sz="4" w:space="0" w:color="000000"/>
            </w:tcBorders>
            <w:shd w:val="clear" w:color="auto" w:fill="FFFFFF"/>
          </w:tcPr>
          <w:p w14:paraId="1B407A47" w14:textId="77777777" w:rsidR="002449C2" w:rsidRDefault="00123961">
            <w:pPr>
              <w:shd w:val="clear" w:color="auto" w:fill="FFFFFF"/>
              <w:spacing w:after="0" w:line="240" w:lineRule="auto"/>
              <w:jc w:val="center"/>
              <w:rPr>
                <w:rFonts w:ascii="Times New Roman" w:eastAsia="Times New Roman" w:hAnsi="Times New Roman"/>
                <w:sz w:val="20"/>
                <w:szCs w:val="20"/>
                <w:highlight w:val="yellow"/>
                <w:lang w:eastAsia="ar-SA"/>
              </w:rPr>
            </w:pPr>
            <w:r>
              <w:rPr>
                <w:rFonts w:ascii="Times New Roman" w:eastAsia="Times New Roman" w:hAnsi="Times New Roman"/>
                <w:sz w:val="20"/>
                <w:szCs w:val="20"/>
                <w:lang w:eastAsia="ar-SA"/>
              </w:rPr>
              <w:t>5/5</w:t>
            </w:r>
          </w:p>
        </w:tc>
        <w:tc>
          <w:tcPr>
            <w:tcW w:w="860" w:type="dxa"/>
            <w:tcBorders>
              <w:top w:val="single" w:sz="4" w:space="0" w:color="000000"/>
              <w:left w:val="single" w:sz="4" w:space="0" w:color="000000"/>
              <w:bottom w:val="single" w:sz="4" w:space="0" w:color="000000"/>
              <w:right w:val="single" w:sz="4" w:space="0" w:color="000000"/>
            </w:tcBorders>
            <w:shd w:val="clear" w:color="auto" w:fill="FFFFFF"/>
          </w:tcPr>
          <w:p w14:paraId="139FB20A" w14:textId="77777777" w:rsidR="002449C2" w:rsidRDefault="00123961">
            <w:pPr>
              <w:shd w:val="clear" w:color="auto" w:fill="FFFFFF"/>
              <w:spacing w:after="0" w:line="240" w:lineRule="auto"/>
              <w:jc w:val="center"/>
              <w:rPr>
                <w:rFonts w:ascii="Times New Roman" w:eastAsia="Times New Roman" w:hAnsi="Times New Roman"/>
                <w:sz w:val="20"/>
                <w:szCs w:val="20"/>
                <w:highlight w:val="yellow"/>
                <w:lang w:eastAsia="ar-SA"/>
              </w:rPr>
            </w:pPr>
            <w:r>
              <w:rPr>
                <w:rFonts w:ascii="Times New Roman" w:eastAsia="Times New Roman" w:hAnsi="Times New Roman"/>
                <w:sz w:val="20"/>
                <w:szCs w:val="20"/>
                <w:lang w:eastAsia="ar-SA"/>
              </w:rPr>
              <w:t>100</w:t>
            </w:r>
          </w:p>
        </w:tc>
      </w:tr>
    </w:tbl>
    <w:p w14:paraId="27D1CA42" w14:textId="77777777" w:rsidR="002449C2" w:rsidRDefault="002449C2">
      <w:pPr>
        <w:shd w:val="clear" w:color="auto" w:fill="FFFFFF"/>
        <w:tabs>
          <w:tab w:val="left" w:pos="142"/>
        </w:tabs>
        <w:spacing w:after="0" w:line="240" w:lineRule="auto"/>
        <w:ind w:firstLine="567"/>
        <w:jc w:val="center"/>
        <w:rPr>
          <w:rFonts w:ascii="Times New Roman" w:hAnsi="Times New Roman"/>
          <w:bCs/>
          <w:color w:val="0069FB"/>
          <w:sz w:val="26"/>
          <w:szCs w:val="26"/>
          <w:lang w:eastAsia="en-US"/>
        </w:rPr>
      </w:pPr>
    </w:p>
    <w:p w14:paraId="364919D2"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Деятельность в 2024 году</w:t>
      </w:r>
    </w:p>
    <w:p w14:paraId="2D7070F2"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отчетном году проведено 14 заседаний Комитета, в том числе 2 заседания в форме совместного присутствия (очная форма), на которых рассмотрено 22 вопросов.</w:t>
      </w:r>
    </w:p>
    <w:p w14:paraId="4DA9BDB8" w14:textId="77777777" w:rsidR="002449C2" w:rsidRDefault="002449C2">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p>
    <w:p w14:paraId="03E01277" w14:textId="77777777" w:rsidR="002449C2" w:rsidRDefault="00123961">
      <w:pPr>
        <w:shd w:val="clear" w:color="auto" w:fill="FFFFFF"/>
        <w:tabs>
          <w:tab w:val="left" w:pos="142"/>
        </w:tabs>
        <w:spacing w:after="0" w:line="240" w:lineRule="auto"/>
        <w:ind w:firstLine="709"/>
        <w:jc w:val="center"/>
        <w:rPr>
          <w:rFonts w:ascii="Times New Roman" w:eastAsia="Times New Roman" w:hAnsi="Times New Roman"/>
          <w:i/>
          <w:sz w:val="26"/>
          <w:szCs w:val="26"/>
          <w:lang w:eastAsia="ru-RU"/>
        </w:rPr>
      </w:pPr>
      <w:r>
        <w:rPr>
          <w:rFonts w:ascii="Times New Roman" w:eastAsia="Times New Roman" w:hAnsi="Times New Roman"/>
          <w:i/>
          <w:sz w:val="26"/>
          <w:szCs w:val="26"/>
          <w:lang w:eastAsia="ru-RU"/>
        </w:rPr>
        <w:t>Статистика заседаний</w:t>
      </w:r>
    </w:p>
    <w:p w14:paraId="463111CF" w14:textId="77777777" w:rsidR="002449C2" w:rsidRDefault="00123961">
      <w:pPr>
        <w:shd w:val="clear" w:color="auto" w:fill="FFFFFF"/>
        <w:spacing w:after="0" w:line="240" w:lineRule="auto"/>
        <w:jc w:val="both"/>
        <w:rPr>
          <w:rFonts w:ascii="Times New Roman" w:eastAsia="Times New Roman" w:hAnsi="Times New Roman"/>
          <w:spacing w:val="-2"/>
          <w:sz w:val="26"/>
          <w:szCs w:val="26"/>
          <w:lang w:eastAsia="ru-RU"/>
        </w:rPr>
      </w:pPr>
      <w:r>
        <w:rPr>
          <w:noProof/>
          <w:lang w:eastAsia="ru-RU"/>
        </w:rPr>
        <w:drawing>
          <wp:inline distT="0" distB="0" distL="0" distR="0" wp14:anchorId="40C26853" wp14:editId="7D290AF2">
            <wp:extent cx="6096635" cy="2566670"/>
            <wp:effectExtent l="0" t="0" r="0" b="0"/>
            <wp:docPr id="119" name="_x005F_x0000_i4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_x005F_x0000_i4498"/>
                    <pic:cNvPicPr>
                      <a:picLocks noChangeAspect="1" noChangeArrowheads="1"/>
                    </pic:cNvPicPr>
                  </pic:nvPicPr>
                  <pic:blipFill>
                    <a:blip r:embed="rId169"/>
                    <a:stretch>
                      <a:fillRect/>
                    </a:stretch>
                  </pic:blipFill>
                  <pic:spPr bwMode="auto">
                    <a:xfrm>
                      <a:off x="0" y="0"/>
                      <a:ext cx="6096635" cy="2566670"/>
                    </a:xfrm>
                    <a:prstGeom prst="rect">
                      <a:avLst/>
                    </a:prstGeom>
                    <a:noFill/>
                  </pic:spPr>
                </pic:pic>
              </a:graphicData>
            </a:graphic>
          </wp:inline>
        </w:drawing>
      </w:r>
    </w:p>
    <w:p w14:paraId="6384FCFA" w14:textId="77777777" w:rsidR="002449C2" w:rsidRDefault="002449C2">
      <w:pPr>
        <w:shd w:val="clear" w:color="auto" w:fill="FFFFFF"/>
        <w:spacing w:after="0" w:line="240" w:lineRule="auto"/>
        <w:jc w:val="both"/>
        <w:rPr>
          <w:rFonts w:ascii="Times New Roman" w:eastAsia="Times New Roman" w:hAnsi="Times New Roman"/>
          <w:spacing w:val="-2"/>
          <w:sz w:val="26"/>
          <w:szCs w:val="26"/>
          <w:lang w:eastAsia="ru-RU"/>
        </w:rPr>
      </w:pPr>
    </w:p>
    <w:p w14:paraId="7FE9E74C" w14:textId="77777777" w:rsidR="002449C2" w:rsidRDefault="00123961">
      <w:pPr>
        <w:shd w:val="clear" w:color="auto" w:fill="FFFFFF"/>
        <w:tabs>
          <w:tab w:val="left" w:pos="142"/>
        </w:tabs>
        <w:spacing w:after="0" w:line="240" w:lineRule="auto"/>
        <w:jc w:val="center"/>
        <w:rPr>
          <w:rFonts w:ascii="Times New Roman" w:eastAsia="Times New Roman" w:hAnsi="Times New Roman"/>
          <w:i/>
          <w:sz w:val="26"/>
          <w:szCs w:val="26"/>
          <w:lang w:eastAsia="ru-RU"/>
        </w:rPr>
      </w:pPr>
      <w:r>
        <w:rPr>
          <w:rFonts w:ascii="Times New Roman" w:eastAsia="Times New Roman" w:hAnsi="Times New Roman"/>
          <w:i/>
          <w:sz w:val="26"/>
          <w:szCs w:val="26"/>
          <w:lang w:eastAsia="ru-RU"/>
        </w:rPr>
        <w:t>Анализ изменений 2023/2024 годы</w:t>
      </w:r>
    </w:p>
    <w:tbl>
      <w:tblPr>
        <w:tblW w:w="9345" w:type="dxa"/>
        <w:tblLayout w:type="fixed"/>
        <w:tblLook w:val="04A0" w:firstRow="1" w:lastRow="0" w:firstColumn="1" w:lastColumn="0" w:noHBand="0" w:noVBand="1"/>
      </w:tblPr>
      <w:tblGrid>
        <w:gridCol w:w="1869"/>
        <w:gridCol w:w="1869"/>
        <w:gridCol w:w="1869"/>
        <w:gridCol w:w="1869"/>
        <w:gridCol w:w="1869"/>
      </w:tblGrid>
      <w:tr w:rsidR="002449C2" w14:paraId="42427AAF" w14:textId="77777777">
        <w:tc>
          <w:tcPr>
            <w:tcW w:w="1869" w:type="dxa"/>
            <w:tcBorders>
              <w:top w:val="single" w:sz="4" w:space="0" w:color="000000"/>
              <w:left w:val="single" w:sz="4" w:space="0" w:color="000000"/>
              <w:bottom w:val="single" w:sz="4" w:space="0" w:color="000000"/>
              <w:right w:val="single" w:sz="4" w:space="0" w:color="000000"/>
            </w:tcBorders>
          </w:tcPr>
          <w:p w14:paraId="4B5B3EB4" w14:textId="77777777" w:rsidR="002449C2" w:rsidRDefault="00123961">
            <w:pPr>
              <w:tabs>
                <w:tab w:val="left" w:pos="142"/>
              </w:tabs>
              <w:spacing w:after="160" w:line="259" w:lineRule="auto"/>
              <w:jc w:val="center"/>
              <w:rPr>
                <w:rFonts w:ascii="Times New Roman" w:hAnsi="Times New Roman"/>
                <w:b/>
                <w:sz w:val="20"/>
                <w:szCs w:val="20"/>
                <w:lang w:eastAsia="en-US"/>
              </w:rPr>
            </w:pPr>
            <w:r>
              <w:rPr>
                <w:rFonts w:ascii="Times New Roman" w:eastAsia="Times New Roman" w:hAnsi="Times New Roman"/>
                <w:b/>
                <w:sz w:val="20"/>
                <w:szCs w:val="20"/>
                <w:lang w:eastAsia="ru-RU"/>
              </w:rPr>
              <w:t>Заседания/ Вопросы</w:t>
            </w:r>
          </w:p>
        </w:tc>
        <w:tc>
          <w:tcPr>
            <w:tcW w:w="1869" w:type="dxa"/>
            <w:tcBorders>
              <w:top w:val="single" w:sz="4" w:space="0" w:color="000000"/>
              <w:left w:val="single" w:sz="4" w:space="0" w:color="000000"/>
              <w:bottom w:val="single" w:sz="4" w:space="0" w:color="000000"/>
              <w:right w:val="single" w:sz="4" w:space="0" w:color="000000"/>
            </w:tcBorders>
          </w:tcPr>
          <w:p w14:paraId="06814F0B" w14:textId="77777777" w:rsidR="002449C2" w:rsidRDefault="00123961">
            <w:pPr>
              <w:tabs>
                <w:tab w:val="left" w:pos="142"/>
              </w:tabs>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2023, шт.</w:t>
            </w:r>
          </w:p>
        </w:tc>
        <w:tc>
          <w:tcPr>
            <w:tcW w:w="1869" w:type="dxa"/>
            <w:tcBorders>
              <w:top w:val="single" w:sz="4" w:space="0" w:color="000000"/>
              <w:left w:val="single" w:sz="4" w:space="0" w:color="000000"/>
              <w:bottom w:val="single" w:sz="4" w:space="0" w:color="000000"/>
              <w:right w:val="single" w:sz="4" w:space="0" w:color="000000"/>
            </w:tcBorders>
          </w:tcPr>
          <w:p w14:paraId="29C20FB2" w14:textId="77777777" w:rsidR="002449C2" w:rsidRDefault="00123961">
            <w:pPr>
              <w:tabs>
                <w:tab w:val="left" w:pos="142"/>
              </w:tabs>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2024, шт.</w:t>
            </w:r>
          </w:p>
        </w:tc>
        <w:tc>
          <w:tcPr>
            <w:tcW w:w="1869" w:type="dxa"/>
            <w:tcBorders>
              <w:top w:val="single" w:sz="4" w:space="0" w:color="000000"/>
              <w:left w:val="single" w:sz="4" w:space="0" w:color="000000"/>
              <w:bottom w:val="single" w:sz="4" w:space="0" w:color="000000"/>
              <w:right w:val="single" w:sz="4" w:space="0" w:color="000000"/>
            </w:tcBorders>
          </w:tcPr>
          <w:p w14:paraId="14E0EA12" w14:textId="77777777" w:rsidR="002449C2" w:rsidRDefault="00123961">
            <w:pPr>
              <w:tabs>
                <w:tab w:val="left" w:pos="142"/>
              </w:tabs>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Изменения 2022/2023, шт.</w:t>
            </w:r>
          </w:p>
        </w:tc>
        <w:tc>
          <w:tcPr>
            <w:tcW w:w="1869" w:type="dxa"/>
            <w:tcBorders>
              <w:top w:val="single" w:sz="4" w:space="0" w:color="000000"/>
              <w:left w:val="single" w:sz="4" w:space="0" w:color="000000"/>
              <w:bottom w:val="single" w:sz="4" w:space="0" w:color="000000"/>
              <w:right w:val="single" w:sz="4" w:space="0" w:color="000000"/>
            </w:tcBorders>
          </w:tcPr>
          <w:p w14:paraId="1380762E" w14:textId="77777777" w:rsidR="002449C2" w:rsidRDefault="00123961">
            <w:pPr>
              <w:tabs>
                <w:tab w:val="left" w:pos="142"/>
              </w:tabs>
              <w:spacing w:after="0" w:line="240" w:lineRule="auto"/>
              <w:jc w:val="center"/>
              <w:rPr>
                <w:rFonts w:ascii="Times New Roman" w:eastAsia="Times New Roman" w:hAnsi="Times New Roman"/>
                <w:i/>
                <w:sz w:val="26"/>
                <w:szCs w:val="26"/>
                <w:lang w:eastAsia="ru-RU"/>
              </w:rPr>
            </w:pPr>
            <w:r>
              <w:rPr>
                <w:rFonts w:ascii="Times New Roman" w:eastAsia="Times New Roman" w:hAnsi="Times New Roman"/>
                <w:b/>
                <w:sz w:val="20"/>
                <w:szCs w:val="20"/>
                <w:lang w:eastAsia="ru-RU"/>
              </w:rPr>
              <w:t>Изменения 2022/2023, %</w:t>
            </w:r>
          </w:p>
        </w:tc>
      </w:tr>
      <w:tr w:rsidR="002449C2" w14:paraId="24277C13" w14:textId="77777777">
        <w:tc>
          <w:tcPr>
            <w:tcW w:w="1869" w:type="dxa"/>
            <w:tcBorders>
              <w:top w:val="single" w:sz="4" w:space="0" w:color="000000"/>
              <w:left w:val="single" w:sz="4" w:space="0" w:color="000000"/>
              <w:bottom w:val="single" w:sz="4" w:space="0" w:color="000000"/>
              <w:right w:val="single" w:sz="4" w:space="0" w:color="000000"/>
            </w:tcBorders>
          </w:tcPr>
          <w:p w14:paraId="0B69595A"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очные</w:t>
            </w:r>
          </w:p>
        </w:tc>
        <w:tc>
          <w:tcPr>
            <w:tcW w:w="1869" w:type="dxa"/>
            <w:tcBorders>
              <w:top w:val="single" w:sz="4" w:space="0" w:color="000000"/>
              <w:left w:val="single" w:sz="4" w:space="0" w:color="000000"/>
              <w:bottom w:val="single" w:sz="4" w:space="0" w:color="000000"/>
              <w:right w:val="single" w:sz="4" w:space="0" w:color="000000"/>
            </w:tcBorders>
          </w:tcPr>
          <w:p w14:paraId="63959A00"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2</w:t>
            </w:r>
          </w:p>
        </w:tc>
        <w:tc>
          <w:tcPr>
            <w:tcW w:w="1869" w:type="dxa"/>
            <w:tcBorders>
              <w:top w:val="single" w:sz="4" w:space="0" w:color="000000"/>
              <w:left w:val="single" w:sz="4" w:space="0" w:color="000000"/>
              <w:bottom w:val="single" w:sz="4" w:space="0" w:color="000000"/>
              <w:right w:val="single" w:sz="4" w:space="0" w:color="000000"/>
            </w:tcBorders>
          </w:tcPr>
          <w:p w14:paraId="7D41D6B3"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2</w:t>
            </w:r>
          </w:p>
        </w:tc>
        <w:tc>
          <w:tcPr>
            <w:tcW w:w="1869" w:type="dxa"/>
            <w:tcBorders>
              <w:top w:val="single" w:sz="4" w:space="0" w:color="000000"/>
              <w:left w:val="single" w:sz="4" w:space="0" w:color="000000"/>
              <w:bottom w:val="single" w:sz="4" w:space="0" w:color="000000"/>
              <w:right w:val="single" w:sz="4" w:space="0" w:color="000000"/>
            </w:tcBorders>
          </w:tcPr>
          <w:p w14:paraId="61D69606"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0</w:t>
            </w:r>
          </w:p>
        </w:tc>
        <w:tc>
          <w:tcPr>
            <w:tcW w:w="1869" w:type="dxa"/>
            <w:tcBorders>
              <w:top w:val="single" w:sz="4" w:space="0" w:color="000000"/>
              <w:left w:val="single" w:sz="4" w:space="0" w:color="000000"/>
              <w:bottom w:val="single" w:sz="4" w:space="0" w:color="000000"/>
              <w:right w:val="single" w:sz="4" w:space="0" w:color="000000"/>
            </w:tcBorders>
          </w:tcPr>
          <w:p w14:paraId="00464DE8"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0</w:t>
            </w:r>
          </w:p>
        </w:tc>
      </w:tr>
      <w:tr w:rsidR="002449C2" w14:paraId="7DF3895C" w14:textId="77777777">
        <w:tc>
          <w:tcPr>
            <w:tcW w:w="1869" w:type="dxa"/>
            <w:tcBorders>
              <w:top w:val="single" w:sz="4" w:space="0" w:color="000000"/>
              <w:left w:val="single" w:sz="4" w:space="0" w:color="000000"/>
              <w:bottom w:val="single" w:sz="4" w:space="0" w:color="000000"/>
              <w:right w:val="single" w:sz="4" w:space="0" w:color="000000"/>
            </w:tcBorders>
          </w:tcPr>
          <w:p w14:paraId="19CFA0A0"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заочные</w:t>
            </w:r>
          </w:p>
        </w:tc>
        <w:tc>
          <w:tcPr>
            <w:tcW w:w="1869" w:type="dxa"/>
            <w:tcBorders>
              <w:top w:val="single" w:sz="4" w:space="0" w:color="000000"/>
              <w:left w:val="single" w:sz="4" w:space="0" w:color="000000"/>
              <w:bottom w:val="single" w:sz="4" w:space="0" w:color="000000"/>
              <w:right w:val="single" w:sz="4" w:space="0" w:color="000000"/>
            </w:tcBorders>
          </w:tcPr>
          <w:p w14:paraId="4D51D312"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12</w:t>
            </w:r>
          </w:p>
        </w:tc>
        <w:tc>
          <w:tcPr>
            <w:tcW w:w="1869" w:type="dxa"/>
            <w:tcBorders>
              <w:top w:val="single" w:sz="4" w:space="0" w:color="000000"/>
              <w:left w:val="single" w:sz="4" w:space="0" w:color="000000"/>
              <w:bottom w:val="single" w:sz="4" w:space="0" w:color="000000"/>
              <w:right w:val="single" w:sz="4" w:space="0" w:color="000000"/>
            </w:tcBorders>
          </w:tcPr>
          <w:p w14:paraId="571B352D"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12</w:t>
            </w:r>
          </w:p>
        </w:tc>
        <w:tc>
          <w:tcPr>
            <w:tcW w:w="1869" w:type="dxa"/>
            <w:tcBorders>
              <w:top w:val="single" w:sz="4" w:space="0" w:color="000000"/>
              <w:left w:val="single" w:sz="4" w:space="0" w:color="000000"/>
              <w:bottom w:val="single" w:sz="4" w:space="0" w:color="000000"/>
              <w:right w:val="single" w:sz="4" w:space="0" w:color="000000"/>
            </w:tcBorders>
          </w:tcPr>
          <w:p w14:paraId="49D3DECE"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0</w:t>
            </w:r>
          </w:p>
        </w:tc>
        <w:tc>
          <w:tcPr>
            <w:tcW w:w="1869" w:type="dxa"/>
            <w:tcBorders>
              <w:top w:val="single" w:sz="4" w:space="0" w:color="000000"/>
              <w:left w:val="single" w:sz="4" w:space="0" w:color="000000"/>
              <w:bottom w:val="single" w:sz="4" w:space="0" w:color="000000"/>
              <w:right w:val="single" w:sz="4" w:space="0" w:color="000000"/>
            </w:tcBorders>
          </w:tcPr>
          <w:p w14:paraId="60176E69"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0</w:t>
            </w:r>
          </w:p>
        </w:tc>
      </w:tr>
      <w:tr w:rsidR="002449C2" w14:paraId="55800240" w14:textId="77777777">
        <w:tc>
          <w:tcPr>
            <w:tcW w:w="1869" w:type="dxa"/>
            <w:tcBorders>
              <w:top w:val="single" w:sz="4" w:space="0" w:color="000000"/>
              <w:left w:val="single" w:sz="4" w:space="0" w:color="000000"/>
              <w:bottom w:val="single" w:sz="4" w:space="0" w:color="000000"/>
              <w:right w:val="single" w:sz="4" w:space="0" w:color="000000"/>
            </w:tcBorders>
          </w:tcPr>
          <w:p w14:paraId="02E978C0"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всего заседаний</w:t>
            </w:r>
          </w:p>
        </w:tc>
        <w:tc>
          <w:tcPr>
            <w:tcW w:w="1869" w:type="dxa"/>
            <w:tcBorders>
              <w:top w:val="single" w:sz="4" w:space="0" w:color="000000"/>
              <w:left w:val="single" w:sz="4" w:space="0" w:color="000000"/>
              <w:bottom w:val="single" w:sz="4" w:space="0" w:color="000000"/>
              <w:right w:val="single" w:sz="4" w:space="0" w:color="000000"/>
            </w:tcBorders>
          </w:tcPr>
          <w:p w14:paraId="51CA07A2"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14</w:t>
            </w:r>
          </w:p>
        </w:tc>
        <w:tc>
          <w:tcPr>
            <w:tcW w:w="1869" w:type="dxa"/>
            <w:tcBorders>
              <w:top w:val="single" w:sz="4" w:space="0" w:color="000000"/>
              <w:left w:val="single" w:sz="4" w:space="0" w:color="000000"/>
              <w:bottom w:val="single" w:sz="4" w:space="0" w:color="000000"/>
              <w:right w:val="single" w:sz="4" w:space="0" w:color="000000"/>
            </w:tcBorders>
          </w:tcPr>
          <w:p w14:paraId="4E93C04C"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14</w:t>
            </w:r>
          </w:p>
        </w:tc>
        <w:tc>
          <w:tcPr>
            <w:tcW w:w="1869" w:type="dxa"/>
            <w:tcBorders>
              <w:top w:val="single" w:sz="4" w:space="0" w:color="000000"/>
              <w:left w:val="single" w:sz="4" w:space="0" w:color="000000"/>
              <w:bottom w:val="single" w:sz="4" w:space="0" w:color="000000"/>
              <w:right w:val="single" w:sz="4" w:space="0" w:color="000000"/>
            </w:tcBorders>
          </w:tcPr>
          <w:p w14:paraId="15450A6A"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0</w:t>
            </w:r>
          </w:p>
        </w:tc>
        <w:tc>
          <w:tcPr>
            <w:tcW w:w="1869" w:type="dxa"/>
            <w:tcBorders>
              <w:top w:val="single" w:sz="4" w:space="0" w:color="000000"/>
              <w:left w:val="single" w:sz="4" w:space="0" w:color="000000"/>
              <w:bottom w:val="single" w:sz="4" w:space="0" w:color="000000"/>
              <w:right w:val="single" w:sz="4" w:space="0" w:color="000000"/>
            </w:tcBorders>
          </w:tcPr>
          <w:p w14:paraId="14AD4014"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0</w:t>
            </w:r>
          </w:p>
        </w:tc>
      </w:tr>
      <w:tr w:rsidR="002449C2" w14:paraId="05097CC7" w14:textId="77777777">
        <w:tc>
          <w:tcPr>
            <w:tcW w:w="1869" w:type="dxa"/>
            <w:tcBorders>
              <w:top w:val="single" w:sz="4" w:space="0" w:color="000000"/>
              <w:left w:val="single" w:sz="4" w:space="0" w:color="000000"/>
              <w:bottom w:val="single" w:sz="4" w:space="0" w:color="000000"/>
              <w:right w:val="single" w:sz="4" w:space="0" w:color="000000"/>
            </w:tcBorders>
          </w:tcPr>
          <w:p w14:paraId="2AE339ED"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всего вопросов</w:t>
            </w:r>
          </w:p>
        </w:tc>
        <w:tc>
          <w:tcPr>
            <w:tcW w:w="1869" w:type="dxa"/>
            <w:tcBorders>
              <w:top w:val="single" w:sz="4" w:space="0" w:color="000000"/>
              <w:left w:val="single" w:sz="4" w:space="0" w:color="000000"/>
              <w:bottom w:val="single" w:sz="4" w:space="0" w:color="000000"/>
              <w:right w:val="single" w:sz="4" w:space="0" w:color="000000"/>
            </w:tcBorders>
          </w:tcPr>
          <w:p w14:paraId="6A32096B"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25</w:t>
            </w:r>
          </w:p>
        </w:tc>
        <w:tc>
          <w:tcPr>
            <w:tcW w:w="1869" w:type="dxa"/>
            <w:tcBorders>
              <w:top w:val="single" w:sz="4" w:space="0" w:color="000000"/>
              <w:left w:val="single" w:sz="4" w:space="0" w:color="000000"/>
              <w:bottom w:val="single" w:sz="4" w:space="0" w:color="000000"/>
              <w:right w:val="single" w:sz="4" w:space="0" w:color="000000"/>
            </w:tcBorders>
          </w:tcPr>
          <w:p w14:paraId="1CA04349"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22</w:t>
            </w:r>
          </w:p>
        </w:tc>
        <w:tc>
          <w:tcPr>
            <w:tcW w:w="1869" w:type="dxa"/>
            <w:tcBorders>
              <w:top w:val="single" w:sz="4" w:space="0" w:color="000000"/>
              <w:left w:val="single" w:sz="4" w:space="0" w:color="000000"/>
              <w:bottom w:val="single" w:sz="4" w:space="0" w:color="000000"/>
              <w:right w:val="single" w:sz="4" w:space="0" w:color="000000"/>
            </w:tcBorders>
          </w:tcPr>
          <w:p w14:paraId="4B421332"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-3</w:t>
            </w:r>
          </w:p>
        </w:tc>
        <w:tc>
          <w:tcPr>
            <w:tcW w:w="1869" w:type="dxa"/>
            <w:tcBorders>
              <w:top w:val="single" w:sz="4" w:space="0" w:color="000000"/>
              <w:left w:val="single" w:sz="4" w:space="0" w:color="000000"/>
              <w:bottom w:val="single" w:sz="4" w:space="0" w:color="000000"/>
              <w:right w:val="single" w:sz="4" w:space="0" w:color="000000"/>
            </w:tcBorders>
          </w:tcPr>
          <w:p w14:paraId="40E75089"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-13,64</w:t>
            </w:r>
          </w:p>
        </w:tc>
      </w:tr>
    </w:tbl>
    <w:p w14:paraId="58048C13" w14:textId="77777777" w:rsidR="002449C2" w:rsidRDefault="002449C2">
      <w:pPr>
        <w:shd w:val="clear" w:color="auto" w:fill="FFFFFF"/>
        <w:spacing w:after="0" w:line="240" w:lineRule="auto"/>
        <w:jc w:val="both"/>
        <w:rPr>
          <w:rFonts w:ascii="Times New Roman" w:eastAsia="Times New Roman" w:hAnsi="Times New Roman"/>
          <w:spacing w:val="-2"/>
          <w:sz w:val="26"/>
          <w:szCs w:val="26"/>
          <w:lang w:eastAsia="ru-RU"/>
        </w:rPr>
      </w:pPr>
    </w:p>
    <w:p w14:paraId="417E8E11" w14:textId="77777777" w:rsidR="002449C2" w:rsidRDefault="002449C2">
      <w:pPr>
        <w:widowControl w:val="0"/>
        <w:tabs>
          <w:tab w:val="left" w:pos="1134"/>
        </w:tabs>
        <w:spacing w:after="0" w:line="240" w:lineRule="auto"/>
        <w:jc w:val="center"/>
        <w:rPr>
          <w:rFonts w:ascii="Times New Roman" w:eastAsia="Times New Roman" w:hAnsi="Times New Roman"/>
          <w:i/>
          <w:sz w:val="26"/>
          <w:szCs w:val="26"/>
          <w:lang w:eastAsia="ru-RU"/>
        </w:rPr>
      </w:pPr>
    </w:p>
    <w:p w14:paraId="2F1D01DC" w14:textId="77777777" w:rsidR="002449C2" w:rsidRDefault="002449C2">
      <w:pPr>
        <w:widowControl w:val="0"/>
        <w:tabs>
          <w:tab w:val="left" w:pos="1134"/>
        </w:tabs>
        <w:spacing w:after="0" w:line="240" w:lineRule="auto"/>
        <w:jc w:val="center"/>
        <w:rPr>
          <w:rFonts w:ascii="Times New Roman" w:eastAsia="Times New Roman" w:hAnsi="Times New Roman"/>
          <w:i/>
          <w:sz w:val="26"/>
          <w:szCs w:val="26"/>
          <w:lang w:eastAsia="ru-RU"/>
        </w:rPr>
      </w:pPr>
    </w:p>
    <w:p w14:paraId="06DD2D0B" w14:textId="77777777" w:rsidR="002449C2" w:rsidRDefault="00123961">
      <w:pPr>
        <w:widowControl w:val="0"/>
        <w:tabs>
          <w:tab w:val="left" w:pos="1134"/>
        </w:tabs>
        <w:spacing w:after="0" w:line="240" w:lineRule="auto"/>
        <w:jc w:val="center"/>
        <w:rPr>
          <w:rFonts w:ascii="Times New Roman" w:eastAsia="Times New Roman" w:hAnsi="Times New Roman"/>
          <w:i/>
          <w:sz w:val="26"/>
          <w:szCs w:val="26"/>
          <w:lang w:eastAsia="ru-RU"/>
        </w:rPr>
      </w:pPr>
      <w:r>
        <w:rPr>
          <w:rFonts w:ascii="Times New Roman" w:eastAsia="Times New Roman" w:hAnsi="Times New Roman"/>
          <w:i/>
          <w:sz w:val="26"/>
          <w:szCs w:val="26"/>
          <w:lang w:eastAsia="ru-RU"/>
        </w:rPr>
        <w:t>Календарь заседаний</w:t>
      </w:r>
    </w:p>
    <w:tbl>
      <w:tblPr>
        <w:tblpPr w:leftFromText="180" w:rightFromText="180" w:bottomFromText="200" w:vertAnchor="text" w:horzAnchor="margin" w:tblpY="67"/>
        <w:tblW w:w="9570" w:type="dxa"/>
        <w:tblLayout w:type="fixed"/>
        <w:tblLook w:val="04A0" w:firstRow="1" w:lastRow="0" w:firstColumn="1" w:lastColumn="0" w:noHBand="0" w:noVBand="1"/>
      </w:tblPr>
      <w:tblGrid>
        <w:gridCol w:w="2945"/>
        <w:gridCol w:w="551"/>
        <w:gridCol w:w="555"/>
        <w:gridCol w:w="556"/>
        <w:gridCol w:w="552"/>
        <w:gridCol w:w="547"/>
        <w:gridCol w:w="552"/>
        <w:gridCol w:w="553"/>
        <w:gridCol w:w="556"/>
        <w:gridCol w:w="553"/>
        <w:gridCol w:w="546"/>
        <w:gridCol w:w="552"/>
        <w:gridCol w:w="552"/>
      </w:tblGrid>
      <w:tr w:rsidR="002449C2" w14:paraId="7D981074" w14:textId="77777777">
        <w:trPr>
          <w:cantSplit/>
          <w:trHeight w:val="983"/>
        </w:trPr>
        <w:tc>
          <w:tcPr>
            <w:tcW w:w="2944" w:type="dxa"/>
            <w:tcBorders>
              <w:top w:val="single" w:sz="4" w:space="0" w:color="000000"/>
              <w:left w:val="single" w:sz="4" w:space="0" w:color="000000"/>
              <w:bottom w:val="single" w:sz="4" w:space="0" w:color="000000"/>
              <w:right w:val="single" w:sz="4" w:space="0" w:color="000000"/>
            </w:tcBorders>
            <w:vAlign w:val="center"/>
          </w:tcPr>
          <w:p w14:paraId="6E15A37C" w14:textId="77777777" w:rsidR="002449C2" w:rsidRDefault="00123961">
            <w:pPr>
              <w:widowControl w:val="0"/>
              <w:shd w:val="clear" w:color="auto" w:fill="FFFFFF"/>
              <w:spacing w:after="0" w:line="240" w:lineRule="auto"/>
              <w:ind w:right="-108"/>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2024 год</w:t>
            </w:r>
          </w:p>
        </w:tc>
        <w:tc>
          <w:tcPr>
            <w:tcW w:w="551" w:type="dxa"/>
            <w:tcBorders>
              <w:top w:val="single" w:sz="4" w:space="0" w:color="000000"/>
              <w:left w:val="single" w:sz="4" w:space="0" w:color="000000"/>
              <w:bottom w:val="single" w:sz="4" w:space="0" w:color="000000"/>
              <w:right w:val="single" w:sz="4" w:space="0" w:color="000000"/>
            </w:tcBorders>
            <w:textDirection w:val="btLr"/>
            <w:vAlign w:val="center"/>
          </w:tcPr>
          <w:p w14:paraId="4F2DB77E"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январь</w:t>
            </w:r>
          </w:p>
        </w:tc>
        <w:tc>
          <w:tcPr>
            <w:tcW w:w="555" w:type="dxa"/>
            <w:tcBorders>
              <w:top w:val="single" w:sz="4" w:space="0" w:color="000000"/>
              <w:left w:val="single" w:sz="4" w:space="0" w:color="000000"/>
              <w:bottom w:val="single" w:sz="4" w:space="0" w:color="000000"/>
              <w:right w:val="single" w:sz="4" w:space="0" w:color="000000"/>
            </w:tcBorders>
            <w:textDirection w:val="btLr"/>
            <w:vAlign w:val="center"/>
          </w:tcPr>
          <w:p w14:paraId="27E548E6"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февраль</w:t>
            </w:r>
          </w:p>
        </w:tc>
        <w:tc>
          <w:tcPr>
            <w:tcW w:w="556" w:type="dxa"/>
            <w:tcBorders>
              <w:top w:val="single" w:sz="4" w:space="0" w:color="000000"/>
              <w:left w:val="single" w:sz="4" w:space="0" w:color="000000"/>
              <w:bottom w:val="single" w:sz="4" w:space="0" w:color="000000"/>
              <w:right w:val="single" w:sz="4" w:space="0" w:color="000000"/>
            </w:tcBorders>
            <w:textDirection w:val="btLr"/>
            <w:vAlign w:val="center"/>
          </w:tcPr>
          <w:p w14:paraId="222A5727"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март</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4D5E4477"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апрель</w:t>
            </w:r>
          </w:p>
        </w:tc>
        <w:tc>
          <w:tcPr>
            <w:tcW w:w="547" w:type="dxa"/>
            <w:tcBorders>
              <w:top w:val="single" w:sz="4" w:space="0" w:color="000000"/>
              <w:left w:val="single" w:sz="4" w:space="0" w:color="000000"/>
              <w:bottom w:val="single" w:sz="4" w:space="0" w:color="000000"/>
              <w:right w:val="single" w:sz="4" w:space="0" w:color="000000"/>
            </w:tcBorders>
            <w:textDirection w:val="btLr"/>
            <w:vAlign w:val="center"/>
          </w:tcPr>
          <w:p w14:paraId="34756625"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май</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16DC55E9"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июнь</w:t>
            </w:r>
          </w:p>
        </w:tc>
        <w:tc>
          <w:tcPr>
            <w:tcW w:w="553" w:type="dxa"/>
            <w:tcBorders>
              <w:top w:val="single" w:sz="4" w:space="0" w:color="000000"/>
              <w:left w:val="single" w:sz="4" w:space="0" w:color="000000"/>
              <w:bottom w:val="single" w:sz="4" w:space="0" w:color="000000"/>
              <w:right w:val="single" w:sz="4" w:space="0" w:color="000000"/>
            </w:tcBorders>
            <w:textDirection w:val="btLr"/>
            <w:vAlign w:val="center"/>
          </w:tcPr>
          <w:p w14:paraId="1DD89587"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июль</w:t>
            </w:r>
          </w:p>
        </w:tc>
        <w:tc>
          <w:tcPr>
            <w:tcW w:w="556" w:type="dxa"/>
            <w:tcBorders>
              <w:top w:val="single" w:sz="4" w:space="0" w:color="000000"/>
              <w:left w:val="single" w:sz="4" w:space="0" w:color="000000"/>
              <w:bottom w:val="single" w:sz="4" w:space="0" w:color="000000"/>
              <w:right w:val="single" w:sz="4" w:space="0" w:color="000000"/>
            </w:tcBorders>
            <w:textDirection w:val="btLr"/>
            <w:vAlign w:val="center"/>
          </w:tcPr>
          <w:p w14:paraId="18ED1345"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август</w:t>
            </w:r>
          </w:p>
        </w:tc>
        <w:tc>
          <w:tcPr>
            <w:tcW w:w="553" w:type="dxa"/>
            <w:tcBorders>
              <w:top w:val="single" w:sz="4" w:space="0" w:color="000000"/>
              <w:left w:val="single" w:sz="4" w:space="0" w:color="000000"/>
              <w:bottom w:val="single" w:sz="4" w:space="0" w:color="000000"/>
              <w:right w:val="single" w:sz="4" w:space="0" w:color="000000"/>
            </w:tcBorders>
            <w:textDirection w:val="btLr"/>
            <w:vAlign w:val="center"/>
          </w:tcPr>
          <w:p w14:paraId="5A08EC85"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сентябрь</w:t>
            </w:r>
          </w:p>
        </w:tc>
        <w:tc>
          <w:tcPr>
            <w:tcW w:w="546" w:type="dxa"/>
            <w:tcBorders>
              <w:top w:val="single" w:sz="4" w:space="0" w:color="000000"/>
              <w:left w:val="single" w:sz="4" w:space="0" w:color="000000"/>
              <w:bottom w:val="single" w:sz="4" w:space="0" w:color="000000"/>
              <w:right w:val="single" w:sz="4" w:space="0" w:color="000000"/>
            </w:tcBorders>
            <w:textDirection w:val="btLr"/>
            <w:vAlign w:val="center"/>
          </w:tcPr>
          <w:p w14:paraId="23669BD6"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октябрь</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32751B56"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ноябрь</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51A68DBB"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декабрь</w:t>
            </w:r>
          </w:p>
        </w:tc>
      </w:tr>
      <w:tr w:rsidR="002449C2" w14:paraId="2BFA56D1" w14:textId="77777777">
        <w:trPr>
          <w:trHeight w:val="478"/>
        </w:trPr>
        <w:tc>
          <w:tcPr>
            <w:tcW w:w="2944" w:type="dxa"/>
            <w:vMerge w:val="restart"/>
            <w:tcBorders>
              <w:top w:val="single" w:sz="4" w:space="0" w:color="000000"/>
              <w:left w:val="single" w:sz="4" w:space="0" w:color="000000"/>
              <w:bottom w:val="single" w:sz="4" w:space="0" w:color="000000"/>
              <w:right w:val="single" w:sz="4" w:space="0" w:color="000000"/>
            </w:tcBorders>
            <w:vAlign w:val="center"/>
          </w:tcPr>
          <w:p w14:paraId="4DBC23F5" w14:textId="77777777" w:rsidR="002449C2" w:rsidRDefault="00123961">
            <w:pPr>
              <w:widowControl w:val="0"/>
              <w:shd w:val="clear" w:color="auto" w:fill="FFFFFF"/>
              <w:spacing w:after="0" w:line="240" w:lineRule="auto"/>
              <w:rPr>
                <w:rFonts w:ascii="Times New Roman" w:eastAsia="Times New Roman" w:hAnsi="Times New Roman"/>
                <w:iCs/>
                <w:sz w:val="20"/>
                <w:szCs w:val="20"/>
                <w:lang w:eastAsia="ru-RU"/>
              </w:rPr>
            </w:pPr>
            <w:r>
              <w:rPr>
                <w:rFonts w:ascii="Times New Roman" w:eastAsia="Times New Roman" w:hAnsi="Times New Roman"/>
                <w:sz w:val="20"/>
                <w:szCs w:val="20"/>
                <w:lang w:eastAsia="ru-RU"/>
              </w:rPr>
              <w:t>Заседания Комитета</w:t>
            </w:r>
          </w:p>
        </w:tc>
        <w:tc>
          <w:tcPr>
            <w:tcW w:w="551" w:type="dxa"/>
            <w:tcBorders>
              <w:top w:val="single" w:sz="4" w:space="0" w:color="000000"/>
              <w:left w:val="single" w:sz="4" w:space="0" w:color="000000"/>
              <w:bottom w:val="single" w:sz="4" w:space="0" w:color="000000"/>
              <w:right w:val="single" w:sz="4" w:space="0" w:color="000000"/>
            </w:tcBorders>
            <w:vAlign w:val="center"/>
          </w:tcPr>
          <w:p w14:paraId="45BC448C"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555" w:type="dxa"/>
            <w:tcBorders>
              <w:top w:val="single" w:sz="4" w:space="0" w:color="000000"/>
              <w:left w:val="single" w:sz="4" w:space="0" w:color="000000"/>
              <w:bottom w:val="single" w:sz="4" w:space="0" w:color="000000"/>
              <w:right w:val="single" w:sz="4" w:space="0" w:color="000000"/>
            </w:tcBorders>
            <w:vAlign w:val="center"/>
          </w:tcPr>
          <w:p w14:paraId="629E80D4"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w:t>
            </w:r>
          </w:p>
        </w:tc>
        <w:tc>
          <w:tcPr>
            <w:tcW w:w="556" w:type="dxa"/>
            <w:tcBorders>
              <w:top w:val="single" w:sz="4" w:space="0" w:color="000000"/>
              <w:left w:val="single" w:sz="4" w:space="0" w:color="000000"/>
              <w:bottom w:val="single" w:sz="4" w:space="0" w:color="000000"/>
              <w:right w:val="single" w:sz="4" w:space="0" w:color="000000"/>
            </w:tcBorders>
            <w:vAlign w:val="center"/>
          </w:tcPr>
          <w:p w14:paraId="75C13A47"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w:t>
            </w:r>
          </w:p>
        </w:tc>
        <w:tc>
          <w:tcPr>
            <w:tcW w:w="552" w:type="dxa"/>
            <w:tcBorders>
              <w:top w:val="single" w:sz="4" w:space="0" w:color="000000"/>
              <w:left w:val="single" w:sz="4" w:space="0" w:color="000000"/>
              <w:bottom w:val="single" w:sz="4" w:space="0" w:color="000000"/>
              <w:right w:val="single" w:sz="4" w:space="0" w:color="000000"/>
            </w:tcBorders>
            <w:vAlign w:val="center"/>
          </w:tcPr>
          <w:p w14:paraId="10E599E6"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w:t>
            </w:r>
          </w:p>
        </w:tc>
        <w:tc>
          <w:tcPr>
            <w:tcW w:w="547" w:type="dxa"/>
            <w:tcBorders>
              <w:top w:val="single" w:sz="4" w:space="0" w:color="000000"/>
              <w:left w:val="single" w:sz="4" w:space="0" w:color="000000"/>
              <w:bottom w:val="single" w:sz="4" w:space="0" w:color="000000"/>
              <w:right w:val="single" w:sz="4" w:space="0" w:color="000000"/>
            </w:tcBorders>
            <w:vAlign w:val="center"/>
          </w:tcPr>
          <w:p w14:paraId="534DD9CE"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552" w:type="dxa"/>
            <w:tcBorders>
              <w:top w:val="single" w:sz="4" w:space="0" w:color="000000"/>
              <w:left w:val="single" w:sz="4" w:space="0" w:color="000000"/>
              <w:bottom w:val="single" w:sz="4" w:space="0" w:color="000000"/>
              <w:right w:val="single" w:sz="4" w:space="0" w:color="000000"/>
            </w:tcBorders>
            <w:vAlign w:val="center"/>
          </w:tcPr>
          <w:p w14:paraId="6CA99816"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w:t>
            </w:r>
          </w:p>
        </w:tc>
        <w:tc>
          <w:tcPr>
            <w:tcW w:w="553" w:type="dxa"/>
            <w:tcBorders>
              <w:top w:val="single" w:sz="4" w:space="0" w:color="000000"/>
              <w:left w:val="single" w:sz="4" w:space="0" w:color="000000"/>
              <w:bottom w:val="single" w:sz="4" w:space="0" w:color="000000"/>
              <w:right w:val="single" w:sz="4" w:space="0" w:color="000000"/>
            </w:tcBorders>
            <w:vAlign w:val="center"/>
          </w:tcPr>
          <w:p w14:paraId="413C858B"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556" w:type="dxa"/>
            <w:tcBorders>
              <w:top w:val="single" w:sz="4" w:space="0" w:color="000000"/>
              <w:left w:val="single" w:sz="4" w:space="0" w:color="000000"/>
              <w:bottom w:val="single" w:sz="4" w:space="0" w:color="000000"/>
              <w:right w:val="single" w:sz="4" w:space="0" w:color="000000"/>
            </w:tcBorders>
            <w:vAlign w:val="center"/>
          </w:tcPr>
          <w:p w14:paraId="49DC0195"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w:t>
            </w:r>
          </w:p>
        </w:tc>
        <w:tc>
          <w:tcPr>
            <w:tcW w:w="553" w:type="dxa"/>
            <w:tcBorders>
              <w:top w:val="single" w:sz="4" w:space="0" w:color="000000"/>
              <w:left w:val="single" w:sz="4" w:space="0" w:color="000000"/>
              <w:bottom w:val="single" w:sz="4" w:space="0" w:color="000000"/>
              <w:right w:val="single" w:sz="4" w:space="0" w:color="000000"/>
            </w:tcBorders>
            <w:vAlign w:val="center"/>
          </w:tcPr>
          <w:p w14:paraId="18359409"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546" w:type="dxa"/>
            <w:tcBorders>
              <w:top w:val="single" w:sz="4" w:space="0" w:color="000000"/>
              <w:left w:val="single" w:sz="4" w:space="0" w:color="000000"/>
              <w:bottom w:val="single" w:sz="4" w:space="0" w:color="000000"/>
              <w:right w:val="single" w:sz="4" w:space="0" w:color="000000"/>
            </w:tcBorders>
            <w:vAlign w:val="center"/>
          </w:tcPr>
          <w:p w14:paraId="5A7CEE1E"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w:t>
            </w:r>
          </w:p>
        </w:tc>
        <w:tc>
          <w:tcPr>
            <w:tcW w:w="552" w:type="dxa"/>
            <w:tcBorders>
              <w:top w:val="single" w:sz="4" w:space="0" w:color="000000"/>
              <w:left w:val="single" w:sz="4" w:space="0" w:color="000000"/>
              <w:bottom w:val="single" w:sz="4" w:space="0" w:color="000000"/>
              <w:right w:val="single" w:sz="4" w:space="0" w:color="000000"/>
            </w:tcBorders>
            <w:vAlign w:val="center"/>
          </w:tcPr>
          <w:p w14:paraId="05C7CE5E"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552" w:type="dxa"/>
            <w:tcBorders>
              <w:top w:val="single" w:sz="4" w:space="0" w:color="000000"/>
              <w:left w:val="single" w:sz="4" w:space="0" w:color="000000"/>
              <w:bottom w:val="single" w:sz="4" w:space="0" w:color="000000"/>
              <w:right w:val="single" w:sz="4" w:space="0" w:color="000000"/>
            </w:tcBorders>
            <w:vAlign w:val="center"/>
          </w:tcPr>
          <w:p w14:paraId="5D449AFA"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w:t>
            </w:r>
          </w:p>
        </w:tc>
      </w:tr>
      <w:tr w:rsidR="002449C2" w14:paraId="5D23259B" w14:textId="77777777">
        <w:trPr>
          <w:cantSplit/>
          <w:trHeight w:val="1618"/>
        </w:trPr>
        <w:tc>
          <w:tcPr>
            <w:tcW w:w="2944" w:type="dxa"/>
            <w:vMerge/>
            <w:tcBorders>
              <w:top w:val="single" w:sz="4" w:space="0" w:color="000000"/>
              <w:left w:val="single" w:sz="4" w:space="0" w:color="000000"/>
              <w:bottom w:val="single" w:sz="4" w:space="0" w:color="000000"/>
              <w:right w:val="single" w:sz="4" w:space="0" w:color="000000"/>
            </w:tcBorders>
            <w:vAlign w:val="center"/>
          </w:tcPr>
          <w:p w14:paraId="3DE15C47" w14:textId="77777777" w:rsidR="002449C2" w:rsidRDefault="002449C2">
            <w:pPr>
              <w:widowControl w:val="0"/>
              <w:shd w:val="clear" w:color="auto" w:fill="FFFFFF"/>
              <w:spacing w:after="0" w:line="240" w:lineRule="auto"/>
              <w:rPr>
                <w:rFonts w:ascii="Times New Roman" w:eastAsia="Times New Roman" w:hAnsi="Times New Roman"/>
                <w:sz w:val="20"/>
                <w:szCs w:val="20"/>
                <w:lang w:eastAsia="ru-RU"/>
              </w:rPr>
            </w:pPr>
          </w:p>
        </w:tc>
        <w:tc>
          <w:tcPr>
            <w:tcW w:w="551" w:type="dxa"/>
            <w:tcBorders>
              <w:top w:val="single" w:sz="4" w:space="0" w:color="000000"/>
              <w:left w:val="single" w:sz="4" w:space="0" w:color="000000"/>
              <w:bottom w:val="single" w:sz="4" w:space="0" w:color="000000"/>
              <w:right w:val="single" w:sz="4" w:space="0" w:color="000000"/>
            </w:tcBorders>
            <w:textDirection w:val="btLr"/>
            <w:vAlign w:val="center"/>
          </w:tcPr>
          <w:p w14:paraId="099DED28"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w:t>
            </w:r>
          </w:p>
        </w:tc>
        <w:tc>
          <w:tcPr>
            <w:tcW w:w="555" w:type="dxa"/>
            <w:tcBorders>
              <w:top w:val="single" w:sz="4" w:space="0" w:color="000000"/>
              <w:left w:val="single" w:sz="4" w:space="0" w:color="000000"/>
              <w:bottom w:val="single" w:sz="4" w:space="0" w:color="000000"/>
              <w:right w:val="single" w:sz="4" w:space="0" w:color="000000"/>
            </w:tcBorders>
            <w:textDirection w:val="btLr"/>
            <w:vAlign w:val="center"/>
          </w:tcPr>
          <w:p w14:paraId="0A9FD773"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08,13</w:t>
            </w:r>
          </w:p>
        </w:tc>
        <w:tc>
          <w:tcPr>
            <w:tcW w:w="556" w:type="dxa"/>
            <w:tcBorders>
              <w:top w:val="single" w:sz="4" w:space="0" w:color="000000"/>
              <w:left w:val="single" w:sz="4" w:space="0" w:color="000000"/>
              <w:bottom w:val="single" w:sz="4" w:space="0" w:color="000000"/>
              <w:right w:val="single" w:sz="4" w:space="0" w:color="000000"/>
            </w:tcBorders>
            <w:textDirection w:val="btLr"/>
            <w:vAlign w:val="center"/>
          </w:tcPr>
          <w:p w14:paraId="311907EE"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29</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2852154C"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18</w:t>
            </w:r>
          </w:p>
        </w:tc>
        <w:tc>
          <w:tcPr>
            <w:tcW w:w="547" w:type="dxa"/>
            <w:tcBorders>
              <w:top w:val="single" w:sz="4" w:space="0" w:color="000000"/>
              <w:left w:val="single" w:sz="4" w:space="0" w:color="000000"/>
              <w:bottom w:val="single" w:sz="4" w:space="0" w:color="000000"/>
              <w:right w:val="single" w:sz="4" w:space="0" w:color="000000"/>
            </w:tcBorders>
            <w:textDirection w:val="btLr"/>
            <w:vAlign w:val="center"/>
          </w:tcPr>
          <w:p w14:paraId="7007C44C"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16,30</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75028095"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06,25</w:t>
            </w:r>
          </w:p>
        </w:tc>
        <w:tc>
          <w:tcPr>
            <w:tcW w:w="553" w:type="dxa"/>
            <w:tcBorders>
              <w:top w:val="single" w:sz="4" w:space="0" w:color="000000"/>
              <w:left w:val="single" w:sz="4" w:space="0" w:color="000000"/>
              <w:bottom w:val="single" w:sz="4" w:space="0" w:color="000000"/>
              <w:right w:val="single" w:sz="4" w:space="0" w:color="000000"/>
            </w:tcBorders>
            <w:textDirection w:val="btLr"/>
            <w:vAlign w:val="center"/>
          </w:tcPr>
          <w:p w14:paraId="7C0BC066" w14:textId="77777777" w:rsidR="002449C2" w:rsidRDefault="002449C2">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p>
        </w:tc>
        <w:tc>
          <w:tcPr>
            <w:tcW w:w="556" w:type="dxa"/>
            <w:tcBorders>
              <w:top w:val="single" w:sz="4" w:space="0" w:color="000000"/>
              <w:left w:val="single" w:sz="4" w:space="0" w:color="000000"/>
              <w:bottom w:val="single" w:sz="4" w:space="0" w:color="000000"/>
              <w:right w:val="single" w:sz="4" w:space="0" w:color="000000"/>
            </w:tcBorders>
            <w:textDirection w:val="btLr"/>
            <w:vAlign w:val="center"/>
          </w:tcPr>
          <w:p w14:paraId="69E0F506" w14:textId="77777777" w:rsidR="002449C2" w:rsidRDefault="002449C2">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p>
        </w:tc>
        <w:tc>
          <w:tcPr>
            <w:tcW w:w="553" w:type="dxa"/>
            <w:tcBorders>
              <w:top w:val="single" w:sz="4" w:space="0" w:color="000000"/>
              <w:left w:val="single" w:sz="4" w:space="0" w:color="000000"/>
              <w:bottom w:val="single" w:sz="4" w:space="0" w:color="000000"/>
              <w:right w:val="single" w:sz="4" w:space="0" w:color="000000"/>
            </w:tcBorders>
            <w:textDirection w:val="btLr"/>
            <w:vAlign w:val="center"/>
          </w:tcPr>
          <w:p w14:paraId="7624DDA3"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25</w:t>
            </w:r>
          </w:p>
        </w:tc>
        <w:tc>
          <w:tcPr>
            <w:tcW w:w="546" w:type="dxa"/>
            <w:tcBorders>
              <w:top w:val="single" w:sz="4" w:space="0" w:color="000000"/>
              <w:left w:val="single" w:sz="4" w:space="0" w:color="000000"/>
              <w:bottom w:val="single" w:sz="4" w:space="0" w:color="000000"/>
              <w:right w:val="single" w:sz="4" w:space="0" w:color="000000"/>
            </w:tcBorders>
            <w:textDirection w:val="btLr"/>
            <w:vAlign w:val="center"/>
          </w:tcPr>
          <w:p w14:paraId="7F57BD15"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28</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63FDCD08" w14:textId="77777777" w:rsidR="002449C2" w:rsidRDefault="002449C2">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1AAF963B"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05,24,25</w:t>
            </w:r>
          </w:p>
        </w:tc>
      </w:tr>
    </w:tbl>
    <w:p w14:paraId="286692C9" w14:textId="77777777" w:rsidR="002449C2" w:rsidRDefault="002449C2">
      <w:pPr>
        <w:shd w:val="clear" w:color="auto" w:fill="FFFFFF"/>
        <w:tabs>
          <w:tab w:val="left" w:pos="142"/>
        </w:tabs>
        <w:spacing w:after="0" w:line="240" w:lineRule="auto"/>
        <w:ind w:firstLine="567"/>
        <w:rPr>
          <w:rFonts w:ascii="Times New Roman" w:eastAsia="Times New Roman" w:hAnsi="Times New Roman"/>
          <w:i/>
          <w:sz w:val="26"/>
          <w:szCs w:val="26"/>
          <w:lang w:eastAsia="ru-RU"/>
        </w:rPr>
      </w:pPr>
    </w:p>
    <w:p w14:paraId="0219FCF1" w14:textId="77777777" w:rsidR="002449C2" w:rsidRDefault="00123961">
      <w:pPr>
        <w:shd w:val="clear" w:color="auto" w:fill="FFFFFF"/>
        <w:tabs>
          <w:tab w:val="left" w:pos="142"/>
        </w:tabs>
        <w:spacing w:after="0" w:line="240" w:lineRule="auto"/>
        <w:jc w:val="both"/>
        <w:rPr>
          <w:rFonts w:ascii="Times New Roman" w:hAnsi="Times New Roman"/>
          <w:spacing w:val="-2"/>
          <w:sz w:val="26"/>
          <w:szCs w:val="26"/>
          <w:highlight w:val="yellow"/>
          <w:lang w:eastAsia="en-US"/>
        </w:rPr>
      </w:pPr>
      <w:r>
        <w:rPr>
          <w:noProof/>
          <w:lang w:eastAsia="ru-RU"/>
        </w:rPr>
        <w:drawing>
          <wp:inline distT="0" distB="0" distL="0" distR="0" wp14:anchorId="2A95DB1B" wp14:editId="52035195">
            <wp:extent cx="6041390" cy="3145790"/>
            <wp:effectExtent l="0" t="0" r="0" b="0"/>
            <wp:docPr id="120" name="_x005F_x0000_i4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_x005F_x0000_i4499"/>
                    <pic:cNvPicPr>
                      <a:picLocks noChangeAspect="1" noChangeArrowheads="1"/>
                    </pic:cNvPicPr>
                  </pic:nvPicPr>
                  <pic:blipFill>
                    <a:blip r:embed="rId170"/>
                    <a:stretch>
                      <a:fillRect/>
                    </a:stretch>
                  </pic:blipFill>
                  <pic:spPr bwMode="auto">
                    <a:xfrm>
                      <a:off x="0" y="0"/>
                      <a:ext cx="6041390" cy="3145790"/>
                    </a:xfrm>
                    <a:prstGeom prst="rect">
                      <a:avLst/>
                    </a:prstGeom>
                    <a:noFill/>
                  </pic:spPr>
                </pic:pic>
              </a:graphicData>
            </a:graphic>
          </wp:inline>
        </w:drawing>
      </w:r>
    </w:p>
    <w:p w14:paraId="3A096DD0" w14:textId="77777777" w:rsidR="002449C2" w:rsidRDefault="002449C2">
      <w:pPr>
        <w:shd w:val="clear" w:color="auto" w:fill="FFFFFF"/>
        <w:tabs>
          <w:tab w:val="left" w:pos="142"/>
        </w:tabs>
        <w:spacing w:after="0" w:line="240" w:lineRule="auto"/>
        <w:jc w:val="both"/>
        <w:rPr>
          <w:rFonts w:ascii="Times New Roman" w:hAnsi="Times New Roman"/>
          <w:spacing w:val="-2"/>
          <w:sz w:val="26"/>
          <w:szCs w:val="26"/>
          <w:highlight w:val="yellow"/>
          <w:lang w:eastAsia="en-US"/>
        </w:rPr>
      </w:pPr>
    </w:p>
    <w:p w14:paraId="16C68A40"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В 2024 году Комитетом выдано 6 рекомендаций Совету директоров.</w:t>
      </w:r>
    </w:p>
    <w:p w14:paraId="59B280E1"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В отчетном периоде особое внимание было уделено прохождению осенне-зимнего периода 2023-2024 годов, подготовке к работе в грозовой и пожароопасный периоды 2024 года, работе в пожароопасный и грозовой периоды 2024 года, а также исполнению актов предписаний надзорных органов и мероприятий, определенных актами расследования массовых нарушений, происшедших в 2024 году. Данные вопросы были тщательно изучены в процессе рассмотрения их на очных заседаниях Комитета и менеджменту Общества даны соответствующие рекомендации.</w:t>
      </w:r>
      <w:bookmarkEnd w:id="194"/>
    </w:p>
    <w:p w14:paraId="30072A74" w14:textId="77777777" w:rsidR="002449C2" w:rsidRDefault="002449C2">
      <w:pPr>
        <w:shd w:val="clear" w:color="auto" w:fill="FFFFFF"/>
        <w:tabs>
          <w:tab w:val="left" w:pos="142"/>
        </w:tabs>
        <w:spacing w:after="0" w:line="240" w:lineRule="auto"/>
        <w:ind w:firstLine="567"/>
        <w:jc w:val="center"/>
        <w:rPr>
          <w:rFonts w:ascii="Times New Roman" w:eastAsia="Times New Roman" w:hAnsi="Times New Roman"/>
          <w:b/>
          <w:bCs/>
          <w:color w:val="2E74B5"/>
          <w:sz w:val="26"/>
          <w:szCs w:val="26"/>
          <w:shd w:val="clear" w:color="auto" w:fill="FFFFFF"/>
          <w:lang w:eastAsia="ru-RU"/>
        </w:rPr>
      </w:pPr>
    </w:p>
    <w:p w14:paraId="1DF48181" w14:textId="77777777" w:rsidR="002449C2" w:rsidRDefault="002449C2">
      <w:pPr>
        <w:shd w:val="clear" w:color="auto" w:fill="FFFFFF"/>
        <w:tabs>
          <w:tab w:val="left" w:pos="142"/>
        </w:tabs>
        <w:spacing w:after="0" w:line="240" w:lineRule="auto"/>
        <w:ind w:firstLine="567"/>
        <w:jc w:val="center"/>
        <w:rPr>
          <w:rFonts w:ascii="Times New Roman" w:eastAsia="Times New Roman" w:hAnsi="Times New Roman"/>
          <w:b/>
          <w:bCs/>
          <w:color w:val="2E74B5"/>
          <w:sz w:val="26"/>
          <w:szCs w:val="26"/>
          <w:shd w:val="clear" w:color="auto" w:fill="FFFFFF"/>
          <w:lang w:eastAsia="ru-RU"/>
        </w:rPr>
      </w:pPr>
    </w:p>
    <w:p w14:paraId="4818F1C7" w14:textId="77777777" w:rsidR="002449C2" w:rsidRDefault="00123961">
      <w:pPr>
        <w:shd w:val="clear" w:color="auto" w:fill="FFFFFF"/>
        <w:tabs>
          <w:tab w:val="left" w:pos="142"/>
        </w:tabs>
        <w:spacing w:after="0" w:line="240" w:lineRule="auto"/>
        <w:ind w:firstLine="567"/>
        <w:jc w:val="center"/>
        <w:rPr>
          <w:rFonts w:ascii="Times New Roman" w:eastAsia="Times New Roman" w:hAnsi="Times New Roman"/>
          <w:b/>
          <w:bCs/>
          <w:color w:val="2E74B5"/>
          <w:sz w:val="26"/>
          <w:szCs w:val="26"/>
          <w:shd w:val="clear" w:color="auto" w:fill="FFFFFF"/>
          <w:lang w:eastAsia="ru-RU"/>
        </w:rPr>
      </w:pPr>
      <w:r>
        <w:rPr>
          <w:rFonts w:ascii="Times New Roman" w:eastAsia="Times New Roman" w:hAnsi="Times New Roman"/>
          <w:b/>
          <w:bCs/>
          <w:color w:val="2E74B5"/>
          <w:sz w:val="26"/>
          <w:szCs w:val="26"/>
          <w:shd w:val="clear" w:color="auto" w:fill="FFFFFF"/>
          <w:lang w:eastAsia="ru-RU"/>
        </w:rPr>
        <w:t xml:space="preserve">КОМИТЕТ ПО ТЕХНОЛОГИЧЕСКОМУ ПРИСОЕДИНЕНИЮ </w:t>
      </w:r>
    </w:p>
    <w:p w14:paraId="000036D0" w14:textId="77777777" w:rsidR="002449C2" w:rsidRDefault="00123961">
      <w:pPr>
        <w:shd w:val="clear" w:color="auto" w:fill="FFFFFF"/>
        <w:tabs>
          <w:tab w:val="left" w:pos="142"/>
        </w:tabs>
        <w:spacing w:after="0" w:line="240" w:lineRule="auto"/>
        <w:ind w:firstLine="567"/>
        <w:jc w:val="center"/>
        <w:rPr>
          <w:rFonts w:ascii="Times New Roman" w:hAnsi="Times New Roman"/>
          <w:b/>
          <w:spacing w:val="-2"/>
          <w:sz w:val="26"/>
          <w:szCs w:val="26"/>
          <w:lang w:eastAsia="en-US"/>
        </w:rPr>
      </w:pPr>
      <w:r>
        <w:rPr>
          <w:rFonts w:ascii="Times New Roman" w:eastAsia="Times New Roman" w:hAnsi="Times New Roman"/>
          <w:b/>
          <w:bCs/>
          <w:color w:val="2E74B5"/>
          <w:sz w:val="26"/>
          <w:szCs w:val="26"/>
          <w:shd w:val="clear" w:color="auto" w:fill="FFFFFF"/>
          <w:lang w:eastAsia="ru-RU"/>
        </w:rPr>
        <w:t>К ЭЛЕКТРИЧЕСКИМ СЕТЯМ</w:t>
      </w:r>
    </w:p>
    <w:p w14:paraId="23438309" w14:textId="77777777" w:rsidR="002449C2" w:rsidRDefault="002449C2">
      <w:pPr>
        <w:shd w:val="clear" w:color="auto" w:fill="FFFFFF"/>
        <w:tabs>
          <w:tab w:val="left" w:pos="142"/>
        </w:tabs>
        <w:spacing w:after="0" w:line="240" w:lineRule="auto"/>
        <w:ind w:firstLine="567"/>
        <w:jc w:val="both"/>
        <w:rPr>
          <w:rFonts w:ascii="Times New Roman" w:hAnsi="Times New Roman"/>
          <w:b/>
          <w:spacing w:val="-2"/>
          <w:sz w:val="26"/>
          <w:szCs w:val="26"/>
          <w:lang w:eastAsia="en-US"/>
        </w:rPr>
      </w:pPr>
    </w:p>
    <w:p w14:paraId="7006AFF5"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 xml:space="preserve">Деятельность регулируется </w:t>
      </w:r>
      <w:hyperlink r:id="rId171">
        <w:r>
          <w:rPr>
            <w:rFonts w:ascii="Times New Roman" w:hAnsi="Times New Roman"/>
            <w:color w:val="0000FF"/>
            <w:spacing w:val="-2"/>
            <w:sz w:val="26"/>
            <w:szCs w:val="26"/>
            <w:u w:val="single"/>
            <w:lang w:eastAsia="en-US"/>
          </w:rPr>
          <w:t>Положением о Комитете по технологическому присоединению к электрическим сетям</w:t>
        </w:r>
      </w:hyperlink>
      <w:r>
        <w:rPr>
          <w:rFonts w:ascii="Times New Roman" w:hAnsi="Times New Roman"/>
          <w:spacing w:val="-2"/>
          <w:sz w:val="26"/>
          <w:szCs w:val="26"/>
          <w:lang w:eastAsia="en-US"/>
        </w:rPr>
        <w:t xml:space="preserve"> Совета директоров ПАО «Россети Юг» утвержденным решением Совета директоров Общества 31.01.2020 (протокол от 31.01.2020 №355/2020) и размещенным на официальном сайте Компании.</w:t>
      </w:r>
    </w:p>
    <w:p w14:paraId="4B9940C4" w14:textId="77777777" w:rsidR="002449C2" w:rsidRDefault="002449C2">
      <w:pPr>
        <w:shd w:val="clear" w:color="auto" w:fill="FFFFFF"/>
        <w:tabs>
          <w:tab w:val="left" w:pos="142"/>
        </w:tabs>
        <w:spacing w:after="0" w:line="240" w:lineRule="auto"/>
        <w:ind w:firstLine="567"/>
        <w:jc w:val="both"/>
        <w:rPr>
          <w:rFonts w:ascii="Times New Roman" w:hAnsi="Times New Roman"/>
          <w:b/>
          <w:spacing w:val="-2"/>
          <w:sz w:val="26"/>
          <w:szCs w:val="26"/>
          <w:lang w:eastAsia="en-US"/>
        </w:rPr>
      </w:pPr>
    </w:p>
    <w:p w14:paraId="5156754C" w14:textId="77777777" w:rsidR="002449C2" w:rsidRDefault="00123961">
      <w:pPr>
        <w:shd w:val="clear" w:color="auto" w:fill="FFFFFF"/>
        <w:tabs>
          <w:tab w:val="left" w:pos="142"/>
        </w:tabs>
        <w:spacing w:after="0" w:line="240" w:lineRule="auto"/>
        <w:ind w:firstLine="567"/>
        <w:jc w:val="both"/>
        <w:rPr>
          <w:rFonts w:ascii="Times New Roman" w:hAnsi="Times New Roman"/>
          <w:b/>
          <w:spacing w:val="-2"/>
          <w:sz w:val="26"/>
          <w:szCs w:val="26"/>
          <w:lang w:eastAsia="en-US"/>
        </w:rPr>
      </w:pPr>
      <w:r>
        <w:rPr>
          <w:rFonts w:ascii="Times New Roman" w:hAnsi="Times New Roman"/>
          <w:b/>
          <w:spacing w:val="-2"/>
          <w:sz w:val="26"/>
          <w:szCs w:val="26"/>
          <w:lang w:eastAsia="en-US"/>
        </w:rPr>
        <w:t>Основные задачи</w:t>
      </w:r>
    </w:p>
    <w:p w14:paraId="7CDEB321" w14:textId="77777777" w:rsidR="002449C2" w:rsidRDefault="00123961">
      <w:pPr>
        <w:shd w:val="clear" w:color="auto" w:fill="FFFFFF"/>
        <w:tabs>
          <w:tab w:val="left" w:pos="142"/>
        </w:tabs>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Основной целью создания Комитета является обеспечение открытости деятельности и недискриминационного доступа к услугам по технологическому присоединению потребителей к электрическим сетям Компании и повышение эффективности деятельности Общества при реализации дополнительных (нетарифных) услуг и обеспечение доходности дополнительных (нетарифных) услуг Компании.</w:t>
      </w:r>
    </w:p>
    <w:p w14:paraId="068B06FB"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Основной задачей Комитета является выработка и представление рекомендаций Совету директоров по выработке принципов и критериев оценки эффективности деятельности по технологическому присоединению потребителей к электрическим сетям, а также анализ текущей ситуации и подготовке предложений Совету директоров в части технологического присоединения потребителей к электрическим сетям и перспективного развития сети.</w:t>
      </w:r>
    </w:p>
    <w:p w14:paraId="1E9786C1" w14:textId="77777777" w:rsidR="002449C2" w:rsidRDefault="002449C2">
      <w:pPr>
        <w:shd w:val="clear" w:color="auto" w:fill="FFFFFF"/>
        <w:spacing w:after="0" w:line="240" w:lineRule="auto"/>
        <w:ind w:firstLine="567"/>
        <w:rPr>
          <w:rFonts w:ascii="Times New Roman" w:eastAsia="Times New Roman" w:hAnsi="Times New Roman"/>
          <w:b/>
          <w:bCs/>
          <w:sz w:val="26"/>
          <w:szCs w:val="26"/>
          <w:shd w:val="clear" w:color="auto" w:fill="FFFFFF"/>
          <w:lang w:eastAsia="ru-RU"/>
        </w:rPr>
      </w:pPr>
    </w:p>
    <w:p w14:paraId="36195D1A" w14:textId="77777777" w:rsidR="002449C2" w:rsidRDefault="00123961">
      <w:pPr>
        <w:shd w:val="clear" w:color="auto" w:fill="FFFFFF"/>
        <w:spacing w:after="0" w:line="240" w:lineRule="auto"/>
        <w:ind w:firstLine="567"/>
        <w:rPr>
          <w:rFonts w:ascii="Times New Roman" w:hAnsi="Times New Roman"/>
          <w:b/>
          <w:spacing w:val="-2"/>
          <w:sz w:val="26"/>
          <w:szCs w:val="26"/>
          <w:lang w:eastAsia="en-US"/>
        </w:rPr>
      </w:pPr>
      <w:r>
        <w:rPr>
          <w:rFonts w:ascii="Times New Roman" w:hAnsi="Times New Roman"/>
          <w:b/>
          <w:spacing w:val="-2"/>
          <w:sz w:val="26"/>
          <w:szCs w:val="26"/>
          <w:lang w:eastAsia="en-US"/>
        </w:rPr>
        <w:t>Принципы формирования и срок полномочий членов Комитета</w:t>
      </w:r>
    </w:p>
    <w:p w14:paraId="061570C3"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Количественный состав Комитета определяется решением Совета директоров Общества в количестве не более 5 человек.</w:t>
      </w:r>
    </w:p>
    <w:p w14:paraId="7F9392CC"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Персональный состав Комитета избирается Советом директоров Общества из числа кандидатов, представленных членами Совета директоров Общества.</w:t>
      </w:r>
    </w:p>
    <w:p w14:paraId="5B739185"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Членами Комитета могут быть только физические лица. Член Комитета может не быть членом Совета директоров Общества.</w:t>
      </w:r>
    </w:p>
    <w:p w14:paraId="7BA28D6E"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При избрании членов Комитета должны учитываться их образование, профессиональная подготовка, опыт работы в сфере деятельности Комитета и иные специальные знания, необходимые для осуществления членами Комитета своих полномочий.</w:t>
      </w:r>
    </w:p>
    <w:p w14:paraId="2618A74E"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Члены Комитета избираются в соответствии с условиями настоящего Положения на срок до избрания следующего состава Комитета.</w:t>
      </w:r>
    </w:p>
    <w:p w14:paraId="1AD71602"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Полномочия любого члена Комитета могут быть досрочно прекращены решением Совета директоров Общества.</w:t>
      </w:r>
    </w:p>
    <w:p w14:paraId="487406D2" w14:textId="77777777" w:rsidR="002449C2" w:rsidRDefault="002449C2">
      <w:pPr>
        <w:shd w:val="clear" w:color="auto" w:fill="FFFFFF"/>
        <w:spacing w:after="0" w:line="240" w:lineRule="auto"/>
        <w:ind w:firstLine="567"/>
        <w:rPr>
          <w:rFonts w:ascii="Times New Roman" w:eastAsia="Times New Roman" w:hAnsi="Times New Roman"/>
          <w:b/>
          <w:bCs/>
          <w:sz w:val="26"/>
          <w:szCs w:val="26"/>
          <w:shd w:val="clear" w:color="auto" w:fill="FFFFFF"/>
          <w:lang w:eastAsia="ru-RU"/>
        </w:rPr>
      </w:pPr>
    </w:p>
    <w:p w14:paraId="263673B1" w14:textId="77777777" w:rsidR="002449C2" w:rsidRDefault="002449C2">
      <w:pPr>
        <w:shd w:val="clear" w:color="auto" w:fill="FFFFFF"/>
        <w:spacing w:after="0" w:line="240" w:lineRule="auto"/>
        <w:ind w:firstLine="567"/>
        <w:rPr>
          <w:rFonts w:ascii="Times New Roman" w:eastAsia="Times New Roman" w:hAnsi="Times New Roman"/>
          <w:b/>
          <w:bCs/>
          <w:sz w:val="26"/>
          <w:szCs w:val="26"/>
          <w:shd w:val="clear" w:color="auto" w:fill="FFFFFF"/>
          <w:lang w:eastAsia="ru-RU"/>
        </w:rPr>
      </w:pPr>
    </w:p>
    <w:p w14:paraId="12011922" w14:textId="77777777" w:rsidR="002449C2" w:rsidRDefault="00123961">
      <w:pPr>
        <w:shd w:val="clear" w:color="auto" w:fill="FFFFFF"/>
        <w:spacing w:after="0" w:line="240" w:lineRule="auto"/>
        <w:ind w:firstLine="567"/>
        <w:rPr>
          <w:rFonts w:ascii="Times New Roman" w:eastAsia="Times New Roman" w:hAnsi="Times New Roman"/>
          <w:b/>
          <w:bCs/>
          <w:sz w:val="26"/>
          <w:szCs w:val="26"/>
          <w:lang w:eastAsia="ru-RU"/>
        </w:rPr>
      </w:pPr>
      <w:r>
        <w:rPr>
          <w:rFonts w:ascii="Times New Roman" w:eastAsia="Times New Roman" w:hAnsi="Times New Roman"/>
          <w:b/>
          <w:bCs/>
          <w:sz w:val="26"/>
          <w:szCs w:val="26"/>
          <w:shd w:val="clear" w:color="auto" w:fill="FFFFFF"/>
          <w:lang w:eastAsia="ru-RU"/>
        </w:rPr>
        <w:t>Персональный состав и</w:t>
      </w:r>
      <w:r>
        <w:rPr>
          <w:rFonts w:ascii="Times New Roman" w:eastAsia="Times New Roman" w:hAnsi="Times New Roman"/>
          <w:b/>
          <w:bCs/>
          <w:sz w:val="26"/>
          <w:szCs w:val="26"/>
          <w:lang w:eastAsia="ru-RU"/>
        </w:rPr>
        <w:t xml:space="preserve"> информация об участии в 2024 году</w:t>
      </w:r>
    </w:p>
    <w:tbl>
      <w:tblPr>
        <w:tblW w:w="9360" w:type="dxa"/>
        <w:jc w:val="center"/>
        <w:tblLayout w:type="fixed"/>
        <w:tblLook w:val="04A0" w:firstRow="1" w:lastRow="0" w:firstColumn="1" w:lastColumn="0" w:noHBand="0" w:noVBand="1"/>
      </w:tblPr>
      <w:tblGrid>
        <w:gridCol w:w="2692"/>
        <w:gridCol w:w="4533"/>
        <w:gridCol w:w="1143"/>
        <w:gridCol w:w="992"/>
      </w:tblGrid>
      <w:tr w:rsidR="002449C2" w14:paraId="3CF0C1D4" w14:textId="77777777">
        <w:trPr>
          <w:cantSplit/>
          <w:tblHeader/>
          <w:jc w:val="center"/>
        </w:trPr>
        <w:tc>
          <w:tcPr>
            <w:tcW w:w="269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2DD9EF" w14:textId="77777777" w:rsidR="002449C2" w:rsidRDefault="00123961">
            <w:pPr>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Ф.И.О.</w:t>
            </w:r>
          </w:p>
        </w:tc>
        <w:tc>
          <w:tcPr>
            <w:tcW w:w="453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0E8296" w14:textId="77777777" w:rsidR="002449C2" w:rsidRDefault="00123961" w:rsidP="00CE5399">
            <w:pPr>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Должность</w:t>
            </w:r>
            <w:r w:rsidR="00CE5399">
              <w:rPr>
                <w:rStyle w:val="af"/>
                <w:rFonts w:ascii="Times New Roman" w:eastAsia="Times New Roman" w:hAnsi="Times New Roman"/>
                <w:b/>
                <w:sz w:val="20"/>
                <w:szCs w:val="20"/>
                <w:lang w:eastAsia="ar-SA"/>
              </w:rPr>
              <w:footnoteReference w:id="24"/>
            </w:r>
          </w:p>
        </w:tc>
        <w:tc>
          <w:tcPr>
            <w:tcW w:w="114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B48963" w14:textId="77777777" w:rsidR="002449C2" w:rsidRDefault="00123961">
            <w:pPr>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Участие</w:t>
            </w:r>
          </w:p>
        </w:tc>
        <w:tc>
          <w:tcPr>
            <w:tcW w:w="9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076D16" w14:textId="77777777" w:rsidR="002449C2" w:rsidRDefault="00123961">
            <w:pPr>
              <w:shd w:val="clear" w:color="auto" w:fill="FFFFFF"/>
              <w:spacing w:after="0" w:line="240" w:lineRule="auto"/>
              <w:jc w:val="center"/>
              <w:rPr>
                <w:rFonts w:ascii="Times New Roman" w:eastAsia="Times New Roman" w:hAnsi="Times New Roman"/>
                <w:b/>
                <w:sz w:val="20"/>
                <w:szCs w:val="20"/>
                <w:lang w:eastAsia="ar-SA"/>
              </w:rPr>
            </w:pPr>
            <w:r>
              <w:rPr>
                <w:rFonts w:ascii="Times New Roman" w:eastAsia="Times New Roman" w:hAnsi="Times New Roman"/>
                <w:b/>
                <w:sz w:val="20"/>
                <w:szCs w:val="20"/>
                <w:lang w:eastAsia="ar-SA"/>
              </w:rPr>
              <w:t>% участия</w:t>
            </w:r>
          </w:p>
        </w:tc>
      </w:tr>
      <w:tr w:rsidR="002449C2" w14:paraId="6572E5F2" w14:textId="77777777">
        <w:trPr>
          <w:cantSplit/>
          <w:jc w:val="center"/>
        </w:trPr>
        <w:tc>
          <w:tcPr>
            <w:tcW w:w="9359" w:type="dxa"/>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7B48BDE0" w14:textId="77777777" w:rsidR="002449C2" w:rsidRDefault="00123961">
            <w:pPr>
              <w:shd w:val="clear" w:color="auto" w:fill="FFFFFF"/>
              <w:spacing w:after="0" w:line="240" w:lineRule="auto"/>
              <w:jc w:val="center"/>
              <w:rPr>
                <w:rFonts w:ascii="Times New Roman" w:eastAsia="Times New Roman" w:hAnsi="Times New Roman"/>
                <w:bCs/>
                <w:sz w:val="20"/>
                <w:szCs w:val="20"/>
                <w:lang w:eastAsia="ar-SA"/>
              </w:rPr>
            </w:pPr>
            <w:r>
              <w:rPr>
                <w:rFonts w:ascii="Times New Roman" w:eastAsia="Times New Roman" w:hAnsi="Times New Roman"/>
                <w:bCs/>
                <w:sz w:val="20"/>
                <w:szCs w:val="20"/>
                <w:lang w:eastAsia="ar-SA"/>
              </w:rPr>
              <w:t>Состав действующий в период с 14.08.2023 по 20.08.2024</w:t>
            </w:r>
          </w:p>
          <w:p w14:paraId="30A92EBD"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bCs/>
                <w:sz w:val="20"/>
                <w:szCs w:val="20"/>
                <w:lang w:eastAsia="ar-SA"/>
              </w:rPr>
              <w:t>избран решением Совета директоров 14.08.2023 (протокол от 15.08.2023 №538/2023)</w:t>
            </w:r>
          </w:p>
        </w:tc>
      </w:tr>
      <w:tr w:rsidR="002449C2" w14:paraId="5996116D" w14:textId="77777777">
        <w:trPr>
          <w:cantSplit/>
          <w:jc w:val="center"/>
        </w:trPr>
        <w:tc>
          <w:tcPr>
            <w:tcW w:w="9359" w:type="dxa"/>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03EC543A"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Общее количество проведенных заседаний – 8, из них:</w:t>
            </w:r>
          </w:p>
          <w:p w14:paraId="1C67EA59" w14:textId="77777777" w:rsidR="002449C2" w:rsidRDefault="00123961">
            <w:pPr>
              <w:shd w:val="clear" w:color="auto" w:fill="FFFFFF"/>
              <w:spacing w:after="0" w:line="240" w:lineRule="auto"/>
              <w:jc w:val="center"/>
              <w:rPr>
                <w:rFonts w:ascii="Times New Roman" w:eastAsia="Times New Roman" w:hAnsi="Times New Roman"/>
                <w:bCs/>
                <w:sz w:val="20"/>
                <w:szCs w:val="20"/>
                <w:lang w:eastAsia="ar-SA"/>
              </w:rPr>
            </w:pPr>
            <w:r>
              <w:rPr>
                <w:rFonts w:ascii="Times New Roman" w:eastAsia="Times New Roman" w:hAnsi="Times New Roman"/>
                <w:sz w:val="20"/>
                <w:szCs w:val="20"/>
                <w:lang w:eastAsia="ar-SA"/>
              </w:rPr>
              <w:t>1 - в форме совместного присутствия (очная форма), 7 - в заочной форме</w:t>
            </w:r>
          </w:p>
        </w:tc>
      </w:tr>
      <w:tr w:rsidR="002449C2" w14:paraId="7AB1AB0B" w14:textId="77777777">
        <w:trPr>
          <w:cantSplit/>
          <w:jc w:val="center"/>
        </w:trPr>
        <w:tc>
          <w:tcPr>
            <w:tcW w:w="2691" w:type="dxa"/>
            <w:tcBorders>
              <w:top w:val="single" w:sz="4" w:space="0" w:color="000000"/>
              <w:left w:val="single" w:sz="4" w:space="0" w:color="000000"/>
              <w:bottom w:val="single" w:sz="4" w:space="0" w:color="000000"/>
              <w:right w:val="single" w:sz="4" w:space="0" w:color="000000"/>
            </w:tcBorders>
          </w:tcPr>
          <w:p w14:paraId="6D276C2B"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Мольский</w:t>
            </w:r>
          </w:p>
          <w:p w14:paraId="1C6DAB34"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 xml:space="preserve">Алексей Валерьевич, </w:t>
            </w:r>
            <w:r>
              <w:rPr>
                <w:rFonts w:ascii="Times New Roman" w:hAnsi="Times New Roman"/>
                <w:b/>
                <w:sz w:val="20"/>
                <w:szCs w:val="20"/>
                <w:lang w:eastAsia="ar-SA"/>
              </w:rPr>
              <w:t>Председатель Комитета</w:t>
            </w:r>
          </w:p>
        </w:tc>
        <w:tc>
          <w:tcPr>
            <w:tcW w:w="4533" w:type="dxa"/>
            <w:tcBorders>
              <w:top w:val="single" w:sz="4" w:space="0" w:color="000000"/>
              <w:left w:val="single" w:sz="4" w:space="0" w:color="000000"/>
              <w:bottom w:val="single" w:sz="4" w:space="0" w:color="000000"/>
              <w:right w:val="single" w:sz="4" w:space="0" w:color="000000"/>
            </w:tcBorders>
          </w:tcPr>
          <w:p w14:paraId="364DADDA" w14:textId="77777777" w:rsidR="002449C2" w:rsidRDefault="00123961">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Заместитель Генерального директора по инвестициям, капитальному строительству и реализации услуг ПАО «Россети»</w:t>
            </w:r>
          </w:p>
        </w:tc>
        <w:tc>
          <w:tcPr>
            <w:tcW w:w="1143" w:type="dxa"/>
            <w:tcBorders>
              <w:top w:val="single" w:sz="4" w:space="0" w:color="000000"/>
              <w:left w:val="single" w:sz="4" w:space="0" w:color="000000"/>
              <w:bottom w:val="single" w:sz="4" w:space="0" w:color="000000"/>
              <w:right w:val="single" w:sz="4" w:space="0" w:color="000000"/>
            </w:tcBorders>
            <w:shd w:val="clear" w:color="auto" w:fill="FFFFFF"/>
          </w:tcPr>
          <w:p w14:paraId="5D13545E"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8/8</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Pr>
          <w:p w14:paraId="499881A0"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56856B7A" w14:textId="77777777">
        <w:trPr>
          <w:cantSplit/>
          <w:jc w:val="center"/>
        </w:trPr>
        <w:tc>
          <w:tcPr>
            <w:tcW w:w="2691" w:type="dxa"/>
            <w:tcBorders>
              <w:top w:val="single" w:sz="4" w:space="0" w:color="000000"/>
              <w:left w:val="single" w:sz="4" w:space="0" w:color="000000"/>
              <w:bottom w:val="single" w:sz="4" w:space="0" w:color="000000"/>
              <w:right w:val="single" w:sz="4" w:space="0" w:color="000000"/>
            </w:tcBorders>
          </w:tcPr>
          <w:p w14:paraId="0CFBAF9F"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Газданова</w:t>
            </w:r>
          </w:p>
          <w:p w14:paraId="2E8D2C85"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Марина Алтеговна</w:t>
            </w:r>
          </w:p>
        </w:tc>
        <w:tc>
          <w:tcPr>
            <w:tcW w:w="4533" w:type="dxa"/>
            <w:tcBorders>
              <w:top w:val="single" w:sz="4" w:space="0" w:color="000000"/>
              <w:left w:val="single" w:sz="4" w:space="0" w:color="000000"/>
              <w:bottom w:val="single" w:sz="4" w:space="0" w:color="000000"/>
              <w:right w:val="single" w:sz="4" w:space="0" w:color="000000"/>
            </w:tcBorders>
          </w:tcPr>
          <w:p w14:paraId="78F1C846" w14:textId="77777777" w:rsidR="002449C2" w:rsidRDefault="00123961">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Заместитель начальника Департамента технологического присоединения и развития инфраструктуры - начальник Управления развития дополнительных услуг и клиентских сервисов ПАО «Россети»</w:t>
            </w:r>
          </w:p>
        </w:tc>
        <w:tc>
          <w:tcPr>
            <w:tcW w:w="1143" w:type="dxa"/>
            <w:tcBorders>
              <w:top w:val="single" w:sz="4" w:space="0" w:color="000000"/>
              <w:left w:val="single" w:sz="4" w:space="0" w:color="000000"/>
              <w:bottom w:val="single" w:sz="4" w:space="0" w:color="000000"/>
              <w:right w:val="single" w:sz="4" w:space="0" w:color="000000"/>
            </w:tcBorders>
            <w:shd w:val="clear" w:color="auto" w:fill="FFFFFF"/>
          </w:tcPr>
          <w:p w14:paraId="6E9D1D16" w14:textId="77777777" w:rsidR="002449C2" w:rsidRDefault="00123961">
            <w:pPr>
              <w:spacing w:after="160" w:line="259" w:lineRule="auto"/>
              <w:jc w:val="center"/>
              <w:rPr>
                <w:rFonts w:ascii="Times New Roman" w:hAnsi="Times New Roman"/>
                <w:sz w:val="20"/>
                <w:szCs w:val="20"/>
                <w:highlight w:val="yellow"/>
                <w:lang w:eastAsia="en-US"/>
              </w:rPr>
            </w:pPr>
            <w:r>
              <w:rPr>
                <w:rFonts w:ascii="Times New Roman" w:eastAsia="Times New Roman" w:hAnsi="Times New Roman"/>
                <w:sz w:val="20"/>
                <w:szCs w:val="20"/>
                <w:lang w:eastAsia="ar-SA"/>
              </w:rPr>
              <w:t>8/8</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Pr>
          <w:p w14:paraId="1C71D858" w14:textId="77777777" w:rsidR="002449C2" w:rsidRDefault="00123961">
            <w:pPr>
              <w:shd w:val="clear" w:color="auto" w:fill="FFFFFF"/>
              <w:spacing w:after="0" w:line="240" w:lineRule="auto"/>
              <w:jc w:val="center"/>
              <w:rPr>
                <w:rFonts w:ascii="Times New Roman" w:eastAsia="Times New Roman" w:hAnsi="Times New Roman"/>
                <w:sz w:val="20"/>
                <w:szCs w:val="20"/>
                <w:highlight w:val="yellow"/>
                <w:lang w:eastAsia="ar-SA"/>
              </w:rPr>
            </w:pPr>
            <w:r>
              <w:rPr>
                <w:rFonts w:ascii="Times New Roman" w:eastAsia="Times New Roman" w:hAnsi="Times New Roman"/>
                <w:sz w:val="20"/>
                <w:szCs w:val="20"/>
                <w:lang w:eastAsia="ar-SA"/>
              </w:rPr>
              <w:t>100</w:t>
            </w:r>
          </w:p>
        </w:tc>
      </w:tr>
      <w:tr w:rsidR="002449C2" w14:paraId="36B8376F" w14:textId="77777777">
        <w:trPr>
          <w:cantSplit/>
          <w:jc w:val="center"/>
        </w:trPr>
        <w:tc>
          <w:tcPr>
            <w:tcW w:w="2691" w:type="dxa"/>
            <w:tcBorders>
              <w:top w:val="single" w:sz="4" w:space="0" w:color="000000"/>
              <w:left w:val="single" w:sz="4" w:space="0" w:color="000000"/>
              <w:bottom w:val="single" w:sz="4" w:space="0" w:color="000000"/>
              <w:right w:val="single" w:sz="4" w:space="0" w:color="000000"/>
            </w:tcBorders>
          </w:tcPr>
          <w:p w14:paraId="57791A69"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Журавлев</w:t>
            </w:r>
          </w:p>
          <w:p w14:paraId="5BF707FB" w14:textId="77777777" w:rsidR="002449C2" w:rsidRDefault="00123961">
            <w:pPr>
              <w:shd w:val="clear" w:color="auto" w:fill="FFFFFF"/>
              <w:spacing w:after="0" w:line="240" w:lineRule="auto"/>
              <w:rPr>
                <w:rFonts w:ascii="Times New Roman" w:hAnsi="Times New Roman"/>
                <w:b/>
                <w:sz w:val="20"/>
                <w:szCs w:val="20"/>
                <w:lang w:eastAsia="ar-SA"/>
              </w:rPr>
            </w:pPr>
            <w:r>
              <w:rPr>
                <w:rFonts w:ascii="Times New Roman" w:hAnsi="Times New Roman"/>
                <w:sz w:val="20"/>
                <w:szCs w:val="20"/>
                <w:lang w:eastAsia="ar-SA"/>
              </w:rPr>
              <w:t>Дмитрий Олегович</w:t>
            </w:r>
          </w:p>
        </w:tc>
        <w:tc>
          <w:tcPr>
            <w:tcW w:w="4533" w:type="dxa"/>
            <w:tcBorders>
              <w:top w:val="single" w:sz="4" w:space="0" w:color="000000"/>
              <w:left w:val="single" w:sz="4" w:space="0" w:color="000000"/>
              <w:bottom w:val="single" w:sz="4" w:space="0" w:color="000000"/>
              <w:right w:val="single" w:sz="4" w:space="0" w:color="000000"/>
            </w:tcBorders>
          </w:tcPr>
          <w:p w14:paraId="2EFA2038" w14:textId="77777777" w:rsidR="002449C2" w:rsidRDefault="00123961">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Заместитель Генерального директора по развитию и технологическому присоединению ПАО «Россети Юг»</w:t>
            </w:r>
          </w:p>
        </w:tc>
        <w:tc>
          <w:tcPr>
            <w:tcW w:w="1143" w:type="dxa"/>
            <w:tcBorders>
              <w:top w:val="single" w:sz="4" w:space="0" w:color="000000"/>
              <w:left w:val="single" w:sz="4" w:space="0" w:color="000000"/>
              <w:bottom w:val="single" w:sz="4" w:space="0" w:color="000000"/>
              <w:right w:val="single" w:sz="4" w:space="0" w:color="000000"/>
            </w:tcBorders>
            <w:shd w:val="clear" w:color="auto" w:fill="FFFFFF"/>
          </w:tcPr>
          <w:p w14:paraId="4CB2DDBC" w14:textId="77777777" w:rsidR="002449C2" w:rsidRDefault="00123961">
            <w:pPr>
              <w:spacing w:after="160" w:line="259" w:lineRule="auto"/>
              <w:jc w:val="center"/>
              <w:rPr>
                <w:rFonts w:ascii="Times New Roman" w:hAnsi="Times New Roman"/>
                <w:sz w:val="20"/>
                <w:szCs w:val="20"/>
                <w:highlight w:val="yellow"/>
                <w:lang w:eastAsia="en-US"/>
              </w:rPr>
            </w:pPr>
            <w:r>
              <w:rPr>
                <w:rFonts w:ascii="Times New Roman" w:eastAsia="Times New Roman" w:hAnsi="Times New Roman"/>
                <w:sz w:val="20"/>
                <w:szCs w:val="20"/>
                <w:lang w:eastAsia="ar-SA"/>
              </w:rPr>
              <w:t>8/8</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Pr>
          <w:p w14:paraId="04F14387" w14:textId="77777777" w:rsidR="002449C2" w:rsidRDefault="00123961">
            <w:pPr>
              <w:shd w:val="clear" w:color="auto" w:fill="FFFFFF"/>
              <w:spacing w:after="0" w:line="240" w:lineRule="auto"/>
              <w:jc w:val="center"/>
              <w:rPr>
                <w:rFonts w:ascii="Times New Roman" w:eastAsia="Times New Roman" w:hAnsi="Times New Roman"/>
                <w:sz w:val="20"/>
                <w:szCs w:val="20"/>
                <w:highlight w:val="yellow"/>
                <w:lang w:eastAsia="ar-SA"/>
              </w:rPr>
            </w:pPr>
            <w:r>
              <w:rPr>
                <w:rFonts w:ascii="Times New Roman" w:eastAsia="Times New Roman" w:hAnsi="Times New Roman"/>
                <w:sz w:val="20"/>
                <w:szCs w:val="20"/>
                <w:lang w:eastAsia="ar-SA"/>
              </w:rPr>
              <w:t>100</w:t>
            </w:r>
          </w:p>
        </w:tc>
      </w:tr>
      <w:tr w:rsidR="002449C2" w14:paraId="732CA524" w14:textId="77777777">
        <w:trPr>
          <w:cantSplit/>
          <w:jc w:val="center"/>
        </w:trPr>
        <w:tc>
          <w:tcPr>
            <w:tcW w:w="2691" w:type="dxa"/>
            <w:tcBorders>
              <w:top w:val="single" w:sz="4" w:space="0" w:color="000000"/>
              <w:left w:val="single" w:sz="4" w:space="0" w:color="000000"/>
              <w:bottom w:val="single" w:sz="4" w:space="0" w:color="000000"/>
              <w:right w:val="single" w:sz="4" w:space="0" w:color="000000"/>
            </w:tcBorders>
          </w:tcPr>
          <w:p w14:paraId="5433694D"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Калашников</w:t>
            </w:r>
          </w:p>
          <w:p w14:paraId="535B8FDB"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Никита Владимирович</w:t>
            </w:r>
          </w:p>
        </w:tc>
        <w:tc>
          <w:tcPr>
            <w:tcW w:w="4533" w:type="dxa"/>
            <w:tcBorders>
              <w:top w:val="single" w:sz="4" w:space="0" w:color="000000"/>
              <w:left w:val="single" w:sz="4" w:space="0" w:color="000000"/>
              <w:bottom w:val="single" w:sz="4" w:space="0" w:color="000000"/>
              <w:right w:val="single" w:sz="4" w:space="0" w:color="000000"/>
            </w:tcBorders>
          </w:tcPr>
          <w:p w14:paraId="7AAA9913" w14:textId="77777777" w:rsidR="002449C2" w:rsidRDefault="00123961">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Заместитель Генерального директора по инвестиционной деятельности и капитальному строительству ПАО «Россети Юг»</w:t>
            </w:r>
          </w:p>
        </w:tc>
        <w:tc>
          <w:tcPr>
            <w:tcW w:w="1143" w:type="dxa"/>
            <w:tcBorders>
              <w:top w:val="single" w:sz="4" w:space="0" w:color="000000"/>
              <w:left w:val="single" w:sz="4" w:space="0" w:color="000000"/>
              <w:bottom w:val="single" w:sz="4" w:space="0" w:color="000000"/>
              <w:right w:val="single" w:sz="4" w:space="0" w:color="000000"/>
            </w:tcBorders>
            <w:shd w:val="clear" w:color="auto" w:fill="FFFFFF"/>
          </w:tcPr>
          <w:p w14:paraId="7DBF69E8" w14:textId="77777777" w:rsidR="002449C2" w:rsidRDefault="00123961">
            <w:pPr>
              <w:spacing w:after="160" w:line="259" w:lineRule="auto"/>
              <w:jc w:val="center"/>
              <w:rPr>
                <w:rFonts w:ascii="Times New Roman" w:hAnsi="Times New Roman"/>
                <w:sz w:val="20"/>
                <w:szCs w:val="20"/>
                <w:highlight w:val="yellow"/>
                <w:lang w:eastAsia="en-US"/>
              </w:rPr>
            </w:pPr>
            <w:r>
              <w:rPr>
                <w:rFonts w:ascii="Times New Roman" w:eastAsia="Times New Roman" w:hAnsi="Times New Roman"/>
                <w:sz w:val="20"/>
                <w:szCs w:val="20"/>
                <w:lang w:eastAsia="ar-SA"/>
              </w:rPr>
              <w:t>8/8</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Pr>
          <w:p w14:paraId="334EDACC" w14:textId="77777777" w:rsidR="002449C2" w:rsidRDefault="00123961">
            <w:pPr>
              <w:shd w:val="clear" w:color="auto" w:fill="FFFFFF"/>
              <w:spacing w:after="0" w:line="240" w:lineRule="auto"/>
              <w:jc w:val="center"/>
              <w:rPr>
                <w:rFonts w:ascii="Times New Roman" w:eastAsia="Times New Roman" w:hAnsi="Times New Roman"/>
                <w:sz w:val="20"/>
                <w:szCs w:val="20"/>
                <w:highlight w:val="yellow"/>
                <w:lang w:eastAsia="ar-SA"/>
              </w:rPr>
            </w:pPr>
            <w:r>
              <w:rPr>
                <w:rFonts w:ascii="Times New Roman" w:eastAsia="Times New Roman" w:hAnsi="Times New Roman"/>
                <w:sz w:val="20"/>
                <w:szCs w:val="20"/>
                <w:lang w:eastAsia="ar-SA"/>
              </w:rPr>
              <w:t>100</w:t>
            </w:r>
          </w:p>
        </w:tc>
      </w:tr>
      <w:tr w:rsidR="002449C2" w14:paraId="2C847DD9" w14:textId="77777777">
        <w:trPr>
          <w:cantSplit/>
          <w:jc w:val="center"/>
        </w:trPr>
        <w:tc>
          <w:tcPr>
            <w:tcW w:w="2691" w:type="dxa"/>
            <w:tcBorders>
              <w:top w:val="single" w:sz="4" w:space="0" w:color="000000"/>
              <w:left w:val="single" w:sz="4" w:space="0" w:color="000000"/>
              <w:bottom w:val="single" w:sz="4" w:space="0" w:color="000000"/>
              <w:right w:val="single" w:sz="4" w:space="0" w:color="000000"/>
            </w:tcBorders>
          </w:tcPr>
          <w:p w14:paraId="12C83889"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Клинков</w:t>
            </w:r>
          </w:p>
          <w:p w14:paraId="262DAD52"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Олег Юрьевич</w:t>
            </w:r>
          </w:p>
        </w:tc>
        <w:tc>
          <w:tcPr>
            <w:tcW w:w="4533" w:type="dxa"/>
            <w:tcBorders>
              <w:top w:val="single" w:sz="4" w:space="0" w:color="000000"/>
              <w:left w:val="single" w:sz="4" w:space="0" w:color="000000"/>
              <w:bottom w:val="single" w:sz="4" w:space="0" w:color="000000"/>
              <w:right w:val="single" w:sz="4" w:space="0" w:color="000000"/>
            </w:tcBorders>
          </w:tcPr>
          <w:p w14:paraId="415EFC8E" w14:textId="77777777" w:rsidR="002449C2" w:rsidRDefault="00123961">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Директор по взаимодействию с потребителями - начальник Департамента технологического развития ПАО «Россети»,</w:t>
            </w:r>
          </w:p>
          <w:p w14:paraId="740B9E49" w14:textId="77777777" w:rsidR="002449C2" w:rsidRDefault="00123961">
            <w:pPr>
              <w:shd w:val="clear" w:color="auto" w:fill="FFFFFF"/>
              <w:spacing w:after="0" w:line="240" w:lineRule="auto"/>
              <w:jc w:val="both"/>
              <w:rPr>
                <w:rFonts w:ascii="Times New Roman" w:hAnsi="Times New Roman"/>
                <w:sz w:val="20"/>
                <w:szCs w:val="20"/>
                <w:lang w:eastAsia="ar-SA"/>
              </w:rPr>
            </w:pPr>
            <w:r>
              <w:rPr>
                <w:rFonts w:ascii="Times New Roman" w:hAnsi="Times New Roman"/>
                <w:i/>
                <w:sz w:val="20"/>
                <w:szCs w:val="20"/>
                <w:lang w:eastAsia="ar-SA"/>
              </w:rPr>
              <w:t>член Совета директоров ПАО «Россети Юг»</w:t>
            </w:r>
          </w:p>
        </w:tc>
        <w:tc>
          <w:tcPr>
            <w:tcW w:w="1143" w:type="dxa"/>
            <w:tcBorders>
              <w:top w:val="single" w:sz="4" w:space="0" w:color="000000"/>
              <w:left w:val="single" w:sz="4" w:space="0" w:color="000000"/>
              <w:bottom w:val="single" w:sz="4" w:space="0" w:color="000000"/>
              <w:right w:val="single" w:sz="4" w:space="0" w:color="000000"/>
            </w:tcBorders>
            <w:shd w:val="clear" w:color="auto" w:fill="FFFFFF"/>
          </w:tcPr>
          <w:p w14:paraId="7CC45A64" w14:textId="77777777" w:rsidR="002449C2" w:rsidRDefault="00123961">
            <w:pPr>
              <w:spacing w:after="160" w:line="259" w:lineRule="auto"/>
              <w:jc w:val="center"/>
              <w:rPr>
                <w:rFonts w:ascii="Times New Roman" w:hAnsi="Times New Roman"/>
                <w:sz w:val="20"/>
                <w:szCs w:val="20"/>
                <w:highlight w:val="yellow"/>
                <w:lang w:eastAsia="en-US"/>
              </w:rPr>
            </w:pPr>
            <w:r>
              <w:rPr>
                <w:rFonts w:ascii="Times New Roman" w:eastAsia="Times New Roman" w:hAnsi="Times New Roman"/>
                <w:sz w:val="20"/>
                <w:szCs w:val="20"/>
                <w:lang w:eastAsia="ar-SA"/>
              </w:rPr>
              <w:t>8/8</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Pr>
          <w:p w14:paraId="13CCA28C" w14:textId="77777777" w:rsidR="002449C2" w:rsidRDefault="00123961">
            <w:pPr>
              <w:shd w:val="clear" w:color="auto" w:fill="FFFFFF"/>
              <w:spacing w:after="0" w:line="240" w:lineRule="auto"/>
              <w:jc w:val="center"/>
              <w:rPr>
                <w:rFonts w:ascii="Times New Roman" w:eastAsia="Times New Roman" w:hAnsi="Times New Roman"/>
                <w:sz w:val="20"/>
                <w:szCs w:val="20"/>
                <w:highlight w:val="yellow"/>
                <w:lang w:eastAsia="ar-SA"/>
              </w:rPr>
            </w:pPr>
            <w:r>
              <w:rPr>
                <w:rFonts w:ascii="Times New Roman" w:eastAsia="Times New Roman" w:hAnsi="Times New Roman"/>
                <w:sz w:val="20"/>
                <w:szCs w:val="20"/>
                <w:lang w:eastAsia="ar-SA"/>
              </w:rPr>
              <w:t>100</w:t>
            </w:r>
          </w:p>
        </w:tc>
      </w:tr>
      <w:tr w:rsidR="002449C2" w14:paraId="586D38F7" w14:textId="77777777">
        <w:trPr>
          <w:cantSplit/>
          <w:jc w:val="center"/>
        </w:trPr>
        <w:tc>
          <w:tcPr>
            <w:tcW w:w="9359" w:type="dxa"/>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71DCAF04"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bCs/>
                <w:sz w:val="20"/>
                <w:szCs w:val="20"/>
                <w:lang w:eastAsia="ar-SA"/>
              </w:rPr>
              <w:t xml:space="preserve">Состав действующий в период </w:t>
            </w:r>
            <w:r>
              <w:rPr>
                <w:rFonts w:ascii="Times New Roman" w:eastAsia="Times New Roman" w:hAnsi="Times New Roman"/>
                <w:sz w:val="20"/>
                <w:szCs w:val="20"/>
                <w:lang w:eastAsia="ar-SA"/>
              </w:rPr>
              <w:t>с 21.08.2024 по 31.12.2024</w:t>
            </w:r>
          </w:p>
          <w:p w14:paraId="3A332DB5"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bCs/>
                <w:sz w:val="20"/>
                <w:szCs w:val="20"/>
                <w:lang w:eastAsia="ar-SA"/>
              </w:rPr>
              <w:t>избран решением Совета директоров 21.08.2024 (протокол от 21.08.2024 №588/2024)</w:t>
            </w:r>
          </w:p>
        </w:tc>
      </w:tr>
      <w:tr w:rsidR="002449C2" w14:paraId="3EFB279C" w14:textId="77777777">
        <w:trPr>
          <w:cantSplit/>
          <w:trHeight w:val="451"/>
          <w:jc w:val="center"/>
        </w:trPr>
        <w:tc>
          <w:tcPr>
            <w:tcW w:w="9359" w:type="dxa"/>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712F4F1E"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Общее количество проведенных заседаний – 4 в заочной форме</w:t>
            </w:r>
          </w:p>
        </w:tc>
      </w:tr>
      <w:tr w:rsidR="002449C2" w14:paraId="2E837E76" w14:textId="77777777">
        <w:trPr>
          <w:cantSplit/>
          <w:jc w:val="center"/>
        </w:trPr>
        <w:tc>
          <w:tcPr>
            <w:tcW w:w="2691" w:type="dxa"/>
            <w:tcBorders>
              <w:top w:val="single" w:sz="4" w:space="0" w:color="000000"/>
              <w:left w:val="single" w:sz="4" w:space="0" w:color="000000"/>
              <w:bottom w:val="single" w:sz="4" w:space="0" w:color="000000"/>
              <w:right w:val="single" w:sz="4" w:space="0" w:color="000000"/>
            </w:tcBorders>
          </w:tcPr>
          <w:p w14:paraId="442B734C"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Мольский</w:t>
            </w:r>
          </w:p>
          <w:p w14:paraId="51F30C77"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 xml:space="preserve">Алексей Валерьевич, </w:t>
            </w:r>
            <w:r>
              <w:rPr>
                <w:rFonts w:ascii="Times New Roman" w:hAnsi="Times New Roman"/>
                <w:b/>
                <w:sz w:val="20"/>
                <w:szCs w:val="20"/>
                <w:lang w:eastAsia="ar-SA"/>
              </w:rPr>
              <w:t>Председатель Комитета</w:t>
            </w:r>
          </w:p>
        </w:tc>
        <w:tc>
          <w:tcPr>
            <w:tcW w:w="4533" w:type="dxa"/>
            <w:tcBorders>
              <w:top w:val="single" w:sz="4" w:space="0" w:color="000000"/>
              <w:left w:val="single" w:sz="4" w:space="0" w:color="000000"/>
              <w:bottom w:val="single" w:sz="4" w:space="0" w:color="000000"/>
              <w:right w:val="single" w:sz="4" w:space="0" w:color="000000"/>
            </w:tcBorders>
          </w:tcPr>
          <w:p w14:paraId="7432139C" w14:textId="77777777" w:rsidR="002449C2" w:rsidRDefault="00123961">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Заместитель Генерального директора по инвестициям и капитальному строительству</w:t>
            </w:r>
          </w:p>
          <w:p w14:paraId="40273478" w14:textId="77777777" w:rsidR="002449C2" w:rsidRDefault="00123961">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ПАО «Россети»</w:t>
            </w:r>
          </w:p>
        </w:tc>
        <w:tc>
          <w:tcPr>
            <w:tcW w:w="1143" w:type="dxa"/>
            <w:tcBorders>
              <w:top w:val="single" w:sz="4" w:space="0" w:color="000000"/>
              <w:left w:val="single" w:sz="4" w:space="0" w:color="000000"/>
              <w:bottom w:val="single" w:sz="4" w:space="0" w:color="000000"/>
              <w:right w:val="single" w:sz="4" w:space="0" w:color="000000"/>
            </w:tcBorders>
            <w:shd w:val="clear" w:color="auto" w:fill="FFFFFF"/>
          </w:tcPr>
          <w:p w14:paraId="3B14AF8B" w14:textId="77777777" w:rsidR="002449C2" w:rsidRDefault="00123961">
            <w:pPr>
              <w:spacing w:after="160" w:line="259"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4/4</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Pr>
          <w:p w14:paraId="239F3A12"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6B398DEB" w14:textId="77777777">
        <w:trPr>
          <w:cantSplit/>
          <w:jc w:val="center"/>
        </w:trPr>
        <w:tc>
          <w:tcPr>
            <w:tcW w:w="2691" w:type="dxa"/>
            <w:tcBorders>
              <w:top w:val="single" w:sz="4" w:space="0" w:color="000000"/>
              <w:left w:val="single" w:sz="4" w:space="0" w:color="000000"/>
              <w:bottom w:val="single" w:sz="4" w:space="0" w:color="000000"/>
              <w:right w:val="single" w:sz="4" w:space="0" w:color="000000"/>
            </w:tcBorders>
          </w:tcPr>
          <w:p w14:paraId="05973802"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Газданова</w:t>
            </w:r>
          </w:p>
          <w:p w14:paraId="154C4E9D"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Марина Алтеговна</w:t>
            </w:r>
          </w:p>
        </w:tc>
        <w:tc>
          <w:tcPr>
            <w:tcW w:w="4533" w:type="dxa"/>
            <w:tcBorders>
              <w:top w:val="single" w:sz="4" w:space="0" w:color="000000"/>
              <w:left w:val="single" w:sz="4" w:space="0" w:color="000000"/>
              <w:bottom w:val="single" w:sz="4" w:space="0" w:color="000000"/>
              <w:right w:val="single" w:sz="4" w:space="0" w:color="000000"/>
            </w:tcBorders>
          </w:tcPr>
          <w:p w14:paraId="2B70A51E" w14:textId="77777777" w:rsidR="002449C2" w:rsidRDefault="00123961">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Заместитель начальника Департамента технологического присоединения и развития инфраструктуры - начальник Управления развития дополнительных услуг и клиентских сервисов ПАО «Россети»</w:t>
            </w:r>
          </w:p>
        </w:tc>
        <w:tc>
          <w:tcPr>
            <w:tcW w:w="1143" w:type="dxa"/>
            <w:tcBorders>
              <w:top w:val="single" w:sz="4" w:space="0" w:color="000000"/>
              <w:left w:val="single" w:sz="4" w:space="0" w:color="000000"/>
              <w:bottom w:val="single" w:sz="4" w:space="0" w:color="000000"/>
              <w:right w:val="single" w:sz="4" w:space="0" w:color="000000"/>
            </w:tcBorders>
            <w:shd w:val="clear" w:color="auto" w:fill="FFFFFF"/>
          </w:tcPr>
          <w:p w14:paraId="1B7B3FB3" w14:textId="77777777" w:rsidR="002449C2" w:rsidRDefault="00123961">
            <w:pPr>
              <w:spacing w:after="160" w:line="259"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4/4</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Pr>
          <w:p w14:paraId="62477AA9"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10DB3E3B" w14:textId="77777777">
        <w:trPr>
          <w:cantSplit/>
          <w:jc w:val="center"/>
        </w:trPr>
        <w:tc>
          <w:tcPr>
            <w:tcW w:w="2691" w:type="dxa"/>
            <w:tcBorders>
              <w:top w:val="single" w:sz="4" w:space="0" w:color="000000"/>
              <w:left w:val="single" w:sz="4" w:space="0" w:color="000000"/>
              <w:bottom w:val="single" w:sz="4" w:space="0" w:color="000000"/>
              <w:right w:val="single" w:sz="4" w:space="0" w:color="000000"/>
            </w:tcBorders>
          </w:tcPr>
          <w:p w14:paraId="1A065920"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Журавлев</w:t>
            </w:r>
          </w:p>
          <w:p w14:paraId="0095D1B5"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Дмитрий Олегович</w:t>
            </w:r>
          </w:p>
        </w:tc>
        <w:tc>
          <w:tcPr>
            <w:tcW w:w="4533" w:type="dxa"/>
            <w:tcBorders>
              <w:top w:val="single" w:sz="4" w:space="0" w:color="000000"/>
              <w:left w:val="single" w:sz="4" w:space="0" w:color="000000"/>
              <w:bottom w:val="single" w:sz="4" w:space="0" w:color="000000"/>
              <w:right w:val="single" w:sz="4" w:space="0" w:color="000000"/>
            </w:tcBorders>
          </w:tcPr>
          <w:p w14:paraId="0E9ABF42" w14:textId="77777777" w:rsidR="002449C2" w:rsidRDefault="00123961">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Заместитель Генерального директора по развитию и технологическому присоединению ПАО «Россети Юг»</w:t>
            </w:r>
          </w:p>
        </w:tc>
        <w:tc>
          <w:tcPr>
            <w:tcW w:w="1143" w:type="dxa"/>
            <w:tcBorders>
              <w:top w:val="single" w:sz="4" w:space="0" w:color="000000"/>
              <w:left w:val="single" w:sz="4" w:space="0" w:color="000000"/>
              <w:bottom w:val="single" w:sz="4" w:space="0" w:color="000000"/>
              <w:right w:val="single" w:sz="4" w:space="0" w:color="000000"/>
            </w:tcBorders>
            <w:shd w:val="clear" w:color="auto" w:fill="FFFFFF"/>
          </w:tcPr>
          <w:p w14:paraId="61A80AC9" w14:textId="77777777" w:rsidR="002449C2" w:rsidRDefault="00123961">
            <w:pPr>
              <w:spacing w:after="160" w:line="259"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4/4</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Pr>
          <w:p w14:paraId="06B2B520"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7785E32E" w14:textId="77777777">
        <w:trPr>
          <w:cantSplit/>
          <w:jc w:val="center"/>
        </w:trPr>
        <w:tc>
          <w:tcPr>
            <w:tcW w:w="2691" w:type="dxa"/>
            <w:tcBorders>
              <w:top w:val="single" w:sz="4" w:space="0" w:color="000000"/>
              <w:left w:val="single" w:sz="4" w:space="0" w:color="000000"/>
              <w:bottom w:val="single" w:sz="4" w:space="0" w:color="000000"/>
              <w:right w:val="single" w:sz="4" w:space="0" w:color="000000"/>
            </w:tcBorders>
          </w:tcPr>
          <w:p w14:paraId="45EF1A5A"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Калашников</w:t>
            </w:r>
          </w:p>
          <w:p w14:paraId="00D2BC07"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Никита Владимирович</w:t>
            </w:r>
          </w:p>
        </w:tc>
        <w:tc>
          <w:tcPr>
            <w:tcW w:w="4533" w:type="dxa"/>
            <w:tcBorders>
              <w:top w:val="single" w:sz="4" w:space="0" w:color="000000"/>
              <w:left w:val="single" w:sz="4" w:space="0" w:color="000000"/>
              <w:bottom w:val="single" w:sz="4" w:space="0" w:color="000000"/>
              <w:right w:val="single" w:sz="4" w:space="0" w:color="000000"/>
            </w:tcBorders>
          </w:tcPr>
          <w:p w14:paraId="2F83F70A" w14:textId="77777777" w:rsidR="002449C2" w:rsidRDefault="00123961">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Заместитель Генерального директора по инвестиционной деятельности и капитальному строительству ПАО «Россети Юг»</w:t>
            </w:r>
          </w:p>
        </w:tc>
        <w:tc>
          <w:tcPr>
            <w:tcW w:w="1143" w:type="dxa"/>
            <w:tcBorders>
              <w:top w:val="single" w:sz="4" w:space="0" w:color="000000"/>
              <w:left w:val="single" w:sz="4" w:space="0" w:color="000000"/>
              <w:bottom w:val="single" w:sz="4" w:space="0" w:color="000000"/>
              <w:right w:val="single" w:sz="4" w:space="0" w:color="000000"/>
            </w:tcBorders>
            <w:shd w:val="clear" w:color="auto" w:fill="FFFFFF"/>
          </w:tcPr>
          <w:p w14:paraId="74A911B3" w14:textId="77777777" w:rsidR="002449C2" w:rsidRDefault="00123961">
            <w:pPr>
              <w:spacing w:after="160" w:line="259"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4/4</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Pr>
          <w:p w14:paraId="1518E7EB"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r w:rsidR="002449C2" w14:paraId="482DF5D1" w14:textId="77777777">
        <w:trPr>
          <w:cantSplit/>
          <w:jc w:val="center"/>
        </w:trPr>
        <w:tc>
          <w:tcPr>
            <w:tcW w:w="2691" w:type="dxa"/>
            <w:tcBorders>
              <w:top w:val="single" w:sz="4" w:space="0" w:color="000000"/>
              <w:left w:val="single" w:sz="4" w:space="0" w:color="000000"/>
              <w:bottom w:val="single" w:sz="4" w:space="0" w:color="000000"/>
              <w:right w:val="single" w:sz="4" w:space="0" w:color="000000"/>
            </w:tcBorders>
          </w:tcPr>
          <w:p w14:paraId="6669607B"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Клинков</w:t>
            </w:r>
          </w:p>
          <w:p w14:paraId="73A749CA" w14:textId="77777777" w:rsidR="002449C2" w:rsidRDefault="00123961">
            <w:pPr>
              <w:shd w:val="clear" w:color="auto" w:fill="FFFFFF"/>
              <w:spacing w:after="0" w:line="240" w:lineRule="auto"/>
              <w:rPr>
                <w:rFonts w:ascii="Times New Roman" w:hAnsi="Times New Roman"/>
                <w:sz w:val="20"/>
                <w:szCs w:val="20"/>
                <w:lang w:eastAsia="ar-SA"/>
              </w:rPr>
            </w:pPr>
            <w:r>
              <w:rPr>
                <w:rFonts w:ascii="Times New Roman" w:hAnsi="Times New Roman"/>
                <w:sz w:val="20"/>
                <w:szCs w:val="20"/>
                <w:lang w:eastAsia="ar-SA"/>
              </w:rPr>
              <w:t>Олег Юрьевич</w:t>
            </w:r>
          </w:p>
        </w:tc>
        <w:tc>
          <w:tcPr>
            <w:tcW w:w="4533" w:type="dxa"/>
            <w:tcBorders>
              <w:top w:val="single" w:sz="4" w:space="0" w:color="000000"/>
              <w:left w:val="single" w:sz="4" w:space="0" w:color="000000"/>
              <w:bottom w:val="single" w:sz="4" w:space="0" w:color="000000"/>
              <w:right w:val="single" w:sz="4" w:space="0" w:color="000000"/>
            </w:tcBorders>
          </w:tcPr>
          <w:p w14:paraId="73C6B4EE" w14:textId="77777777" w:rsidR="002449C2" w:rsidRDefault="00123961">
            <w:pPr>
              <w:shd w:val="clear" w:color="auto" w:fill="FFFFFF"/>
              <w:spacing w:after="0" w:line="240" w:lineRule="auto"/>
              <w:jc w:val="both"/>
              <w:rPr>
                <w:rFonts w:ascii="Times New Roman" w:hAnsi="Times New Roman"/>
                <w:sz w:val="20"/>
                <w:szCs w:val="20"/>
                <w:lang w:eastAsia="ar-SA"/>
              </w:rPr>
            </w:pPr>
            <w:r>
              <w:rPr>
                <w:rFonts w:ascii="Times New Roman" w:hAnsi="Times New Roman"/>
                <w:sz w:val="20"/>
                <w:szCs w:val="20"/>
                <w:lang w:eastAsia="ar-SA"/>
              </w:rPr>
              <w:t>Директор по взаимодействию с потребителями - начальник Департамента технологического развития ПАО «Россети»,</w:t>
            </w:r>
          </w:p>
          <w:p w14:paraId="2917F3B1" w14:textId="77777777" w:rsidR="002449C2" w:rsidRDefault="00123961">
            <w:pPr>
              <w:shd w:val="clear" w:color="auto" w:fill="FFFFFF"/>
              <w:spacing w:after="0" w:line="240" w:lineRule="auto"/>
              <w:jc w:val="both"/>
              <w:rPr>
                <w:rFonts w:ascii="Times New Roman" w:hAnsi="Times New Roman"/>
                <w:sz w:val="20"/>
                <w:szCs w:val="20"/>
                <w:lang w:eastAsia="ar-SA"/>
              </w:rPr>
            </w:pPr>
            <w:r>
              <w:rPr>
                <w:rFonts w:ascii="Times New Roman" w:hAnsi="Times New Roman"/>
                <w:i/>
                <w:sz w:val="20"/>
                <w:szCs w:val="20"/>
                <w:lang w:eastAsia="ar-SA"/>
              </w:rPr>
              <w:t>член Совета директоров ПАО «Россети Юг»</w:t>
            </w:r>
          </w:p>
        </w:tc>
        <w:tc>
          <w:tcPr>
            <w:tcW w:w="1143" w:type="dxa"/>
            <w:tcBorders>
              <w:top w:val="single" w:sz="4" w:space="0" w:color="000000"/>
              <w:left w:val="single" w:sz="4" w:space="0" w:color="000000"/>
              <w:bottom w:val="single" w:sz="4" w:space="0" w:color="000000"/>
              <w:right w:val="single" w:sz="4" w:space="0" w:color="000000"/>
            </w:tcBorders>
            <w:shd w:val="clear" w:color="auto" w:fill="FFFFFF"/>
          </w:tcPr>
          <w:p w14:paraId="16EC9011" w14:textId="77777777" w:rsidR="002449C2" w:rsidRDefault="00123961">
            <w:pPr>
              <w:spacing w:after="160" w:line="259"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4/4</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Pr>
          <w:p w14:paraId="0C5F8996" w14:textId="77777777" w:rsidR="002449C2" w:rsidRDefault="00123961">
            <w:pPr>
              <w:shd w:val="clear" w:color="auto" w:fill="FFFFFF"/>
              <w:spacing w:after="0" w:line="240" w:lineRule="auto"/>
              <w:jc w:val="center"/>
              <w:rPr>
                <w:rFonts w:ascii="Times New Roman" w:eastAsia="Times New Roman" w:hAnsi="Times New Roman"/>
                <w:sz w:val="20"/>
                <w:szCs w:val="20"/>
                <w:lang w:eastAsia="ar-SA"/>
              </w:rPr>
            </w:pPr>
            <w:r>
              <w:rPr>
                <w:rFonts w:ascii="Times New Roman" w:eastAsia="Times New Roman" w:hAnsi="Times New Roman"/>
                <w:sz w:val="20"/>
                <w:szCs w:val="20"/>
                <w:lang w:eastAsia="ar-SA"/>
              </w:rPr>
              <w:t>100</w:t>
            </w:r>
          </w:p>
        </w:tc>
      </w:tr>
    </w:tbl>
    <w:p w14:paraId="263C20DA" w14:textId="77777777" w:rsidR="002449C2" w:rsidRDefault="002449C2">
      <w:pPr>
        <w:shd w:val="clear" w:color="auto" w:fill="FFFFFF"/>
        <w:tabs>
          <w:tab w:val="left" w:pos="142"/>
        </w:tabs>
        <w:spacing w:after="0" w:line="240" w:lineRule="auto"/>
        <w:ind w:firstLine="567"/>
        <w:jc w:val="both"/>
        <w:rPr>
          <w:rFonts w:ascii="Times New Roman" w:eastAsia="Times New Roman" w:hAnsi="Times New Roman"/>
          <w:b/>
          <w:sz w:val="26"/>
          <w:szCs w:val="26"/>
          <w:lang w:eastAsia="ru-RU"/>
        </w:rPr>
      </w:pPr>
    </w:p>
    <w:p w14:paraId="6BC5216F"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Деятельность в 2024 году</w:t>
      </w:r>
    </w:p>
    <w:p w14:paraId="04A0A227"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отчетном году проведено 12 заседаний Комитета, в том числе 1 заседание в форме совместного присутствия (очная форма), на которых рассмотрено 17 вопросов.</w:t>
      </w:r>
    </w:p>
    <w:p w14:paraId="21796B57" w14:textId="77777777" w:rsidR="002449C2" w:rsidRDefault="002449C2">
      <w:pPr>
        <w:shd w:val="clear" w:color="auto" w:fill="FFFFFF"/>
        <w:tabs>
          <w:tab w:val="left" w:pos="142"/>
        </w:tabs>
        <w:spacing w:after="0" w:line="240" w:lineRule="auto"/>
        <w:ind w:firstLine="709"/>
        <w:jc w:val="both"/>
        <w:rPr>
          <w:rFonts w:ascii="Times New Roman" w:eastAsia="Times New Roman" w:hAnsi="Times New Roman"/>
          <w:i/>
          <w:sz w:val="26"/>
          <w:szCs w:val="26"/>
          <w:lang w:eastAsia="ru-RU"/>
        </w:rPr>
      </w:pPr>
    </w:p>
    <w:p w14:paraId="4A17B2C9" w14:textId="77777777" w:rsidR="002449C2" w:rsidRDefault="00123961">
      <w:pPr>
        <w:shd w:val="clear" w:color="auto" w:fill="FFFFFF"/>
        <w:tabs>
          <w:tab w:val="left" w:pos="142"/>
        </w:tabs>
        <w:spacing w:after="0" w:line="240" w:lineRule="auto"/>
        <w:ind w:firstLine="709"/>
        <w:jc w:val="center"/>
        <w:rPr>
          <w:rFonts w:ascii="Times New Roman" w:eastAsia="Times New Roman" w:hAnsi="Times New Roman"/>
          <w:i/>
          <w:sz w:val="26"/>
          <w:szCs w:val="26"/>
          <w:lang w:eastAsia="ru-RU"/>
        </w:rPr>
      </w:pPr>
      <w:r>
        <w:rPr>
          <w:rFonts w:ascii="Times New Roman" w:eastAsia="Times New Roman" w:hAnsi="Times New Roman"/>
          <w:i/>
          <w:sz w:val="26"/>
          <w:szCs w:val="26"/>
          <w:lang w:eastAsia="ru-RU"/>
        </w:rPr>
        <w:t>Статистика заседаний</w:t>
      </w:r>
    </w:p>
    <w:p w14:paraId="0A329C1E" w14:textId="77777777" w:rsidR="002449C2" w:rsidRDefault="002449C2">
      <w:pPr>
        <w:shd w:val="clear" w:color="auto" w:fill="FFFFFF"/>
        <w:tabs>
          <w:tab w:val="left" w:pos="142"/>
        </w:tabs>
        <w:spacing w:after="0" w:line="240" w:lineRule="auto"/>
        <w:jc w:val="both"/>
        <w:rPr>
          <w:rFonts w:ascii="Times New Roman" w:hAnsi="Times New Roman"/>
          <w:b/>
          <w:spacing w:val="-2"/>
          <w:sz w:val="28"/>
          <w:szCs w:val="28"/>
          <w:lang w:eastAsia="en-US"/>
        </w:rPr>
      </w:pPr>
    </w:p>
    <w:p w14:paraId="529BEF3B" w14:textId="77777777" w:rsidR="002449C2" w:rsidRDefault="00123961">
      <w:pPr>
        <w:shd w:val="clear" w:color="auto" w:fill="FFFFFF"/>
        <w:spacing w:after="0" w:line="240" w:lineRule="auto"/>
        <w:jc w:val="both"/>
        <w:rPr>
          <w:rFonts w:ascii="Times New Roman" w:eastAsia="Times New Roman" w:hAnsi="Times New Roman"/>
          <w:spacing w:val="-2"/>
          <w:sz w:val="26"/>
          <w:szCs w:val="26"/>
          <w:lang w:eastAsia="ru-RU"/>
        </w:rPr>
      </w:pPr>
      <w:r>
        <w:rPr>
          <w:noProof/>
          <w:lang w:eastAsia="ru-RU"/>
        </w:rPr>
        <w:drawing>
          <wp:inline distT="0" distB="0" distL="0" distR="0" wp14:anchorId="645D9280" wp14:editId="74CA1C60">
            <wp:extent cx="5993130" cy="2249805"/>
            <wp:effectExtent l="0" t="0" r="0" b="0"/>
            <wp:docPr id="121" name="_x005F_x0000_i4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_x005F_x0000_i4500"/>
                    <pic:cNvPicPr>
                      <a:picLocks noChangeAspect="1" noChangeArrowheads="1"/>
                    </pic:cNvPicPr>
                  </pic:nvPicPr>
                  <pic:blipFill>
                    <a:blip r:embed="rId172"/>
                    <a:stretch>
                      <a:fillRect/>
                    </a:stretch>
                  </pic:blipFill>
                  <pic:spPr bwMode="auto">
                    <a:xfrm>
                      <a:off x="0" y="0"/>
                      <a:ext cx="5993130" cy="2249805"/>
                    </a:xfrm>
                    <a:prstGeom prst="rect">
                      <a:avLst/>
                    </a:prstGeom>
                    <a:noFill/>
                  </pic:spPr>
                </pic:pic>
              </a:graphicData>
            </a:graphic>
          </wp:inline>
        </w:drawing>
      </w:r>
    </w:p>
    <w:p w14:paraId="43359D73" w14:textId="77777777" w:rsidR="002449C2" w:rsidRDefault="002449C2">
      <w:pPr>
        <w:shd w:val="clear" w:color="auto" w:fill="FFFFFF"/>
        <w:tabs>
          <w:tab w:val="left" w:pos="142"/>
        </w:tabs>
        <w:spacing w:after="0" w:line="240" w:lineRule="auto"/>
        <w:jc w:val="both"/>
        <w:rPr>
          <w:rFonts w:ascii="Times New Roman" w:hAnsi="Times New Roman"/>
          <w:b/>
          <w:spacing w:val="-2"/>
          <w:sz w:val="28"/>
          <w:szCs w:val="28"/>
          <w:lang w:eastAsia="en-US"/>
        </w:rPr>
      </w:pPr>
    </w:p>
    <w:p w14:paraId="7AE617A5" w14:textId="77777777" w:rsidR="002449C2" w:rsidRDefault="00123961">
      <w:pPr>
        <w:shd w:val="clear" w:color="auto" w:fill="FFFFFF"/>
        <w:tabs>
          <w:tab w:val="left" w:pos="142"/>
        </w:tabs>
        <w:spacing w:after="0" w:line="240" w:lineRule="auto"/>
        <w:jc w:val="center"/>
        <w:rPr>
          <w:rFonts w:ascii="Times New Roman" w:eastAsia="Times New Roman" w:hAnsi="Times New Roman"/>
          <w:i/>
          <w:sz w:val="26"/>
          <w:szCs w:val="26"/>
          <w:lang w:eastAsia="ru-RU"/>
        </w:rPr>
      </w:pPr>
      <w:r>
        <w:rPr>
          <w:rFonts w:ascii="Times New Roman" w:eastAsia="Times New Roman" w:hAnsi="Times New Roman"/>
          <w:i/>
          <w:sz w:val="26"/>
          <w:szCs w:val="26"/>
          <w:lang w:eastAsia="ru-RU"/>
        </w:rPr>
        <w:t>Анализ изменений 2023/2024 годы</w:t>
      </w:r>
    </w:p>
    <w:tbl>
      <w:tblPr>
        <w:tblW w:w="9345" w:type="dxa"/>
        <w:tblLayout w:type="fixed"/>
        <w:tblLook w:val="04A0" w:firstRow="1" w:lastRow="0" w:firstColumn="1" w:lastColumn="0" w:noHBand="0" w:noVBand="1"/>
      </w:tblPr>
      <w:tblGrid>
        <w:gridCol w:w="1869"/>
        <w:gridCol w:w="1869"/>
        <w:gridCol w:w="1869"/>
        <w:gridCol w:w="1869"/>
        <w:gridCol w:w="1869"/>
      </w:tblGrid>
      <w:tr w:rsidR="002449C2" w14:paraId="455C4E8D" w14:textId="77777777">
        <w:tc>
          <w:tcPr>
            <w:tcW w:w="1869" w:type="dxa"/>
            <w:tcBorders>
              <w:top w:val="single" w:sz="4" w:space="0" w:color="000000"/>
              <w:left w:val="single" w:sz="4" w:space="0" w:color="000000"/>
              <w:bottom w:val="single" w:sz="4" w:space="0" w:color="000000"/>
              <w:right w:val="single" w:sz="4" w:space="0" w:color="000000"/>
            </w:tcBorders>
          </w:tcPr>
          <w:p w14:paraId="68261118" w14:textId="77777777" w:rsidR="002449C2" w:rsidRDefault="00123961">
            <w:pPr>
              <w:tabs>
                <w:tab w:val="left" w:pos="142"/>
              </w:tabs>
              <w:spacing w:after="160" w:line="259" w:lineRule="auto"/>
              <w:jc w:val="center"/>
              <w:rPr>
                <w:rFonts w:ascii="Times New Roman" w:hAnsi="Times New Roman"/>
                <w:b/>
                <w:sz w:val="20"/>
                <w:szCs w:val="20"/>
                <w:lang w:eastAsia="en-US"/>
              </w:rPr>
            </w:pPr>
            <w:r>
              <w:rPr>
                <w:rFonts w:ascii="Times New Roman" w:eastAsia="Times New Roman" w:hAnsi="Times New Roman"/>
                <w:b/>
                <w:sz w:val="20"/>
                <w:szCs w:val="20"/>
                <w:lang w:eastAsia="ru-RU"/>
              </w:rPr>
              <w:t>Заседания/ Вопросы</w:t>
            </w:r>
          </w:p>
        </w:tc>
        <w:tc>
          <w:tcPr>
            <w:tcW w:w="1869" w:type="dxa"/>
            <w:tcBorders>
              <w:top w:val="single" w:sz="4" w:space="0" w:color="000000"/>
              <w:left w:val="single" w:sz="4" w:space="0" w:color="000000"/>
              <w:bottom w:val="single" w:sz="4" w:space="0" w:color="000000"/>
              <w:right w:val="single" w:sz="4" w:space="0" w:color="000000"/>
            </w:tcBorders>
          </w:tcPr>
          <w:p w14:paraId="176AC52D" w14:textId="77777777" w:rsidR="002449C2" w:rsidRDefault="00123961">
            <w:pPr>
              <w:tabs>
                <w:tab w:val="left" w:pos="142"/>
              </w:tabs>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2023, шт.</w:t>
            </w:r>
          </w:p>
        </w:tc>
        <w:tc>
          <w:tcPr>
            <w:tcW w:w="1869" w:type="dxa"/>
            <w:tcBorders>
              <w:top w:val="single" w:sz="4" w:space="0" w:color="000000"/>
              <w:left w:val="single" w:sz="4" w:space="0" w:color="000000"/>
              <w:bottom w:val="single" w:sz="4" w:space="0" w:color="000000"/>
              <w:right w:val="single" w:sz="4" w:space="0" w:color="000000"/>
            </w:tcBorders>
          </w:tcPr>
          <w:p w14:paraId="761B01B2" w14:textId="77777777" w:rsidR="002449C2" w:rsidRDefault="00123961">
            <w:pPr>
              <w:tabs>
                <w:tab w:val="left" w:pos="142"/>
              </w:tabs>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2024, шт.</w:t>
            </w:r>
          </w:p>
        </w:tc>
        <w:tc>
          <w:tcPr>
            <w:tcW w:w="1869" w:type="dxa"/>
            <w:tcBorders>
              <w:top w:val="single" w:sz="4" w:space="0" w:color="000000"/>
              <w:left w:val="single" w:sz="4" w:space="0" w:color="000000"/>
              <w:bottom w:val="single" w:sz="4" w:space="0" w:color="000000"/>
              <w:right w:val="single" w:sz="4" w:space="0" w:color="000000"/>
            </w:tcBorders>
          </w:tcPr>
          <w:p w14:paraId="051D0C45" w14:textId="77777777" w:rsidR="002449C2" w:rsidRDefault="00123961">
            <w:pPr>
              <w:tabs>
                <w:tab w:val="left" w:pos="142"/>
              </w:tabs>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Изменения 2022/2023, шт.</w:t>
            </w:r>
          </w:p>
        </w:tc>
        <w:tc>
          <w:tcPr>
            <w:tcW w:w="1869" w:type="dxa"/>
            <w:tcBorders>
              <w:top w:val="single" w:sz="4" w:space="0" w:color="000000"/>
              <w:left w:val="single" w:sz="4" w:space="0" w:color="000000"/>
              <w:bottom w:val="single" w:sz="4" w:space="0" w:color="000000"/>
              <w:right w:val="single" w:sz="4" w:space="0" w:color="000000"/>
            </w:tcBorders>
          </w:tcPr>
          <w:p w14:paraId="466C5742" w14:textId="77777777" w:rsidR="002449C2" w:rsidRDefault="00123961">
            <w:pPr>
              <w:tabs>
                <w:tab w:val="left" w:pos="142"/>
              </w:tabs>
              <w:spacing w:after="0" w:line="240" w:lineRule="auto"/>
              <w:jc w:val="center"/>
              <w:rPr>
                <w:rFonts w:ascii="Times New Roman" w:eastAsia="Times New Roman" w:hAnsi="Times New Roman"/>
                <w:i/>
                <w:sz w:val="26"/>
                <w:szCs w:val="26"/>
                <w:lang w:eastAsia="ru-RU"/>
              </w:rPr>
            </w:pPr>
            <w:r>
              <w:rPr>
                <w:rFonts w:ascii="Times New Roman" w:eastAsia="Times New Roman" w:hAnsi="Times New Roman"/>
                <w:b/>
                <w:sz w:val="20"/>
                <w:szCs w:val="20"/>
                <w:lang w:eastAsia="ru-RU"/>
              </w:rPr>
              <w:t>Изменения 2022/2023, %</w:t>
            </w:r>
          </w:p>
        </w:tc>
      </w:tr>
      <w:tr w:rsidR="002449C2" w14:paraId="3490F8EB" w14:textId="77777777">
        <w:tc>
          <w:tcPr>
            <w:tcW w:w="1869" w:type="dxa"/>
            <w:tcBorders>
              <w:top w:val="single" w:sz="4" w:space="0" w:color="000000"/>
              <w:left w:val="single" w:sz="4" w:space="0" w:color="000000"/>
              <w:bottom w:val="single" w:sz="4" w:space="0" w:color="000000"/>
              <w:right w:val="single" w:sz="4" w:space="0" w:color="000000"/>
            </w:tcBorders>
          </w:tcPr>
          <w:p w14:paraId="013E4D52"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очные</w:t>
            </w:r>
          </w:p>
        </w:tc>
        <w:tc>
          <w:tcPr>
            <w:tcW w:w="1869" w:type="dxa"/>
            <w:tcBorders>
              <w:top w:val="single" w:sz="4" w:space="0" w:color="000000"/>
              <w:left w:val="single" w:sz="4" w:space="0" w:color="000000"/>
              <w:bottom w:val="single" w:sz="4" w:space="0" w:color="000000"/>
              <w:right w:val="single" w:sz="4" w:space="0" w:color="000000"/>
            </w:tcBorders>
          </w:tcPr>
          <w:p w14:paraId="4E28EAF3"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2</w:t>
            </w:r>
          </w:p>
        </w:tc>
        <w:tc>
          <w:tcPr>
            <w:tcW w:w="1869" w:type="dxa"/>
            <w:tcBorders>
              <w:top w:val="single" w:sz="4" w:space="0" w:color="000000"/>
              <w:left w:val="single" w:sz="4" w:space="0" w:color="000000"/>
              <w:bottom w:val="single" w:sz="4" w:space="0" w:color="000000"/>
              <w:right w:val="single" w:sz="4" w:space="0" w:color="000000"/>
            </w:tcBorders>
          </w:tcPr>
          <w:p w14:paraId="12CA53E8"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w:t>
            </w:r>
          </w:p>
        </w:tc>
        <w:tc>
          <w:tcPr>
            <w:tcW w:w="1869" w:type="dxa"/>
            <w:tcBorders>
              <w:top w:val="single" w:sz="4" w:space="0" w:color="000000"/>
              <w:left w:val="single" w:sz="4" w:space="0" w:color="000000"/>
              <w:bottom w:val="single" w:sz="4" w:space="0" w:color="000000"/>
              <w:right w:val="single" w:sz="4" w:space="0" w:color="000000"/>
            </w:tcBorders>
          </w:tcPr>
          <w:p w14:paraId="7701B23C"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w:t>
            </w:r>
          </w:p>
        </w:tc>
        <w:tc>
          <w:tcPr>
            <w:tcW w:w="1869" w:type="dxa"/>
            <w:tcBorders>
              <w:top w:val="single" w:sz="4" w:space="0" w:color="000000"/>
              <w:left w:val="single" w:sz="4" w:space="0" w:color="000000"/>
              <w:bottom w:val="single" w:sz="4" w:space="0" w:color="000000"/>
              <w:right w:val="single" w:sz="4" w:space="0" w:color="000000"/>
            </w:tcBorders>
          </w:tcPr>
          <w:p w14:paraId="171FA887"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+50</w:t>
            </w:r>
          </w:p>
        </w:tc>
      </w:tr>
      <w:tr w:rsidR="002449C2" w14:paraId="07FB100D" w14:textId="77777777">
        <w:tc>
          <w:tcPr>
            <w:tcW w:w="1869" w:type="dxa"/>
            <w:tcBorders>
              <w:top w:val="single" w:sz="4" w:space="0" w:color="000000"/>
              <w:left w:val="single" w:sz="4" w:space="0" w:color="000000"/>
              <w:bottom w:val="single" w:sz="4" w:space="0" w:color="000000"/>
              <w:right w:val="single" w:sz="4" w:space="0" w:color="000000"/>
            </w:tcBorders>
          </w:tcPr>
          <w:p w14:paraId="38AA19DA"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заочные</w:t>
            </w:r>
          </w:p>
        </w:tc>
        <w:tc>
          <w:tcPr>
            <w:tcW w:w="1869" w:type="dxa"/>
            <w:tcBorders>
              <w:top w:val="single" w:sz="4" w:space="0" w:color="000000"/>
              <w:left w:val="single" w:sz="4" w:space="0" w:color="000000"/>
              <w:bottom w:val="single" w:sz="4" w:space="0" w:color="000000"/>
              <w:right w:val="single" w:sz="4" w:space="0" w:color="000000"/>
            </w:tcBorders>
          </w:tcPr>
          <w:p w14:paraId="70AE88CC"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7</w:t>
            </w:r>
          </w:p>
        </w:tc>
        <w:tc>
          <w:tcPr>
            <w:tcW w:w="1869" w:type="dxa"/>
            <w:tcBorders>
              <w:top w:val="single" w:sz="4" w:space="0" w:color="000000"/>
              <w:left w:val="single" w:sz="4" w:space="0" w:color="000000"/>
              <w:bottom w:val="single" w:sz="4" w:space="0" w:color="000000"/>
              <w:right w:val="single" w:sz="4" w:space="0" w:color="000000"/>
            </w:tcBorders>
          </w:tcPr>
          <w:p w14:paraId="72C2FAAF"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11</w:t>
            </w:r>
          </w:p>
        </w:tc>
        <w:tc>
          <w:tcPr>
            <w:tcW w:w="1869" w:type="dxa"/>
            <w:tcBorders>
              <w:top w:val="single" w:sz="4" w:space="0" w:color="000000"/>
              <w:left w:val="single" w:sz="4" w:space="0" w:color="000000"/>
              <w:bottom w:val="single" w:sz="4" w:space="0" w:color="000000"/>
              <w:right w:val="single" w:sz="4" w:space="0" w:color="000000"/>
            </w:tcBorders>
          </w:tcPr>
          <w:p w14:paraId="3D180017"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+4</w:t>
            </w:r>
          </w:p>
        </w:tc>
        <w:tc>
          <w:tcPr>
            <w:tcW w:w="1869" w:type="dxa"/>
            <w:tcBorders>
              <w:top w:val="single" w:sz="4" w:space="0" w:color="000000"/>
              <w:left w:val="single" w:sz="4" w:space="0" w:color="000000"/>
              <w:bottom w:val="single" w:sz="4" w:space="0" w:color="000000"/>
              <w:right w:val="single" w:sz="4" w:space="0" w:color="000000"/>
            </w:tcBorders>
          </w:tcPr>
          <w:p w14:paraId="5CC83737"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+36,36</w:t>
            </w:r>
          </w:p>
        </w:tc>
      </w:tr>
      <w:tr w:rsidR="002449C2" w14:paraId="47BCB90A" w14:textId="77777777">
        <w:tc>
          <w:tcPr>
            <w:tcW w:w="1869" w:type="dxa"/>
            <w:tcBorders>
              <w:top w:val="single" w:sz="4" w:space="0" w:color="000000"/>
              <w:left w:val="single" w:sz="4" w:space="0" w:color="000000"/>
              <w:bottom w:val="single" w:sz="4" w:space="0" w:color="000000"/>
              <w:right w:val="single" w:sz="4" w:space="0" w:color="000000"/>
            </w:tcBorders>
          </w:tcPr>
          <w:p w14:paraId="45A378BF"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всего заседаний</w:t>
            </w:r>
          </w:p>
        </w:tc>
        <w:tc>
          <w:tcPr>
            <w:tcW w:w="1869" w:type="dxa"/>
            <w:tcBorders>
              <w:top w:val="single" w:sz="4" w:space="0" w:color="000000"/>
              <w:left w:val="single" w:sz="4" w:space="0" w:color="000000"/>
              <w:bottom w:val="single" w:sz="4" w:space="0" w:color="000000"/>
              <w:right w:val="single" w:sz="4" w:space="0" w:color="000000"/>
            </w:tcBorders>
          </w:tcPr>
          <w:p w14:paraId="2B5C0FCE"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9</w:t>
            </w:r>
          </w:p>
        </w:tc>
        <w:tc>
          <w:tcPr>
            <w:tcW w:w="1869" w:type="dxa"/>
            <w:tcBorders>
              <w:top w:val="single" w:sz="4" w:space="0" w:color="000000"/>
              <w:left w:val="single" w:sz="4" w:space="0" w:color="000000"/>
              <w:bottom w:val="single" w:sz="4" w:space="0" w:color="000000"/>
              <w:right w:val="single" w:sz="4" w:space="0" w:color="000000"/>
            </w:tcBorders>
          </w:tcPr>
          <w:p w14:paraId="05D71234"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12</w:t>
            </w:r>
          </w:p>
        </w:tc>
        <w:tc>
          <w:tcPr>
            <w:tcW w:w="1869" w:type="dxa"/>
            <w:tcBorders>
              <w:top w:val="single" w:sz="4" w:space="0" w:color="000000"/>
              <w:left w:val="single" w:sz="4" w:space="0" w:color="000000"/>
              <w:bottom w:val="single" w:sz="4" w:space="0" w:color="000000"/>
              <w:right w:val="single" w:sz="4" w:space="0" w:color="000000"/>
            </w:tcBorders>
          </w:tcPr>
          <w:p w14:paraId="26E2097E"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+3</w:t>
            </w:r>
          </w:p>
        </w:tc>
        <w:tc>
          <w:tcPr>
            <w:tcW w:w="1869" w:type="dxa"/>
            <w:tcBorders>
              <w:top w:val="single" w:sz="4" w:space="0" w:color="000000"/>
              <w:left w:val="single" w:sz="4" w:space="0" w:color="000000"/>
              <w:bottom w:val="single" w:sz="4" w:space="0" w:color="000000"/>
              <w:right w:val="single" w:sz="4" w:space="0" w:color="000000"/>
            </w:tcBorders>
          </w:tcPr>
          <w:p w14:paraId="4892EDE1"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+25,00</w:t>
            </w:r>
          </w:p>
        </w:tc>
      </w:tr>
      <w:tr w:rsidR="002449C2" w14:paraId="5160CE82" w14:textId="77777777">
        <w:tc>
          <w:tcPr>
            <w:tcW w:w="1869" w:type="dxa"/>
            <w:tcBorders>
              <w:top w:val="single" w:sz="4" w:space="0" w:color="000000"/>
              <w:left w:val="single" w:sz="4" w:space="0" w:color="000000"/>
              <w:bottom w:val="single" w:sz="4" w:space="0" w:color="000000"/>
              <w:right w:val="single" w:sz="4" w:space="0" w:color="000000"/>
            </w:tcBorders>
          </w:tcPr>
          <w:p w14:paraId="2E13887B"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всего вопросов</w:t>
            </w:r>
          </w:p>
        </w:tc>
        <w:tc>
          <w:tcPr>
            <w:tcW w:w="1869" w:type="dxa"/>
            <w:tcBorders>
              <w:top w:val="single" w:sz="4" w:space="0" w:color="000000"/>
              <w:left w:val="single" w:sz="4" w:space="0" w:color="000000"/>
              <w:bottom w:val="single" w:sz="4" w:space="0" w:color="000000"/>
              <w:right w:val="single" w:sz="4" w:space="0" w:color="000000"/>
            </w:tcBorders>
          </w:tcPr>
          <w:p w14:paraId="3E6793FA"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15</w:t>
            </w:r>
          </w:p>
        </w:tc>
        <w:tc>
          <w:tcPr>
            <w:tcW w:w="1869" w:type="dxa"/>
            <w:tcBorders>
              <w:top w:val="single" w:sz="4" w:space="0" w:color="000000"/>
              <w:left w:val="single" w:sz="4" w:space="0" w:color="000000"/>
              <w:bottom w:val="single" w:sz="4" w:space="0" w:color="000000"/>
              <w:right w:val="single" w:sz="4" w:space="0" w:color="000000"/>
            </w:tcBorders>
          </w:tcPr>
          <w:p w14:paraId="26A4A7A0"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17</w:t>
            </w:r>
          </w:p>
        </w:tc>
        <w:tc>
          <w:tcPr>
            <w:tcW w:w="1869" w:type="dxa"/>
            <w:tcBorders>
              <w:top w:val="single" w:sz="4" w:space="0" w:color="000000"/>
              <w:left w:val="single" w:sz="4" w:space="0" w:color="000000"/>
              <w:bottom w:val="single" w:sz="4" w:space="0" w:color="000000"/>
              <w:right w:val="single" w:sz="4" w:space="0" w:color="000000"/>
            </w:tcBorders>
          </w:tcPr>
          <w:p w14:paraId="15BF7BBF"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+2</w:t>
            </w:r>
          </w:p>
        </w:tc>
        <w:tc>
          <w:tcPr>
            <w:tcW w:w="1869" w:type="dxa"/>
            <w:tcBorders>
              <w:top w:val="single" w:sz="4" w:space="0" w:color="000000"/>
              <w:left w:val="single" w:sz="4" w:space="0" w:color="000000"/>
              <w:bottom w:val="single" w:sz="4" w:space="0" w:color="000000"/>
              <w:right w:val="single" w:sz="4" w:space="0" w:color="000000"/>
            </w:tcBorders>
          </w:tcPr>
          <w:p w14:paraId="6DFB00F6" w14:textId="77777777" w:rsidR="002449C2" w:rsidRDefault="00123961">
            <w:pPr>
              <w:tabs>
                <w:tab w:val="left" w:pos="142"/>
              </w:tabs>
              <w:spacing w:after="0" w:line="240" w:lineRule="auto"/>
              <w:jc w:val="center"/>
              <w:rPr>
                <w:rFonts w:ascii="Times New Roman" w:hAnsi="Times New Roman"/>
                <w:sz w:val="20"/>
                <w:szCs w:val="20"/>
                <w:lang w:eastAsia="en-US"/>
              </w:rPr>
            </w:pPr>
            <w:r>
              <w:rPr>
                <w:rFonts w:ascii="Times New Roman" w:hAnsi="Times New Roman"/>
                <w:sz w:val="20"/>
                <w:szCs w:val="20"/>
                <w:lang w:eastAsia="en-US"/>
              </w:rPr>
              <w:t>+11,76</w:t>
            </w:r>
          </w:p>
        </w:tc>
      </w:tr>
    </w:tbl>
    <w:p w14:paraId="09DF35DC" w14:textId="77777777" w:rsidR="002449C2" w:rsidRDefault="002449C2">
      <w:pPr>
        <w:shd w:val="clear" w:color="auto" w:fill="FFFFFF"/>
        <w:tabs>
          <w:tab w:val="left" w:pos="142"/>
        </w:tabs>
        <w:spacing w:after="0" w:line="240" w:lineRule="auto"/>
        <w:jc w:val="both"/>
        <w:rPr>
          <w:rFonts w:ascii="Times New Roman" w:hAnsi="Times New Roman"/>
          <w:b/>
          <w:spacing w:val="-2"/>
          <w:sz w:val="28"/>
          <w:szCs w:val="28"/>
          <w:lang w:eastAsia="en-US"/>
        </w:rPr>
      </w:pPr>
    </w:p>
    <w:p w14:paraId="5321EA39" w14:textId="77777777" w:rsidR="002449C2" w:rsidRDefault="00123961">
      <w:pPr>
        <w:shd w:val="clear" w:color="auto" w:fill="FFFFFF"/>
        <w:tabs>
          <w:tab w:val="left" w:pos="142"/>
        </w:tabs>
        <w:spacing w:after="0" w:line="240" w:lineRule="auto"/>
        <w:ind w:firstLine="709"/>
        <w:jc w:val="center"/>
        <w:rPr>
          <w:rFonts w:ascii="Times New Roman" w:eastAsia="Times New Roman" w:hAnsi="Times New Roman"/>
          <w:i/>
          <w:sz w:val="26"/>
          <w:szCs w:val="26"/>
          <w:lang w:eastAsia="ru-RU"/>
        </w:rPr>
      </w:pPr>
      <w:r>
        <w:rPr>
          <w:rFonts w:ascii="Times New Roman" w:eastAsia="Times New Roman" w:hAnsi="Times New Roman"/>
          <w:i/>
          <w:sz w:val="26"/>
          <w:szCs w:val="26"/>
          <w:lang w:eastAsia="ru-RU"/>
        </w:rPr>
        <w:t>Календарь заседаний</w:t>
      </w:r>
    </w:p>
    <w:tbl>
      <w:tblPr>
        <w:tblpPr w:leftFromText="180" w:rightFromText="180" w:bottomFromText="200" w:vertAnchor="text" w:horzAnchor="margin" w:tblpY="67"/>
        <w:tblW w:w="9570" w:type="dxa"/>
        <w:tblLayout w:type="fixed"/>
        <w:tblLook w:val="04A0" w:firstRow="1" w:lastRow="0" w:firstColumn="1" w:lastColumn="0" w:noHBand="0" w:noVBand="1"/>
      </w:tblPr>
      <w:tblGrid>
        <w:gridCol w:w="2945"/>
        <w:gridCol w:w="551"/>
        <w:gridCol w:w="555"/>
        <w:gridCol w:w="556"/>
        <w:gridCol w:w="552"/>
        <w:gridCol w:w="547"/>
        <w:gridCol w:w="552"/>
        <w:gridCol w:w="553"/>
        <w:gridCol w:w="556"/>
        <w:gridCol w:w="553"/>
        <w:gridCol w:w="546"/>
        <w:gridCol w:w="552"/>
        <w:gridCol w:w="552"/>
      </w:tblGrid>
      <w:tr w:rsidR="002449C2" w14:paraId="69CCC8D3" w14:textId="77777777">
        <w:trPr>
          <w:cantSplit/>
          <w:trHeight w:val="983"/>
        </w:trPr>
        <w:tc>
          <w:tcPr>
            <w:tcW w:w="2944" w:type="dxa"/>
            <w:tcBorders>
              <w:top w:val="single" w:sz="4" w:space="0" w:color="000000"/>
              <w:left w:val="single" w:sz="4" w:space="0" w:color="000000"/>
              <w:bottom w:val="single" w:sz="4" w:space="0" w:color="000000"/>
              <w:right w:val="single" w:sz="4" w:space="0" w:color="000000"/>
            </w:tcBorders>
            <w:vAlign w:val="center"/>
          </w:tcPr>
          <w:p w14:paraId="57237A7A" w14:textId="77777777" w:rsidR="002449C2" w:rsidRDefault="00123961">
            <w:pPr>
              <w:widowControl w:val="0"/>
              <w:shd w:val="clear" w:color="auto" w:fill="FFFFFF"/>
              <w:spacing w:after="0" w:line="240" w:lineRule="auto"/>
              <w:ind w:right="-108"/>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2024 год</w:t>
            </w:r>
          </w:p>
        </w:tc>
        <w:tc>
          <w:tcPr>
            <w:tcW w:w="551" w:type="dxa"/>
            <w:tcBorders>
              <w:top w:val="single" w:sz="4" w:space="0" w:color="000000"/>
              <w:left w:val="single" w:sz="4" w:space="0" w:color="000000"/>
              <w:bottom w:val="single" w:sz="4" w:space="0" w:color="000000"/>
              <w:right w:val="single" w:sz="4" w:space="0" w:color="000000"/>
            </w:tcBorders>
            <w:textDirection w:val="btLr"/>
            <w:vAlign w:val="center"/>
          </w:tcPr>
          <w:p w14:paraId="071E7822"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январь</w:t>
            </w:r>
          </w:p>
        </w:tc>
        <w:tc>
          <w:tcPr>
            <w:tcW w:w="555" w:type="dxa"/>
            <w:tcBorders>
              <w:top w:val="single" w:sz="4" w:space="0" w:color="000000"/>
              <w:left w:val="single" w:sz="4" w:space="0" w:color="000000"/>
              <w:bottom w:val="single" w:sz="4" w:space="0" w:color="000000"/>
              <w:right w:val="single" w:sz="4" w:space="0" w:color="000000"/>
            </w:tcBorders>
            <w:textDirection w:val="btLr"/>
            <w:vAlign w:val="center"/>
          </w:tcPr>
          <w:p w14:paraId="36F373B7"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февраль</w:t>
            </w:r>
          </w:p>
        </w:tc>
        <w:tc>
          <w:tcPr>
            <w:tcW w:w="556" w:type="dxa"/>
            <w:tcBorders>
              <w:top w:val="single" w:sz="4" w:space="0" w:color="000000"/>
              <w:left w:val="single" w:sz="4" w:space="0" w:color="000000"/>
              <w:bottom w:val="single" w:sz="4" w:space="0" w:color="000000"/>
              <w:right w:val="single" w:sz="4" w:space="0" w:color="000000"/>
            </w:tcBorders>
            <w:textDirection w:val="btLr"/>
            <w:vAlign w:val="center"/>
          </w:tcPr>
          <w:p w14:paraId="34AAF245"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март</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1D1D2326"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апрель</w:t>
            </w:r>
          </w:p>
        </w:tc>
        <w:tc>
          <w:tcPr>
            <w:tcW w:w="547" w:type="dxa"/>
            <w:tcBorders>
              <w:top w:val="single" w:sz="4" w:space="0" w:color="000000"/>
              <w:left w:val="single" w:sz="4" w:space="0" w:color="000000"/>
              <w:bottom w:val="single" w:sz="4" w:space="0" w:color="000000"/>
              <w:right w:val="single" w:sz="4" w:space="0" w:color="000000"/>
            </w:tcBorders>
            <w:textDirection w:val="btLr"/>
            <w:vAlign w:val="center"/>
          </w:tcPr>
          <w:p w14:paraId="01DA39BB"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май</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2BE57501"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июнь</w:t>
            </w:r>
          </w:p>
        </w:tc>
        <w:tc>
          <w:tcPr>
            <w:tcW w:w="553" w:type="dxa"/>
            <w:tcBorders>
              <w:top w:val="single" w:sz="4" w:space="0" w:color="000000"/>
              <w:left w:val="single" w:sz="4" w:space="0" w:color="000000"/>
              <w:bottom w:val="single" w:sz="4" w:space="0" w:color="000000"/>
              <w:right w:val="single" w:sz="4" w:space="0" w:color="000000"/>
            </w:tcBorders>
            <w:textDirection w:val="btLr"/>
            <w:vAlign w:val="center"/>
          </w:tcPr>
          <w:p w14:paraId="1CC67871"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июль</w:t>
            </w:r>
          </w:p>
        </w:tc>
        <w:tc>
          <w:tcPr>
            <w:tcW w:w="556" w:type="dxa"/>
            <w:tcBorders>
              <w:top w:val="single" w:sz="4" w:space="0" w:color="000000"/>
              <w:left w:val="single" w:sz="4" w:space="0" w:color="000000"/>
              <w:bottom w:val="single" w:sz="4" w:space="0" w:color="000000"/>
              <w:right w:val="single" w:sz="4" w:space="0" w:color="000000"/>
            </w:tcBorders>
            <w:textDirection w:val="btLr"/>
            <w:vAlign w:val="center"/>
          </w:tcPr>
          <w:p w14:paraId="05073FB3"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август</w:t>
            </w:r>
          </w:p>
        </w:tc>
        <w:tc>
          <w:tcPr>
            <w:tcW w:w="553" w:type="dxa"/>
            <w:tcBorders>
              <w:top w:val="single" w:sz="4" w:space="0" w:color="000000"/>
              <w:left w:val="single" w:sz="4" w:space="0" w:color="000000"/>
              <w:bottom w:val="single" w:sz="4" w:space="0" w:color="000000"/>
              <w:right w:val="single" w:sz="4" w:space="0" w:color="000000"/>
            </w:tcBorders>
            <w:textDirection w:val="btLr"/>
            <w:vAlign w:val="center"/>
          </w:tcPr>
          <w:p w14:paraId="022375CC"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сентябрь</w:t>
            </w:r>
          </w:p>
        </w:tc>
        <w:tc>
          <w:tcPr>
            <w:tcW w:w="546" w:type="dxa"/>
            <w:tcBorders>
              <w:top w:val="single" w:sz="4" w:space="0" w:color="000000"/>
              <w:left w:val="single" w:sz="4" w:space="0" w:color="000000"/>
              <w:bottom w:val="single" w:sz="4" w:space="0" w:color="000000"/>
              <w:right w:val="single" w:sz="4" w:space="0" w:color="000000"/>
            </w:tcBorders>
            <w:textDirection w:val="btLr"/>
            <w:vAlign w:val="center"/>
          </w:tcPr>
          <w:p w14:paraId="256AB654"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октябрь</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09E1763C"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ноябрь</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29818B61" w14:textId="77777777" w:rsidR="002449C2" w:rsidRDefault="00123961">
            <w:pPr>
              <w:widowControl w:val="0"/>
              <w:shd w:val="clear" w:color="auto" w:fill="FFFFFF"/>
              <w:spacing w:after="0" w:line="240" w:lineRule="auto"/>
              <w:ind w:left="57"/>
              <w:jc w:val="center"/>
              <w:rPr>
                <w:rFonts w:ascii="Times New Roman" w:eastAsia="Times New Roman" w:hAnsi="Times New Roman"/>
                <w:b/>
                <w:iCs/>
                <w:sz w:val="20"/>
                <w:szCs w:val="20"/>
                <w:lang w:eastAsia="ru-RU"/>
              </w:rPr>
            </w:pPr>
            <w:r>
              <w:rPr>
                <w:rFonts w:ascii="Times New Roman" w:eastAsia="Times New Roman" w:hAnsi="Times New Roman"/>
                <w:b/>
                <w:iCs/>
                <w:sz w:val="20"/>
                <w:szCs w:val="20"/>
                <w:lang w:eastAsia="ru-RU"/>
              </w:rPr>
              <w:t>декабрь</w:t>
            </w:r>
          </w:p>
        </w:tc>
      </w:tr>
      <w:tr w:rsidR="002449C2" w14:paraId="4CA48786" w14:textId="77777777">
        <w:trPr>
          <w:trHeight w:val="478"/>
        </w:trPr>
        <w:tc>
          <w:tcPr>
            <w:tcW w:w="2944" w:type="dxa"/>
            <w:vMerge w:val="restart"/>
            <w:tcBorders>
              <w:top w:val="single" w:sz="4" w:space="0" w:color="000000"/>
              <w:left w:val="single" w:sz="4" w:space="0" w:color="000000"/>
              <w:bottom w:val="single" w:sz="4" w:space="0" w:color="000000"/>
              <w:right w:val="single" w:sz="4" w:space="0" w:color="000000"/>
            </w:tcBorders>
            <w:vAlign w:val="center"/>
          </w:tcPr>
          <w:p w14:paraId="70413685" w14:textId="77777777" w:rsidR="002449C2" w:rsidRDefault="00123961">
            <w:pPr>
              <w:widowControl w:val="0"/>
              <w:shd w:val="clear" w:color="auto" w:fill="FFFFFF"/>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sz w:val="20"/>
                <w:szCs w:val="20"/>
                <w:lang w:eastAsia="ru-RU"/>
              </w:rPr>
              <w:t>Заседания Комитета</w:t>
            </w:r>
          </w:p>
        </w:tc>
        <w:tc>
          <w:tcPr>
            <w:tcW w:w="551" w:type="dxa"/>
            <w:tcBorders>
              <w:top w:val="single" w:sz="4" w:space="0" w:color="000000"/>
              <w:left w:val="single" w:sz="4" w:space="0" w:color="000000"/>
              <w:bottom w:val="single" w:sz="4" w:space="0" w:color="000000"/>
              <w:right w:val="single" w:sz="4" w:space="0" w:color="000000"/>
            </w:tcBorders>
            <w:vAlign w:val="center"/>
          </w:tcPr>
          <w:p w14:paraId="10D56D6D"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555" w:type="dxa"/>
            <w:tcBorders>
              <w:top w:val="single" w:sz="4" w:space="0" w:color="000000"/>
              <w:left w:val="single" w:sz="4" w:space="0" w:color="000000"/>
              <w:bottom w:val="single" w:sz="4" w:space="0" w:color="000000"/>
              <w:right w:val="single" w:sz="4" w:space="0" w:color="000000"/>
            </w:tcBorders>
            <w:vAlign w:val="center"/>
          </w:tcPr>
          <w:p w14:paraId="66D3B1A8"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w:t>
            </w:r>
          </w:p>
        </w:tc>
        <w:tc>
          <w:tcPr>
            <w:tcW w:w="556" w:type="dxa"/>
            <w:tcBorders>
              <w:top w:val="single" w:sz="4" w:space="0" w:color="000000"/>
              <w:left w:val="single" w:sz="4" w:space="0" w:color="000000"/>
              <w:bottom w:val="single" w:sz="4" w:space="0" w:color="000000"/>
              <w:right w:val="single" w:sz="4" w:space="0" w:color="000000"/>
            </w:tcBorders>
            <w:vAlign w:val="center"/>
          </w:tcPr>
          <w:p w14:paraId="625369AC"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552" w:type="dxa"/>
            <w:tcBorders>
              <w:top w:val="single" w:sz="4" w:space="0" w:color="000000"/>
              <w:left w:val="single" w:sz="4" w:space="0" w:color="000000"/>
              <w:bottom w:val="single" w:sz="4" w:space="0" w:color="000000"/>
              <w:right w:val="single" w:sz="4" w:space="0" w:color="000000"/>
            </w:tcBorders>
            <w:vAlign w:val="center"/>
          </w:tcPr>
          <w:p w14:paraId="3509DE0D"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547" w:type="dxa"/>
            <w:tcBorders>
              <w:top w:val="single" w:sz="4" w:space="0" w:color="000000"/>
              <w:left w:val="single" w:sz="4" w:space="0" w:color="000000"/>
              <w:bottom w:val="single" w:sz="4" w:space="0" w:color="000000"/>
              <w:right w:val="single" w:sz="4" w:space="0" w:color="000000"/>
            </w:tcBorders>
            <w:vAlign w:val="center"/>
          </w:tcPr>
          <w:p w14:paraId="56986825"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552" w:type="dxa"/>
            <w:tcBorders>
              <w:top w:val="single" w:sz="4" w:space="0" w:color="000000"/>
              <w:left w:val="single" w:sz="4" w:space="0" w:color="000000"/>
              <w:bottom w:val="single" w:sz="4" w:space="0" w:color="000000"/>
              <w:right w:val="single" w:sz="4" w:space="0" w:color="000000"/>
            </w:tcBorders>
            <w:vAlign w:val="center"/>
          </w:tcPr>
          <w:p w14:paraId="2FE041F6"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w:t>
            </w:r>
          </w:p>
        </w:tc>
        <w:tc>
          <w:tcPr>
            <w:tcW w:w="553" w:type="dxa"/>
            <w:tcBorders>
              <w:top w:val="single" w:sz="4" w:space="0" w:color="000000"/>
              <w:left w:val="single" w:sz="4" w:space="0" w:color="000000"/>
              <w:bottom w:val="single" w:sz="4" w:space="0" w:color="000000"/>
              <w:right w:val="single" w:sz="4" w:space="0" w:color="000000"/>
            </w:tcBorders>
            <w:vAlign w:val="center"/>
          </w:tcPr>
          <w:p w14:paraId="494F5122"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556" w:type="dxa"/>
            <w:tcBorders>
              <w:top w:val="single" w:sz="4" w:space="0" w:color="000000"/>
              <w:left w:val="single" w:sz="4" w:space="0" w:color="000000"/>
              <w:bottom w:val="single" w:sz="4" w:space="0" w:color="000000"/>
              <w:right w:val="single" w:sz="4" w:space="0" w:color="000000"/>
            </w:tcBorders>
            <w:vAlign w:val="center"/>
          </w:tcPr>
          <w:p w14:paraId="02E86C3B"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553" w:type="dxa"/>
            <w:tcBorders>
              <w:top w:val="single" w:sz="4" w:space="0" w:color="000000"/>
              <w:left w:val="single" w:sz="4" w:space="0" w:color="000000"/>
              <w:bottom w:val="single" w:sz="4" w:space="0" w:color="000000"/>
              <w:right w:val="single" w:sz="4" w:space="0" w:color="000000"/>
            </w:tcBorders>
            <w:vAlign w:val="center"/>
          </w:tcPr>
          <w:p w14:paraId="298CD5F9"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546" w:type="dxa"/>
            <w:tcBorders>
              <w:top w:val="single" w:sz="4" w:space="0" w:color="000000"/>
              <w:left w:val="single" w:sz="4" w:space="0" w:color="000000"/>
              <w:bottom w:val="single" w:sz="4" w:space="0" w:color="000000"/>
              <w:right w:val="single" w:sz="4" w:space="0" w:color="000000"/>
            </w:tcBorders>
            <w:vAlign w:val="center"/>
          </w:tcPr>
          <w:p w14:paraId="1AF97054"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w:t>
            </w:r>
          </w:p>
        </w:tc>
        <w:tc>
          <w:tcPr>
            <w:tcW w:w="552" w:type="dxa"/>
            <w:tcBorders>
              <w:top w:val="single" w:sz="4" w:space="0" w:color="000000"/>
              <w:left w:val="single" w:sz="4" w:space="0" w:color="000000"/>
              <w:bottom w:val="single" w:sz="4" w:space="0" w:color="000000"/>
              <w:right w:val="single" w:sz="4" w:space="0" w:color="000000"/>
            </w:tcBorders>
            <w:vAlign w:val="center"/>
          </w:tcPr>
          <w:p w14:paraId="6E56F9D7"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552" w:type="dxa"/>
            <w:tcBorders>
              <w:top w:val="single" w:sz="4" w:space="0" w:color="000000"/>
              <w:left w:val="single" w:sz="4" w:space="0" w:color="000000"/>
              <w:bottom w:val="single" w:sz="4" w:space="0" w:color="000000"/>
              <w:right w:val="single" w:sz="4" w:space="0" w:color="000000"/>
            </w:tcBorders>
            <w:vAlign w:val="center"/>
          </w:tcPr>
          <w:p w14:paraId="19BB9735" w14:textId="77777777" w:rsidR="002449C2" w:rsidRDefault="00123961">
            <w:pPr>
              <w:widowControl w:val="0"/>
              <w:shd w:val="clear" w:color="auto" w:fill="FFFFFF"/>
              <w:spacing w:after="0" w:line="240" w:lineRule="auto"/>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r>
      <w:tr w:rsidR="002449C2" w14:paraId="7F9F993D" w14:textId="77777777">
        <w:trPr>
          <w:cantSplit/>
          <w:trHeight w:val="1760"/>
        </w:trPr>
        <w:tc>
          <w:tcPr>
            <w:tcW w:w="2944" w:type="dxa"/>
            <w:vMerge/>
            <w:tcBorders>
              <w:top w:val="single" w:sz="4" w:space="0" w:color="000000"/>
              <w:left w:val="single" w:sz="4" w:space="0" w:color="000000"/>
              <w:bottom w:val="single" w:sz="4" w:space="0" w:color="000000"/>
              <w:right w:val="single" w:sz="4" w:space="0" w:color="000000"/>
            </w:tcBorders>
            <w:vAlign w:val="center"/>
          </w:tcPr>
          <w:p w14:paraId="5EEFED27" w14:textId="77777777" w:rsidR="002449C2" w:rsidRDefault="002449C2">
            <w:pPr>
              <w:widowControl w:val="0"/>
              <w:shd w:val="clear" w:color="auto" w:fill="FFFFFF"/>
              <w:spacing w:after="0" w:line="240" w:lineRule="auto"/>
              <w:rPr>
                <w:rFonts w:ascii="Times New Roman" w:eastAsia="Times New Roman" w:hAnsi="Times New Roman"/>
                <w:sz w:val="20"/>
                <w:szCs w:val="20"/>
                <w:lang w:eastAsia="ru-RU"/>
              </w:rPr>
            </w:pPr>
          </w:p>
        </w:tc>
        <w:tc>
          <w:tcPr>
            <w:tcW w:w="551" w:type="dxa"/>
            <w:tcBorders>
              <w:top w:val="single" w:sz="4" w:space="0" w:color="000000"/>
              <w:left w:val="single" w:sz="4" w:space="0" w:color="000000"/>
              <w:bottom w:val="single" w:sz="4" w:space="0" w:color="000000"/>
              <w:right w:val="single" w:sz="4" w:space="0" w:color="000000"/>
            </w:tcBorders>
            <w:textDirection w:val="btLr"/>
            <w:vAlign w:val="center"/>
          </w:tcPr>
          <w:p w14:paraId="3569EA54" w14:textId="77777777" w:rsidR="002449C2" w:rsidRDefault="002449C2">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p>
        </w:tc>
        <w:tc>
          <w:tcPr>
            <w:tcW w:w="555" w:type="dxa"/>
            <w:tcBorders>
              <w:top w:val="single" w:sz="4" w:space="0" w:color="000000"/>
              <w:left w:val="single" w:sz="4" w:space="0" w:color="000000"/>
              <w:bottom w:val="single" w:sz="4" w:space="0" w:color="000000"/>
              <w:right w:val="single" w:sz="4" w:space="0" w:color="000000"/>
            </w:tcBorders>
            <w:textDirection w:val="btLr"/>
            <w:vAlign w:val="center"/>
          </w:tcPr>
          <w:p w14:paraId="3B4F6757"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16, 29</w:t>
            </w:r>
          </w:p>
        </w:tc>
        <w:tc>
          <w:tcPr>
            <w:tcW w:w="556" w:type="dxa"/>
            <w:tcBorders>
              <w:top w:val="single" w:sz="4" w:space="0" w:color="000000"/>
              <w:left w:val="single" w:sz="4" w:space="0" w:color="000000"/>
              <w:bottom w:val="single" w:sz="4" w:space="0" w:color="000000"/>
              <w:right w:val="single" w:sz="4" w:space="0" w:color="000000"/>
            </w:tcBorders>
            <w:textDirection w:val="btLr"/>
            <w:vAlign w:val="center"/>
          </w:tcPr>
          <w:p w14:paraId="703C51BD" w14:textId="77777777" w:rsidR="002449C2" w:rsidRDefault="002449C2">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5518B765"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03, 12</w:t>
            </w:r>
          </w:p>
        </w:tc>
        <w:tc>
          <w:tcPr>
            <w:tcW w:w="547" w:type="dxa"/>
            <w:tcBorders>
              <w:top w:val="single" w:sz="4" w:space="0" w:color="000000"/>
              <w:left w:val="single" w:sz="4" w:space="0" w:color="000000"/>
              <w:bottom w:val="single" w:sz="4" w:space="0" w:color="000000"/>
              <w:right w:val="single" w:sz="4" w:space="0" w:color="000000"/>
            </w:tcBorders>
            <w:textDirection w:val="btLr"/>
            <w:vAlign w:val="center"/>
          </w:tcPr>
          <w:p w14:paraId="304081B9"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21, 29</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35BD5C7E"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18, 25</w:t>
            </w:r>
          </w:p>
        </w:tc>
        <w:tc>
          <w:tcPr>
            <w:tcW w:w="553" w:type="dxa"/>
            <w:tcBorders>
              <w:top w:val="single" w:sz="4" w:space="0" w:color="000000"/>
              <w:left w:val="single" w:sz="4" w:space="0" w:color="000000"/>
              <w:bottom w:val="single" w:sz="4" w:space="0" w:color="000000"/>
              <w:right w:val="single" w:sz="4" w:space="0" w:color="000000"/>
            </w:tcBorders>
            <w:textDirection w:val="btLr"/>
            <w:vAlign w:val="center"/>
          </w:tcPr>
          <w:p w14:paraId="3C920FC9" w14:textId="77777777" w:rsidR="002449C2" w:rsidRDefault="002449C2">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p>
        </w:tc>
        <w:tc>
          <w:tcPr>
            <w:tcW w:w="556" w:type="dxa"/>
            <w:tcBorders>
              <w:top w:val="single" w:sz="4" w:space="0" w:color="000000"/>
              <w:left w:val="single" w:sz="4" w:space="0" w:color="000000"/>
              <w:bottom w:val="single" w:sz="4" w:space="0" w:color="000000"/>
              <w:right w:val="single" w:sz="4" w:space="0" w:color="000000"/>
            </w:tcBorders>
            <w:textDirection w:val="btLr"/>
            <w:vAlign w:val="center"/>
          </w:tcPr>
          <w:p w14:paraId="4A746CD5" w14:textId="77777777" w:rsidR="002449C2" w:rsidRDefault="002449C2">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p>
        </w:tc>
        <w:tc>
          <w:tcPr>
            <w:tcW w:w="553" w:type="dxa"/>
            <w:tcBorders>
              <w:top w:val="single" w:sz="4" w:space="0" w:color="000000"/>
              <w:left w:val="single" w:sz="4" w:space="0" w:color="000000"/>
              <w:bottom w:val="single" w:sz="4" w:space="0" w:color="000000"/>
              <w:right w:val="single" w:sz="4" w:space="0" w:color="000000"/>
            </w:tcBorders>
            <w:textDirection w:val="btLr"/>
            <w:vAlign w:val="center"/>
          </w:tcPr>
          <w:p w14:paraId="6F8006E9" w14:textId="77777777" w:rsidR="002449C2" w:rsidRDefault="002449C2">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p>
        </w:tc>
        <w:tc>
          <w:tcPr>
            <w:tcW w:w="546" w:type="dxa"/>
            <w:tcBorders>
              <w:top w:val="single" w:sz="4" w:space="0" w:color="000000"/>
              <w:left w:val="single" w:sz="4" w:space="0" w:color="000000"/>
              <w:bottom w:val="single" w:sz="4" w:space="0" w:color="000000"/>
              <w:right w:val="single" w:sz="4" w:space="0" w:color="000000"/>
            </w:tcBorders>
            <w:textDirection w:val="btLr"/>
            <w:vAlign w:val="center"/>
          </w:tcPr>
          <w:p w14:paraId="1D960930"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25</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1FEB49AF"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w:t>
            </w:r>
          </w:p>
        </w:tc>
        <w:tc>
          <w:tcPr>
            <w:tcW w:w="552" w:type="dxa"/>
            <w:tcBorders>
              <w:top w:val="single" w:sz="4" w:space="0" w:color="000000"/>
              <w:left w:val="single" w:sz="4" w:space="0" w:color="000000"/>
              <w:bottom w:val="single" w:sz="4" w:space="0" w:color="000000"/>
              <w:right w:val="single" w:sz="4" w:space="0" w:color="000000"/>
            </w:tcBorders>
            <w:textDirection w:val="btLr"/>
            <w:vAlign w:val="center"/>
          </w:tcPr>
          <w:p w14:paraId="207690D9" w14:textId="77777777" w:rsidR="002449C2" w:rsidRDefault="00123961">
            <w:pPr>
              <w:widowControl w:val="0"/>
              <w:shd w:val="clear" w:color="auto" w:fill="FFFFFF"/>
              <w:spacing w:after="0" w:line="240" w:lineRule="auto"/>
              <w:ind w:left="113"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19, 26</w:t>
            </w:r>
          </w:p>
        </w:tc>
      </w:tr>
    </w:tbl>
    <w:p w14:paraId="28C6B325" w14:textId="77777777" w:rsidR="002449C2" w:rsidRDefault="002449C2">
      <w:pPr>
        <w:shd w:val="clear" w:color="auto" w:fill="FFFFFF"/>
        <w:spacing w:after="0" w:line="240" w:lineRule="auto"/>
        <w:jc w:val="both"/>
        <w:rPr>
          <w:rFonts w:ascii="Times New Roman" w:eastAsia="Times New Roman" w:hAnsi="Times New Roman"/>
          <w:sz w:val="26"/>
          <w:szCs w:val="26"/>
          <w:lang w:eastAsia="ru-RU"/>
        </w:rPr>
      </w:pPr>
    </w:p>
    <w:p w14:paraId="69D36130" w14:textId="77777777" w:rsidR="002449C2" w:rsidRDefault="00123961">
      <w:pPr>
        <w:shd w:val="clear" w:color="auto" w:fill="FFFFFF"/>
        <w:tabs>
          <w:tab w:val="left" w:pos="142"/>
        </w:tabs>
        <w:spacing w:after="0" w:line="240" w:lineRule="auto"/>
        <w:rPr>
          <w:rFonts w:ascii="Times New Roman" w:eastAsia="Times New Roman" w:hAnsi="Times New Roman"/>
          <w:i/>
          <w:sz w:val="26"/>
          <w:szCs w:val="26"/>
          <w:lang w:eastAsia="ru-RU"/>
        </w:rPr>
      </w:pPr>
      <w:r>
        <w:rPr>
          <w:noProof/>
          <w:lang w:eastAsia="ru-RU"/>
        </w:rPr>
        <w:drawing>
          <wp:inline distT="0" distB="0" distL="0" distR="0" wp14:anchorId="08AF93F4" wp14:editId="52CB9B88">
            <wp:extent cx="6041390" cy="3145790"/>
            <wp:effectExtent l="0" t="0" r="0" b="0"/>
            <wp:docPr id="122" name="_x005F_x0000_i4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_x005F_x0000_i4501"/>
                    <pic:cNvPicPr>
                      <a:picLocks noChangeAspect="1" noChangeArrowheads="1"/>
                    </pic:cNvPicPr>
                  </pic:nvPicPr>
                  <pic:blipFill>
                    <a:blip r:embed="rId173"/>
                    <a:stretch>
                      <a:fillRect/>
                    </a:stretch>
                  </pic:blipFill>
                  <pic:spPr bwMode="auto">
                    <a:xfrm>
                      <a:off x="0" y="0"/>
                      <a:ext cx="6041390" cy="3145790"/>
                    </a:xfrm>
                    <a:prstGeom prst="rect">
                      <a:avLst/>
                    </a:prstGeom>
                    <a:noFill/>
                  </pic:spPr>
                </pic:pic>
              </a:graphicData>
            </a:graphic>
          </wp:inline>
        </w:drawing>
      </w:r>
    </w:p>
    <w:p w14:paraId="6D446AF7" w14:textId="77777777" w:rsidR="002449C2" w:rsidRDefault="002449C2">
      <w:pPr>
        <w:shd w:val="clear" w:color="auto" w:fill="FFFFFF"/>
        <w:tabs>
          <w:tab w:val="left" w:pos="142"/>
        </w:tabs>
        <w:spacing w:after="0" w:line="240" w:lineRule="auto"/>
        <w:rPr>
          <w:rFonts w:ascii="Times New Roman" w:eastAsia="Times New Roman" w:hAnsi="Times New Roman"/>
          <w:i/>
          <w:sz w:val="26"/>
          <w:szCs w:val="26"/>
          <w:lang w:eastAsia="ru-RU"/>
        </w:rPr>
      </w:pPr>
    </w:p>
    <w:p w14:paraId="74C88196" w14:textId="77777777" w:rsidR="002449C2" w:rsidRDefault="00123961">
      <w:pPr>
        <w:shd w:val="clear" w:color="auto" w:fill="FFFFFF"/>
        <w:spacing w:after="0" w:line="240" w:lineRule="auto"/>
        <w:ind w:firstLine="567"/>
        <w:jc w:val="both"/>
        <w:rPr>
          <w:rFonts w:ascii="Times New Roman" w:hAnsi="Times New Roman"/>
          <w:spacing w:val="-2"/>
          <w:sz w:val="26"/>
          <w:szCs w:val="26"/>
          <w:lang w:eastAsia="en-US"/>
        </w:rPr>
      </w:pPr>
      <w:r>
        <w:rPr>
          <w:rFonts w:ascii="Times New Roman" w:hAnsi="Times New Roman"/>
          <w:spacing w:val="-2"/>
          <w:sz w:val="26"/>
          <w:szCs w:val="26"/>
          <w:lang w:eastAsia="en-US"/>
        </w:rPr>
        <w:t>В отчетном периоде Комитетом выдано 7 рекомендаций Совету директоров Общества.</w:t>
      </w:r>
    </w:p>
    <w:p w14:paraId="4B203B12" w14:textId="77777777" w:rsidR="002449C2" w:rsidRDefault="00123961">
      <w:pPr>
        <w:shd w:val="clear" w:color="auto" w:fill="FFFFFF"/>
        <w:spacing w:after="0" w:line="240" w:lineRule="auto"/>
        <w:ind w:firstLine="567"/>
        <w:jc w:val="both"/>
        <w:rPr>
          <w:rFonts w:ascii="Times New Roman" w:hAnsi="Times New Roman"/>
          <w:spacing w:val="-2"/>
          <w:sz w:val="26"/>
          <w:szCs w:val="26"/>
          <w:highlight w:val="yellow"/>
          <w:lang w:eastAsia="en-US"/>
        </w:rPr>
      </w:pPr>
      <w:r>
        <w:rPr>
          <w:rFonts w:ascii="Times New Roman" w:hAnsi="Times New Roman"/>
          <w:spacing w:val="-2"/>
          <w:sz w:val="26"/>
          <w:szCs w:val="26"/>
          <w:lang w:eastAsia="en-US"/>
        </w:rPr>
        <w:t>В отчетном периоде особое внимание было уделено актуализации и исполнению Дорожной карты по развитию дополнительных (нетарифных) услуг ПАО «Россети Юг», а также анализу текущей ситуации в деятельности ПАО «Россети Юг» по технологическому присоединению потребителей к электрическим сетям. Данные вопросы были рассмотрены их на очных заседаниях Комитета и менеджменту Общества даны соответствующие рекомендации и поручения.</w:t>
      </w:r>
    </w:p>
    <w:p w14:paraId="2E870AD1" w14:textId="77777777" w:rsidR="002449C2" w:rsidRDefault="002449C2">
      <w:pPr>
        <w:shd w:val="clear" w:color="auto" w:fill="FFFFFF"/>
        <w:spacing w:after="0" w:line="240" w:lineRule="auto"/>
        <w:ind w:firstLine="567"/>
        <w:jc w:val="both"/>
        <w:rPr>
          <w:rFonts w:ascii="Times New Roman" w:hAnsi="Times New Roman"/>
          <w:spacing w:val="-2"/>
          <w:sz w:val="26"/>
          <w:szCs w:val="26"/>
          <w:highlight w:val="yellow"/>
          <w:lang w:eastAsia="en-US"/>
        </w:rPr>
      </w:pPr>
    </w:p>
    <w:p w14:paraId="0DB6AF46" w14:textId="77777777" w:rsidR="002449C2" w:rsidRDefault="002449C2">
      <w:pPr>
        <w:shd w:val="clear" w:color="auto" w:fill="FFFFFF"/>
        <w:spacing w:after="0" w:line="240" w:lineRule="auto"/>
        <w:ind w:firstLine="567"/>
        <w:jc w:val="both"/>
        <w:rPr>
          <w:rFonts w:ascii="Times New Roman" w:hAnsi="Times New Roman"/>
          <w:spacing w:val="-2"/>
          <w:sz w:val="26"/>
          <w:szCs w:val="26"/>
          <w:highlight w:val="yellow"/>
          <w:lang w:eastAsia="en-US"/>
        </w:rPr>
      </w:pPr>
    </w:p>
    <w:p w14:paraId="346EBE83"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196" w:name="_Toc195174972"/>
      <w:bookmarkStart w:id="197" w:name="_Toc196143065"/>
      <w:r>
        <w:rPr>
          <w:rFonts w:ascii="Times New Roman" w:eastAsia="Times New Roman" w:hAnsi="Times New Roman"/>
          <w:caps/>
          <w:color w:val="632423"/>
          <w:spacing w:val="15"/>
          <w:sz w:val="24"/>
          <w:szCs w:val="24"/>
          <w:lang w:eastAsia="en-US" w:bidi="en-US"/>
        </w:rPr>
        <w:t>Корпоративный секретарь</w:t>
      </w:r>
      <w:bookmarkEnd w:id="196"/>
      <w:bookmarkEnd w:id="197"/>
    </w:p>
    <w:p w14:paraId="178F7644"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pacing w:val="-2"/>
          <w:sz w:val="26"/>
          <w:szCs w:val="26"/>
          <w:lang w:eastAsia="en-US"/>
        </w:rPr>
        <w:t>В целях надлежащего соблюдения в Обществе порядка подготовки и проведения Общего собрания акционеров, заседаний Совета директоров, обеспечения эффективного взаимодействия между Советом директоров, Комитетами Совета директоров, Ревизионной комиссией, Аудитором Общества, исполнительными органами и исполнительным аппаратом Общества Советом директоров Общества избран Корпоративный секретарь Общества.</w:t>
      </w:r>
      <w:r>
        <w:rPr>
          <w:rFonts w:ascii="Times New Roman" w:eastAsia="Times New Roman" w:hAnsi="Times New Roman"/>
          <w:sz w:val="26"/>
          <w:szCs w:val="26"/>
          <w:lang w:eastAsia="en-US"/>
        </w:rPr>
        <w:t xml:space="preserve"> </w:t>
      </w:r>
    </w:p>
    <w:p w14:paraId="75B8DDE6"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ru-RU"/>
        </w:rPr>
      </w:pPr>
      <w:r>
        <w:rPr>
          <w:rFonts w:ascii="Times New Roman" w:eastAsia="Times New Roman" w:hAnsi="Times New Roman"/>
          <w:sz w:val="26"/>
          <w:szCs w:val="26"/>
          <w:lang w:eastAsia="ru-RU"/>
        </w:rPr>
        <w:t xml:space="preserve">В своей деятельности </w:t>
      </w:r>
      <w:r>
        <w:rPr>
          <w:rFonts w:ascii="Times New Roman" w:eastAsia="Times New Roman" w:hAnsi="Times New Roman"/>
          <w:spacing w:val="-2"/>
          <w:sz w:val="26"/>
          <w:szCs w:val="26"/>
          <w:lang w:eastAsia="ru-RU"/>
        </w:rPr>
        <w:t xml:space="preserve">Корпоративный секретарь Общества руководствуется Федеральным законом «Об акционерных обществах», иными нормативными правовыми актами Российской Федерации, Уставом и внутренними документами Общества, а также </w:t>
      </w:r>
      <w:hyperlink r:id="rId174">
        <w:r>
          <w:rPr>
            <w:rFonts w:ascii="Times New Roman" w:eastAsia="Times New Roman" w:hAnsi="Times New Roman"/>
            <w:color w:val="0000FF"/>
            <w:spacing w:val="-2"/>
            <w:sz w:val="26"/>
            <w:szCs w:val="26"/>
            <w:u w:val="single"/>
            <w:lang w:eastAsia="ru-RU"/>
          </w:rPr>
          <w:t>Положением о Корпоративном Секретаре ПАО «Россети Юг»</w:t>
        </w:r>
      </w:hyperlink>
      <w:r>
        <w:rPr>
          <w:rFonts w:ascii="Times New Roman" w:eastAsia="Times New Roman" w:hAnsi="Times New Roman"/>
          <w:spacing w:val="-2"/>
          <w:sz w:val="26"/>
          <w:szCs w:val="26"/>
          <w:lang w:eastAsia="ru-RU"/>
        </w:rPr>
        <w:t xml:space="preserve">, </w:t>
      </w:r>
      <w:r>
        <w:rPr>
          <w:rFonts w:ascii="Times New Roman" w:eastAsia="Times New Roman" w:hAnsi="Times New Roman"/>
          <w:spacing w:val="-2"/>
          <w:sz w:val="26"/>
          <w:szCs w:val="26"/>
          <w:lang w:eastAsia="en-US"/>
        </w:rPr>
        <w:t xml:space="preserve">утвержденным решением Совета директоров Общества 30.09.2016 (протокол от 03.10.2016 №202/2016). </w:t>
      </w:r>
    </w:p>
    <w:p w14:paraId="5025C088"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pacing w:val="-2"/>
          <w:sz w:val="26"/>
          <w:szCs w:val="26"/>
          <w:lang w:eastAsia="ru-RU"/>
        </w:rPr>
        <w:t>Корпоративный секретарь подотчетен в своей деятельности Совету</w:t>
      </w:r>
      <w:r>
        <w:rPr>
          <w:rFonts w:ascii="Times New Roman" w:eastAsia="Times New Roman" w:hAnsi="Times New Roman"/>
          <w:sz w:val="26"/>
          <w:szCs w:val="26"/>
          <w:lang w:eastAsia="ru-RU"/>
        </w:rPr>
        <w:t xml:space="preserve"> директоров Общества.</w:t>
      </w:r>
    </w:p>
    <w:p w14:paraId="53580489"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ru-RU"/>
        </w:rPr>
      </w:pPr>
      <w:r>
        <w:rPr>
          <w:rFonts w:ascii="Times New Roman" w:eastAsia="Times New Roman" w:hAnsi="Times New Roman"/>
          <w:spacing w:val="-2"/>
          <w:sz w:val="26"/>
          <w:szCs w:val="26"/>
          <w:lang w:eastAsia="ru-RU"/>
        </w:rPr>
        <w:t xml:space="preserve">С декабря 2013 года функции Корпоративного секретаря Общества выполняла начальник департамента корпоративного управления и взаимодействия с акционерами Павлова Елена Николаевна </w:t>
      </w:r>
    </w:p>
    <w:p w14:paraId="72B2E185"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ru-RU"/>
        </w:rPr>
      </w:pPr>
      <w:r>
        <w:rPr>
          <w:rFonts w:ascii="Times New Roman" w:eastAsia="Times New Roman" w:hAnsi="Times New Roman"/>
          <w:spacing w:val="-2"/>
          <w:sz w:val="26"/>
          <w:szCs w:val="26"/>
          <w:lang w:eastAsia="ru-RU"/>
        </w:rPr>
        <w:t>С октября 2024 года решением Совета директоров Общества (протокол от 21.10.2024 №591/2024) Корпоративным секретарем Общества избрана Кузнецова Лариса Николаевна, заместитель начальника департамента корпоративного управления и взаимодействия с акционерами.</w:t>
      </w:r>
    </w:p>
    <w:p w14:paraId="53829EC8" w14:textId="77777777" w:rsidR="002449C2" w:rsidRDefault="002449C2">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ru-RU"/>
        </w:rPr>
      </w:pPr>
    </w:p>
    <w:p w14:paraId="5512350C" w14:textId="77777777" w:rsidR="002449C2" w:rsidRDefault="002449C2">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ru-RU"/>
        </w:rPr>
      </w:pPr>
    </w:p>
    <w:p w14:paraId="3689F7C2"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b/>
          <w:spacing w:val="-2"/>
          <w:sz w:val="26"/>
          <w:szCs w:val="26"/>
          <w:lang w:eastAsia="ru-RU"/>
        </w:rPr>
      </w:pPr>
      <w:r>
        <w:rPr>
          <w:rFonts w:ascii="Times New Roman" w:eastAsia="Times New Roman" w:hAnsi="Times New Roman"/>
          <w:b/>
          <w:spacing w:val="-2"/>
          <w:sz w:val="26"/>
          <w:szCs w:val="26"/>
          <w:lang w:eastAsia="ru-RU"/>
        </w:rPr>
        <w:t>КУЗНЕЦОВА Лариса Николаевна,</w:t>
      </w:r>
    </w:p>
    <w:p w14:paraId="65F2A49E" w14:textId="77777777" w:rsidR="002449C2" w:rsidRDefault="002449C2">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ru-RU"/>
        </w:rPr>
      </w:pPr>
    </w:p>
    <w:p w14:paraId="28A224C1"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pacing w:val="-2"/>
          <w:sz w:val="26"/>
          <w:szCs w:val="26"/>
          <w:lang w:eastAsia="ru-RU"/>
        </w:rPr>
        <w:t>Корпоративный секретарь, заместитель начальника Департамента корпоративного управления и взаимодействия с акционерами ПАО «Россети Юг»,</w:t>
      </w:r>
      <w:r>
        <w:rPr>
          <w:rFonts w:ascii="Times New Roman" w:eastAsia="Times New Roman" w:hAnsi="Times New Roman"/>
          <w:sz w:val="26"/>
          <w:szCs w:val="26"/>
          <w:lang w:eastAsia="ru-RU"/>
        </w:rPr>
        <w:t xml:space="preserve"> родилась в 1976 году. </w:t>
      </w:r>
    </w:p>
    <w:p w14:paraId="6F68D468" w14:textId="77777777" w:rsidR="002449C2" w:rsidRDefault="00123961">
      <w:pPr>
        <w:widowControl w:val="0"/>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ОБРАЗОВАНИЕ</w:t>
      </w:r>
    </w:p>
    <w:p w14:paraId="23A980E2"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ru-RU"/>
        </w:rPr>
      </w:pPr>
      <w:r>
        <w:rPr>
          <w:rFonts w:ascii="Times New Roman" w:eastAsia="Times New Roman" w:hAnsi="Times New Roman"/>
          <w:spacing w:val="-2"/>
          <w:sz w:val="26"/>
          <w:szCs w:val="26"/>
          <w:lang w:eastAsia="ru-RU"/>
        </w:rPr>
        <w:t>Федеральное государственное образовательное учреждение высшего профессионального образования "Кубанский государственный аграрный университет", квалификация "Юрист", специальность "Юриспруденция", 2006.</w:t>
      </w:r>
    </w:p>
    <w:p w14:paraId="38C2358B" w14:textId="77777777" w:rsidR="002449C2" w:rsidRDefault="00123961">
      <w:pPr>
        <w:widowControl w:val="0"/>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ПРОФЕССИОНАЛЬНЫЙ ОПЫТ</w:t>
      </w:r>
    </w:p>
    <w:p w14:paraId="0D8CEE5D" w14:textId="77777777" w:rsidR="002449C2" w:rsidRDefault="00123961">
      <w:pPr>
        <w:widowControl w:val="0"/>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 2013 года заместитель начальника департамента корпоративного управления и взаимодействия с акционерами ПАО «Россети Юг», Секретарь Правления.</w:t>
      </w:r>
    </w:p>
    <w:p w14:paraId="72A12998" w14:textId="77777777" w:rsidR="002449C2" w:rsidRDefault="002449C2">
      <w:pPr>
        <w:widowControl w:val="0"/>
        <w:shd w:val="clear" w:color="auto" w:fill="FFFFFF"/>
        <w:spacing w:after="0" w:line="240" w:lineRule="auto"/>
        <w:ind w:firstLine="567"/>
        <w:jc w:val="both"/>
        <w:rPr>
          <w:rFonts w:ascii="Times New Roman" w:eastAsia="Times New Roman" w:hAnsi="Times New Roman"/>
          <w:sz w:val="26"/>
          <w:szCs w:val="26"/>
          <w:lang w:eastAsia="ru-RU"/>
        </w:rPr>
      </w:pPr>
    </w:p>
    <w:p w14:paraId="2BC594D2" w14:textId="77777777" w:rsidR="002449C2" w:rsidRDefault="00123961">
      <w:pPr>
        <w:widowControl w:val="0"/>
        <w:shd w:val="clear" w:color="auto" w:fill="FFFFFF"/>
        <w:spacing w:after="0" w:line="240" w:lineRule="auto"/>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Корпоративный секретарь Общества Кузнецова Лариса Николаевна:</w:t>
      </w:r>
    </w:p>
    <w:p w14:paraId="55EB05A5" w14:textId="77777777" w:rsidR="002449C2" w:rsidRDefault="00123961">
      <w:pPr>
        <w:widowControl w:val="0"/>
        <w:numPr>
          <w:ilvl w:val="0"/>
          <w:numId w:val="10"/>
        </w:numPr>
        <w:shd w:val="clear" w:color="auto" w:fill="FFFFFF"/>
        <w:spacing w:after="0" w:line="240" w:lineRule="auto"/>
        <w:ind w:left="284" w:firstLine="0"/>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 xml:space="preserve">в отчетном году не владела акциями Общества и ДЗО Общества и не совершала сделок с ними; </w:t>
      </w:r>
    </w:p>
    <w:p w14:paraId="34445E1D" w14:textId="77777777" w:rsidR="002449C2" w:rsidRDefault="00123961">
      <w:pPr>
        <w:widowControl w:val="0"/>
        <w:numPr>
          <w:ilvl w:val="0"/>
          <w:numId w:val="10"/>
        </w:numPr>
        <w:shd w:val="clear" w:color="auto" w:fill="FFFFFF"/>
        <w:spacing w:after="0" w:line="240" w:lineRule="auto"/>
        <w:ind w:left="284" w:firstLine="0"/>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не имеет родственных связей с лицами, входящими в состав органов управления и (или) контроля за финансово-хозяйственной деятельностью ПАО «Россети Юг»;</w:t>
      </w:r>
    </w:p>
    <w:p w14:paraId="3DDB49D7" w14:textId="77777777" w:rsidR="002449C2" w:rsidRDefault="00123961">
      <w:pPr>
        <w:widowControl w:val="0"/>
        <w:numPr>
          <w:ilvl w:val="0"/>
          <w:numId w:val="10"/>
        </w:numPr>
        <w:shd w:val="clear" w:color="auto" w:fill="FFFFFF"/>
        <w:spacing w:after="0" w:line="240" w:lineRule="auto"/>
        <w:ind w:left="284" w:firstLine="0"/>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не привлекалась к административной ответственности за правонарушения в области финансов, налогов и сборов, рынка ценных бумаг или уголовной ответственности за преступления в сфере экономики или за преступления против государственной власти;</w:t>
      </w:r>
    </w:p>
    <w:p w14:paraId="20AC85A3" w14:textId="77777777" w:rsidR="002449C2" w:rsidRDefault="00123961">
      <w:pPr>
        <w:widowControl w:val="0"/>
        <w:numPr>
          <w:ilvl w:val="0"/>
          <w:numId w:val="10"/>
        </w:numPr>
        <w:shd w:val="clear" w:color="auto" w:fill="FFFFFF"/>
        <w:spacing w:after="0" w:line="240" w:lineRule="auto"/>
        <w:ind w:left="284" w:firstLine="0"/>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 xml:space="preserve">не занимала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w:t>
      </w:r>
    </w:p>
    <w:p w14:paraId="158F9177" w14:textId="77777777" w:rsidR="002449C2" w:rsidRDefault="00123961">
      <w:pPr>
        <w:widowControl w:val="0"/>
        <w:numPr>
          <w:ilvl w:val="0"/>
          <w:numId w:val="10"/>
        </w:numPr>
        <w:shd w:val="clear" w:color="auto" w:fill="FFFFFF"/>
        <w:spacing w:after="0" w:line="240" w:lineRule="auto"/>
        <w:ind w:left="284" w:firstLine="0"/>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признаки личной заинтересованности, которые могли бы или могут привести к конфликту интересов отсутствуют.</w:t>
      </w:r>
    </w:p>
    <w:p w14:paraId="3FCC2E24" w14:textId="77777777" w:rsidR="002449C2" w:rsidRDefault="002449C2">
      <w:pPr>
        <w:widowControl w:val="0"/>
        <w:shd w:val="clear" w:color="auto" w:fill="FFFFFF"/>
        <w:tabs>
          <w:tab w:val="left" w:pos="142"/>
        </w:tabs>
        <w:spacing w:after="0" w:line="240" w:lineRule="auto"/>
        <w:ind w:firstLine="567"/>
        <w:jc w:val="both"/>
        <w:rPr>
          <w:rFonts w:ascii="Times New Roman" w:eastAsia="Times New Roman" w:hAnsi="Times New Roman"/>
          <w:b/>
          <w:spacing w:val="-2"/>
          <w:sz w:val="26"/>
          <w:szCs w:val="26"/>
          <w:lang w:eastAsia="ru-RU"/>
        </w:rPr>
      </w:pPr>
    </w:p>
    <w:p w14:paraId="1712DF7E" w14:textId="4770E429"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pacing w:val="-2"/>
          <w:sz w:val="26"/>
          <w:szCs w:val="26"/>
          <w:lang w:eastAsia="ru-RU"/>
        </w:rPr>
        <w:t xml:space="preserve">В отчетном периоде Корпоративный Секретарь осуществляла организацию подготовки и проведения </w:t>
      </w:r>
      <w:r w:rsidR="00F86E2E">
        <w:rPr>
          <w:rFonts w:ascii="Times New Roman" w:eastAsia="Times New Roman" w:hAnsi="Times New Roman"/>
          <w:spacing w:val="-2"/>
          <w:sz w:val="26"/>
          <w:szCs w:val="26"/>
          <w:lang w:eastAsia="ru-RU"/>
        </w:rPr>
        <w:t xml:space="preserve">Общего </w:t>
      </w:r>
      <w:r>
        <w:rPr>
          <w:rFonts w:ascii="Times New Roman" w:eastAsia="Times New Roman" w:hAnsi="Times New Roman"/>
          <w:spacing w:val="-2"/>
          <w:sz w:val="26"/>
          <w:szCs w:val="26"/>
          <w:lang w:eastAsia="ru-RU"/>
        </w:rPr>
        <w:t>собрани</w:t>
      </w:r>
      <w:r w:rsidR="00F86E2E">
        <w:rPr>
          <w:rFonts w:ascii="Times New Roman" w:eastAsia="Times New Roman" w:hAnsi="Times New Roman"/>
          <w:spacing w:val="-2"/>
          <w:sz w:val="26"/>
          <w:szCs w:val="26"/>
          <w:lang w:eastAsia="ru-RU"/>
        </w:rPr>
        <w:t>я</w:t>
      </w:r>
      <w:r>
        <w:rPr>
          <w:rFonts w:ascii="Times New Roman" w:eastAsia="Times New Roman" w:hAnsi="Times New Roman"/>
          <w:spacing w:val="-2"/>
          <w:sz w:val="26"/>
          <w:szCs w:val="26"/>
          <w:lang w:eastAsia="ru-RU"/>
        </w:rPr>
        <w:t xml:space="preserve"> акционеров Общества в порядке, установленном внутренними документами Общества, </w:t>
      </w:r>
      <w:r>
        <w:rPr>
          <w:rFonts w:ascii="Times New Roman" w:eastAsia="Times New Roman" w:hAnsi="Times New Roman"/>
          <w:sz w:val="26"/>
          <w:szCs w:val="26"/>
          <w:lang w:eastAsia="en-US"/>
        </w:rPr>
        <w:t>организацию подготовки и проведения заседания Совета директоров Общества, (в т.ч. разработку и представление проектов повестки дня, рассылки документов и материалов членам Совета директоров Общества, организационное и техническое обеспечение проведения заседаний и пр.).</w:t>
      </w:r>
    </w:p>
    <w:p w14:paraId="4A149208" w14:textId="77777777" w:rsidR="002449C2" w:rsidRDefault="002449C2">
      <w:pPr>
        <w:widowControl w:val="0"/>
        <w:shd w:val="clear" w:color="auto" w:fill="FFFFFF"/>
        <w:tabs>
          <w:tab w:val="left" w:pos="142"/>
        </w:tabs>
        <w:spacing w:after="0" w:line="240" w:lineRule="auto"/>
        <w:ind w:firstLine="567"/>
        <w:jc w:val="both"/>
        <w:rPr>
          <w:rFonts w:ascii="Times New Roman" w:eastAsia="Times New Roman" w:hAnsi="Times New Roman"/>
          <w:sz w:val="26"/>
          <w:szCs w:val="26"/>
          <w:lang w:eastAsia="en-US"/>
        </w:rPr>
      </w:pPr>
    </w:p>
    <w:p w14:paraId="12330BA9"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В соответствии с условиями трудового договора и Положения о выплате Корпоративному секретарю Общества вознаграждений и компенсаций, утвержденного приказом Общества от 24.10.2016 №701 (с изменениями, внесенными приказом Общества от 05.12.2017 №872), Корпоративному секретарю Общества выплачивается ежемесячное вознаграждение.</w:t>
      </w:r>
    </w:p>
    <w:p w14:paraId="4B530233"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z w:val="26"/>
          <w:szCs w:val="26"/>
          <w:lang w:eastAsia="en-US"/>
        </w:rPr>
      </w:pPr>
      <w:r>
        <w:br w:type="page"/>
      </w:r>
    </w:p>
    <w:p w14:paraId="4A883405" w14:textId="77777777" w:rsidR="002449C2" w:rsidRDefault="00123961">
      <w:pPr>
        <w:keepNext/>
        <w:pBdr>
          <w:bottom w:val="single" w:sz="4" w:space="1" w:color="622423"/>
        </w:pBdr>
        <w:spacing w:line="252" w:lineRule="auto"/>
        <w:jc w:val="center"/>
        <w:outlineLvl w:val="1"/>
        <w:rPr>
          <w:rFonts w:ascii="Times New Roman" w:eastAsia="Times New Roman" w:hAnsi="Times New Roman"/>
          <w:caps/>
          <w:color w:val="632423"/>
          <w:spacing w:val="15"/>
          <w:sz w:val="24"/>
          <w:szCs w:val="24"/>
          <w:lang w:eastAsia="en-US" w:bidi="en-US"/>
        </w:rPr>
      </w:pPr>
      <w:bookmarkStart w:id="198" w:name="_Toc505174445"/>
      <w:bookmarkStart w:id="199" w:name="_Toc505186256"/>
      <w:bookmarkStart w:id="200" w:name="_Toc536544567"/>
      <w:bookmarkStart w:id="201" w:name="_Toc33542805"/>
      <w:bookmarkStart w:id="202" w:name="_Toc195174973"/>
      <w:bookmarkStart w:id="203" w:name="_Toc196143066"/>
      <w:r>
        <w:rPr>
          <w:rFonts w:ascii="Times New Roman" w:eastAsia="Times New Roman" w:hAnsi="Times New Roman"/>
          <w:caps/>
          <w:color w:val="632423"/>
          <w:spacing w:val="15"/>
          <w:sz w:val="24"/>
          <w:szCs w:val="24"/>
          <w:lang w:eastAsia="en-US" w:bidi="en-US"/>
        </w:rPr>
        <w:t>Исполнительные органы управления</w:t>
      </w:r>
      <w:bookmarkEnd w:id="198"/>
      <w:bookmarkEnd w:id="199"/>
      <w:bookmarkEnd w:id="200"/>
      <w:bookmarkEnd w:id="201"/>
      <w:bookmarkEnd w:id="202"/>
      <w:bookmarkEnd w:id="203"/>
    </w:p>
    <w:p w14:paraId="66408752"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b/>
          <w:color w:val="0069FB"/>
          <w:sz w:val="26"/>
          <w:szCs w:val="26"/>
          <w:lang w:eastAsia="en-US"/>
        </w:rPr>
      </w:pPr>
      <w:r>
        <w:rPr>
          <w:rFonts w:ascii="Times New Roman" w:eastAsia="Times New Roman" w:hAnsi="Times New Roman"/>
          <w:spacing w:val="-2"/>
          <w:sz w:val="26"/>
          <w:szCs w:val="26"/>
          <w:lang w:eastAsia="en-US"/>
        </w:rPr>
        <w:t>Руководство текущей деятельностью Общества осуществляется исполнительными органами ПАО «Россети Юг» (Генеральным директором и Правлением), которые подотчетны Общему собранию акционеров и Совету директоров Общества.</w:t>
      </w:r>
    </w:p>
    <w:p w14:paraId="54943705"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204" w:name="_Toc505174446"/>
      <w:bookmarkStart w:id="205" w:name="_Toc505186257"/>
      <w:bookmarkStart w:id="206" w:name="_Toc536544568"/>
      <w:bookmarkStart w:id="207" w:name="_Toc195174974"/>
      <w:bookmarkStart w:id="208" w:name="_Toc196143067"/>
      <w:r>
        <w:rPr>
          <w:rFonts w:ascii="Times New Roman" w:eastAsia="Times New Roman" w:hAnsi="Times New Roman"/>
          <w:caps/>
          <w:color w:val="632423"/>
          <w:spacing w:val="15"/>
          <w:sz w:val="24"/>
          <w:szCs w:val="24"/>
          <w:lang w:eastAsia="en-US" w:bidi="en-US"/>
        </w:rPr>
        <w:t>Генеральный директор</w:t>
      </w:r>
      <w:bookmarkEnd w:id="204"/>
      <w:bookmarkEnd w:id="205"/>
      <w:bookmarkEnd w:id="206"/>
      <w:bookmarkEnd w:id="207"/>
      <w:bookmarkEnd w:id="208"/>
    </w:p>
    <w:p w14:paraId="550F99AD" w14:textId="679B1BE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 xml:space="preserve">Генеральный директор </w:t>
      </w:r>
      <w:r w:rsidR="00F86E2E">
        <w:rPr>
          <w:rFonts w:ascii="Times New Roman" w:eastAsia="Times New Roman" w:hAnsi="Times New Roman"/>
          <w:spacing w:val="-2"/>
          <w:sz w:val="26"/>
          <w:szCs w:val="26"/>
          <w:lang w:eastAsia="en-US"/>
        </w:rPr>
        <w:t xml:space="preserve">(единоличный исполнительный орган) </w:t>
      </w:r>
      <w:r>
        <w:rPr>
          <w:rFonts w:ascii="Times New Roman" w:eastAsia="Times New Roman" w:hAnsi="Times New Roman"/>
          <w:spacing w:val="-2"/>
          <w:sz w:val="26"/>
          <w:szCs w:val="26"/>
          <w:lang w:eastAsia="en-US"/>
        </w:rPr>
        <w:t>избирается на должность Советом директоров Общества</w:t>
      </w:r>
      <w:r w:rsidR="00F86E2E">
        <w:rPr>
          <w:rFonts w:ascii="Times New Roman" w:eastAsia="Times New Roman" w:hAnsi="Times New Roman"/>
          <w:spacing w:val="-2"/>
          <w:sz w:val="26"/>
          <w:szCs w:val="26"/>
          <w:lang w:eastAsia="en-US"/>
        </w:rPr>
        <w:t>.</w:t>
      </w:r>
      <w:r w:rsidR="001A6FA6">
        <w:rPr>
          <w:rFonts w:ascii="Times New Roman" w:eastAsia="Times New Roman" w:hAnsi="Times New Roman"/>
          <w:spacing w:val="-2"/>
          <w:sz w:val="26"/>
          <w:szCs w:val="26"/>
          <w:lang w:eastAsia="en-US"/>
        </w:rPr>
        <w:t xml:space="preserve"> </w:t>
      </w:r>
      <w:r w:rsidR="00F86E2E">
        <w:rPr>
          <w:rFonts w:ascii="Times New Roman" w:eastAsia="Times New Roman" w:hAnsi="Times New Roman"/>
          <w:spacing w:val="-2"/>
          <w:sz w:val="26"/>
          <w:szCs w:val="26"/>
          <w:lang w:eastAsia="en-US"/>
        </w:rPr>
        <w:t>В соответствии в Законом об акционерных обществах</w:t>
      </w:r>
      <w:r w:rsidR="001A6FA6">
        <w:rPr>
          <w:rFonts w:ascii="Times New Roman" w:eastAsia="Times New Roman" w:hAnsi="Times New Roman"/>
          <w:spacing w:val="-2"/>
          <w:sz w:val="26"/>
          <w:szCs w:val="26"/>
          <w:lang w:eastAsia="en-US"/>
        </w:rPr>
        <w:t xml:space="preserve"> </w:t>
      </w:r>
      <w:r w:rsidR="00F86E2E">
        <w:rPr>
          <w:rFonts w:ascii="Times New Roman" w:eastAsia="Times New Roman" w:hAnsi="Times New Roman"/>
          <w:spacing w:val="-2"/>
          <w:sz w:val="26"/>
          <w:szCs w:val="26"/>
          <w:lang w:eastAsia="en-US"/>
        </w:rPr>
        <w:t>Генеральный директор осуществляет функции</w:t>
      </w:r>
      <w:r>
        <w:rPr>
          <w:rFonts w:ascii="Times New Roman" w:eastAsia="Times New Roman" w:hAnsi="Times New Roman"/>
          <w:spacing w:val="-2"/>
          <w:sz w:val="26"/>
          <w:szCs w:val="26"/>
          <w:lang w:eastAsia="en-US"/>
        </w:rPr>
        <w:t xml:space="preserve"> </w:t>
      </w:r>
      <w:r w:rsidR="00F86E2E">
        <w:rPr>
          <w:rFonts w:ascii="Times New Roman" w:eastAsia="Times New Roman" w:hAnsi="Times New Roman"/>
          <w:spacing w:val="-2"/>
          <w:sz w:val="26"/>
          <w:szCs w:val="26"/>
          <w:lang w:eastAsia="en-US"/>
        </w:rPr>
        <w:t xml:space="preserve">Председателя </w:t>
      </w:r>
      <w:r>
        <w:rPr>
          <w:rFonts w:ascii="Times New Roman" w:eastAsia="Times New Roman" w:hAnsi="Times New Roman"/>
          <w:spacing w:val="-2"/>
          <w:sz w:val="26"/>
          <w:szCs w:val="26"/>
          <w:lang w:eastAsia="en-US"/>
        </w:rPr>
        <w:t>Правления Общества.</w:t>
      </w:r>
    </w:p>
    <w:p w14:paraId="52875A0A"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Права и обязанности Генерального директора определяются законодательством Российской Федерации, Уставом Общества и трудовым договором между Обществом и Генеральным директором.</w:t>
      </w:r>
    </w:p>
    <w:p w14:paraId="2D960375"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В соответствии с пунктом 23.2 статьи 23 Устава Общества, к компетенции Генерального директора относятся вопросы руководства текущей деятельностью Общества, за исключением вопросов, отнесенных к компетенции Общего собрания акционеров, Совета директоров и Правления Общества.</w:t>
      </w:r>
    </w:p>
    <w:p w14:paraId="6F0F6077"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Генеральный директор при осуществлении своих прав и исполнении обязанностей действует в интересах Общества добросовестно и разумно.</w:t>
      </w:r>
    </w:p>
    <w:p w14:paraId="3BF4A194" w14:textId="45F98228"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До 27.12.2024 Генеральным директором Общества являлся Эбзеев Борис Борисович, занимавший эту должность с 17.06.2014.</w:t>
      </w:r>
    </w:p>
    <w:p w14:paraId="6CA8F3C6" w14:textId="6E68801C" w:rsidR="00223545" w:rsidRDefault="00223545" w:rsidP="00223545">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С 28.12.2024 Генеральным директором Общества назначен Рыбин Алексей Александрович</w:t>
      </w:r>
      <w:r>
        <w:rPr>
          <w:rFonts w:ascii="Times New Roman" w:eastAsia="Times New Roman" w:hAnsi="Times New Roman"/>
          <w:b/>
          <w:sz w:val="20"/>
          <w:szCs w:val="20"/>
          <w:vertAlign w:val="superscript"/>
          <w:lang w:eastAsia="ar-SA"/>
        </w:rPr>
        <w:t xml:space="preserve"> </w:t>
      </w:r>
      <w:r>
        <w:rPr>
          <w:rStyle w:val="af"/>
          <w:rFonts w:ascii="Times New Roman" w:eastAsia="Times New Roman" w:hAnsi="Times New Roman"/>
          <w:b/>
          <w:sz w:val="20"/>
          <w:szCs w:val="20"/>
          <w:lang w:eastAsia="ar-SA"/>
        </w:rPr>
        <w:footnoteReference w:id="25"/>
      </w:r>
      <w:r>
        <w:rPr>
          <w:rFonts w:ascii="Times New Roman" w:eastAsia="Times New Roman" w:hAnsi="Times New Roman"/>
          <w:b/>
          <w:sz w:val="20"/>
          <w:szCs w:val="20"/>
          <w:vertAlign w:val="superscript"/>
          <w:lang w:eastAsia="ar-SA"/>
        </w:rPr>
        <w:t xml:space="preserve"> </w:t>
      </w:r>
      <w:r>
        <w:rPr>
          <w:rFonts w:ascii="Times New Roman" w:eastAsia="Times New Roman" w:hAnsi="Times New Roman"/>
          <w:spacing w:val="-2"/>
          <w:sz w:val="26"/>
          <w:szCs w:val="26"/>
          <w:lang w:eastAsia="en-US"/>
        </w:rPr>
        <w:t>(решение Совета директоров Общества 26.12.2024 (протокол от 26.12.2024 №600/2024)).</w:t>
      </w:r>
    </w:p>
    <w:p w14:paraId="74DD16BD"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Результаты управленческих решений по основным направлениям деятельности Общества, принятые Генеральным директором Общества в 2024 году, отражены в соответствующих разделах Годового отчета.</w:t>
      </w:r>
    </w:p>
    <w:p w14:paraId="60BE4CD1"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209" w:name="_Toc505174447"/>
      <w:bookmarkStart w:id="210" w:name="_Toc505186258"/>
      <w:bookmarkStart w:id="211" w:name="_Toc509799034"/>
      <w:bookmarkStart w:id="212" w:name="_Toc536544569"/>
      <w:bookmarkStart w:id="213" w:name="_Toc101275494"/>
      <w:bookmarkStart w:id="214" w:name="_Toc195174975"/>
      <w:bookmarkStart w:id="215" w:name="_Toc196143068"/>
      <w:r>
        <w:rPr>
          <w:rFonts w:ascii="Times New Roman" w:eastAsia="Times New Roman" w:hAnsi="Times New Roman"/>
          <w:caps/>
          <w:color w:val="632423"/>
          <w:spacing w:val="15"/>
          <w:sz w:val="24"/>
          <w:szCs w:val="24"/>
          <w:lang w:eastAsia="en-US" w:bidi="en-US"/>
        </w:rPr>
        <w:t>Правление</w:t>
      </w:r>
      <w:bookmarkEnd w:id="209"/>
      <w:bookmarkEnd w:id="210"/>
      <w:bookmarkEnd w:id="211"/>
      <w:bookmarkEnd w:id="212"/>
      <w:bookmarkEnd w:id="213"/>
      <w:bookmarkEnd w:id="214"/>
      <w:bookmarkEnd w:id="215"/>
    </w:p>
    <w:p w14:paraId="7F95C703" w14:textId="77777777" w:rsidR="002449C2" w:rsidRDefault="002449C2">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p>
    <w:p w14:paraId="3000BD2B"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 xml:space="preserve">Правление Общества - коллегиальный исполнительный орган Общества, отвечающий за практическую реализацию целей, стратегии развития и политики Общества. Председателем Правления в соответствии с </w:t>
      </w:r>
      <w:r w:rsidR="00F86E2E">
        <w:rPr>
          <w:rFonts w:ascii="Times New Roman" w:eastAsia="Times New Roman" w:hAnsi="Times New Roman"/>
          <w:spacing w:val="-2"/>
          <w:sz w:val="26"/>
          <w:szCs w:val="26"/>
          <w:lang w:eastAsia="en-US"/>
        </w:rPr>
        <w:t xml:space="preserve">Законом об акционерных обществах и </w:t>
      </w:r>
      <w:r>
        <w:rPr>
          <w:rFonts w:ascii="Times New Roman" w:eastAsia="Times New Roman" w:hAnsi="Times New Roman"/>
          <w:spacing w:val="-2"/>
          <w:sz w:val="26"/>
          <w:szCs w:val="26"/>
          <w:lang w:eastAsia="en-US"/>
        </w:rPr>
        <w:t>Уставом ПАО «Россети Юг» является Генеральный директор Общества.</w:t>
      </w:r>
    </w:p>
    <w:p w14:paraId="2765F6DC"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 xml:space="preserve">Основными задачами Правления Общества являются: </w:t>
      </w:r>
    </w:p>
    <w:p w14:paraId="0DBC2067" w14:textId="77777777" w:rsidR="002449C2" w:rsidRDefault="00123961">
      <w:pPr>
        <w:widowControl w:val="0"/>
        <w:numPr>
          <w:ilvl w:val="0"/>
          <w:numId w:val="39"/>
        </w:numPr>
        <w:shd w:val="clear" w:color="auto" w:fill="FFFFFF"/>
        <w:tabs>
          <w:tab w:val="left" w:pos="142"/>
        </w:tabs>
        <w:spacing w:after="0" w:line="240" w:lineRule="auto"/>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 xml:space="preserve"> организация эффективного управления оперативной деятельностью Общества; </w:t>
      </w:r>
    </w:p>
    <w:p w14:paraId="0533D807" w14:textId="77777777" w:rsidR="002449C2" w:rsidRDefault="00123961">
      <w:pPr>
        <w:widowControl w:val="0"/>
        <w:numPr>
          <w:ilvl w:val="0"/>
          <w:numId w:val="39"/>
        </w:numPr>
        <w:shd w:val="clear" w:color="auto" w:fill="FFFFFF"/>
        <w:tabs>
          <w:tab w:val="left" w:pos="142"/>
        </w:tabs>
        <w:spacing w:after="0" w:line="240" w:lineRule="auto"/>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 xml:space="preserve"> обеспечение выполнения планов и решений Общего собрания акционеров и Совета директоров Общества; </w:t>
      </w:r>
    </w:p>
    <w:p w14:paraId="30F33865" w14:textId="77777777" w:rsidR="002449C2" w:rsidRDefault="00123961">
      <w:pPr>
        <w:widowControl w:val="0"/>
        <w:numPr>
          <w:ilvl w:val="0"/>
          <w:numId w:val="39"/>
        </w:numPr>
        <w:shd w:val="clear" w:color="auto" w:fill="FFFFFF"/>
        <w:tabs>
          <w:tab w:val="left" w:pos="142"/>
        </w:tabs>
        <w:spacing w:after="0" w:line="240" w:lineRule="auto"/>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 xml:space="preserve"> реализация финансово-хозяйственной политики Общества, выработка решений по важнейшим вопросам его текущей хозяйственной деятельности и координация работы его подразделений; </w:t>
      </w:r>
    </w:p>
    <w:p w14:paraId="7DC748D7" w14:textId="77777777" w:rsidR="002449C2" w:rsidRDefault="00123961">
      <w:pPr>
        <w:widowControl w:val="0"/>
        <w:numPr>
          <w:ilvl w:val="0"/>
          <w:numId w:val="39"/>
        </w:numPr>
        <w:shd w:val="clear" w:color="auto" w:fill="FFFFFF"/>
        <w:tabs>
          <w:tab w:val="left" w:pos="142"/>
        </w:tabs>
        <w:spacing w:after="0" w:line="240" w:lineRule="auto"/>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 xml:space="preserve"> повышение эффективности систем внутреннего контроля и мониторинга рисков; </w:t>
      </w:r>
    </w:p>
    <w:p w14:paraId="61424B40" w14:textId="77777777" w:rsidR="002449C2" w:rsidRDefault="00123961">
      <w:pPr>
        <w:widowControl w:val="0"/>
        <w:numPr>
          <w:ilvl w:val="0"/>
          <w:numId w:val="39"/>
        </w:numPr>
        <w:shd w:val="clear" w:color="auto" w:fill="FFFFFF"/>
        <w:tabs>
          <w:tab w:val="left" w:pos="142"/>
        </w:tabs>
        <w:spacing w:after="0" w:line="240" w:lineRule="auto"/>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 xml:space="preserve"> выработка и осуществление текущей хозяйственной политики Общества в целях повышения его прибыльности и конкурентоспособности. </w:t>
      </w:r>
    </w:p>
    <w:p w14:paraId="474DCCDD" w14:textId="77777777" w:rsidR="002449C2" w:rsidRDefault="002449C2">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p>
    <w:p w14:paraId="0EB9025F"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Деятельность Правления</w:t>
      </w:r>
      <w:r w:rsidR="00F85713">
        <w:rPr>
          <w:rStyle w:val="af"/>
          <w:rFonts w:ascii="Times New Roman" w:eastAsia="Times New Roman" w:hAnsi="Times New Roman"/>
          <w:spacing w:val="-2"/>
          <w:sz w:val="26"/>
          <w:szCs w:val="26"/>
          <w:lang w:eastAsia="en-US"/>
        </w:rPr>
        <w:footnoteReference w:id="26"/>
      </w:r>
      <w:r>
        <w:rPr>
          <w:rFonts w:ascii="Times New Roman" w:eastAsia="Times New Roman" w:hAnsi="Times New Roman"/>
          <w:spacing w:val="-2"/>
          <w:sz w:val="26"/>
          <w:szCs w:val="26"/>
          <w:lang w:eastAsia="en-US"/>
        </w:rPr>
        <w:t xml:space="preserve"> Общества регулируется Федеральным законом «Об акционерных обществах», Уставом Общества, </w:t>
      </w:r>
      <w:hyperlink r:id="rId175">
        <w:r>
          <w:rPr>
            <w:rFonts w:ascii="Times New Roman" w:eastAsia="Times New Roman" w:hAnsi="Times New Roman"/>
            <w:color w:val="0000FF"/>
            <w:spacing w:val="-2"/>
            <w:sz w:val="26"/>
            <w:szCs w:val="26"/>
            <w:u w:val="single"/>
            <w:lang w:eastAsia="en-US"/>
          </w:rPr>
          <w:t>Положением о Правлении</w:t>
        </w:r>
      </w:hyperlink>
      <w:r>
        <w:rPr>
          <w:rFonts w:ascii="Times New Roman" w:eastAsia="Times New Roman" w:hAnsi="Times New Roman"/>
          <w:spacing w:val="-2"/>
          <w:sz w:val="26"/>
          <w:szCs w:val="26"/>
          <w:lang w:eastAsia="en-US"/>
        </w:rPr>
        <w:t>, утвержденным решением годового Общего собрания акционеров Общества 31.05.2019 (протокол от 05.06.2019 №20).</w:t>
      </w:r>
    </w:p>
    <w:p w14:paraId="6A9C9FF2"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В соответствии с Уставом члены Правления избираются Советом директоров Компании в количестве, определяемом решением Совета директоров по предложению Генерального директора.</w:t>
      </w:r>
    </w:p>
    <w:p w14:paraId="15B0F1EA"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 xml:space="preserve">Количественный состав Правления Общества определен решением Совета директоров Общества 26.05.2023 (протокол от 29.05.2023 №523/2023) и составляет 7 человек. </w:t>
      </w:r>
    </w:p>
    <w:p w14:paraId="403D602B"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В течение отчетного года в составе Правления произошли следующие изменения, связанные с кадровыми перестановками: в связи с досрочным прекращением полномочий Генерального директора Б.Б. Эбзеева он перестал быть Председателем Правления Общества. В связи с назначением А.А. Рыбина на должность Генерального директора он стал председателем Правления Общества, и по состоянию на 31.12.2024 в состав Правления входило 6 человек. В феврале 2025 года, согласно решению Совета директоров Общества, в состав Правления вошел заместитель Генерального директора по реализации услуг Тыкушин Александр Владимирович.</w:t>
      </w:r>
    </w:p>
    <w:p w14:paraId="0D9F3A60"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spacing w:val="-2"/>
          <w:sz w:val="26"/>
          <w:szCs w:val="26"/>
          <w:lang w:eastAsia="en-US"/>
        </w:rPr>
      </w:pPr>
      <w:r>
        <w:rPr>
          <w:rFonts w:ascii="Times New Roman" w:eastAsia="Times New Roman" w:hAnsi="Times New Roman"/>
          <w:spacing w:val="-2"/>
          <w:sz w:val="26"/>
          <w:szCs w:val="26"/>
          <w:lang w:eastAsia="en-US"/>
        </w:rPr>
        <w:t>Согласно статье 22 Устава ПАО «Россети Юг», наряду с иными вопросами Правление Общества принимает решения по вопросам, отнесенным к компетенции высших органов управления – Общих собраний акционеров - хозяйственных обществ, 100 процентов уставного капитала которых принадлежит ПАО «Россети Юг».</w:t>
      </w:r>
    </w:p>
    <w:p w14:paraId="308F25CE" w14:textId="77777777" w:rsidR="002449C2" w:rsidRDefault="00123961">
      <w:pPr>
        <w:widowControl w:val="0"/>
        <w:shd w:val="clear" w:color="auto" w:fill="FFFFFF"/>
        <w:tabs>
          <w:tab w:val="left" w:pos="540"/>
        </w:tabs>
        <w:spacing w:before="120" w:after="120" w:line="240" w:lineRule="auto"/>
        <w:ind w:firstLine="567"/>
        <w:jc w:val="center"/>
        <w:rPr>
          <w:rFonts w:ascii="Times New Roman" w:eastAsia="Times New Roman" w:hAnsi="Times New Roman"/>
          <w:b/>
          <w:sz w:val="26"/>
          <w:szCs w:val="26"/>
          <w:lang w:eastAsia="ru-RU"/>
        </w:rPr>
      </w:pPr>
      <w:bookmarkStart w:id="216" w:name="_Toc505174448"/>
      <w:bookmarkStart w:id="217" w:name="_Toc505186259"/>
      <w:r>
        <w:rPr>
          <w:rFonts w:ascii="Times New Roman" w:eastAsia="Times New Roman" w:hAnsi="Times New Roman"/>
          <w:b/>
          <w:sz w:val="26"/>
          <w:szCs w:val="26"/>
          <w:lang w:eastAsia="ru-RU"/>
        </w:rPr>
        <w:t>Состав Правления</w:t>
      </w:r>
      <w:bookmarkEnd w:id="216"/>
      <w:bookmarkEnd w:id="217"/>
    </w:p>
    <w:p w14:paraId="7EAA1AC3" w14:textId="77777777" w:rsidR="002449C2" w:rsidRDefault="00123961">
      <w:pPr>
        <w:spacing w:after="0" w:line="240" w:lineRule="auto"/>
        <w:ind w:left="142"/>
        <w:rPr>
          <w:rFonts w:ascii="Times New Roman" w:hAnsi="Times New Roman"/>
          <w:b/>
          <w:sz w:val="26"/>
          <w:szCs w:val="26"/>
          <w:lang w:eastAsia="en-US"/>
        </w:rPr>
      </w:pPr>
      <w:r>
        <w:rPr>
          <w:rFonts w:ascii="Times New Roman" w:hAnsi="Times New Roman"/>
          <w:i/>
          <w:iCs/>
          <w:sz w:val="26"/>
          <w:szCs w:val="26"/>
          <w:lang w:eastAsia="en-US"/>
        </w:rPr>
        <w:t>Действующий состав Правления по состоянию на конец отчетного года.</w:t>
      </w:r>
    </w:p>
    <w:p w14:paraId="5ED19D41" w14:textId="77777777" w:rsidR="002449C2" w:rsidRDefault="00123961">
      <w:pPr>
        <w:spacing w:after="0" w:line="240" w:lineRule="auto"/>
        <w:ind w:left="142"/>
        <w:rPr>
          <w:rFonts w:ascii="Times New Roman" w:hAnsi="Times New Roman"/>
          <w:b/>
          <w:sz w:val="26"/>
          <w:szCs w:val="26"/>
          <w:lang w:eastAsia="en-US"/>
        </w:rPr>
      </w:pPr>
      <w:r>
        <w:rPr>
          <w:rFonts w:ascii="Times New Roman" w:hAnsi="Times New Roman"/>
          <w:b/>
          <w:sz w:val="26"/>
          <w:szCs w:val="26"/>
          <w:lang w:eastAsia="en-US"/>
        </w:rPr>
        <w:t>Рыбин Алексей Александрович</w:t>
      </w:r>
    </w:p>
    <w:p w14:paraId="2A8AAE8A" w14:textId="77777777" w:rsidR="002449C2" w:rsidRDefault="00123961">
      <w:pPr>
        <w:spacing w:after="0" w:line="240" w:lineRule="auto"/>
        <w:ind w:left="142"/>
        <w:rPr>
          <w:rFonts w:ascii="Times New Roman" w:hAnsi="Times New Roman"/>
          <w:b/>
          <w:sz w:val="26"/>
          <w:szCs w:val="26"/>
          <w:lang w:eastAsia="en-US"/>
        </w:rPr>
      </w:pPr>
      <w:r>
        <w:rPr>
          <w:rFonts w:ascii="Times New Roman" w:hAnsi="Times New Roman"/>
          <w:b/>
          <w:sz w:val="26"/>
          <w:szCs w:val="26"/>
          <w:lang w:eastAsia="en-US"/>
        </w:rPr>
        <w:t xml:space="preserve">Генеральный директор, Председатель Правления с 28.12.2024 </w:t>
      </w:r>
    </w:p>
    <w:p w14:paraId="2556BB80" w14:textId="77777777" w:rsidR="002449C2" w:rsidRDefault="00123961">
      <w:pPr>
        <w:spacing w:after="0" w:line="240" w:lineRule="auto"/>
        <w:ind w:left="142"/>
        <w:rPr>
          <w:rFonts w:ascii="Times New Roman" w:hAnsi="Times New Roman"/>
          <w:sz w:val="26"/>
          <w:szCs w:val="26"/>
          <w:lang w:eastAsia="en-US"/>
        </w:rPr>
      </w:pPr>
      <w:r>
        <w:rPr>
          <w:rFonts w:ascii="Times New Roman" w:hAnsi="Times New Roman"/>
          <w:sz w:val="26"/>
          <w:szCs w:val="26"/>
          <w:lang w:eastAsia="en-US"/>
        </w:rPr>
        <w:t>Год рождения: 1972</w:t>
      </w:r>
    </w:p>
    <w:p w14:paraId="0B63EF66" w14:textId="77777777" w:rsidR="002449C2" w:rsidRDefault="00123961">
      <w:pPr>
        <w:spacing w:after="0" w:line="240" w:lineRule="auto"/>
        <w:ind w:left="142"/>
        <w:jc w:val="both"/>
        <w:rPr>
          <w:rFonts w:ascii="Times New Roman" w:hAnsi="Times New Roman"/>
          <w:sz w:val="26"/>
          <w:szCs w:val="26"/>
          <w:lang w:eastAsia="en-US"/>
        </w:rPr>
      </w:pPr>
      <w:r>
        <w:rPr>
          <w:rFonts w:ascii="Times New Roman" w:hAnsi="Times New Roman"/>
          <w:sz w:val="26"/>
          <w:szCs w:val="26"/>
          <w:lang w:eastAsia="en-US"/>
        </w:rPr>
        <w:t>Образование: Высшее.</w:t>
      </w:r>
    </w:p>
    <w:p w14:paraId="13E3E3FD" w14:textId="77777777" w:rsidR="002449C2" w:rsidRDefault="00123961">
      <w:pPr>
        <w:spacing w:after="0" w:line="240" w:lineRule="auto"/>
        <w:ind w:left="142"/>
        <w:jc w:val="both"/>
        <w:rPr>
          <w:rFonts w:ascii="Times New Roman" w:hAnsi="Times New Roman"/>
          <w:sz w:val="26"/>
          <w:szCs w:val="26"/>
          <w:lang w:eastAsia="ru-RU"/>
        </w:rPr>
      </w:pPr>
      <w:r>
        <w:rPr>
          <w:rFonts w:ascii="Times New Roman" w:hAnsi="Times New Roman"/>
          <w:sz w:val="26"/>
          <w:szCs w:val="26"/>
          <w:lang w:eastAsia="en-US"/>
        </w:rPr>
        <w:t xml:space="preserve">1994, </w:t>
      </w:r>
      <w:r>
        <w:rPr>
          <w:rFonts w:ascii="Times New Roman" w:hAnsi="Times New Roman"/>
          <w:sz w:val="26"/>
          <w:szCs w:val="26"/>
          <w:lang w:eastAsia="ru-RU"/>
        </w:rPr>
        <w:t>Харьковский авиационный институт им. Н.Е. Жуковского, квалификация «Инженер-механик», специальность «Авиационные двигатели и энергетические установки»;</w:t>
      </w:r>
    </w:p>
    <w:p w14:paraId="28AE22C6" w14:textId="77777777" w:rsidR="002449C2" w:rsidRDefault="00123961">
      <w:pPr>
        <w:spacing w:after="0" w:line="240" w:lineRule="auto"/>
        <w:ind w:left="142"/>
        <w:jc w:val="both"/>
        <w:rPr>
          <w:rFonts w:ascii="Times New Roman" w:hAnsi="Times New Roman"/>
          <w:sz w:val="26"/>
          <w:szCs w:val="26"/>
          <w:lang w:eastAsia="ru-RU"/>
        </w:rPr>
      </w:pPr>
      <w:r>
        <w:rPr>
          <w:rFonts w:ascii="Times New Roman" w:hAnsi="Times New Roman"/>
          <w:sz w:val="26"/>
          <w:szCs w:val="26"/>
          <w:lang w:eastAsia="en-US"/>
        </w:rPr>
        <w:t xml:space="preserve">1998, </w:t>
      </w:r>
      <w:r>
        <w:rPr>
          <w:rFonts w:ascii="Times New Roman" w:hAnsi="Times New Roman"/>
          <w:sz w:val="26"/>
          <w:szCs w:val="26"/>
          <w:lang w:eastAsia="ru-RU"/>
        </w:rPr>
        <w:t>Ростовский государственный университет, квалификация «юрист», специальность «юриспруденция»;</w:t>
      </w:r>
    </w:p>
    <w:p w14:paraId="3B78D2CF" w14:textId="77777777" w:rsidR="002449C2" w:rsidRDefault="00123961">
      <w:pPr>
        <w:spacing w:after="0" w:line="240" w:lineRule="auto"/>
        <w:ind w:left="142"/>
        <w:jc w:val="both"/>
        <w:rPr>
          <w:rFonts w:ascii="Times New Roman" w:hAnsi="Times New Roman"/>
          <w:sz w:val="26"/>
          <w:szCs w:val="26"/>
          <w:lang w:eastAsia="en-US"/>
        </w:rPr>
      </w:pPr>
      <w:r>
        <w:rPr>
          <w:rFonts w:ascii="Times New Roman" w:hAnsi="Times New Roman"/>
          <w:sz w:val="26"/>
          <w:szCs w:val="26"/>
          <w:lang w:eastAsia="ru-RU"/>
        </w:rPr>
        <w:t xml:space="preserve">2024, </w:t>
      </w:r>
      <w:r>
        <w:rPr>
          <w:rFonts w:ascii="Times New Roman" w:hAnsi="Times New Roman"/>
          <w:sz w:val="26"/>
          <w:szCs w:val="26"/>
          <w:lang w:eastAsia="en-US"/>
        </w:rPr>
        <w:t xml:space="preserve">Федеральное государственное бюджетное образовательное учреждение высшего образования </w:t>
      </w:r>
      <w:r>
        <w:rPr>
          <w:rFonts w:ascii="Times New Roman" w:hAnsi="Times New Roman"/>
          <w:sz w:val="26"/>
          <w:szCs w:val="26"/>
          <w:lang w:eastAsia="ru-RU"/>
        </w:rPr>
        <w:t>«Национальный исследовательский университет «МЭИ», квалификация «магистр» по направлению подготовки «электроэнергетика и электротехника».</w:t>
      </w:r>
    </w:p>
    <w:p w14:paraId="253C109D" w14:textId="77777777" w:rsidR="002449C2" w:rsidRDefault="002449C2">
      <w:pPr>
        <w:spacing w:after="0" w:line="240" w:lineRule="auto"/>
        <w:ind w:left="142"/>
        <w:rPr>
          <w:rFonts w:ascii="Times New Roman" w:hAnsi="Times New Roman"/>
          <w:sz w:val="26"/>
          <w:szCs w:val="26"/>
          <w:lang w:eastAsia="en-US"/>
        </w:rPr>
      </w:pPr>
    </w:p>
    <w:p w14:paraId="0C562078" w14:textId="77777777" w:rsidR="002449C2" w:rsidRDefault="00123961">
      <w:pPr>
        <w:spacing w:after="0" w:line="240" w:lineRule="auto"/>
        <w:ind w:left="142"/>
        <w:jc w:val="both"/>
        <w:rPr>
          <w:rFonts w:ascii="Times New Roman" w:hAnsi="Times New Roman"/>
          <w:sz w:val="26"/>
          <w:szCs w:val="26"/>
          <w:lang w:eastAsia="en-US"/>
        </w:rPr>
      </w:pPr>
      <w:r>
        <w:rPr>
          <w:rFonts w:ascii="Times New Roman" w:hAnsi="Times New Roman"/>
          <w:sz w:val="26"/>
          <w:szCs w:val="26"/>
          <w:lang w:eastAsia="en-US"/>
        </w:rPr>
        <w:t>Сведения о местах работы члена Правления за последние 5 лет и об участии в органах управления и контроля других организаций:</w:t>
      </w:r>
    </w:p>
    <w:tbl>
      <w:tblPr>
        <w:tblW w:w="4900" w:type="pct"/>
        <w:tblInd w:w="72" w:type="dxa"/>
        <w:tblLayout w:type="fixed"/>
        <w:tblCellMar>
          <w:left w:w="72" w:type="dxa"/>
          <w:right w:w="72" w:type="dxa"/>
        </w:tblCellMar>
        <w:tblLook w:val="04A0" w:firstRow="1" w:lastRow="0" w:firstColumn="1" w:lastColumn="0" w:noHBand="0" w:noVBand="1"/>
      </w:tblPr>
      <w:tblGrid>
        <w:gridCol w:w="1272"/>
        <w:gridCol w:w="1208"/>
        <w:gridCol w:w="3626"/>
        <w:gridCol w:w="3328"/>
      </w:tblGrid>
      <w:tr w:rsidR="002449C2" w14:paraId="40C417C3" w14:textId="77777777">
        <w:tc>
          <w:tcPr>
            <w:tcW w:w="2482" w:type="dxa"/>
            <w:gridSpan w:val="2"/>
            <w:tcBorders>
              <w:top w:val="single" w:sz="4" w:space="0" w:color="000000"/>
              <w:left w:val="single" w:sz="4" w:space="0" w:color="000000"/>
              <w:bottom w:val="single" w:sz="4" w:space="0" w:color="000000"/>
              <w:right w:val="single" w:sz="4" w:space="0" w:color="000000"/>
            </w:tcBorders>
            <w:vAlign w:val="center"/>
          </w:tcPr>
          <w:p w14:paraId="5F284F5E"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Период</w:t>
            </w:r>
          </w:p>
        </w:tc>
        <w:tc>
          <w:tcPr>
            <w:tcW w:w="3630" w:type="dxa"/>
            <w:vMerge w:val="restart"/>
            <w:tcBorders>
              <w:top w:val="single" w:sz="4" w:space="0" w:color="000000"/>
              <w:left w:val="single" w:sz="4" w:space="0" w:color="000000"/>
              <w:bottom w:val="single" w:sz="4" w:space="0" w:color="000000"/>
              <w:right w:val="single" w:sz="4" w:space="0" w:color="000000"/>
            </w:tcBorders>
            <w:vAlign w:val="center"/>
          </w:tcPr>
          <w:p w14:paraId="2879B6B2"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Наименование организации</w:t>
            </w:r>
          </w:p>
        </w:tc>
        <w:tc>
          <w:tcPr>
            <w:tcW w:w="3331" w:type="dxa"/>
            <w:vMerge w:val="restart"/>
            <w:tcBorders>
              <w:top w:val="single" w:sz="4" w:space="0" w:color="000000"/>
              <w:left w:val="single" w:sz="4" w:space="0" w:color="000000"/>
              <w:bottom w:val="single" w:sz="4" w:space="0" w:color="000000"/>
              <w:right w:val="single" w:sz="4" w:space="0" w:color="000000"/>
            </w:tcBorders>
            <w:vAlign w:val="center"/>
          </w:tcPr>
          <w:p w14:paraId="60629391"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Должность</w:t>
            </w:r>
          </w:p>
        </w:tc>
      </w:tr>
      <w:tr w:rsidR="002449C2" w14:paraId="55D15170" w14:textId="77777777">
        <w:tc>
          <w:tcPr>
            <w:tcW w:w="1273" w:type="dxa"/>
            <w:tcBorders>
              <w:top w:val="single" w:sz="4" w:space="0" w:color="000000"/>
              <w:left w:val="single" w:sz="4" w:space="0" w:color="000000"/>
              <w:bottom w:val="single" w:sz="4" w:space="0" w:color="000000"/>
              <w:right w:val="single" w:sz="4" w:space="0" w:color="000000"/>
            </w:tcBorders>
            <w:vAlign w:val="center"/>
          </w:tcPr>
          <w:p w14:paraId="3DD077DF"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w:t>
            </w:r>
          </w:p>
        </w:tc>
        <w:tc>
          <w:tcPr>
            <w:tcW w:w="1209" w:type="dxa"/>
            <w:tcBorders>
              <w:top w:val="single" w:sz="4" w:space="0" w:color="000000"/>
              <w:left w:val="single" w:sz="4" w:space="0" w:color="000000"/>
              <w:bottom w:val="single" w:sz="4" w:space="0" w:color="000000"/>
              <w:right w:val="single" w:sz="4" w:space="0" w:color="000000"/>
            </w:tcBorders>
            <w:vAlign w:val="center"/>
          </w:tcPr>
          <w:p w14:paraId="01936C4C"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w:t>
            </w:r>
          </w:p>
        </w:tc>
        <w:tc>
          <w:tcPr>
            <w:tcW w:w="3630" w:type="dxa"/>
            <w:vMerge/>
            <w:tcBorders>
              <w:top w:val="single" w:sz="4" w:space="0" w:color="000000"/>
              <w:left w:val="single" w:sz="4" w:space="0" w:color="000000"/>
              <w:bottom w:val="single" w:sz="4" w:space="0" w:color="000000"/>
              <w:right w:val="single" w:sz="4" w:space="0" w:color="000000"/>
            </w:tcBorders>
            <w:vAlign w:val="center"/>
          </w:tcPr>
          <w:p w14:paraId="0FAE61A0" w14:textId="77777777" w:rsidR="002449C2" w:rsidRDefault="002449C2">
            <w:pPr>
              <w:spacing w:after="0" w:line="240" w:lineRule="auto"/>
              <w:ind w:left="72"/>
              <w:jc w:val="center"/>
              <w:rPr>
                <w:rFonts w:ascii="Times New Roman" w:eastAsia="Times New Roman" w:hAnsi="Times New Roman"/>
                <w:color w:val="000000"/>
                <w:sz w:val="20"/>
                <w:szCs w:val="20"/>
                <w:lang w:eastAsia="ru-RU"/>
              </w:rPr>
            </w:pPr>
          </w:p>
        </w:tc>
        <w:tc>
          <w:tcPr>
            <w:tcW w:w="3331" w:type="dxa"/>
            <w:vMerge/>
            <w:tcBorders>
              <w:top w:val="single" w:sz="4" w:space="0" w:color="000000"/>
              <w:left w:val="single" w:sz="4" w:space="0" w:color="000000"/>
              <w:bottom w:val="single" w:sz="4" w:space="0" w:color="000000"/>
              <w:right w:val="single" w:sz="4" w:space="0" w:color="000000"/>
            </w:tcBorders>
            <w:vAlign w:val="center"/>
          </w:tcPr>
          <w:p w14:paraId="2FE3EB94" w14:textId="77777777" w:rsidR="002449C2" w:rsidRDefault="002449C2">
            <w:pPr>
              <w:spacing w:after="0" w:line="240" w:lineRule="auto"/>
              <w:ind w:left="72"/>
              <w:jc w:val="center"/>
              <w:rPr>
                <w:rFonts w:ascii="Times New Roman" w:eastAsia="Times New Roman" w:hAnsi="Times New Roman"/>
                <w:color w:val="000000"/>
                <w:sz w:val="20"/>
                <w:szCs w:val="20"/>
                <w:lang w:eastAsia="ru-RU"/>
              </w:rPr>
            </w:pPr>
          </w:p>
        </w:tc>
      </w:tr>
      <w:tr w:rsidR="002449C2" w14:paraId="096CC955" w14:textId="77777777">
        <w:trPr>
          <w:trHeight w:val="227"/>
        </w:trPr>
        <w:tc>
          <w:tcPr>
            <w:tcW w:w="1273" w:type="dxa"/>
            <w:tcBorders>
              <w:top w:val="single" w:sz="4" w:space="0" w:color="000000"/>
              <w:left w:val="single" w:sz="4" w:space="0" w:color="000000"/>
              <w:bottom w:val="single" w:sz="4" w:space="0" w:color="000000"/>
              <w:right w:val="single" w:sz="4" w:space="0" w:color="000000"/>
            </w:tcBorders>
            <w:vAlign w:val="center"/>
          </w:tcPr>
          <w:p w14:paraId="5A2E0E84" w14:textId="77777777" w:rsidR="002449C2" w:rsidRDefault="00123961">
            <w:pPr>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2012</w:t>
            </w:r>
          </w:p>
        </w:tc>
        <w:tc>
          <w:tcPr>
            <w:tcW w:w="1209" w:type="dxa"/>
            <w:tcBorders>
              <w:top w:val="single" w:sz="4" w:space="0" w:color="000000"/>
              <w:left w:val="single" w:sz="4" w:space="0" w:color="000000"/>
              <w:bottom w:val="single" w:sz="4" w:space="0" w:color="000000"/>
              <w:right w:val="single" w:sz="4" w:space="0" w:color="000000"/>
            </w:tcBorders>
            <w:vAlign w:val="center"/>
          </w:tcPr>
          <w:p w14:paraId="33EFB16D"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2021</w:t>
            </w:r>
          </w:p>
        </w:tc>
        <w:tc>
          <w:tcPr>
            <w:tcW w:w="3630" w:type="dxa"/>
            <w:tcBorders>
              <w:top w:val="single" w:sz="4" w:space="0" w:color="000000"/>
              <w:left w:val="single" w:sz="4" w:space="0" w:color="000000"/>
              <w:bottom w:val="single" w:sz="4" w:space="0" w:color="000000"/>
              <w:right w:val="single" w:sz="4" w:space="0" w:color="000000"/>
            </w:tcBorders>
            <w:vAlign w:val="center"/>
          </w:tcPr>
          <w:p w14:paraId="0D76636A"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Публичное акционерное общество «Россети Юг»</w:t>
            </w:r>
          </w:p>
        </w:tc>
        <w:tc>
          <w:tcPr>
            <w:tcW w:w="3331" w:type="dxa"/>
            <w:tcBorders>
              <w:top w:val="single" w:sz="4" w:space="0" w:color="000000"/>
              <w:left w:val="single" w:sz="4" w:space="0" w:color="000000"/>
              <w:bottom w:val="single" w:sz="4" w:space="0" w:color="000000"/>
              <w:right w:val="single" w:sz="4" w:space="0" w:color="000000"/>
            </w:tcBorders>
            <w:vAlign w:val="center"/>
          </w:tcPr>
          <w:p w14:paraId="11D0918F"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Заместитель генерального директора по экономике и финансам</w:t>
            </w:r>
          </w:p>
        </w:tc>
      </w:tr>
      <w:tr w:rsidR="002449C2" w14:paraId="3E9B5647" w14:textId="77777777">
        <w:trPr>
          <w:trHeight w:val="227"/>
        </w:trPr>
        <w:tc>
          <w:tcPr>
            <w:tcW w:w="1273" w:type="dxa"/>
            <w:tcBorders>
              <w:top w:val="single" w:sz="4" w:space="0" w:color="000000"/>
              <w:left w:val="single" w:sz="4" w:space="0" w:color="000000"/>
              <w:bottom w:val="single" w:sz="4" w:space="0" w:color="000000"/>
              <w:right w:val="single" w:sz="4" w:space="0" w:color="000000"/>
            </w:tcBorders>
            <w:vAlign w:val="center"/>
          </w:tcPr>
          <w:p w14:paraId="2D748611" w14:textId="77777777" w:rsidR="002449C2" w:rsidRDefault="00123961">
            <w:pPr>
              <w:spacing w:after="0" w:line="240" w:lineRule="auto"/>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2013</w:t>
            </w:r>
          </w:p>
        </w:tc>
        <w:tc>
          <w:tcPr>
            <w:tcW w:w="1209" w:type="dxa"/>
            <w:tcBorders>
              <w:top w:val="single" w:sz="4" w:space="0" w:color="000000"/>
              <w:left w:val="single" w:sz="4" w:space="0" w:color="000000"/>
              <w:bottom w:val="single" w:sz="4" w:space="0" w:color="000000"/>
              <w:right w:val="single" w:sz="4" w:space="0" w:color="000000"/>
            </w:tcBorders>
            <w:vAlign w:val="center"/>
          </w:tcPr>
          <w:p w14:paraId="6A47F8E3"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2024</w:t>
            </w:r>
          </w:p>
        </w:tc>
        <w:tc>
          <w:tcPr>
            <w:tcW w:w="3630" w:type="dxa"/>
            <w:tcBorders>
              <w:top w:val="single" w:sz="4" w:space="0" w:color="000000"/>
              <w:left w:val="single" w:sz="4" w:space="0" w:color="000000"/>
              <w:bottom w:val="single" w:sz="4" w:space="0" w:color="000000"/>
              <w:right w:val="single" w:sz="4" w:space="0" w:color="000000"/>
            </w:tcBorders>
            <w:vAlign w:val="center"/>
          </w:tcPr>
          <w:p w14:paraId="66241DF0"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Публичное акционерное общество «Россети Юг»</w:t>
            </w:r>
          </w:p>
        </w:tc>
        <w:tc>
          <w:tcPr>
            <w:tcW w:w="3331" w:type="dxa"/>
            <w:tcBorders>
              <w:top w:val="single" w:sz="4" w:space="0" w:color="000000"/>
              <w:left w:val="single" w:sz="4" w:space="0" w:color="000000"/>
              <w:bottom w:val="single" w:sz="4" w:space="0" w:color="000000"/>
              <w:right w:val="single" w:sz="4" w:space="0" w:color="000000"/>
            </w:tcBorders>
            <w:vAlign w:val="center"/>
          </w:tcPr>
          <w:p w14:paraId="129D7B99"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Член Правления</w:t>
            </w:r>
          </w:p>
        </w:tc>
      </w:tr>
      <w:tr w:rsidR="002449C2" w14:paraId="144CA800" w14:textId="77777777">
        <w:trPr>
          <w:trHeight w:val="227"/>
        </w:trPr>
        <w:tc>
          <w:tcPr>
            <w:tcW w:w="1273" w:type="dxa"/>
            <w:tcBorders>
              <w:top w:val="single" w:sz="4" w:space="0" w:color="000000"/>
              <w:left w:val="single" w:sz="4" w:space="0" w:color="000000"/>
              <w:bottom w:val="single" w:sz="4" w:space="0" w:color="000000"/>
              <w:right w:val="single" w:sz="4" w:space="0" w:color="000000"/>
            </w:tcBorders>
            <w:vAlign w:val="center"/>
          </w:tcPr>
          <w:p w14:paraId="6849B663" w14:textId="77777777" w:rsidR="002449C2" w:rsidRDefault="00123961">
            <w:pPr>
              <w:spacing w:after="0" w:line="240" w:lineRule="auto"/>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2018</w:t>
            </w:r>
          </w:p>
        </w:tc>
        <w:tc>
          <w:tcPr>
            <w:tcW w:w="1209" w:type="dxa"/>
            <w:tcBorders>
              <w:top w:val="single" w:sz="4" w:space="0" w:color="000000"/>
              <w:left w:val="single" w:sz="4" w:space="0" w:color="000000"/>
              <w:bottom w:val="single" w:sz="4" w:space="0" w:color="000000"/>
              <w:right w:val="single" w:sz="4" w:space="0" w:color="000000"/>
            </w:tcBorders>
            <w:vAlign w:val="center"/>
          </w:tcPr>
          <w:p w14:paraId="6EE6D093"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настоящее время</w:t>
            </w:r>
          </w:p>
        </w:tc>
        <w:tc>
          <w:tcPr>
            <w:tcW w:w="3630" w:type="dxa"/>
            <w:tcBorders>
              <w:top w:val="single" w:sz="4" w:space="0" w:color="000000"/>
              <w:left w:val="single" w:sz="4" w:space="0" w:color="000000"/>
              <w:bottom w:val="single" w:sz="4" w:space="0" w:color="000000"/>
              <w:right w:val="single" w:sz="4" w:space="0" w:color="000000"/>
            </w:tcBorders>
            <w:vAlign w:val="center"/>
          </w:tcPr>
          <w:p w14:paraId="27DC84B9"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Акционерное общество «Волгоградские межрайонные электрические сети»</w:t>
            </w:r>
          </w:p>
        </w:tc>
        <w:tc>
          <w:tcPr>
            <w:tcW w:w="3331" w:type="dxa"/>
            <w:tcBorders>
              <w:top w:val="single" w:sz="4" w:space="0" w:color="000000"/>
              <w:left w:val="single" w:sz="4" w:space="0" w:color="000000"/>
              <w:bottom w:val="single" w:sz="4" w:space="0" w:color="000000"/>
              <w:right w:val="single" w:sz="4" w:space="0" w:color="000000"/>
            </w:tcBorders>
            <w:vAlign w:val="center"/>
          </w:tcPr>
          <w:p w14:paraId="51DC87A5"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olor w:val="000000"/>
                <w:sz w:val="20"/>
                <w:szCs w:val="20"/>
                <w:lang w:eastAsia="ru-RU"/>
              </w:rPr>
              <w:t>Член Совета директоров</w:t>
            </w:r>
          </w:p>
        </w:tc>
      </w:tr>
      <w:tr w:rsidR="002449C2" w14:paraId="69F7F9CD" w14:textId="77777777">
        <w:trPr>
          <w:trHeight w:val="227"/>
        </w:trPr>
        <w:tc>
          <w:tcPr>
            <w:tcW w:w="1273" w:type="dxa"/>
            <w:tcBorders>
              <w:top w:val="single" w:sz="4" w:space="0" w:color="000000"/>
              <w:left w:val="single" w:sz="4" w:space="0" w:color="000000"/>
              <w:bottom w:val="single" w:sz="4" w:space="0" w:color="000000"/>
              <w:right w:val="single" w:sz="4" w:space="0" w:color="000000"/>
            </w:tcBorders>
            <w:vAlign w:val="center"/>
          </w:tcPr>
          <w:p w14:paraId="5BD5C06B" w14:textId="77777777" w:rsidR="002449C2" w:rsidRDefault="00123961">
            <w:pPr>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2021</w:t>
            </w:r>
          </w:p>
        </w:tc>
        <w:tc>
          <w:tcPr>
            <w:tcW w:w="1209" w:type="dxa"/>
            <w:tcBorders>
              <w:top w:val="single" w:sz="4" w:space="0" w:color="000000"/>
              <w:left w:val="single" w:sz="4" w:space="0" w:color="000000"/>
              <w:bottom w:val="single" w:sz="4" w:space="0" w:color="000000"/>
              <w:right w:val="single" w:sz="4" w:space="0" w:color="000000"/>
            </w:tcBorders>
            <w:vAlign w:val="center"/>
          </w:tcPr>
          <w:p w14:paraId="3243C075"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2024</w:t>
            </w:r>
          </w:p>
        </w:tc>
        <w:tc>
          <w:tcPr>
            <w:tcW w:w="3630" w:type="dxa"/>
            <w:tcBorders>
              <w:top w:val="single" w:sz="4" w:space="0" w:color="000000"/>
              <w:left w:val="single" w:sz="4" w:space="0" w:color="000000"/>
              <w:bottom w:val="single" w:sz="4" w:space="0" w:color="000000"/>
              <w:right w:val="single" w:sz="4" w:space="0" w:color="000000"/>
            </w:tcBorders>
            <w:vAlign w:val="center"/>
          </w:tcPr>
          <w:p w14:paraId="6C3B1E72"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Публичное акционерное общество «Россети Юг»</w:t>
            </w:r>
          </w:p>
        </w:tc>
        <w:tc>
          <w:tcPr>
            <w:tcW w:w="3331" w:type="dxa"/>
            <w:tcBorders>
              <w:top w:val="single" w:sz="4" w:space="0" w:color="000000"/>
              <w:left w:val="single" w:sz="4" w:space="0" w:color="000000"/>
              <w:bottom w:val="single" w:sz="4" w:space="0" w:color="000000"/>
              <w:right w:val="single" w:sz="4" w:space="0" w:color="000000"/>
            </w:tcBorders>
            <w:vAlign w:val="center"/>
          </w:tcPr>
          <w:p w14:paraId="330BE25E"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Заместитель Генерального директора – директор филиала ПАО «Россети Юг» – «Волгоградэнерго»</w:t>
            </w:r>
          </w:p>
        </w:tc>
      </w:tr>
      <w:tr w:rsidR="002449C2" w14:paraId="1000A371" w14:textId="77777777">
        <w:trPr>
          <w:trHeight w:val="227"/>
        </w:trPr>
        <w:tc>
          <w:tcPr>
            <w:tcW w:w="127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9371C84" w14:textId="77777777" w:rsidR="002449C2" w:rsidRDefault="00123961">
            <w:pPr>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2021</w:t>
            </w:r>
          </w:p>
        </w:tc>
        <w:tc>
          <w:tcPr>
            <w:tcW w:w="120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24DD524"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настоящее время</w:t>
            </w:r>
          </w:p>
        </w:tc>
        <w:tc>
          <w:tcPr>
            <w:tcW w:w="36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EF669BE"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Акционерное общество «Волгоградские межрайонные электрические сети»</w:t>
            </w:r>
          </w:p>
        </w:tc>
        <w:tc>
          <w:tcPr>
            <w:tcW w:w="333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E43898C"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Генеральный директор (по совместительству)</w:t>
            </w:r>
          </w:p>
        </w:tc>
      </w:tr>
      <w:tr w:rsidR="002449C2" w14:paraId="4D61C48F" w14:textId="77777777">
        <w:trPr>
          <w:trHeight w:val="227"/>
        </w:trPr>
        <w:tc>
          <w:tcPr>
            <w:tcW w:w="1273" w:type="dxa"/>
            <w:tcBorders>
              <w:top w:val="single" w:sz="4" w:space="0" w:color="000000"/>
              <w:left w:val="single" w:sz="4" w:space="0" w:color="000000"/>
              <w:bottom w:val="single" w:sz="4" w:space="0" w:color="000000"/>
              <w:right w:val="single" w:sz="4" w:space="0" w:color="000000"/>
            </w:tcBorders>
            <w:vAlign w:val="center"/>
          </w:tcPr>
          <w:p w14:paraId="038AE8E4" w14:textId="77777777" w:rsidR="002449C2" w:rsidRDefault="00123961">
            <w:pPr>
              <w:spacing w:after="0" w:line="240" w:lineRule="auto"/>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2024</w:t>
            </w:r>
          </w:p>
        </w:tc>
        <w:tc>
          <w:tcPr>
            <w:tcW w:w="1209" w:type="dxa"/>
            <w:tcBorders>
              <w:top w:val="single" w:sz="4" w:space="0" w:color="000000"/>
              <w:left w:val="single" w:sz="4" w:space="0" w:color="000000"/>
              <w:bottom w:val="single" w:sz="4" w:space="0" w:color="000000"/>
              <w:right w:val="single" w:sz="4" w:space="0" w:color="000000"/>
            </w:tcBorders>
            <w:vAlign w:val="center"/>
          </w:tcPr>
          <w:p w14:paraId="03152735"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настоящее время</w:t>
            </w:r>
          </w:p>
        </w:tc>
        <w:tc>
          <w:tcPr>
            <w:tcW w:w="3630" w:type="dxa"/>
            <w:tcBorders>
              <w:top w:val="single" w:sz="4" w:space="0" w:color="000000"/>
              <w:left w:val="single" w:sz="4" w:space="0" w:color="000000"/>
              <w:bottom w:val="single" w:sz="4" w:space="0" w:color="000000"/>
              <w:right w:val="single" w:sz="4" w:space="0" w:color="000000"/>
            </w:tcBorders>
            <w:vAlign w:val="center"/>
          </w:tcPr>
          <w:p w14:paraId="5D8DCE74"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Публичное акционерное общество «Россети Юг»</w:t>
            </w:r>
          </w:p>
        </w:tc>
        <w:tc>
          <w:tcPr>
            <w:tcW w:w="3331" w:type="dxa"/>
            <w:tcBorders>
              <w:top w:val="single" w:sz="4" w:space="0" w:color="000000"/>
              <w:left w:val="single" w:sz="4" w:space="0" w:color="000000"/>
              <w:bottom w:val="single" w:sz="4" w:space="0" w:color="000000"/>
              <w:right w:val="single" w:sz="4" w:space="0" w:color="000000"/>
            </w:tcBorders>
            <w:vAlign w:val="center"/>
          </w:tcPr>
          <w:p w14:paraId="24362CCF"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Генеральный директор, Председатель Правления</w:t>
            </w:r>
          </w:p>
        </w:tc>
      </w:tr>
      <w:tr w:rsidR="002449C2" w14:paraId="443D3DC1" w14:textId="77777777">
        <w:trPr>
          <w:trHeight w:val="227"/>
        </w:trPr>
        <w:tc>
          <w:tcPr>
            <w:tcW w:w="1273" w:type="dxa"/>
            <w:tcBorders>
              <w:top w:val="single" w:sz="4" w:space="0" w:color="000000"/>
              <w:left w:val="single" w:sz="4" w:space="0" w:color="000000"/>
              <w:bottom w:val="single" w:sz="4" w:space="0" w:color="000000"/>
              <w:right w:val="single" w:sz="4" w:space="0" w:color="000000"/>
            </w:tcBorders>
            <w:vAlign w:val="center"/>
          </w:tcPr>
          <w:p w14:paraId="3ABE871A" w14:textId="77777777" w:rsidR="002449C2" w:rsidRDefault="00123961">
            <w:pPr>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2024</w:t>
            </w:r>
          </w:p>
        </w:tc>
        <w:tc>
          <w:tcPr>
            <w:tcW w:w="1209" w:type="dxa"/>
            <w:tcBorders>
              <w:top w:val="single" w:sz="4" w:space="0" w:color="000000"/>
              <w:left w:val="single" w:sz="4" w:space="0" w:color="000000"/>
              <w:bottom w:val="single" w:sz="4" w:space="0" w:color="000000"/>
              <w:right w:val="single" w:sz="4" w:space="0" w:color="000000"/>
            </w:tcBorders>
            <w:vAlign w:val="center"/>
          </w:tcPr>
          <w:p w14:paraId="3A51D287"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настоящее время</w:t>
            </w:r>
          </w:p>
        </w:tc>
        <w:tc>
          <w:tcPr>
            <w:tcW w:w="3630" w:type="dxa"/>
            <w:tcBorders>
              <w:top w:val="single" w:sz="4" w:space="0" w:color="000000"/>
              <w:left w:val="single" w:sz="4" w:space="0" w:color="000000"/>
              <w:bottom w:val="single" w:sz="4" w:space="0" w:color="000000"/>
              <w:right w:val="single" w:sz="4" w:space="0" w:color="000000"/>
            </w:tcBorders>
            <w:vAlign w:val="center"/>
          </w:tcPr>
          <w:p w14:paraId="700655F7"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Публичное акционерное общество «Россети Кубань»</w:t>
            </w:r>
          </w:p>
        </w:tc>
        <w:tc>
          <w:tcPr>
            <w:tcW w:w="3331" w:type="dxa"/>
            <w:tcBorders>
              <w:top w:val="single" w:sz="4" w:space="0" w:color="000000"/>
              <w:left w:val="single" w:sz="4" w:space="0" w:color="000000"/>
              <w:bottom w:val="single" w:sz="4" w:space="0" w:color="000000"/>
              <w:right w:val="single" w:sz="4" w:space="0" w:color="000000"/>
            </w:tcBorders>
            <w:vAlign w:val="center"/>
          </w:tcPr>
          <w:p w14:paraId="3E1CC52A" w14:textId="77777777" w:rsidR="002449C2" w:rsidRDefault="00123961">
            <w:pPr>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Исполняющий обязанности Генерального директора</w:t>
            </w:r>
          </w:p>
          <w:p w14:paraId="70C4AD67" w14:textId="77777777" w:rsidR="002449C2" w:rsidRDefault="00123961">
            <w:pPr>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совместительству), Председатель Правления</w:t>
            </w:r>
          </w:p>
        </w:tc>
      </w:tr>
      <w:tr w:rsidR="002449C2" w14:paraId="597C453C" w14:textId="77777777">
        <w:trPr>
          <w:trHeight w:val="227"/>
        </w:trPr>
        <w:tc>
          <w:tcPr>
            <w:tcW w:w="6112" w:type="dxa"/>
            <w:gridSpan w:val="3"/>
            <w:tcBorders>
              <w:top w:val="single" w:sz="4" w:space="0" w:color="000000"/>
              <w:left w:val="single" w:sz="4" w:space="0" w:color="000000"/>
              <w:bottom w:val="single" w:sz="4" w:space="0" w:color="000000"/>
              <w:right w:val="single" w:sz="4" w:space="0" w:color="000000"/>
            </w:tcBorders>
            <w:vAlign w:val="center"/>
          </w:tcPr>
          <w:p w14:paraId="7C770055"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olor w:val="000000"/>
                <w:sz w:val="20"/>
                <w:szCs w:val="20"/>
                <w:lang w:eastAsia="ru-RU"/>
              </w:rPr>
              <w:t>Дата первого избрания членом Правления</w:t>
            </w:r>
          </w:p>
        </w:tc>
        <w:tc>
          <w:tcPr>
            <w:tcW w:w="3331" w:type="dxa"/>
            <w:tcBorders>
              <w:top w:val="single" w:sz="4" w:space="0" w:color="000000"/>
              <w:left w:val="single" w:sz="4" w:space="0" w:color="000000"/>
              <w:bottom w:val="single" w:sz="4" w:space="0" w:color="000000"/>
              <w:right w:val="single" w:sz="4" w:space="0" w:color="000000"/>
            </w:tcBorders>
            <w:vAlign w:val="center"/>
          </w:tcPr>
          <w:p w14:paraId="7C54BA4E"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30.09.2013</w:t>
            </w:r>
          </w:p>
        </w:tc>
      </w:tr>
    </w:tbl>
    <w:p w14:paraId="0F78F53A" w14:textId="77777777" w:rsidR="002449C2" w:rsidRDefault="00123961">
      <w:pPr>
        <w:spacing w:before="120" w:after="120" w:line="240" w:lineRule="auto"/>
        <w:ind w:left="142"/>
        <w:jc w:val="both"/>
        <w:rPr>
          <w:rFonts w:ascii="Times New Roman" w:hAnsi="Times New Roman"/>
          <w:sz w:val="26"/>
          <w:szCs w:val="26"/>
          <w:lang w:eastAsia="en-US"/>
        </w:rPr>
      </w:pPr>
      <w:r>
        <w:rPr>
          <w:rFonts w:ascii="Times New Roman" w:hAnsi="Times New Roman"/>
          <w:sz w:val="26"/>
          <w:szCs w:val="26"/>
          <w:lang w:eastAsia="en-US"/>
        </w:rPr>
        <w:t xml:space="preserve">Информация о владении акциями Общества в течение отчетного года: </w:t>
      </w:r>
      <w:r>
        <w:rPr>
          <w:rFonts w:ascii="Times New Roman" w:hAnsi="Times New Roman"/>
          <w:i/>
          <w:sz w:val="26"/>
          <w:szCs w:val="26"/>
          <w:lang w:eastAsia="en-US"/>
        </w:rPr>
        <w:t>не владеет</w:t>
      </w:r>
      <w:r>
        <w:rPr>
          <w:rFonts w:ascii="Times New Roman" w:hAnsi="Times New Roman"/>
          <w:sz w:val="26"/>
          <w:szCs w:val="26"/>
          <w:lang w:eastAsia="en-US"/>
        </w:rPr>
        <w:t xml:space="preserve"> </w:t>
      </w:r>
    </w:p>
    <w:p w14:paraId="2E647129" w14:textId="77777777" w:rsidR="002449C2" w:rsidRDefault="002449C2">
      <w:pPr>
        <w:spacing w:after="0" w:line="240" w:lineRule="auto"/>
        <w:ind w:left="142" w:hanging="142"/>
        <w:jc w:val="both"/>
        <w:rPr>
          <w:rFonts w:ascii="Times New Roman" w:hAnsi="Times New Roman"/>
          <w:sz w:val="24"/>
          <w:szCs w:val="24"/>
          <w:lang w:eastAsia="en-US"/>
        </w:rPr>
      </w:pPr>
    </w:p>
    <w:p w14:paraId="5E56097C" w14:textId="77777777" w:rsidR="002449C2" w:rsidRDefault="002449C2">
      <w:pPr>
        <w:spacing w:after="0" w:line="240" w:lineRule="auto"/>
        <w:ind w:left="142" w:hanging="142"/>
        <w:jc w:val="both"/>
        <w:rPr>
          <w:rFonts w:ascii="Times New Roman" w:hAnsi="Times New Roman"/>
          <w:sz w:val="24"/>
          <w:szCs w:val="24"/>
          <w:lang w:eastAsia="en-US"/>
        </w:rPr>
      </w:pPr>
    </w:p>
    <w:p w14:paraId="25B6C0DA" w14:textId="77777777" w:rsidR="002449C2" w:rsidRDefault="00123961">
      <w:pPr>
        <w:spacing w:after="0" w:line="240" w:lineRule="auto"/>
        <w:ind w:left="142"/>
        <w:rPr>
          <w:rFonts w:ascii="Times New Roman" w:hAnsi="Times New Roman"/>
          <w:b/>
          <w:sz w:val="26"/>
          <w:szCs w:val="26"/>
          <w:lang w:eastAsia="en-US"/>
        </w:rPr>
      </w:pPr>
      <w:r>
        <w:rPr>
          <w:rFonts w:ascii="Times New Roman" w:hAnsi="Times New Roman"/>
          <w:b/>
          <w:sz w:val="26"/>
          <w:szCs w:val="26"/>
          <w:lang w:eastAsia="en-US"/>
        </w:rPr>
        <w:t xml:space="preserve">Гончаров Павел Викторович </w:t>
      </w:r>
    </w:p>
    <w:p w14:paraId="6F1126C3" w14:textId="77777777" w:rsidR="002449C2" w:rsidRDefault="00123961">
      <w:pPr>
        <w:spacing w:after="0" w:line="240" w:lineRule="auto"/>
        <w:ind w:left="142"/>
        <w:rPr>
          <w:rFonts w:ascii="Times New Roman" w:hAnsi="Times New Roman"/>
          <w:sz w:val="26"/>
          <w:szCs w:val="26"/>
          <w:lang w:eastAsia="en-US"/>
        </w:rPr>
      </w:pPr>
      <w:r>
        <w:rPr>
          <w:rFonts w:ascii="Times New Roman" w:hAnsi="Times New Roman"/>
          <w:sz w:val="26"/>
          <w:szCs w:val="26"/>
          <w:lang w:eastAsia="en-US"/>
        </w:rPr>
        <w:t>Год рождения: 1966</w:t>
      </w:r>
    </w:p>
    <w:p w14:paraId="0008F031" w14:textId="77777777" w:rsidR="002449C2" w:rsidRDefault="00123961">
      <w:pPr>
        <w:spacing w:after="0" w:line="240" w:lineRule="auto"/>
        <w:ind w:left="142"/>
        <w:jc w:val="both"/>
        <w:rPr>
          <w:rFonts w:ascii="Times New Roman" w:hAnsi="Times New Roman"/>
          <w:sz w:val="26"/>
          <w:szCs w:val="26"/>
          <w:lang w:eastAsia="en-US"/>
        </w:rPr>
      </w:pPr>
      <w:r>
        <w:rPr>
          <w:rFonts w:ascii="Times New Roman" w:hAnsi="Times New Roman"/>
          <w:sz w:val="26"/>
          <w:szCs w:val="26"/>
          <w:lang w:eastAsia="en-US"/>
        </w:rPr>
        <w:t>Образование: Высшее.</w:t>
      </w:r>
    </w:p>
    <w:p w14:paraId="71F34A42" w14:textId="77777777" w:rsidR="002449C2" w:rsidRDefault="00123961">
      <w:pPr>
        <w:spacing w:after="0" w:line="240" w:lineRule="auto"/>
        <w:ind w:left="142"/>
        <w:jc w:val="both"/>
        <w:rPr>
          <w:rFonts w:ascii="Times New Roman" w:hAnsi="Times New Roman"/>
          <w:sz w:val="26"/>
          <w:szCs w:val="26"/>
          <w:lang w:eastAsia="en-US"/>
        </w:rPr>
      </w:pPr>
      <w:r>
        <w:rPr>
          <w:rFonts w:ascii="Times New Roman" w:hAnsi="Times New Roman"/>
          <w:sz w:val="26"/>
          <w:szCs w:val="26"/>
          <w:lang w:eastAsia="en-US"/>
        </w:rPr>
        <w:t xml:space="preserve">1992, Павлодарский индустриальный институт, квалификация «инженер-электрик», специальность «электрические системы». </w:t>
      </w:r>
    </w:p>
    <w:p w14:paraId="1D74CA9A" w14:textId="77777777" w:rsidR="002449C2" w:rsidRDefault="00123961">
      <w:pPr>
        <w:spacing w:after="0" w:line="240" w:lineRule="auto"/>
        <w:ind w:left="142"/>
        <w:jc w:val="both"/>
        <w:rPr>
          <w:rFonts w:ascii="Times New Roman" w:hAnsi="Times New Roman"/>
          <w:sz w:val="26"/>
          <w:szCs w:val="26"/>
          <w:lang w:eastAsia="en-US"/>
        </w:rPr>
      </w:pPr>
      <w:r>
        <w:rPr>
          <w:rFonts w:ascii="Times New Roman" w:hAnsi="Times New Roman"/>
          <w:sz w:val="26"/>
          <w:szCs w:val="26"/>
          <w:lang w:eastAsia="en-US"/>
        </w:rPr>
        <w:t>Сведения о местах работы члена Правления за последние 5 лет и об участии в органах управления и контроля других организаций:</w:t>
      </w:r>
    </w:p>
    <w:tbl>
      <w:tblPr>
        <w:tblW w:w="4900" w:type="pct"/>
        <w:tblInd w:w="72" w:type="dxa"/>
        <w:tblLayout w:type="fixed"/>
        <w:tblCellMar>
          <w:left w:w="72" w:type="dxa"/>
          <w:right w:w="72" w:type="dxa"/>
        </w:tblCellMar>
        <w:tblLook w:val="04A0" w:firstRow="1" w:lastRow="0" w:firstColumn="1" w:lastColumn="0" w:noHBand="0" w:noVBand="1"/>
      </w:tblPr>
      <w:tblGrid>
        <w:gridCol w:w="931"/>
        <w:gridCol w:w="1310"/>
        <w:gridCol w:w="3865"/>
        <w:gridCol w:w="3328"/>
      </w:tblGrid>
      <w:tr w:rsidR="002449C2" w14:paraId="3B11E455" w14:textId="77777777">
        <w:tc>
          <w:tcPr>
            <w:tcW w:w="2243" w:type="dxa"/>
            <w:gridSpan w:val="2"/>
            <w:tcBorders>
              <w:top w:val="single" w:sz="4" w:space="0" w:color="000000"/>
              <w:left w:val="single" w:sz="4" w:space="0" w:color="000000"/>
              <w:bottom w:val="single" w:sz="4" w:space="0" w:color="000000"/>
              <w:right w:val="single" w:sz="4" w:space="0" w:color="000000"/>
            </w:tcBorders>
            <w:vAlign w:val="center"/>
          </w:tcPr>
          <w:p w14:paraId="248D4A8B"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Период</w:t>
            </w:r>
          </w:p>
        </w:tc>
        <w:tc>
          <w:tcPr>
            <w:tcW w:w="3869" w:type="dxa"/>
            <w:vMerge w:val="restart"/>
            <w:tcBorders>
              <w:top w:val="single" w:sz="4" w:space="0" w:color="000000"/>
              <w:left w:val="single" w:sz="4" w:space="0" w:color="000000"/>
              <w:bottom w:val="single" w:sz="4" w:space="0" w:color="000000"/>
              <w:right w:val="single" w:sz="4" w:space="0" w:color="000000"/>
            </w:tcBorders>
            <w:vAlign w:val="center"/>
          </w:tcPr>
          <w:p w14:paraId="5B716CBE"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Наименование организации</w:t>
            </w:r>
          </w:p>
        </w:tc>
        <w:tc>
          <w:tcPr>
            <w:tcW w:w="3331" w:type="dxa"/>
            <w:vMerge w:val="restart"/>
            <w:tcBorders>
              <w:top w:val="single" w:sz="4" w:space="0" w:color="000000"/>
              <w:left w:val="single" w:sz="4" w:space="0" w:color="000000"/>
              <w:bottom w:val="single" w:sz="4" w:space="0" w:color="000000"/>
              <w:right w:val="single" w:sz="4" w:space="0" w:color="000000"/>
            </w:tcBorders>
            <w:vAlign w:val="center"/>
          </w:tcPr>
          <w:p w14:paraId="2965A258"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Должность</w:t>
            </w:r>
          </w:p>
        </w:tc>
      </w:tr>
      <w:tr w:rsidR="002449C2" w14:paraId="10B893DC" w14:textId="77777777">
        <w:tc>
          <w:tcPr>
            <w:tcW w:w="932" w:type="dxa"/>
            <w:tcBorders>
              <w:top w:val="single" w:sz="4" w:space="0" w:color="000000"/>
              <w:left w:val="single" w:sz="4" w:space="0" w:color="000000"/>
              <w:bottom w:val="single" w:sz="4" w:space="0" w:color="000000"/>
              <w:right w:val="single" w:sz="4" w:space="0" w:color="000000"/>
            </w:tcBorders>
            <w:vAlign w:val="center"/>
          </w:tcPr>
          <w:p w14:paraId="38716CF7"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w:t>
            </w:r>
          </w:p>
        </w:tc>
        <w:tc>
          <w:tcPr>
            <w:tcW w:w="1311" w:type="dxa"/>
            <w:tcBorders>
              <w:top w:val="single" w:sz="4" w:space="0" w:color="000000"/>
              <w:left w:val="single" w:sz="4" w:space="0" w:color="000000"/>
              <w:bottom w:val="single" w:sz="4" w:space="0" w:color="000000"/>
              <w:right w:val="single" w:sz="4" w:space="0" w:color="000000"/>
            </w:tcBorders>
            <w:vAlign w:val="center"/>
          </w:tcPr>
          <w:p w14:paraId="726E22A2"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w:t>
            </w:r>
          </w:p>
        </w:tc>
        <w:tc>
          <w:tcPr>
            <w:tcW w:w="3869" w:type="dxa"/>
            <w:vMerge/>
            <w:tcBorders>
              <w:top w:val="single" w:sz="4" w:space="0" w:color="000000"/>
              <w:left w:val="single" w:sz="4" w:space="0" w:color="000000"/>
              <w:bottom w:val="single" w:sz="4" w:space="0" w:color="000000"/>
              <w:right w:val="single" w:sz="4" w:space="0" w:color="000000"/>
            </w:tcBorders>
            <w:vAlign w:val="center"/>
          </w:tcPr>
          <w:p w14:paraId="06339811" w14:textId="77777777" w:rsidR="002449C2" w:rsidRDefault="002449C2">
            <w:pPr>
              <w:spacing w:after="0" w:line="240" w:lineRule="auto"/>
              <w:ind w:left="72"/>
              <w:jc w:val="center"/>
              <w:rPr>
                <w:rFonts w:ascii="Times New Roman" w:eastAsia="Times New Roman" w:hAnsi="Times New Roman"/>
                <w:color w:val="000000"/>
                <w:sz w:val="20"/>
                <w:szCs w:val="20"/>
                <w:lang w:eastAsia="ru-RU"/>
              </w:rPr>
            </w:pPr>
          </w:p>
        </w:tc>
        <w:tc>
          <w:tcPr>
            <w:tcW w:w="3331" w:type="dxa"/>
            <w:vMerge/>
            <w:tcBorders>
              <w:top w:val="single" w:sz="4" w:space="0" w:color="000000"/>
              <w:left w:val="single" w:sz="4" w:space="0" w:color="000000"/>
              <w:bottom w:val="single" w:sz="4" w:space="0" w:color="000000"/>
              <w:right w:val="single" w:sz="4" w:space="0" w:color="000000"/>
            </w:tcBorders>
            <w:vAlign w:val="center"/>
          </w:tcPr>
          <w:p w14:paraId="045D775B" w14:textId="77777777" w:rsidR="002449C2" w:rsidRDefault="002449C2">
            <w:pPr>
              <w:spacing w:after="0" w:line="240" w:lineRule="auto"/>
              <w:ind w:left="72"/>
              <w:jc w:val="center"/>
              <w:rPr>
                <w:rFonts w:ascii="Times New Roman" w:eastAsia="Times New Roman" w:hAnsi="Times New Roman"/>
                <w:color w:val="000000"/>
                <w:sz w:val="20"/>
                <w:szCs w:val="20"/>
                <w:lang w:eastAsia="ru-RU"/>
              </w:rPr>
            </w:pPr>
          </w:p>
        </w:tc>
      </w:tr>
      <w:tr w:rsidR="002449C2" w14:paraId="5B9B66EF" w14:textId="77777777">
        <w:trPr>
          <w:trHeight w:val="647"/>
        </w:trPr>
        <w:tc>
          <w:tcPr>
            <w:tcW w:w="932" w:type="dxa"/>
            <w:tcBorders>
              <w:top w:val="single" w:sz="4" w:space="0" w:color="000000"/>
              <w:left w:val="single" w:sz="4" w:space="0" w:color="000000"/>
              <w:bottom w:val="single" w:sz="4" w:space="0" w:color="000000"/>
              <w:right w:val="single" w:sz="4" w:space="0" w:color="000000"/>
            </w:tcBorders>
            <w:vAlign w:val="center"/>
          </w:tcPr>
          <w:p w14:paraId="140D226F" w14:textId="77777777" w:rsidR="002449C2" w:rsidRDefault="00123961">
            <w:pPr>
              <w:pStyle w:val="afffff1"/>
              <w:ind w:left="72"/>
              <w:rPr>
                <w:rFonts w:ascii="Times New Roman" w:hAnsi="Times New Roman" w:cs="Times New Roman"/>
              </w:rPr>
            </w:pPr>
            <w:r>
              <w:rPr>
                <w:rFonts w:ascii="Times New Roman" w:hAnsi="Times New Roman" w:cs="Times New Roman"/>
              </w:rPr>
              <w:t>2011</w:t>
            </w:r>
          </w:p>
        </w:tc>
        <w:tc>
          <w:tcPr>
            <w:tcW w:w="1311" w:type="dxa"/>
            <w:tcBorders>
              <w:top w:val="single" w:sz="4" w:space="0" w:color="000000"/>
              <w:left w:val="single" w:sz="4" w:space="0" w:color="000000"/>
              <w:bottom w:val="single" w:sz="4" w:space="0" w:color="000000"/>
              <w:right w:val="single" w:sz="4" w:space="0" w:color="000000"/>
            </w:tcBorders>
            <w:vAlign w:val="center"/>
          </w:tcPr>
          <w:p w14:paraId="56EEC90D" w14:textId="77777777" w:rsidR="002449C2" w:rsidRDefault="00123961">
            <w:pPr>
              <w:pStyle w:val="afffff1"/>
              <w:ind w:left="72"/>
              <w:rPr>
                <w:rFonts w:ascii="Times New Roman" w:hAnsi="Times New Roman" w:cs="Times New Roman"/>
              </w:rPr>
            </w:pPr>
            <w:r>
              <w:rPr>
                <w:rFonts w:ascii="Times New Roman" w:hAnsi="Times New Roman" w:cs="Times New Roman"/>
              </w:rPr>
              <w:t>настоящее время</w:t>
            </w:r>
          </w:p>
        </w:tc>
        <w:tc>
          <w:tcPr>
            <w:tcW w:w="3869" w:type="dxa"/>
            <w:tcBorders>
              <w:top w:val="single" w:sz="4" w:space="0" w:color="000000"/>
              <w:left w:val="single" w:sz="4" w:space="0" w:color="000000"/>
              <w:bottom w:val="single" w:sz="4" w:space="0" w:color="000000"/>
              <w:right w:val="single" w:sz="4" w:space="0" w:color="000000"/>
            </w:tcBorders>
            <w:vAlign w:val="center"/>
          </w:tcPr>
          <w:p w14:paraId="21A3D190" w14:textId="77777777" w:rsidR="002449C2" w:rsidRDefault="00123961">
            <w:pPr>
              <w:pStyle w:val="afffff1"/>
              <w:ind w:left="72"/>
              <w:rPr>
                <w:rFonts w:ascii="Times New Roman" w:hAnsi="Times New Roman" w:cs="Times New Roman"/>
              </w:rPr>
            </w:pPr>
            <w:r>
              <w:rPr>
                <w:rFonts w:ascii="Times New Roman" w:hAnsi="Times New Roman" w:cs="Times New Roman"/>
              </w:rPr>
              <w:t>Публичное акционерное общество «Россети Юг»</w:t>
            </w:r>
          </w:p>
        </w:tc>
        <w:tc>
          <w:tcPr>
            <w:tcW w:w="3331" w:type="dxa"/>
            <w:tcBorders>
              <w:top w:val="single" w:sz="4" w:space="0" w:color="000000"/>
              <w:left w:val="single" w:sz="4" w:space="0" w:color="000000"/>
              <w:bottom w:val="single" w:sz="4" w:space="0" w:color="000000"/>
              <w:right w:val="single" w:sz="4" w:space="0" w:color="000000"/>
            </w:tcBorders>
            <w:vAlign w:val="center"/>
          </w:tcPr>
          <w:p w14:paraId="24AB52FD" w14:textId="77777777" w:rsidR="002449C2" w:rsidRDefault="00123961">
            <w:pPr>
              <w:pStyle w:val="afffff1"/>
              <w:rPr>
                <w:rFonts w:ascii="Times New Roman" w:hAnsi="Times New Roman" w:cs="Times New Roman"/>
              </w:rPr>
            </w:pPr>
            <w:r>
              <w:rPr>
                <w:rFonts w:ascii="Times New Roman" w:hAnsi="Times New Roman" w:cs="Times New Roman"/>
              </w:rPr>
              <w:t>Член Правления</w:t>
            </w:r>
          </w:p>
        </w:tc>
      </w:tr>
      <w:tr w:rsidR="002449C2" w14:paraId="705517FA" w14:textId="77777777">
        <w:trPr>
          <w:trHeight w:val="227"/>
        </w:trPr>
        <w:tc>
          <w:tcPr>
            <w:tcW w:w="932" w:type="dxa"/>
            <w:tcBorders>
              <w:top w:val="single" w:sz="4" w:space="0" w:color="000000"/>
              <w:left w:val="single" w:sz="4" w:space="0" w:color="000000"/>
              <w:bottom w:val="single" w:sz="4" w:space="0" w:color="000000"/>
              <w:right w:val="single" w:sz="4" w:space="0" w:color="000000"/>
            </w:tcBorders>
            <w:vAlign w:val="center"/>
          </w:tcPr>
          <w:p w14:paraId="73C8D369" w14:textId="77777777" w:rsidR="002449C2" w:rsidRDefault="00123961">
            <w:pPr>
              <w:pStyle w:val="afffff1"/>
              <w:ind w:left="72"/>
              <w:rPr>
                <w:rFonts w:ascii="Times New Roman" w:hAnsi="Times New Roman" w:cs="Times New Roman"/>
              </w:rPr>
            </w:pPr>
            <w:r>
              <w:rPr>
                <w:rFonts w:ascii="Times New Roman" w:hAnsi="Times New Roman" w:cs="Times New Roman"/>
              </w:rPr>
              <w:t>2013</w:t>
            </w:r>
          </w:p>
        </w:tc>
        <w:tc>
          <w:tcPr>
            <w:tcW w:w="1311" w:type="dxa"/>
            <w:tcBorders>
              <w:top w:val="single" w:sz="4" w:space="0" w:color="000000"/>
              <w:left w:val="single" w:sz="4" w:space="0" w:color="000000"/>
              <w:bottom w:val="single" w:sz="4" w:space="0" w:color="000000"/>
              <w:right w:val="single" w:sz="4" w:space="0" w:color="000000"/>
            </w:tcBorders>
            <w:vAlign w:val="center"/>
          </w:tcPr>
          <w:p w14:paraId="7A635542" w14:textId="77777777" w:rsidR="002449C2" w:rsidRDefault="00123961">
            <w:pPr>
              <w:pStyle w:val="afffff1"/>
              <w:ind w:left="72"/>
              <w:rPr>
                <w:rFonts w:ascii="Times New Roman" w:hAnsi="Times New Roman" w:cs="Times New Roman"/>
              </w:rPr>
            </w:pPr>
            <w:r>
              <w:rPr>
                <w:rFonts w:ascii="Times New Roman" w:hAnsi="Times New Roman" w:cs="Times New Roman"/>
              </w:rPr>
              <w:t>2022</w:t>
            </w:r>
          </w:p>
        </w:tc>
        <w:tc>
          <w:tcPr>
            <w:tcW w:w="3869" w:type="dxa"/>
            <w:tcBorders>
              <w:top w:val="single" w:sz="4" w:space="0" w:color="000000"/>
              <w:left w:val="single" w:sz="4" w:space="0" w:color="000000"/>
              <w:bottom w:val="single" w:sz="4" w:space="0" w:color="000000"/>
              <w:right w:val="single" w:sz="4" w:space="0" w:color="000000"/>
            </w:tcBorders>
            <w:vAlign w:val="center"/>
          </w:tcPr>
          <w:p w14:paraId="4FCAB764" w14:textId="77777777" w:rsidR="002449C2" w:rsidRDefault="00123961">
            <w:pPr>
              <w:pStyle w:val="afffff1"/>
              <w:ind w:left="72"/>
              <w:rPr>
                <w:rFonts w:ascii="Times New Roman" w:hAnsi="Times New Roman" w:cs="Times New Roman"/>
              </w:rPr>
            </w:pPr>
            <w:r>
              <w:rPr>
                <w:rFonts w:ascii="Times New Roman" w:hAnsi="Times New Roman" w:cs="Times New Roman"/>
              </w:rPr>
              <w:t>Публичное акционерное общество «Россети Юг»</w:t>
            </w:r>
          </w:p>
        </w:tc>
        <w:tc>
          <w:tcPr>
            <w:tcW w:w="3331" w:type="dxa"/>
            <w:tcBorders>
              <w:top w:val="single" w:sz="4" w:space="0" w:color="000000"/>
              <w:left w:val="single" w:sz="4" w:space="0" w:color="000000"/>
              <w:bottom w:val="single" w:sz="4" w:space="0" w:color="000000"/>
              <w:right w:val="single" w:sz="4" w:space="0" w:color="000000"/>
            </w:tcBorders>
            <w:vAlign w:val="center"/>
          </w:tcPr>
          <w:p w14:paraId="2EEA5F41" w14:textId="77777777" w:rsidR="002449C2" w:rsidRDefault="00123961">
            <w:pPr>
              <w:pStyle w:val="afffff1"/>
              <w:ind w:left="72"/>
              <w:rPr>
                <w:rFonts w:ascii="Times New Roman" w:hAnsi="Times New Roman" w:cs="Times New Roman"/>
              </w:rPr>
            </w:pPr>
            <w:r>
              <w:rPr>
                <w:rFonts w:ascii="Times New Roman" w:hAnsi="Times New Roman" w:cs="Times New Roman"/>
              </w:rPr>
              <w:t>Заместитель генерального директора по техническим вопросам – Главный инженер</w:t>
            </w:r>
          </w:p>
        </w:tc>
      </w:tr>
      <w:tr w:rsidR="002449C2" w14:paraId="788852AF" w14:textId="77777777">
        <w:trPr>
          <w:trHeight w:val="227"/>
        </w:trPr>
        <w:tc>
          <w:tcPr>
            <w:tcW w:w="932" w:type="dxa"/>
            <w:tcBorders>
              <w:top w:val="single" w:sz="4" w:space="0" w:color="000000"/>
              <w:left w:val="single" w:sz="4" w:space="0" w:color="000000"/>
              <w:bottom w:val="single" w:sz="4" w:space="0" w:color="000000"/>
              <w:right w:val="single" w:sz="4" w:space="0" w:color="000000"/>
            </w:tcBorders>
            <w:vAlign w:val="center"/>
          </w:tcPr>
          <w:p w14:paraId="0B85CA15" w14:textId="77777777" w:rsidR="002449C2" w:rsidRDefault="00123961">
            <w:pPr>
              <w:pStyle w:val="afffff1"/>
              <w:ind w:left="72"/>
              <w:rPr>
                <w:rFonts w:ascii="Times New Roman" w:hAnsi="Times New Roman" w:cs="Times New Roman"/>
              </w:rPr>
            </w:pPr>
            <w:r>
              <w:rPr>
                <w:rFonts w:ascii="Times New Roman" w:hAnsi="Times New Roman" w:cs="Times New Roman"/>
              </w:rPr>
              <w:t>2013</w:t>
            </w:r>
          </w:p>
        </w:tc>
        <w:tc>
          <w:tcPr>
            <w:tcW w:w="1311" w:type="dxa"/>
            <w:tcBorders>
              <w:top w:val="single" w:sz="4" w:space="0" w:color="000000"/>
              <w:left w:val="single" w:sz="4" w:space="0" w:color="000000"/>
              <w:bottom w:val="single" w:sz="4" w:space="0" w:color="000000"/>
              <w:right w:val="single" w:sz="4" w:space="0" w:color="000000"/>
            </w:tcBorders>
            <w:vAlign w:val="center"/>
          </w:tcPr>
          <w:p w14:paraId="26A64FA3" w14:textId="77777777" w:rsidR="002449C2" w:rsidRDefault="00123961">
            <w:pPr>
              <w:pStyle w:val="afffff1"/>
              <w:ind w:left="72"/>
              <w:rPr>
                <w:rFonts w:ascii="Times New Roman" w:hAnsi="Times New Roman" w:cs="Times New Roman"/>
              </w:rPr>
            </w:pPr>
            <w:r>
              <w:rPr>
                <w:rFonts w:ascii="Times New Roman" w:hAnsi="Times New Roman" w:cs="Times New Roman"/>
              </w:rPr>
              <w:t>2023</w:t>
            </w:r>
          </w:p>
        </w:tc>
        <w:tc>
          <w:tcPr>
            <w:tcW w:w="3869" w:type="dxa"/>
            <w:tcBorders>
              <w:top w:val="single" w:sz="4" w:space="0" w:color="000000"/>
              <w:left w:val="single" w:sz="4" w:space="0" w:color="000000"/>
              <w:bottom w:val="single" w:sz="4" w:space="0" w:color="000000"/>
              <w:right w:val="single" w:sz="4" w:space="0" w:color="000000"/>
            </w:tcBorders>
            <w:vAlign w:val="center"/>
          </w:tcPr>
          <w:p w14:paraId="5549E90B" w14:textId="77777777" w:rsidR="002449C2" w:rsidRDefault="00123961">
            <w:pPr>
              <w:pStyle w:val="afffff1"/>
              <w:ind w:left="72"/>
              <w:rPr>
                <w:rFonts w:ascii="Times New Roman" w:hAnsi="Times New Roman" w:cs="Times New Roman"/>
              </w:rPr>
            </w:pPr>
            <w:r>
              <w:rPr>
                <w:rFonts w:ascii="Times New Roman" w:hAnsi="Times New Roman" w:cs="Times New Roman"/>
              </w:rPr>
              <w:t>Акционерное общество «Энергосервис Юга»</w:t>
            </w:r>
          </w:p>
        </w:tc>
        <w:tc>
          <w:tcPr>
            <w:tcW w:w="3331" w:type="dxa"/>
            <w:tcBorders>
              <w:top w:val="single" w:sz="4" w:space="0" w:color="000000"/>
              <w:left w:val="single" w:sz="4" w:space="0" w:color="000000"/>
              <w:bottom w:val="single" w:sz="4" w:space="0" w:color="000000"/>
              <w:right w:val="single" w:sz="4" w:space="0" w:color="000000"/>
            </w:tcBorders>
            <w:vAlign w:val="center"/>
          </w:tcPr>
          <w:p w14:paraId="0F7E3A1E" w14:textId="77777777" w:rsidR="002449C2" w:rsidRDefault="00123961">
            <w:pPr>
              <w:pStyle w:val="afffff1"/>
              <w:ind w:left="72"/>
              <w:rPr>
                <w:rFonts w:ascii="Times New Roman" w:hAnsi="Times New Roman" w:cs="Times New Roman"/>
              </w:rPr>
            </w:pPr>
            <w:r>
              <w:rPr>
                <w:rFonts w:ascii="Times New Roman" w:hAnsi="Times New Roman" w:cs="Times New Roman"/>
              </w:rPr>
              <w:t>Председатель Совета директоров</w:t>
            </w:r>
          </w:p>
        </w:tc>
      </w:tr>
      <w:tr w:rsidR="002449C2" w14:paraId="6691FD49" w14:textId="77777777">
        <w:trPr>
          <w:trHeight w:val="1078"/>
        </w:trPr>
        <w:tc>
          <w:tcPr>
            <w:tcW w:w="932" w:type="dxa"/>
            <w:tcBorders>
              <w:top w:val="single" w:sz="4" w:space="0" w:color="000000"/>
              <w:left w:val="single" w:sz="4" w:space="0" w:color="000000"/>
              <w:bottom w:val="single" w:sz="4" w:space="0" w:color="000000"/>
              <w:right w:val="single" w:sz="4" w:space="0" w:color="000000"/>
            </w:tcBorders>
            <w:vAlign w:val="center"/>
          </w:tcPr>
          <w:p w14:paraId="20D8EFD9" w14:textId="77777777" w:rsidR="002449C2" w:rsidRDefault="00123961">
            <w:pPr>
              <w:pStyle w:val="afffff1"/>
              <w:ind w:left="72"/>
              <w:rPr>
                <w:rFonts w:ascii="Times New Roman" w:hAnsi="Times New Roman" w:cs="Times New Roman"/>
              </w:rPr>
            </w:pPr>
            <w:r>
              <w:rPr>
                <w:rFonts w:ascii="Times New Roman" w:hAnsi="Times New Roman" w:cs="Times New Roman"/>
              </w:rPr>
              <w:t>2021</w:t>
            </w:r>
          </w:p>
        </w:tc>
        <w:tc>
          <w:tcPr>
            <w:tcW w:w="1311" w:type="dxa"/>
            <w:tcBorders>
              <w:top w:val="single" w:sz="4" w:space="0" w:color="000000"/>
              <w:left w:val="single" w:sz="4" w:space="0" w:color="000000"/>
              <w:bottom w:val="single" w:sz="4" w:space="0" w:color="000000"/>
              <w:right w:val="single" w:sz="4" w:space="0" w:color="000000"/>
            </w:tcBorders>
            <w:vAlign w:val="center"/>
          </w:tcPr>
          <w:p w14:paraId="3D761D71" w14:textId="77777777" w:rsidR="002449C2" w:rsidRDefault="00123961">
            <w:pPr>
              <w:pStyle w:val="afffff1"/>
              <w:ind w:left="72"/>
              <w:rPr>
                <w:rFonts w:ascii="Times New Roman" w:hAnsi="Times New Roman" w:cs="Times New Roman"/>
              </w:rPr>
            </w:pPr>
            <w:r>
              <w:rPr>
                <w:rFonts w:ascii="Times New Roman" w:hAnsi="Times New Roman" w:cs="Times New Roman"/>
              </w:rPr>
              <w:t>2022</w:t>
            </w:r>
          </w:p>
        </w:tc>
        <w:tc>
          <w:tcPr>
            <w:tcW w:w="3869" w:type="dxa"/>
            <w:tcBorders>
              <w:top w:val="single" w:sz="4" w:space="0" w:color="000000"/>
              <w:left w:val="single" w:sz="4" w:space="0" w:color="000000"/>
              <w:bottom w:val="single" w:sz="4" w:space="0" w:color="000000"/>
              <w:right w:val="single" w:sz="4" w:space="0" w:color="000000"/>
            </w:tcBorders>
            <w:vAlign w:val="center"/>
          </w:tcPr>
          <w:p w14:paraId="77544812" w14:textId="77777777" w:rsidR="002449C2" w:rsidRDefault="00123961">
            <w:pPr>
              <w:pStyle w:val="afffff1"/>
              <w:rPr>
                <w:rFonts w:ascii="Times New Roman" w:hAnsi="Times New Roman" w:cs="Times New Roman"/>
              </w:rPr>
            </w:pPr>
            <w:r>
              <w:rPr>
                <w:rFonts w:ascii="Times New Roman" w:hAnsi="Times New Roman" w:cs="Times New Roman"/>
              </w:rPr>
              <w:t>Публичное акционерное общество «Россети Кубань»</w:t>
            </w:r>
          </w:p>
        </w:tc>
        <w:tc>
          <w:tcPr>
            <w:tcW w:w="3331" w:type="dxa"/>
            <w:tcBorders>
              <w:top w:val="single" w:sz="4" w:space="0" w:color="000000"/>
              <w:left w:val="single" w:sz="4" w:space="0" w:color="000000"/>
              <w:bottom w:val="single" w:sz="4" w:space="0" w:color="000000"/>
              <w:right w:val="single" w:sz="4" w:space="0" w:color="000000"/>
            </w:tcBorders>
            <w:vAlign w:val="center"/>
          </w:tcPr>
          <w:p w14:paraId="775DDA70" w14:textId="77777777" w:rsidR="002449C2" w:rsidRDefault="00123961">
            <w:pPr>
              <w:pStyle w:val="afffff1"/>
              <w:ind w:left="72"/>
              <w:rPr>
                <w:rFonts w:ascii="Times New Roman" w:hAnsi="Times New Roman" w:cs="Times New Roman"/>
              </w:rPr>
            </w:pPr>
            <w:r>
              <w:rPr>
                <w:rFonts w:ascii="Times New Roman" w:hAnsi="Times New Roman" w:cs="Times New Roman"/>
              </w:rPr>
              <w:t>Помощник генерального директора управления делами департамента управления делами (по совместительству)</w:t>
            </w:r>
          </w:p>
        </w:tc>
      </w:tr>
      <w:tr w:rsidR="002449C2" w14:paraId="0521DE76" w14:textId="77777777">
        <w:trPr>
          <w:trHeight w:val="709"/>
        </w:trPr>
        <w:tc>
          <w:tcPr>
            <w:tcW w:w="932" w:type="dxa"/>
            <w:tcBorders>
              <w:top w:val="single" w:sz="4" w:space="0" w:color="000000"/>
              <w:left w:val="single" w:sz="4" w:space="0" w:color="000000"/>
              <w:bottom w:val="single" w:sz="4" w:space="0" w:color="000000"/>
              <w:right w:val="single" w:sz="4" w:space="0" w:color="000000"/>
            </w:tcBorders>
            <w:vAlign w:val="center"/>
          </w:tcPr>
          <w:p w14:paraId="09AECA71" w14:textId="77777777" w:rsidR="002449C2" w:rsidRDefault="00123961">
            <w:pPr>
              <w:pStyle w:val="afffff1"/>
              <w:ind w:left="72"/>
              <w:rPr>
                <w:rFonts w:ascii="Times New Roman" w:hAnsi="Times New Roman" w:cs="Times New Roman"/>
              </w:rPr>
            </w:pPr>
            <w:r>
              <w:rPr>
                <w:rFonts w:ascii="Times New Roman" w:hAnsi="Times New Roman" w:cs="Times New Roman"/>
              </w:rPr>
              <w:t>2022</w:t>
            </w:r>
          </w:p>
        </w:tc>
        <w:tc>
          <w:tcPr>
            <w:tcW w:w="1311" w:type="dxa"/>
            <w:tcBorders>
              <w:top w:val="single" w:sz="4" w:space="0" w:color="000000"/>
              <w:left w:val="single" w:sz="4" w:space="0" w:color="000000"/>
              <w:bottom w:val="single" w:sz="4" w:space="0" w:color="000000"/>
              <w:right w:val="single" w:sz="4" w:space="0" w:color="000000"/>
            </w:tcBorders>
            <w:vAlign w:val="center"/>
          </w:tcPr>
          <w:p w14:paraId="1198FA44" w14:textId="77777777" w:rsidR="002449C2" w:rsidRDefault="00123961">
            <w:pPr>
              <w:pStyle w:val="afffff1"/>
              <w:ind w:left="72"/>
              <w:rPr>
                <w:rFonts w:ascii="Times New Roman" w:hAnsi="Times New Roman" w:cs="Times New Roman"/>
              </w:rPr>
            </w:pPr>
            <w:r>
              <w:rPr>
                <w:rFonts w:ascii="Times New Roman" w:hAnsi="Times New Roman" w:cs="Times New Roman"/>
              </w:rPr>
              <w:t>настоящее время</w:t>
            </w:r>
          </w:p>
        </w:tc>
        <w:tc>
          <w:tcPr>
            <w:tcW w:w="3869" w:type="dxa"/>
            <w:tcBorders>
              <w:top w:val="single" w:sz="4" w:space="0" w:color="000000"/>
              <w:left w:val="single" w:sz="4" w:space="0" w:color="000000"/>
              <w:bottom w:val="single" w:sz="4" w:space="0" w:color="000000"/>
              <w:right w:val="single" w:sz="4" w:space="0" w:color="000000"/>
            </w:tcBorders>
            <w:vAlign w:val="center"/>
          </w:tcPr>
          <w:p w14:paraId="34C5B26F" w14:textId="77777777" w:rsidR="002449C2" w:rsidRDefault="00123961">
            <w:pPr>
              <w:pStyle w:val="afffff1"/>
              <w:ind w:left="72"/>
              <w:rPr>
                <w:rFonts w:ascii="Times New Roman" w:hAnsi="Times New Roman" w:cs="Times New Roman"/>
              </w:rPr>
            </w:pPr>
            <w:r>
              <w:rPr>
                <w:rFonts w:ascii="Times New Roman" w:hAnsi="Times New Roman" w:cs="Times New Roman"/>
              </w:rPr>
              <w:t>Публичное акционерное общество «Россети Юг»</w:t>
            </w:r>
          </w:p>
        </w:tc>
        <w:tc>
          <w:tcPr>
            <w:tcW w:w="3331" w:type="dxa"/>
            <w:tcBorders>
              <w:top w:val="single" w:sz="4" w:space="0" w:color="000000"/>
              <w:left w:val="single" w:sz="4" w:space="0" w:color="000000"/>
              <w:bottom w:val="single" w:sz="4" w:space="0" w:color="000000"/>
              <w:right w:val="single" w:sz="4" w:space="0" w:color="000000"/>
            </w:tcBorders>
            <w:vAlign w:val="center"/>
          </w:tcPr>
          <w:p w14:paraId="1F5B1ADA" w14:textId="77777777" w:rsidR="002449C2" w:rsidRDefault="00123961">
            <w:pPr>
              <w:pStyle w:val="afffff1"/>
              <w:ind w:left="72"/>
              <w:rPr>
                <w:rFonts w:ascii="Times New Roman" w:hAnsi="Times New Roman" w:cs="Times New Roman"/>
              </w:rPr>
            </w:pPr>
            <w:r>
              <w:rPr>
                <w:rFonts w:ascii="Times New Roman" w:hAnsi="Times New Roman" w:cs="Times New Roman"/>
              </w:rPr>
              <w:t>Первый заместитель Генерального директора – Главный инженер</w:t>
            </w:r>
          </w:p>
        </w:tc>
      </w:tr>
      <w:tr w:rsidR="002449C2" w14:paraId="6B96F4EA" w14:textId="77777777">
        <w:trPr>
          <w:trHeight w:val="709"/>
        </w:trPr>
        <w:tc>
          <w:tcPr>
            <w:tcW w:w="932" w:type="dxa"/>
            <w:tcBorders>
              <w:top w:val="single" w:sz="4" w:space="0" w:color="000000"/>
              <w:left w:val="single" w:sz="4" w:space="0" w:color="000000"/>
              <w:bottom w:val="single" w:sz="4" w:space="0" w:color="000000"/>
              <w:right w:val="single" w:sz="4" w:space="0" w:color="000000"/>
            </w:tcBorders>
            <w:vAlign w:val="center"/>
          </w:tcPr>
          <w:p w14:paraId="7F60105B" w14:textId="77777777" w:rsidR="002449C2" w:rsidRDefault="00123961">
            <w:pPr>
              <w:pStyle w:val="afffff1"/>
              <w:ind w:left="72"/>
              <w:rPr>
                <w:rFonts w:ascii="Times New Roman" w:hAnsi="Times New Roman" w:cs="Times New Roman"/>
              </w:rPr>
            </w:pPr>
            <w:r>
              <w:rPr>
                <w:rFonts w:ascii="Times New Roman" w:hAnsi="Times New Roman" w:cs="Times New Roman"/>
              </w:rPr>
              <w:t>2023</w:t>
            </w:r>
          </w:p>
        </w:tc>
        <w:tc>
          <w:tcPr>
            <w:tcW w:w="1311" w:type="dxa"/>
            <w:tcBorders>
              <w:top w:val="single" w:sz="4" w:space="0" w:color="000000"/>
              <w:left w:val="single" w:sz="4" w:space="0" w:color="000000"/>
              <w:bottom w:val="single" w:sz="4" w:space="0" w:color="000000"/>
              <w:right w:val="single" w:sz="4" w:space="0" w:color="000000"/>
            </w:tcBorders>
            <w:vAlign w:val="center"/>
          </w:tcPr>
          <w:p w14:paraId="23607BCE" w14:textId="77777777" w:rsidR="002449C2" w:rsidRDefault="00123961">
            <w:pPr>
              <w:pStyle w:val="afffff1"/>
              <w:ind w:left="72"/>
              <w:rPr>
                <w:rFonts w:ascii="Times New Roman" w:hAnsi="Times New Roman" w:cs="Times New Roman"/>
              </w:rPr>
            </w:pPr>
            <w:r>
              <w:rPr>
                <w:rFonts w:ascii="Times New Roman" w:hAnsi="Times New Roman" w:cs="Times New Roman"/>
              </w:rPr>
              <w:t>настоящее время</w:t>
            </w:r>
          </w:p>
        </w:tc>
        <w:tc>
          <w:tcPr>
            <w:tcW w:w="3869" w:type="dxa"/>
            <w:tcBorders>
              <w:top w:val="single" w:sz="4" w:space="0" w:color="000000"/>
              <w:left w:val="single" w:sz="4" w:space="0" w:color="000000"/>
              <w:bottom w:val="single" w:sz="4" w:space="0" w:color="000000"/>
              <w:right w:val="single" w:sz="4" w:space="0" w:color="000000"/>
            </w:tcBorders>
            <w:vAlign w:val="center"/>
          </w:tcPr>
          <w:p w14:paraId="477A5458" w14:textId="77777777" w:rsidR="002449C2" w:rsidRDefault="00123961">
            <w:pPr>
              <w:pStyle w:val="afffff1"/>
              <w:ind w:left="72"/>
              <w:rPr>
                <w:rFonts w:ascii="Times New Roman" w:hAnsi="Times New Roman" w:cs="Times New Roman"/>
              </w:rPr>
            </w:pPr>
            <w:r>
              <w:rPr>
                <w:rFonts w:ascii="Times New Roman" w:hAnsi="Times New Roman" w:cs="Times New Roman"/>
              </w:rPr>
              <w:t>Акционерное общество «Энергосервис Юга»</w:t>
            </w:r>
          </w:p>
        </w:tc>
        <w:tc>
          <w:tcPr>
            <w:tcW w:w="3331" w:type="dxa"/>
            <w:tcBorders>
              <w:top w:val="single" w:sz="4" w:space="0" w:color="000000"/>
              <w:left w:val="single" w:sz="4" w:space="0" w:color="000000"/>
              <w:bottom w:val="single" w:sz="4" w:space="0" w:color="000000"/>
              <w:right w:val="single" w:sz="4" w:space="0" w:color="000000"/>
            </w:tcBorders>
            <w:vAlign w:val="center"/>
          </w:tcPr>
          <w:p w14:paraId="3B028AE3" w14:textId="77777777" w:rsidR="002449C2" w:rsidRDefault="00123961">
            <w:pPr>
              <w:pStyle w:val="afffff1"/>
              <w:ind w:left="72"/>
              <w:rPr>
                <w:rFonts w:ascii="Times New Roman" w:hAnsi="Times New Roman" w:cs="Times New Roman"/>
              </w:rPr>
            </w:pPr>
            <w:r>
              <w:rPr>
                <w:rFonts w:ascii="Times New Roman" w:hAnsi="Times New Roman" w:cs="Times New Roman"/>
              </w:rPr>
              <w:t>Член Совета директоров</w:t>
            </w:r>
          </w:p>
        </w:tc>
      </w:tr>
      <w:tr w:rsidR="002449C2" w14:paraId="5B5D4E0B" w14:textId="77777777">
        <w:trPr>
          <w:trHeight w:val="372"/>
        </w:trPr>
        <w:tc>
          <w:tcPr>
            <w:tcW w:w="6112" w:type="dxa"/>
            <w:gridSpan w:val="3"/>
            <w:tcBorders>
              <w:top w:val="single" w:sz="4" w:space="0" w:color="000000"/>
              <w:left w:val="single" w:sz="4" w:space="0" w:color="000000"/>
              <w:bottom w:val="single" w:sz="4" w:space="0" w:color="000000"/>
              <w:right w:val="single" w:sz="4" w:space="0" w:color="000000"/>
            </w:tcBorders>
            <w:vAlign w:val="center"/>
          </w:tcPr>
          <w:p w14:paraId="193E95AB" w14:textId="77777777" w:rsidR="002449C2" w:rsidRDefault="00123961">
            <w:pPr>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Дата первого избрания членом Правления</w:t>
            </w:r>
          </w:p>
        </w:tc>
        <w:tc>
          <w:tcPr>
            <w:tcW w:w="3331" w:type="dxa"/>
            <w:tcBorders>
              <w:top w:val="single" w:sz="4" w:space="0" w:color="000000"/>
              <w:left w:val="single" w:sz="4" w:space="0" w:color="000000"/>
              <w:bottom w:val="single" w:sz="4" w:space="0" w:color="000000"/>
              <w:right w:val="single" w:sz="4" w:space="0" w:color="000000"/>
            </w:tcBorders>
            <w:vAlign w:val="center"/>
          </w:tcPr>
          <w:p w14:paraId="110080E3" w14:textId="77777777" w:rsidR="002449C2" w:rsidRDefault="00123961">
            <w:pPr>
              <w:spacing w:after="0" w:line="240" w:lineRule="auto"/>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16.09.2011</w:t>
            </w:r>
          </w:p>
        </w:tc>
      </w:tr>
    </w:tbl>
    <w:p w14:paraId="2587E413" w14:textId="77777777" w:rsidR="002449C2" w:rsidRDefault="002449C2">
      <w:pPr>
        <w:spacing w:after="0" w:line="240" w:lineRule="auto"/>
        <w:ind w:left="142" w:hanging="142"/>
        <w:jc w:val="both"/>
        <w:rPr>
          <w:rFonts w:ascii="Times New Roman" w:hAnsi="Times New Roman"/>
          <w:sz w:val="24"/>
          <w:szCs w:val="24"/>
          <w:lang w:eastAsia="en-US"/>
        </w:rPr>
      </w:pPr>
    </w:p>
    <w:p w14:paraId="69456BD7" w14:textId="77777777" w:rsidR="002449C2" w:rsidRDefault="002449C2">
      <w:pPr>
        <w:spacing w:after="0" w:line="240" w:lineRule="auto"/>
        <w:ind w:left="142" w:hanging="142"/>
        <w:jc w:val="both"/>
        <w:rPr>
          <w:rFonts w:ascii="Times New Roman" w:hAnsi="Times New Roman"/>
          <w:sz w:val="24"/>
          <w:szCs w:val="24"/>
          <w:lang w:eastAsia="en-US"/>
        </w:rPr>
      </w:pPr>
    </w:p>
    <w:p w14:paraId="27470720" w14:textId="77777777" w:rsidR="002449C2" w:rsidRDefault="002449C2">
      <w:pPr>
        <w:spacing w:after="0" w:line="240" w:lineRule="auto"/>
        <w:ind w:left="142" w:hanging="142"/>
        <w:jc w:val="both"/>
        <w:rPr>
          <w:rFonts w:ascii="Times New Roman" w:hAnsi="Times New Roman"/>
          <w:sz w:val="24"/>
          <w:szCs w:val="24"/>
          <w:lang w:eastAsia="en-US"/>
        </w:rPr>
      </w:pPr>
    </w:p>
    <w:p w14:paraId="6AE91F4E" w14:textId="77777777" w:rsidR="002449C2" w:rsidRDefault="002449C2">
      <w:pPr>
        <w:spacing w:after="0" w:line="240" w:lineRule="auto"/>
        <w:ind w:left="142" w:hanging="142"/>
        <w:jc w:val="both"/>
        <w:rPr>
          <w:rFonts w:ascii="Times New Roman" w:hAnsi="Times New Roman"/>
          <w:sz w:val="24"/>
          <w:szCs w:val="24"/>
          <w:lang w:eastAsia="en-US"/>
        </w:rPr>
      </w:pPr>
    </w:p>
    <w:p w14:paraId="0C62D485" w14:textId="77777777" w:rsidR="002449C2" w:rsidRDefault="002449C2">
      <w:pPr>
        <w:spacing w:after="0" w:line="240" w:lineRule="auto"/>
        <w:ind w:left="142" w:hanging="142"/>
        <w:jc w:val="both"/>
        <w:rPr>
          <w:rFonts w:ascii="Times New Roman" w:hAnsi="Times New Roman"/>
          <w:sz w:val="24"/>
          <w:szCs w:val="24"/>
          <w:lang w:eastAsia="en-US"/>
        </w:rPr>
      </w:pPr>
    </w:p>
    <w:p w14:paraId="467FBC6C" w14:textId="77777777" w:rsidR="002449C2" w:rsidRDefault="002449C2">
      <w:pPr>
        <w:spacing w:after="0" w:line="240" w:lineRule="auto"/>
        <w:ind w:left="142" w:hanging="142"/>
        <w:jc w:val="both"/>
        <w:rPr>
          <w:rFonts w:ascii="Times New Roman" w:hAnsi="Times New Roman"/>
          <w:sz w:val="24"/>
          <w:szCs w:val="24"/>
          <w:lang w:eastAsia="en-US"/>
        </w:rPr>
      </w:pPr>
    </w:p>
    <w:p w14:paraId="2D6C475D" w14:textId="77777777" w:rsidR="002449C2" w:rsidRDefault="00123961">
      <w:pPr>
        <w:spacing w:after="0" w:line="240" w:lineRule="auto"/>
        <w:ind w:left="142"/>
        <w:rPr>
          <w:rFonts w:ascii="Times New Roman" w:hAnsi="Times New Roman"/>
          <w:b/>
          <w:sz w:val="26"/>
          <w:szCs w:val="26"/>
          <w:lang w:eastAsia="en-US"/>
        </w:rPr>
      </w:pPr>
      <w:r>
        <w:rPr>
          <w:rFonts w:ascii="Times New Roman" w:hAnsi="Times New Roman"/>
          <w:b/>
          <w:sz w:val="26"/>
          <w:szCs w:val="26"/>
          <w:lang w:eastAsia="en-US"/>
        </w:rPr>
        <w:t xml:space="preserve">Джабраилова Юлианна Хасановна </w:t>
      </w:r>
    </w:p>
    <w:p w14:paraId="2DFA833E" w14:textId="77777777" w:rsidR="002449C2" w:rsidRDefault="00123961">
      <w:pPr>
        <w:spacing w:after="0" w:line="240" w:lineRule="auto"/>
        <w:ind w:left="142"/>
        <w:rPr>
          <w:rFonts w:ascii="Times New Roman" w:hAnsi="Times New Roman"/>
          <w:sz w:val="26"/>
          <w:szCs w:val="26"/>
          <w:lang w:eastAsia="en-US"/>
        </w:rPr>
      </w:pPr>
      <w:r>
        <w:rPr>
          <w:rFonts w:ascii="Times New Roman" w:hAnsi="Times New Roman"/>
          <w:sz w:val="26"/>
          <w:szCs w:val="26"/>
          <w:lang w:eastAsia="en-US"/>
        </w:rPr>
        <w:t>Год рождения: 1981</w:t>
      </w:r>
    </w:p>
    <w:p w14:paraId="7E89ADCC" w14:textId="77777777" w:rsidR="002449C2" w:rsidRDefault="00123961">
      <w:pPr>
        <w:spacing w:after="0" w:line="240" w:lineRule="auto"/>
        <w:ind w:left="142"/>
        <w:jc w:val="both"/>
        <w:rPr>
          <w:rFonts w:ascii="Times New Roman" w:hAnsi="Times New Roman"/>
          <w:sz w:val="26"/>
          <w:szCs w:val="26"/>
          <w:lang w:eastAsia="en-US"/>
        </w:rPr>
      </w:pPr>
      <w:r>
        <w:rPr>
          <w:rFonts w:ascii="Times New Roman" w:hAnsi="Times New Roman"/>
          <w:sz w:val="26"/>
          <w:szCs w:val="26"/>
          <w:lang w:eastAsia="en-US"/>
        </w:rPr>
        <w:t>Образование: Высшее.</w:t>
      </w:r>
    </w:p>
    <w:p w14:paraId="02DD67DE" w14:textId="77777777" w:rsidR="002449C2" w:rsidRDefault="00123961">
      <w:pPr>
        <w:spacing w:after="0" w:line="240" w:lineRule="auto"/>
        <w:ind w:left="142"/>
        <w:jc w:val="both"/>
        <w:rPr>
          <w:rFonts w:ascii="Times New Roman" w:hAnsi="Times New Roman"/>
          <w:sz w:val="26"/>
          <w:szCs w:val="26"/>
          <w:lang w:eastAsia="en-US"/>
        </w:rPr>
      </w:pPr>
      <w:r>
        <w:rPr>
          <w:rFonts w:ascii="Times New Roman" w:hAnsi="Times New Roman"/>
          <w:sz w:val="26"/>
          <w:szCs w:val="26"/>
          <w:lang w:eastAsia="en-US"/>
        </w:rPr>
        <w:t>2003, Кубанский институт международного предпринимательства и менеджмента, квалификация «экономист», специальность «финансы и кредит»;</w:t>
      </w:r>
    </w:p>
    <w:p w14:paraId="02E673C3" w14:textId="77777777" w:rsidR="002449C2" w:rsidRDefault="00123961">
      <w:pPr>
        <w:spacing w:after="0" w:line="240" w:lineRule="auto"/>
        <w:ind w:left="142"/>
        <w:jc w:val="both"/>
        <w:rPr>
          <w:rFonts w:ascii="Times New Roman" w:hAnsi="Times New Roman"/>
          <w:sz w:val="26"/>
          <w:szCs w:val="26"/>
          <w:lang w:eastAsia="en-US"/>
        </w:rPr>
      </w:pPr>
      <w:r>
        <w:rPr>
          <w:rFonts w:ascii="Times New Roman" w:hAnsi="Times New Roman"/>
          <w:sz w:val="26"/>
          <w:szCs w:val="26"/>
          <w:lang w:eastAsia="en-US"/>
        </w:rPr>
        <w:t>2016, Кубанский государственный аграрный университет, квалификация «бакалавр», направление подготовки «агроинженерия».</w:t>
      </w:r>
    </w:p>
    <w:p w14:paraId="5DF3B796" w14:textId="77777777" w:rsidR="002449C2" w:rsidRDefault="002449C2">
      <w:pPr>
        <w:spacing w:after="0" w:line="240" w:lineRule="auto"/>
        <w:ind w:left="142"/>
        <w:jc w:val="both"/>
        <w:rPr>
          <w:rFonts w:ascii="Times New Roman" w:hAnsi="Times New Roman"/>
          <w:sz w:val="26"/>
          <w:szCs w:val="26"/>
          <w:lang w:eastAsia="en-US"/>
        </w:rPr>
      </w:pPr>
    </w:p>
    <w:p w14:paraId="69D6EBB9" w14:textId="77777777" w:rsidR="002449C2" w:rsidRDefault="00123961">
      <w:pPr>
        <w:spacing w:after="0" w:line="240" w:lineRule="auto"/>
        <w:ind w:left="142"/>
        <w:jc w:val="both"/>
        <w:rPr>
          <w:rFonts w:ascii="Times New Roman" w:hAnsi="Times New Roman"/>
          <w:sz w:val="26"/>
          <w:szCs w:val="26"/>
          <w:lang w:eastAsia="en-US"/>
        </w:rPr>
      </w:pPr>
      <w:r>
        <w:rPr>
          <w:rFonts w:ascii="Times New Roman" w:hAnsi="Times New Roman"/>
          <w:sz w:val="26"/>
          <w:szCs w:val="26"/>
          <w:lang w:eastAsia="en-US"/>
        </w:rPr>
        <w:t>Сведения о местах работы члена Правления за последние 5 лет и об участии в органах управления и контроля других организаций:</w:t>
      </w:r>
    </w:p>
    <w:tbl>
      <w:tblPr>
        <w:tblW w:w="4900" w:type="pct"/>
        <w:tblInd w:w="72" w:type="dxa"/>
        <w:tblLayout w:type="fixed"/>
        <w:tblCellMar>
          <w:left w:w="72" w:type="dxa"/>
          <w:right w:w="72" w:type="dxa"/>
        </w:tblCellMar>
        <w:tblLook w:val="04A0" w:firstRow="1" w:lastRow="0" w:firstColumn="1" w:lastColumn="0" w:noHBand="0" w:noVBand="1"/>
      </w:tblPr>
      <w:tblGrid>
        <w:gridCol w:w="933"/>
        <w:gridCol w:w="1168"/>
        <w:gridCol w:w="4005"/>
        <w:gridCol w:w="3328"/>
      </w:tblGrid>
      <w:tr w:rsidR="002449C2" w14:paraId="6A5B022F" w14:textId="77777777">
        <w:tc>
          <w:tcPr>
            <w:tcW w:w="2103" w:type="dxa"/>
            <w:gridSpan w:val="2"/>
            <w:tcBorders>
              <w:top w:val="single" w:sz="4" w:space="0" w:color="000000"/>
              <w:left w:val="single" w:sz="4" w:space="0" w:color="000000"/>
              <w:bottom w:val="single" w:sz="4" w:space="0" w:color="000000"/>
              <w:right w:val="single" w:sz="4" w:space="0" w:color="000000"/>
            </w:tcBorders>
            <w:vAlign w:val="center"/>
          </w:tcPr>
          <w:p w14:paraId="751E0287"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Период</w:t>
            </w:r>
          </w:p>
        </w:tc>
        <w:tc>
          <w:tcPr>
            <w:tcW w:w="4009" w:type="dxa"/>
            <w:vMerge w:val="restart"/>
            <w:tcBorders>
              <w:top w:val="single" w:sz="4" w:space="0" w:color="000000"/>
              <w:left w:val="single" w:sz="4" w:space="0" w:color="000000"/>
              <w:bottom w:val="single" w:sz="4" w:space="0" w:color="000000"/>
              <w:right w:val="single" w:sz="4" w:space="0" w:color="000000"/>
            </w:tcBorders>
            <w:vAlign w:val="center"/>
          </w:tcPr>
          <w:p w14:paraId="1B53EB95"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Наименование организации</w:t>
            </w:r>
          </w:p>
        </w:tc>
        <w:tc>
          <w:tcPr>
            <w:tcW w:w="3331" w:type="dxa"/>
            <w:vMerge w:val="restart"/>
            <w:tcBorders>
              <w:top w:val="single" w:sz="4" w:space="0" w:color="000000"/>
              <w:left w:val="single" w:sz="4" w:space="0" w:color="000000"/>
              <w:bottom w:val="single" w:sz="4" w:space="0" w:color="000000"/>
              <w:right w:val="single" w:sz="4" w:space="0" w:color="000000"/>
            </w:tcBorders>
            <w:vAlign w:val="center"/>
          </w:tcPr>
          <w:p w14:paraId="7D817463"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Должность</w:t>
            </w:r>
          </w:p>
        </w:tc>
      </w:tr>
      <w:tr w:rsidR="002449C2" w14:paraId="6786C88A" w14:textId="77777777">
        <w:tc>
          <w:tcPr>
            <w:tcW w:w="934" w:type="dxa"/>
            <w:tcBorders>
              <w:top w:val="single" w:sz="4" w:space="0" w:color="000000"/>
              <w:left w:val="single" w:sz="4" w:space="0" w:color="000000"/>
              <w:bottom w:val="single" w:sz="4" w:space="0" w:color="000000"/>
              <w:right w:val="single" w:sz="4" w:space="0" w:color="000000"/>
            </w:tcBorders>
            <w:vAlign w:val="center"/>
          </w:tcPr>
          <w:p w14:paraId="406FA79B"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w:t>
            </w:r>
          </w:p>
        </w:tc>
        <w:tc>
          <w:tcPr>
            <w:tcW w:w="1169" w:type="dxa"/>
            <w:tcBorders>
              <w:top w:val="single" w:sz="4" w:space="0" w:color="000000"/>
              <w:left w:val="single" w:sz="4" w:space="0" w:color="000000"/>
              <w:bottom w:val="single" w:sz="4" w:space="0" w:color="000000"/>
              <w:right w:val="single" w:sz="4" w:space="0" w:color="000000"/>
            </w:tcBorders>
            <w:vAlign w:val="center"/>
          </w:tcPr>
          <w:p w14:paraId="167DB9AE"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w:t>
            </w:r>
          </w:p>
        </w:tc>
        <w:tc>
          <w:tcPr>
            <w:tcW w:w="4009" w:type="dxa"/>
            <w:vMerge/>
            <w:tcBorders>
              <w:top w:val="single" w:sz="4" w:space="0" w:color="000000"/>
              <w:left w:val="single" w:sz="4" w:space="0" w:color="000000"/>
              <w:bottom w:val="single" w:sz="4" w:space="0" w:color="000000"/>
              <w:right w:val="single" w:sz="4" w:space="0" w:color="000000"/>
            </w:tcBorders>
            <w:vAlign w:val="center"/>
          </w:tcPr>
          <w:p w14:paraId="70490FEA" w14:textId="77777777" w:rsidR="002449C2" w:rsidRDefault="002449C2">
            <w:pPr>
              <w:spacing w:after="0" w:line="240" w:lineRule="auto"/>
              <w:ind w:left="72"/>
              <w:jc w:val="center"/>
              <w:rPr>
                <w:rFonts w:ascii="Times New Roman" w:eastAsia="Times New Roman" w:hAnsi="Times New Roman"/>
                <w:color w:val="000000"/>
                <w:sz w:val="20"/>
                <w:szCs w:val="20"/>
                <w:lang w:eastAsia="ru-RU"/>
              </w:rPr>
            </w:pPr>
          </w:p>
        </w:tc>
        <w:tc>
          <w:tcPr>
            <w:tcW w:w="3331" w:type="dxa"/>
            <w:vMerge/>
            <w:tcBorders>
              <w:top w:val="single" w:sz="4" w:space="0" w:color="000000"/>
              <w:left w:val="single" w:sz="4" w:space="0" w:color="000000"/>
              <w:bottom w:val="single" w:sz="4" w:space="0" w:color="000000"/>
              <w:right w:val="single" w:sz="4" w:space="0" w:color="000000"/>
            </w:tcBorders>
            <w:vAlign w:val="center"/>
          </w:tcPr>
          <w:p w14:paraId="3DF47DB1" w14:textId="77777777" w:rsidR="002449C2" w:rsidRDefault="002449C2">
            <w:pPr>
              <w:spacing w:after="0" w:line="240" w:lineRule="auto"/>
              <w:ind w:left="72"/>
              <w:jc w:val="center"/>
              <w:rPr>
                <w:rFonts w:ascii="Times New Roman" w:eastAsia="Times New Roman" w:hAnsi="Times New Roman"/>
                <w:color w:val="000000"/>
                <w:sz w:val="20"/>
                <w:szCs w:val="20"/>
                <w:lang w:eastAsia="ru-RU"/>
              </w:rPr>
            </w:pPr>
          </w:p>
        </w:tc>
      </w:tr>
      <w:tr w:rsidR="002449C2" w14:paraId="48208415" w14:textId="77777777">
        <w:trPr>
          <w:trHeight w:val="227"/>
        </w:trPr>
        <w:tc>
          <w:tcPr>
            <w:tcW w:w="934" w:type="dxa"/>
            <w:tcBorders>
              <w:top w:val="single" w:sz="4" w:space="0" w:color="000000"/>
              <w:left w:val="single" w:sz="4" w:space="0" w:color="000000"/>
              <w:bottom w:val="single" w:sz="4" w:space="0" w:color="000000"/>
              <w:right w:val="single" w:sz="4" w:space="0" w:color="000000"/>
            </w:tcBorders>
            <w:vAlign w:val="center"/>
          </w:tcPr>
          <w:p w14:paraId="38C83CC9"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2016</w:t>
            </w:r>
          </w:p>
        </w:tc>
        <w:tc>
          <w:tcPr>
            <w:tcW w:w="1169" w:type="dxa"/>
            <w:tcBorders>
              <w:top w:val="single" w:sz="4" w:space="0" w:color="000000"/>
              <w:left w:val="single" w:sz="4" w:space="0" w:color="000000"/>
              <w:bottom w:val="single" w:sz="4" w:space="0" w:color="000000"/>
              <w:right w:val="single" w:sz="4" w:space="0" w:color="000000"/>
            </w:tcBorders>
            <w:vAlign w:val="center"/>
          </w:tcPr>
          <w:p w14:paraId="74D0BF03"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настоящее время</w:t>
            </w:r>
          </w:p>
        </w:tc>
        <w:tc>
          <w:tcPr>
            <w:tcW w:w="4009" w:type="dxa"/>
            <w:tcBorders>
              <w:top w:val="single" w:sz="4" w:space="0" w:color="000000"/>
              <w:left w:val="single" w:sz="4" w:space="0" w:color="000000"/>
              <w:bottom w:val="single" w:sz="4" w:space="0" w:color="000000"/>
              <w:right w:val="single" w:sz="4" w:space="0" w:color="000000"/>
            </w:tcBorders>
            <w:vAlign w:val="center"/>
          </w:tcPr>
          <w:p w14:paraId="073CC7AF"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Публичное акционерное общество «Россети Юг»</w:t>
            </w:r>
          </w:p>
        </w:tc>
        <w:tc>
          <w:tcPr>
            <w:tcW w:w="3331" w:type="dxa"/>
            <w:tcBorders>
              <w:top w:val="single" w:sz="4" w:space="0" w:color="000000"/>
              <w:left w:val="single" w:sz="4" w:space="0" w:color="000000"/>
              <w:bottom w:val="single" w:sz="4" w:space="0" w:color="000000"/>
              <w:right w:val="single" w:sz="4" w:space="0" w:color="000000"/>
            </w:tcBorders>
            <w:vAlign w:val="center"/>
          </w:tcPr>
          <w:p w14:paraId="41C54623"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Заместитель Генерального директора – руководитель Аппарата</w:t>
            </w:r>
          </w:p>
        </w:tc>
      </w:tr>
      <w:tr w:rsidR="002449C2" w14:paraId="33A10E6D" w14:textId="77777777">
        <w:trPr>
          <w:trHeight w:val="227"/>
        </w:trPr>
        <w:tc>
          <w:tcPr>
            <w:tcW w:w="934" w:type="dxa"/>
            <w:tcBorders>
              <w:top w:val="single" w:sz="4" w:space="0" w:color="000000"/>
              <w:left w:val="single" w:sz="4" w:space="0" w:color="000000"/>
              <w:bottom w:val="single" w:sz="4" w:space="0" w:color="000000"/>
              <w:right w:val="single" w:sz="4" w:space="0" w:color="000000"/>
            </w:tcBorders>
            <w:vAlign w:val="center"/>
          </w:tcPr>
          <w:p w14:paraId="2277EB87"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2016</w:t>
            </w:r>
          </w:p>
        </w:tc>
        <w:tc>
          <w:tcPr>
            <w:tcW w:w="1169" w:type="dxa"/>
            <w:tcBorders>
              <w:top w:val="single" w:sz="4" w:space="0" w:color="000000"/>
              <w:left w:val="single" w:sz="4" w:space="0" w:color="000000"/>
              <w:bottom w:val="single" w:sz="4" w:space="0" w:color="000000"/>
              <w:right w:val="single" w:sz="4" w:space="0" w:color="000000"/>
            </w:tcBorders>
            <w:vAlign w:val="center"/>
          </w:tcPr>
          <w:p w14:paraId="6D9361F9"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настоящее время</w:t>
            </w:r>
          </w:p>
        </w:tc>
        <w:tc>
          <w:tcPr>
            <w:tcW w:w="4009" w:type="dxa"/>
            <w:tcBorders>
              <w:top w:val="single" w:sz="4" w:space="0" w:color="000000"/>
              <w:left w:val="single" w:sz="4" w:space="0" w:color="000000"/>
              <w:bottom w:val="single" w:sz="4" w:space="0" w:color="000000"/>
              <w:right w:val="single" w:sz="4" w:space="0" w:color="000000"/>
            </w:tcBorders>
            <w:vAlign w:val="center"/>
          </w:tcPr>
          <w:p w14:paraId="4A2275AF"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Публичное акционерное общество «Россети Юг»</w:t>
            </w:r>
          </w:p>
        </w:tc>
        <w:tc>
          <w:tcPr>
            <w:tcW w:w="3331" w:type="dxa"/>
            <w:tcBorders>
              <w:top w:val="single" w:sz="4" w:space="0" w:color="000000"/>
              <w:left w:val="single" w:sz="4" w:space="0" w:color="000000"/>
              <w:bottom w:val="single" w:sz="4" w:space="0" w:color="000000"/>
              <w:right w:val="single" w:sz="4" w:space="0" w:color="000000"/>
            </w:tcBorders>
            <w:vAlign w:val="center"/>
          </w:tcPr>
          <w:p w14:paraId="27098787"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Член Правления</w:t>
            </w:r>
          </w:p>
        </w:tc>
      </w:tr>
      <w:tr w:rsidR="002449C2" w14:paraId="25798C08" w14:textId="77777777">
        <w:trPr>
          <w:trHeight w:val="227"/>
        </w:trPr>
        <w:tc>
          <w:tcPr>
            <w:tcW w:w="934" w:type="dxa"/>
            <w:tcBorders>
              <w:top w:val="single" w:sz="4" w:space="0" w:color="000000"/>
              <w:left w:val="single" w:sz="4" w:space="0" w:color="000000"/>
              <w:bottom w:val="single" w:sz="4" w:space="0" w:color="000000"/>
              <w:right w:val="single" w:sz="4" w:space="0" w:color="000000"/>
            </w:tcBorders>
            <w:vAlign w:val="center"/>
          </w:tcPr>
          <w:p w14:paraId="44B330E8"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2016</w:t>
            </w:r>
          </w:p>
        </w:tc>
        <w:tc>
          <w:tcPr>
            <w:tcW w:w="1169" w:type="dxa"/>
            <w:tcBorders>
              <w:top w:val="single" w:sz="4" w:space="0" w:color="000000"/>
              <w:left w:val="single" w:sz="4" w:space="0" w:color="000000"/>
              <w:bottom w:val="single" w:sz="4" w:space="0" w:color="000000"/>
              <w:right w:val="single" w:sz="4" w:space="0" w:color="000000"/>
            </w:tcBorders>
            <w:vAlign w:val="center"/>
          </w:tcPr>
          <w:p w14:paraId="29680ECC"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настоящее время</w:t>
            </w:r>
          </w:p>
        </w:tc>
        <w:tc>
          <w:tcPr>
            <w:tcW w:w="4009" w:type="dxa"/>
            <w:tcBorders>
              <w:top w:val="single" w:sz="4" w:space="0" w:color="000000"/>
              <w:left w:val="single" w:sz="4" w:space="0" w:color="000000"/>
              <w:bottom w:val="single" w:sz="4" w:space="0" w:color="000000"/>
              <w:right w:val="single" w:sz="4" w:space="0" w:color="000000"/>
            </w:tcBorders>
            <w:vAlign w:val="center"/>
          </w:tcPr>
          <w:p w14:paraId="180C6BC6"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Акционерное общество «База отдыха «Энергетик»</w:t>
            </w:r>
          </w:p>
        </w:tc>
        <w:tc>
          <w:tcPr>
            <w:tcW w:w="3331" w:type="dxa"/>
            <w:tcBorders>
              <w:top w:val="single" w:sz="4" w:space="0" w:color="000000"/>
              <w:left w:val="single" w:sz="4" w:space="0" w:color="000000"/>
              <w:bottom w:val="single" w:sz="4" w:space="0" w:color="000000"/>
              <w:right w:val="single" w:sz="4" w:space="0" w:color="000000"/>
            </w:tcBorders>
            <w:vAlign w:val="center"/>
          </w:tcPr>
          <w:p w14:paraId="2F8F3F3B"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Председатель Совета директоров</w:t>
            </w:r>
          </w:p>
        </w:tc>
      </w:tr>
      <w:tr w:rsidR="002449C2" w14:paraId="4970E21A" w14:textId="77777777">
        <w:trPr>
          <w:trHeight w:val="227"/>
        </w:trPr>
        <w:tc>
          <w:tcPr>
            <w:tcW w:w="934" w:type="dxa"/>
            <w:tcBorders>
              <w:top w:val="single" w:sz="4" w:space="0" w:color="000000"/>
              <w:left w:val="single" w:sz="4" w:space="0" w:color="000000"/>
              <w:bottom w:val="single" w:sz="4" w:space="0" w:color="000000"/>
              <w:right w:val="single" w:sz="4" w:space="0" w:color="000000"/>
            </w:tcBorders>
            <w:vAlign w:val="center"/>
          </w:tcPr>
          <w:p w14:paraId="42FDE154"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2017</w:t>
            </w:r>
          </w:p>
        </w:tc>
        <w:tc>
          <w:tcPr>
            <w:tcW w:w="1169" w:type="dxa"/>
            <w:tcBorders>
              <w:top w:val="single" w:sz="4" w:space="0" w:color="000000"/>
              <w:left w:val="single" w:sz="4" w:space="0" w:color="000000"/>
              <w:bottom w:val="single" w:sz="4" w:space="0" w:color="000000"/>
              <w:right w:val="single" w:sz="4" w:space="0" w:color="000000"/>
            </w:tcBorders>
            <w:vAlign w:val="center"/>
          </w:tcPr>
          <w:p w14:paraId="20BA25DD"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настоящее время</w:t>
            </w:r>
          </w:p>
        </w:tc>
        <w:tc>
          <w:tcPr>
            <w:tcW w:w="4009" w:type="dxa"/>
            <w:tcBorders>
              <w:top w:val="single" w:sz="4" w:space="0" w:color="000000"/>
              <w:left w:val="single" w:sz="4" w:space="0" w:color="000000"/>
              <w:bottom w:val="single" w:sz="4" w:space="0" w:color="000000"/>
              <w:right w:val="single" w:sz="4" w:space="0" w:color="000000"/>
            </w:tcBorders>
            <w:vAlign w:val="center"/>
          </w:tcPr>
          <w:p w14:paraId="204B5AAA"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Публичное акционерное общество «Россети Юг»</w:t>
            </w:r>
          </w:p>
        </w:tc>
        <w:tc>
          <w:tcPr>
            <w:tcW w:w="3331" w:type="dxa"/>
            <w:tcBorders>
              <w:top w:val="single" w:sz="4" w:space="0" w:color="000000"/>
              <w:left w:val="single" w:sz="4" w:space="0" w:color="000000"/>
              <w:bottom w:val="single" w:sz="4" w:space="0" w:color="000000"/>
              <w:right w:val="single" w:sz="4" w:space="0" w:color="000000"/>
            </w:tcBorders>
            <w:vAlign w:val="center"/>
          </w:tcPr>
          <w:p w14:paraId="05E1FB43"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Директор филиала ПАО «Россети Юг» – «Кубаньэнерго» (по совместительству)</w:t>
            </w:r>
          </w:p>
        </w:tc>
      </w:tr>
      <w:tr w:rsidR="002449C2" w14:paraId="5EBF4EDF" w14:textId="77777777">
        <w:trPr>
          <w:trHeight w:val="1052"/>
        </w:trPr>
        <w:tc>
          <w:tcPr>
            <w:tcW w:w="934" w:type="dxa"/>
            <w:tcBorders>
              <w:top w:val="single" w:sz="4" w:space="0" w:color="000000"/>
              <w:left w:val="single" w:sz="4" w:space="0" w:color="000000"/>
              <w:bottom w:val="single" w:sz="4" w:space="0" w:color="000000"/>
              <w:right w:val="single" w:sz="4" w:space="0" w:color="000000"/>
            </w:tcBorders>
            <w:vAlign w:val="center"/>
          </w:tcPr>
          <w:p w14:paraId="0A9ED218"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2018</w:t>
            </w:r>
          </w:p>
        </w:tc>
        <w:tc>
          <w:tcPr>
            <w:tcW w:w="1169" w:type="dxa"/>
            <w:tcBorders>
              <w:top w:val="single" w:sz="4" w:space="0" w:color="000000"/>
              <w:left w:val="single" w:sz="4" w:space="0" w:color="000000"/>
              <w:bottom w:val="single" w:sz="4" w:space="0" w:color="000000"/>
              <w:right w:val="single" w:sz="4" w:space="0" w:color="000000"/>
            </w:tcBorders>
            <w:vAlign w:val="center"/>
          </w:tcPr>
          <w:p w14:paraId="09EEA39C"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настоящее время</w:t>
            </w:r>
          </w:p>
        </w:tc>
        <w:tc>
          <w:tcPr>
            <w:tcW w:w="4009" w:type="dxa"/>
            <w:tcBorders>
              <w:top w:val="single" w:sz="4" w:space="0" w:color="000000"/>
              <w:left w:val="single" w:sz="4" w:space="0" w:color="000000"/>
              <w:bottom w:val="single" w:sz="4" w:space="0" w:color="000000"/>
              <w:right w:val="single" w:sz="4" w:space="0" w:color="000000"/>
            </w:tcBorders>
            <w:vAlign w:val="center"/>
          </w:tcPr>
          <w:p w14:paraId="230756B0"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Общероссийское отраслевое объединение работодателей электроэнергетики «Энергетическая работодательская ассоциация России»</w:t>
            </w:r>
          </w:p>
        </w:tc>
        <w:tc>
          <w:tcPr>
            <w:tcW w:w="3331" w:type="dxa"/>
            <w:tcBorders>
              <w:top w:val="single" w:sz="4" w:space="0" w:color="000000"/>
              <w:left w:val="single" w:sz="4" w:space="0" w:color="000000"/>
              <w:bottom w:val="single" w:sz="4" w:space="0" w:color="000000"/>
              <w:right w:val="single" w:sz="4" w:space="0" w:color="000000"/>
            </w:tcBorders>
            <w:vAlign w:val="center"/>
          </w:tcPr>
          <w:p w14:paraId="6B956E8F"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Член Наблюдательного совета</w:t>
            </w:r>
          </w:p>
        </w:tc>
      </w:tr>
      <w:tr w:rsidR="002449C2" w14:paraId="2D55C2D5" w14:textId="77777777">
        <w:trPr>
          <w:trHeight w:val="227"/>
        </w:trPr>
        <w:tc>
          <w:tcPr>
            <w:tcW w:w="934" w:type="dxa"/>
            <w:tcBorders>
              <w:top w:val="single" w:sz="4" w:space="0" w:color="000000"/>
              <w:left w:val="single" w:sz="4" w:space="0" w:color="000000"/>
              <w:bottom w:val="single" w:sz="4" w:space="0" w:color="000000"/>
              <w:right w:val="single" w:sz="4" w:space="0" w:color="000000"/>
            </w:tcBorders>
            <w:vAlign w:val="center"/>
          </w:tcPr>
          <w:p w14:paraId="6C41A2A4"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2021</w:t>
            </w:r>
          </w:p>
        </w:tc>
        <w:tc>
          <w:tcPr>
            <w:tcW w:w="1169" w:type="dxa"/>
            <w:tcBorders>
              <w:top w:val="single" w:sz="4" w:space="0" w:color="000000"/>
              <w:left w:val="single" w:sz="4" w:space="0" w:color="000000"/>
              <w:bottom w:val="single" w:sz="4" w:space="0" w:color="000000"/>
              <w:right w:val="single" w:sz="4" w:space="0" w:color="000000"/>
            </w:tcBorders>
            <w:vAlign w:val="center"/>
          </w:tcPr>
          <w:p w14:paraId="2D09616B"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настоящее время</w:t>
            </w:r>
          </w:p>
        </w:tc>
        <w:tc>
          <w:tcPr>
            <w:tcW w:w="4009" w:type="dxa"/>
            <w:tcBorders>
              <w:top w:val="single" w:sz="4" w:space="0" w:color="000000"/>
              <w:left w:val="single" w:sz="4" w:space="0" w:color="000000"/>
              <w:bottom w:val="single" w:sz="4" w:space="0" w:color="000000"/>
              <w:right w:val="single" w:sz="4" w:space="0" w:color="000000"/>
            </w:tcBorders>
            <w:vAlign w:val="center"/>
          </w:tcPr>
          <w:p w14:paraId="5BEB18D1"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Публичное акционерное общество «Россети Кубань»</w:t>
            </w:r>
          </w:p>
        </w:tc>
        <w:tc>
          <w:tcPr>
            <w:tcW w:w="3331" w:type="dxa"/>
            <w:tcBorders>
              <w:top w:val="single" w:sz="4" w:space="0" w:color="000000"/>
              <w:left w:val="single" w:sz="4" w:space="0" w:color="000000"/>
              <w:bottom w:val="single" w:sz="4" w:space="0" w:color="000000"/>
              <w:right w:val="single" w:sz="4" w:space="0" w:color="000000"/>
            </w:tcBorders>
            <w:vAlign w:val="center"/>
          </w:tcPr>
          <w:p w14:paraId="6523E6AF"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Заместитель Генерального директора – руководитель Аппарата (по совместительству)</w:t>
            </w:r>
          </w:p>
        </w:tc>
      </w:tr>
      <w:tr w:rsidR="002449C2" w14:paraId="7A60CC68" w14:textId="77777777">
        <w:trPr>
          <w:trHeight w:val="553"/>
        </w:trPr>
        <w:tc>
          <w:tcPr>
            <w:tcW w:w="934" w:type="dxa"/>
            <w:tcBorders>
              <w:top w:val="single" w:sz="4" w:space="0" w:color="000000"/>
              <w:left w:val="single" w:sz="4" w:space="0" w:color="000000"/>
              <w:bottom w:val="single" w:sz="4" w:space="0" w:color="000000"/>
              <w:right w:val="single" w:sz="4" w:space="0" w:color="000000"/>
            </w:tcBorders>
            <w:vAlign w:val="center"/>
          </w:tcPr>
          <w:p w14:paraId="4E203780"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2021</w:t>
            </w:r>
          </w:p>
        </w:tc>
        <w:tc>
          <w:tcPr>
            <w:tcW w:w="1169" w:type="dxa"/>
            <w:tcBorders>
              <w:top w:val="single" w:sz="4" w:space="0" w:color="000000"/>
              <w:left w:val="single" w:sz="4" w:space="0" w:color="000000"/>
              <w:bottom w:val="single" w:sz="4" w:space="0" w:color="000000"/>
              <w:right w:val="single" w:sz="4" w:space="0" w:color="000000"/>
            </w:tcBorders>
            <w:vAlign w:val="center"/>
          </w:tcPr>
          <w:p w14:paraId="44FE0656"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настоящее время</w:t>
            </w:r>
          </w:p>
        </w:tc>
        <w:tc>
          <w:tcPr>
            <w:tcW w:w="4009" w:type="dxa"/>
            <w:tcBorders>
              <w:top w:val="single" w:sz="4" w:space="0" w:color="000000"/>
              <w:left w:val="single" w:sz="4" w:space="0" w:color="000000"/>
              <w:bottom w:val="single" w:sz="4" w:space="0" w:color="000000"/>
              <w:right w:val="single" w:sz="4" w:space="0" w:color="000000"/>
            </w:tcBorders>
            <w:vAlign w:val="center"/>
          </w:tcPr>
          <w:p w14:paraId="6045ED1A"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Публичное акционерное общество «Россети Кубань»</w:t>
            </w:r>
          </w:p>
        </w:tc>
        <w:tc>
          <w:tcPr>
            <w:tcW w:w="3331" w:type="dxa"/>
            <w:tcBorders>
              <w:top w:val="single" w:sz="4" w:space="0" w:color="000000"/>
              <w:left w:val="single" w:sz="4" w:space="0" w:color="000000"/>
              <w:bottom w:val="single" w:sz="4" w:space="0" w:color="000000"/>
              <w:right w:val="single" w:sz="4" w:space="0" w:color="000000"/>
            </w:tcBorders>
            <w:vAlign w:val="center"/>
          </w:tcPr>
          <w:p w14:paraId="75A5F2CE"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Член Правления</w:t>
            </w:r>
          </w:p>
        </w:tc>
      </w:tr>
      <w:tr w:rsidR="002449C2" w14:paraId="16CBF1DE" w14:textId="77777777">
        <w:trPr>
          <w:trHeight w:val="362"/>
        </w:trPr>
        <w:tc>
          <w:tcPr>
            <w:tcW w:w="6112" w:type="dxa"/>
            <w:gridSpan w:val="3"/>
            <w:tcBorders>
              <w:top w:val="single" w:sz="4" w:space="0" w:color="000000"/>
              <w:left w:val="single" w:sz="4" w:space="0" w:color="000000"/>
              <w:bottom w:val="single" w:sz="4" w:space="0" w:color="000000"/>
              <w:right w:val="single" w:sz="4" w:space="0" w:color="000000"/>
            </w:tcBorders>
            <w:vAlign w:val="center"/>
          </w:tcPr>
          <w:p w14:paraId="6E8EB07C"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olor w:val="000000"/>
                <w:sz w:val="20"/>
                <w:szCs w:val="20"/>
                <w:lang w:eastAsia="ru-RU"/>
              </w:rPr>
              <w:t>Дата первого избрания членом Правления</w:t>
            </w:r>
          </w:p>
        </w:tc>
        <w:tc>
          <w:tcPr>
            <w:tcW w:w="3331" w:type="dxa"/>
            <w:tcBorders>
              <w:top w:val="single" w:sz="4" w:space="0" w:color="000000"/>
              <w:left w:val="single" w:sz="4" w:space="0" w:color="000000"/>
              <w:bottom w:val="single" w:sz="4" w:space="0" w:color="000000"/>
              <w:right w:val="single" w:sz="4" w:space="0" w:color="000000"/>
            </w:tcBorders>
            <w:vAlign w:val="center"/>
          </w:tcPr>
          <w:p w14:paraId="731564E1"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07.09.2016</w:t>
            </w:r>
          </w:p>
        </w:tc>
      </w:tr>
    </w:tbl>
    <w:p w14:paraId="290A9B4E" w14:textId="77777777" w:rsidR="002449C2" w:rsidRDefault="002449C2">
      <w:pPr>
        <w:spacing w:after="0" w:line="240" w:lineRule="auto"/>
        <w:ind w:left="142" w:hanging="142"/>
        <w:jc w:val="both"/>
        <w:rPr>
          <w:rFonts w:ascii="Times New Roman" w:hAnsi="Times New Roman"/>
          <w:sz w:val="26"/>
          <w:szCs w:val="26"/>
          <w:lang w:eastAsia="en-US"/>
        </w:rPr>
      </w:pPr>
    </w:p>
    <w:p w14:paraId="16F4C805" w14:textId="77777777" w:rsidR="002449C2" w:rsidRDefault="002449C2">
      <w:pPr>
        <w:spacing w:after="0" w:line="240" w:lineRule="auto"/>
        <w:ind w:left="142" w:hanging="142"/>
        <w:jc w:val="both"/>
        <w:rPr>
          <w:rFonts w:ascii="Times New Roman" w:hAnsi="Times New Roman"/>
          <w:sz w:val="26"/>
          <w:szCs w:val="26"/>
          <w:lang w:eastAsia="en-US"/>
        </w:rPr>
      </w:pPr>
    </w:p>
    <w:p w14:paraId="47AA22A3" w14:textId="77777777" w:rsidR="002449C2" w:rsidRDefault="00123961">
      <w:pPr>
        <w:spacing w:after="0" w:line="240" w:lineRule="auto"/>
        <w:ind w:left="142"/>
        <w:rPr>
          <w:rFonts w:ascii="Times New Roman" w:hAnsi="Times New Roman"/>
          <w:b/>
          <w:sz w:val="26"/>
          <w:szCs w:val="26"/>
          <w:lang w:eastAsia="en-US"/>
        </w:rPr>
      </w:pPr>
      <w:r>
        <w:rPr>
          <w:rFonts w:ascii="Times New Roman" w:hAnsi="Times New Roman"/>
          <w:b/>
          <w:sz w:val="26"/>
          <w:szCs w:val="26"/>
          <w:lang w:eastAsia="en-US"/>
        </w:rPr>
        <w:t xml:space="preserve">Иорданиди Кирилл Александрович </w:t>
      </w:r>
    </w:p>
    <w:p w14:paraId="64FF913E" w14:textId="77777777" w:rsidR="002449C2" w:rsidRDefault="00123961">
      <w:pPr>
        <w:spacing w:after="0" w:line="240" w:lineRule="auto"/>
        <w:ind w:left="142"/>
        <w:rPr>
          <w:rFonts w:ascii="Times New Roman" w:hAnsi="Times New Roman"/>
          <w:sz w:val="26"/>
          <w:szCs w:val="26"/>
          <w:lang w:eastAsia="en-US"/>
        </w:rPr>
      </w:pPr>
      <w:r>
        <w:rPr>
          <w:rFonts w:ascii="Times New Roman" w:hAnsi="Times New Roman"/>
          <w:sz w:val="26"/>
          <w:szCs w:val="26"/>
          <w:lang w:eastAsia="en-US"/>
        </w:rPr>
        <w:t>Год рождения: 1985</w:t>
      </w:r>
    </w:p>
    <w:p w14:paraId="3B73E30C" w14:textId="77777777" w:rsidR="002449C2" w:rsidRDefault="00123961">
      <w:pPr>
        <w:spacing w:after="0" w:line="240" w:lineRule="auto"/>
        <w:ind w:left="142"/>
        <w:jc w:val="both"/>
        <w:rPr>
          <w:rFonts w:ascii="Times New Roman" w:hAnsi="Times New Roman"/>
          <w:sz w:val="26"/>
          <w:szCs w:val="26"/>
          <w:lang w:eastAsia="en-US"/>
        </w:rPr>
      </w:pPr>
      <w:r>
        <w:rPr>
          <w:rFonts w:ascii="Times New Roman" w:hAnsi="Times New Roman"/>
          <w:sz w:val="26"/>
          <w:szCs w:val="26"/>
          <w:lang w:eastAsia="en-US"/>
        </w:rPr>
        <w:t>Образование: Высшее.</w:t>
      </w:r>
    </w:p>
    <w:p w14:paraId="67DA0FEF" w14:textId="77777777" w:rsidR="002449C2" w:rsidRDefault="00123961">
      <w:pPr>
        <w:spacing w:after="0" w:line="240" w:lineRule="auto"/>
        <w:ind w:left="142"/>
        <w:jc w:val="both"/>
        <w:rPr>
          <w:rFonts w:ascii="Times New Roman" w:hAnsi="Times New Roman"/>
          <w:sz w:val="26"/>
          <w:szCs w:val="26"/>
          <w:lang w:eastAsia="en-US"/>
        </w:rPr>
      </w:pPr>
      <w:r>
        <w:rPr>
          <w:rFonts w:ascii="Times New Roman" w:hAnsi="Times New Roman"/>
          <w:sz w:val="26"/>
          <w:szCs w:val="26"/>
          <w:lang w:eastAsia="en-US"/>
        </w:rPr>
        <w:t>2006, Университет Индианаполиса (штат Индиана, США), квалификация «бакалавр», специальность «экономика и финансы»;</w:t>
      </w:r>
    </w:p>
    <w:p w14:paraId="33A23617" w14:textId="77777777" w:rsidR="002449C2" w:rsidRDefault="00123961">
      <w:pPr>
        <w:spacing w:after="0" w:line="240" w:lineRule="auto"/>
        <w:ind w:left="142"/>
        <w:jc w:val="both"/>
        <w:rPr>
          <w:rFonts w:ascii="Times New Roman" w:hAnsi="Times New Roman"/>
          <w:sz w:val="26"/>
          <w:szCs w:val="26"/>
          <w:lang w:eastAsia="en-US"/>
        </w:rPr>
      </w:pPr>
      <w:r>
        <w:rPr>
          <w:rFonts w:ascii="Times New Roman" w:hAnsi="Times New Roman"/>
          <w:sz w:val="26"/>
          <w:szCs w:val="26"/>
          <w:lang w:eastAsia="en-US"/>
        </w:rPr>
        <w:t>2007, Международный колледж (Республика Кипр), степень «бакалавр менеджмента»;</w:t>
      </w:r>
    </w:p>
    <w:p w14:paraId="7101EA44" w14:textId="77777777" w:rsidR="002449C2" w:rsidRDefault="00123961">
      <w:pPr>
        <w:spacing w:after="0" w:line="240" w:lineRule="auto"/>
        <w:ind w:left="142"/>
        <w:jc w:val="both"/>
        <w:rPr>
          <w:rFonts w:ascii="Times New Roman" w:hAnsi="Times New Roman"/>
          <w:sz w:val="26"/>
          <w:szCs w:val="26"/>
          <w:lang w:eastAsia="en-US"/>
        </w:rPr>
      </w:pPr>
      <w:r>
        <w:rPr>
          <w:rFonts w:ascii="Times New Roman" w:hAnsi="Times New Roman"/>
          <w:sz w:val="26"/>
          <w:szCs w:val="26"/>
          <w:lang w:eastAsia="en-US"/>
        </w:rPr>
        <w:t>2011, Федеральное государственное бюджетное образовательное учреждение высшего профессионального образования «Южно-Российский государственный университет экономики и сервиса», степень «магистр» по направлению «менеджмент».</w:t>
      </w:r>
    </w:p>
    <w:p w14:paraId="718531B4" w14:textId="77777777" w:rsidR="002449C2" w:rsidRDefault="00123961">
      <w:pPr>
        <w:spacing w:after="0" w:line="240" w:lineRule="auto"/>
        <w:ind w:left="142"/>
        <w:jc w:val="both"/>
        <w:rPr>
          <w:rFonts w:ascii="Times New Roman" w:hAnsi="Times New Roman"/>
          <w:sz w:val="26"/>
          <w:szCs w:val="26"/>
          <w:lang w:eastAsia="en-US"/>
        </w:rPr>
      </w:pPr>
      <w:r>
        <w:rPr>
          <w:rFonts w:ascii="Times New Roman" w:hAnsi="Times New Roman"/>
          <w:sz w:val="26"/>
          <w:szCs w:val="26"/>
          <w:lang w:eastAsia="en-US"/>
        </w:rPr>
        <w:t>Сведения о местах работы члена Правления за последние 5 лет и об участии в органах управления и контроля других организаций:</w:t>
      </w:r>
    </w:p>
    <w:tbl>
      <w:tblPr>
        <w:tblW w:w="4900" w:type="pct"/>
        <w:tblInd w:w="72" w:type="dxa"/>
        <w:tblLayout w:type="fixed"/>
        <w:tblCellMar>
          <w:left w:w="72" w:type="dxa"/>
          <w:right w:w="72" w:type="dxa"/>
        </w:tblCellMar>
        <w:tblLook w:val="04A0" w:firstRow="1" w:lastRow="0" w:firstColumn="1" w:lastColumn="0" w:noHBand="0" w:noVBand="1"/>
      </w:tblPr>
      <w:tblGrid>
        <w:gridCol w:w="933"/>
        <w:gridCol w:w="1168"/>
        <w:gridCol w:w="4005"/>
        <w:gridCol w:w="3328"/>
      </w:tblGrid>
      <w:tr w:rsidR="002449C2" w14:paraId="7E137A71" w14:textId="77777777">
        <w:tc>
          <w:tcPr>
            <w:tcW w:w="2103" w:type="dxa"/>
            <w:gridSpan w:val="2"/>
            <w:tcBorders>
              <w:top w:val="single" w:sz="4" w:space="0" w:color="000000"/>
              <w:left w:val="single" w:sz="4" w:space="0" w:color="000000"/>
              <w:bottom w:val="single" w:sz="4" w:space="0" w:color="000000"/>
              <w:right w:val="single" w:sz="4" w:space="0" w:color="000000"/>
            </w:tcBorders>
            <w:vAlign w:val="center"/>
          </w:tcPr>
          <w:p w14:paraId="1DD0C21A" w14:textId="77777777" w:rsidR="002449C2" w:rsidRDefault="00123961">
            <w:pPr>
              <w:spacing w:after="0" w:line="240" w:lineRule="auto"/>
              <w:ind w:left="72"/>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Период</w:t>
            </w:r>
          </w:p>
        </w:tc>
        <w:tc>
          <w:tcPr>
            <w:tcW w:w="4009" w:type="dxa"/>
            <w:vMerge w:val="restart"/>
            <w:tcBorders>
              <w:top w:val="single" w:sz="4" w:space="0" w:color="000000"/>
              <w:left w:val="single" w:sz="4" w:space="0" w:color="000000"/>
              <w:bottom w:val="single" w:sz="4" w:space="0" w:color="000000"/>
              <w:right w:val="single" w:sz="4" w:space="0" w:color="000000"/>
            </w:tcBorders>
            <w:vAlign w:val="center"/>
          </w:tcPr>
          <w:p w14:paraId="6CB30EB9" w14:textId="77777777" w:rsidR="002449C2" w:rsidRDefault="00123961">
            <w:pPr>
              <w:spacing w:after="0" w:line="240" w:lineRule="auto"/>
              <w:ind w:left="72"/>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Наименование организации</w:t>
            </w:r>
          </w:p>
        </w:tc>
        <w:tc>
          <w:tcPr>
            <w:tcW w:w="3331" w:type="dxa"/>
            <w:vMerge w:val="restart"/>
            <w:tcBorders>
              <w:top w:val="single" w:sz="4" w:space="0" w:color="000000"/>
              <w:left w:val="single" w:sz="4" w:space="0" w:color="000000"/>
              <w:bottom w:val="single" w:sz="4" w:space="0" w:color="000000"/>
              <w:right w:val="single" w:sz="4" w:space="0" w:color="000000"/>
            </w:tcBorders>
            <w:vAlign w:val="center"/>
          </w:tcPr>
          <w:p w14:paraId="2C48C0A6" w14:textId="77777777" w:rsidR="002449C2" w:rsidRDefault="00123961">
            <w:pPr>
              <w:spacing w:after="0" w:line="240" w:lineRule="auto"/>
              <w:ind w:left="72"/>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Должность</w:t>
            </w:r>
          </w:p>
        </w:tc>
      </w:tr>
      <w:tr w:rsidR="002449C2" w14:paraId="756EE15D" w14:textId="77777777">
        <w:tc>
          <w:tcPr>
            <w:tcW w:w="934" w:type="dxa"/>
            <w:tcBorders>
              <w:top w:val="single" w:sz="4" w:space="0" w:color="000000"/>
              <w:left w:val="single" w:sz="4" w:space="0" w:color="000000"/>
              <w:bottom w:val="single" w:sz="4" w:space="0" w:color="000000"/>
              <w:right w:val="single" w:sz="4" w:space="0" w:color="000000"/>
            </w:tcBorders>
            <w:vAlign w:val="center"/>
          </w:tcPr>
          <w:p w14:paraId="4C4D2E98" w14:textId="77777777" w:rsidR="002449C2" w:rsidRDefault="00123961">
            <w:pPr>
              <w:spacing w:after="0" w:line="240" w:lineRule="auto"/>
              <w:ind w:left="72"/>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с</w:t>
            </w:r>
          </w:p>
        </w:tc>
        <w:tc>
          <w:tcPr>
            <w:tcW w:w="1169" w:type="dxa"/>
            <w:tcBorders>
              <w:top w:val="single" w:sz="4" w:space="0" w:color="000000"/>
              <w:left w:val="single" w:sz="4" w:space="0" w:color="000000"/>
              <w:bottom w:val="single" w:sz="4" w:space="0" w:color="000000"/>
              <w:right w:val="single" w:sz="4" w:space="0" w:color="000000"/>
            </w:tcBorders>
            <w:vAlign w:val="center"/>
          </w:tcPr>
          <w:p w14:paraId="48016CA3" w14:textId="77777777" w:rsidR="002449C2" w:rsidRDefault="00123961">
            <w:pPr>
              <w:spacing w:after="0" w:line="240" w:lineRule="auto"/>
              <w:ind w:left="72"/>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по</w:t>
            </w:r>
          </w:p>
        </w:tc>
        <w:tc>
          <w:tcPr>
            <w:tcW w:w="4009" w:type="dxa"/>
            <w:vMerge/>
            <w:tcBorders>
              <w:top w:val="single" w:sz="4" w:space="0" w:color="000000"/>
              <w:left w:val="single" w:sz="4" w:space="0" w:color="000000"/>
              <w:bottom w:val="single" w:sz="4" w:space="0" w:color="000000"/>
              <w:right w:val="single" w:sz="4" w:space="0" w:color="000000"/>
            </w:tcBorders>
            <w:vAlign w:val="center"/>
          </w:tcPr>
          <w:p w14:paraId="79B186DF" w14:textId="77777777" w:rsidR="002449C2" w:rsidRDefault="002449C2">
            <w:pPr>
              <w:spacing w:after="0" w:line="240" w:lineRule="auto"/>
              <w:ind w:left="72"/>
              <w:jc w:val="center"/>
              <w:rPr>
                <w:rFonts w:ascii="Times New Roman" w:eastAsia="Times New Roman" w:hAnsi="Times New Roman"/>
                <w:sz w:val="20"/>
                <w:szCs w:val="20"/>
                <w:lang w:eastAsia="ru-RU"/>
              </w:rPr>
            </w:pPr>
          </w:p>
        </w:tc>
        <w:tc>
          <w:tcPr>
            <w:tcW w:w="3331" w:type="dxa"/>
            <w:vMerge/>
            <w:tcBorders>
              <w:top w:val="single" w:sz="4" w:space="0" w:color="000000"/>
              <w:left w:val="single" w:sz="4" w:space="0" w:color="000000"/>
              <w:bottom w:val="single" w:sz="4" w:space="0" w:color="000000"/>
              <w:right w:val="single" w:sz="4" w:space="0" w:color="000000"/>
            </w:tcBorders>
            <w:vAlign w:val="center"/>
          </w:tcPr>
          <w:p w14:paraId="2A901B2A" w14:textId="77777777" w:rsidR="002449C2" w:rsidRDefault="002449C2">
            <w:pPr>
              <w:spacing w:after="0" w:line="240" w:lineRule="auto"/>
              <w:ind w:left="72"/>
              <w:jc w:val="center"/>
              <w:rPr>
                <w:rFonts w:ascii="Times New Roman" w:eastAsia="Times New Roman" w:hAnsi="Times New Roman"/>
                <w:sz w:val="20"/>
                <w:szCs w:val="20"/>
                <w:lang w:eastAsia="ru-RU"/>
              </w:rPr>
            </w:pPr>
          </w:p>
        </w:tc>
      </w:tr>
      <w:tr w:rsidR="002449C2" w14:paraId="1E76F59E" w14:textId="77777777">
        <w:trPr>
          <w:trHeight w:val="650"/>
        </w:trPr>
        <w:tc>
          <w:tcPr>
            <w:tcW w:w="934" w:type="dxa"/>
            <w:tcBorders>
              <w:top w:val="single" w:sz="4" w:space="0" w:color="000000"/>
              <w:left w:val="single" w:sz="4" w:space="0" w:color="000000"/>
              <w:bottom w:val="single" w:sz="4" w:space="0" w:color="000000"/>
              <w:right w:val="single" w:sz="4" w:space="0" w:color="000000"/>
            </w:tcBorders>
            <w:vAlign w:val="center"/>
          </w:tcPr>
          <w:p w14:paraId="39C89516" w14:textId="77777777" w:rsidR="002449C2" w:rsidRDefault="00123961">
            <w:pPr>
              <w:spacing w:after="0" w:line="240" w:lineRule="auto"/>
              <w:ind w:firstLine="130"/>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2016</w:t>
            </w:r>
          </w:p>
        </w:tc>
        <w:tc>
          <w:tcPr>
            <w:tcW w:w="1169" w:type="dxa"/>
            <w:tcBorders>
              <w:top w:val="single" w:sz="4" w:space="0" w:color="000000"/>
              <w:left w:val="single" w:sz="4" w:space="0" w:color="000000"/>
              <w:bottom w:val="single" w:sz="4" w:space="0" w:color="000000"/>
              <w:right w:val="single" w:sz="4" w:space="0" w:color="000000"/>
            </w:tcBorders>
            <w:vAlign w:val="center"/>
          </w:tcPr>
          <w:p w14:paraId="5F0C40D6" w14:textId="77777777" w:rsidR="002449C2" w:rsidRDefault="00123961">
            <w:pPr>
              <w:spacing w:after="0" w:line="240" w:lineRule="auto"/>
              <w:ind w:firstLine="20"/>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2021</w:t>
            </w:r>
          </w:p>
        </w:tc>
        <w:tc>
          <w:tcPr>
            <w:tcW w:w="4009" w:type="dxa"/>
            <w:tcBorders>
              <w:top w:val="single" w:sz="4" w:space="0" w:color="000000"/>
              <w:left w:val="single" w:sz="4" w:space="0" w:color="000000"/>
              <w:bottom w:val="single" w:sz="4" w:space="0" w:color="000000"/>
              <w:right w:val="single" w:sz="4" w:space="0" w:color="000000"/>
            </w:tcBorders>
            <w:vAlign w:val="center"/>
          </w:tcPr>
          <w:p w14:paraId="74203565" w14:textId="77777777" w:rsidR="002449C2" w:rsidRDefault="00123961">
            <w:pPr>
              <w:spacing w:after="0" w:line="240" w:lineRule="auto"/>
              <w:ind w:left="7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Публичное акционерное общество «Россети Юг»</w:t>
            </w:r>
          </w:p>
        </w:tc>
        <w:tc>
          <w:tcPr>
            <w:tcW w:w="3331" w:type="dxa"/>
            <w:tcBorders>
              <w:top w:val="single" w:sz="4" w:space="0" w:color="000000"/>
              <w:left w:val="single" w:sz="4" w:space="0" w:color="000000"/>
              <w:bottom w:val="single" w:sz="4" w:space="0" w:color="000000"/>
              <w:right w:val="single" w:sz="4" w:space="0" w:color="000000"/>
            </w:tcBorders>
            <w:vAlign w:val="center"/>
          </w:tcPr>
          <w:p w14:paraId="12AD53DD" w14:textId="77777777" w:rsidR="002449C2" w:rsidRDefault="00123961">
            <w:pPr>
              <w:spacing w:after="0" w:line="240" w:lineRule="auto"/>
              <w:ind w:left="7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Начальник департамента экономики</w:t>
            </w:r>
          </w:p>
        </w:tc>
      </w:tr>
      <w:tr w:rsidR="002449C2" w14:paraId="26F27B77" w14:textId="77777777">
        <w:trPr>
          <w:trHeight w:val="601"/>
        </w:trPr>
        <w:tc>
          <w:tcPr>
            <w:tcW w:w="934" w:type="dxa"/>
            <w:tcBorders>
              <w:top w:val="single" w:sz="4" w:space="0" w:color="000000"/>
              <w:left w:val="single" w:sz="4" w:space="0" w:color="000000"/>
              <w:bottom w:val="single" w:sz="4" w:space="0" w:color="000000"/>
              <w:right w:val="single" w:sz="4" w:space="0" w:color="000000"/>
            </w:tcBorders>
            <w:vAlign w:val="center"/>
          </w:tcPr>
          <w:p w14:paraId="54B967F1" w14:textId="77777777" w:rsidR="002449C2" w:rsidRDefault="00123961">
            <w:pPr>
              <w:spacing w:after="0" w:line="240" w:lineRule="auto"/>
              <w:ind w:firstLine="130"/>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2017</w:t>
            </w:r>
          </w:p>
        </w:tc>
        <w:tc>
          <w:tcPr>
            <w:tcW w:w="1169" w:type="dxa"/>
            <w:tcBorders>
              <w:top w:val="single" w:sz="4" w:space="0" w:color="000000"/>
              <w:left w:val="single" w:sz="4" w:space="0" w:color="000000"/>
              <w:bottom w:val="single" w:sz="4" w:space="0" w:color="000000"/>
              <w:right w:val="single" w:sz="4" w:space="0" w:color="000000"/>
            </w:tcBorders>
            <w:vAlign w:val="center"/>
          </w:tcPr>
          <w:p w14:paraId="67D57592" w14:textId="77777777" w:rsidR="002449C2" w:rsidRDefault="00123961">
            <w:pPr>
              <w:spacing w:after="0" w:line="240" w:lineRule="auto"/>
              <w:ind w:firstLine="20"/>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настоящее время</w:t>
            </w:r>
          </w:p>
        </w:tc>
        <w:tc>
          <w:tcPr>
            <w:tcW w:w="4009" w:type="dxa"/>
            <w:tcBorders>
              <w:top w:val="single" w:sz="4" w:space="0" w:color="000000"/>
              <w:left w:val="single" w:sz="4" w:space="0" w:color="000000"/>
              <w:bottom w:val="single" w:sz="4" w:space="0" w:color="000000"/>
              <w:right w:val="single" w:sz="4" w:space="0" w:color="000000"/>
            </w:tcBorders>
            <w:vAlign w:val="center"/>
          </w:tcPr>
          <w:p w14:paraId="030C46E6" w14:textId="77777777" w:rsidR="002449C2" w:rsidRDefault="00123961">
            <w:pPr>
              <w:spacing w:after="0" w:line="240" w:lineRule="auto"/>
              <w:ind w:left="7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Акционерное общество «База отдыха «Энергетик»</w:t>
            </w:r>
          </w:p>
        </w:tc>
        <w:tc>
          <w:tcPr>
            <w:tcW w:w="3331" w:type="dxa"/>
            <w:tcBorders>
              <w:top w:val="single" w:sz="4" w:space="0" w:color="000000"/>
              <w:left w:val="single" w:sz="4" w:space="0" w:color="000000"/>
              <w:bottom w:val="single" w:sz="4" w:space="0" w:color="000000"/>
              <w:right w:val="single" w:sz="4" w:space="0" w:color="000000"/>
            </w:tcBorders>
            <w:vAlign w:val="center"/>
          </w:tcPr>
          <w:p w14:paraId="09088567" w14:textId="77777777" w:rsidR="002449C2" w:rsidRDefault="00123961">
            <w:pPr>
              <w:spacing w:after="0" w:line="240" w:lineRule="auto"/>
              <w:ind w:left="7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Член Совета директоров</w:t>
            </w:r>
          </w:p>
        </w:tc>
      </w:tr>
      <w:tr w:rsidR="002449C2" w14:paraId="1F405200" w14:textId="77777777">
        <w:trPr>
          <w:trHeight w:val="693"/>
        </w:trPr>
        <w:tc>
          <w:tcPr>
            <w:tcW w:w="934" w:type="dxa"/>
            <w:tcBorders>
              <w:top w:val="single" w:sz="4" w:space="0" w:color="000000"/>
              <w:left w:val="single" w:sz="4" w:space="0" w:color="000000"/>
              <w:bottom w:val="single" w:sz="4" w:space="0" w:color="000000"/>
              <w:right w:val="single" w:sz="4" w:space="0" w:color="000000"/>
            </w:tcBorders>
            <w:vAlign w:val="center"/>
          </w:tcPr>
          <w:p w14:paraId="3F7753CC" w14:textId="77777777" w:rsidR="002449C2" w:rsidRDefault="00123961">
            <w:pPr>
              <w:spacing w:after="0" w:line="240" w:lineRule="auto"/>
              <w:ind w:firstLine="130"/>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2018</w:t>
            </w:r>
          </w:p>
        </w:tc>
        <w:tc>
          <w:tcPr>
            <w:tcW w:w="1169" w:type="dxa"/>
            <w:tcBorders>
              <w:top w:val="single" w:sz="4" w:space="0" w:color="000000"/>
              <w:left w:val="single" w:sz="4" w:space="0" w:color="000000"/>
              <w:bottom w:val="single" w:sz="4" w:space="0" w:color="000000"/>
              <w:right w:val="single" w:sz="4" w:space="0" w:color="000000"/>
            </w:tcBorders>
            <w:vAlign w:val="center"/>
          </w:tcPr>
          <w:p w14:paraId="5FD67FF4" w14:textId="77777777" w:rsidR="002449C2" w:rsidRDefault="00123961">
            <w:pPr>
              <w:spacing w:after="0" w:line="240" w:lineRule="auto"/>
              <w:ind w:left="72" w:firstLine="20"/>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2021</w:t>
            </w:r>
          </w:p>
        </w:tc>
        <w:tc>
          <w:tcPr>
            <w:tcW w:w="4009" w:type="dxa"/>
            <w:tcBorders>
              <w:top w:val="single" w:sz="4" w:space="0" w:color="000000"/>
              <w:left w:val="single" w:sz="4" w:space="0" w:color="000000"/>
              <w:bottom w:val="single" w:sz="4" w:space="0" w:color="000000"/>
              <w:right w:val="single" w:sz="4" w:space="0" w:color="000000"/>
            </w:tcBorders>
            <w:vAlign w:val="center"/>
          </w:tcPr>
          <w:p w14:paraId="42F796B2" w14:textId="77777777" w:rsidR="002449C2" w:rsidRDefault="00123961">
            <w:pPr>
              <w:spacing w:after="0" w:line="240" w:lineRule="auto"/>
              <w:ind w:left="7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Акционерное общество «Предприятие сельского хозяйства «Соколовское»</w:t>
            </w:r>
          </w:p>
        </w:tc>
        <w:tc>
          <w:tcPr>
            <w:tcW w:w="3331" w:type="dxa"/>
            <w:tcBorders>
              <w:top w:val="single" w:sz="4" w:space="0" w:color="000000"/>
              <w:left w:val="single" w:sz="4" w:space="0" w:color="000000"/>
              <w:bottom w:val="single" w:sz="4" w:space="0" w:color="000000"/>
              <w:right w:val="single" w:sz="4" w:space="0" w:color="000000"/>
            </w:tcBorders>
            <w:vAlign w:val="center"/>
          </w:tcPr>
          <w:p w14:paraId="2F5D0973" w14:textId="77777777" w:rsidR="002449C2" w:rsidRDefault="00123961">
            <w:pPr>
              <w:spacing w:after="0" w:line="240" w:lineRule="auto"/>
              <w:ind w:left="7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Член Совета директоров, Председатель Совета директоров</w:t>
            </w:r>
          </w:p>
        </w:tc>
      </w:tr>
      <w:tr w:rsidR="002449C2" w14:paraId="3FA90F26" w14:textId="77777777">
        <w:trPr>
          <w:trHeight w:val="629"/>
        </w:trPr>
        <w:tc>
          <w:tcPr>
            <w:tcW w:w="934" w:type="dxa"/>
            <w:tcBorders>
              <w:top w:val="single" w:sz="4" w:space="0" w:color="000000"/>
              <w:left w:val="single" w:sz="4" w:space="0" w:color="000000"/>
              <w:bottom w:val="single" w:sz="4" w:space="0" w:color="000000"/>
              <w:right w:val="single" w:sz="4" w:space="0" w:color="000000"/>
            </w:tcBorders>
            <w:vAlign w:val="center"/>
          </w:tcPr>
          <w:p w14:paraId="01969FF2" w14:textId="77777777" w:rsidR="002449C2" w:rsidRDefault="00123961">
            <w:pPr>
              <w:spacing w:after="0" w:line="240" w:lineRule="auto"/>
              <w:ind w:firstLine="130"/>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2019</w:t>
            </w:r>
          </w:p>
        </w:tc>
        <w:tc>
          <w:tcPr>
            <w:tcW w:w="1169" w:type="dxa"/>
            <w:tcBorders>
              <w:top w:val="single" w:sz="4" w:space="0" w:color="000000"/>
              <w:left w:val="single" w:sz="4" w:space="0" w:color="000000"/>
              <w:bottom w:val="single" w:sz="4" w:space="0" w:color="000000"/>
              <w:right w:val="single" w:sz="4" w:space="0" w:color="000000"/>
            </w:tcBorders>
            <w:vAlign w:val="center"/>
          </w:tcPr>
          <w:p w14:paraId="0A82C781" w14:textId="77777777" w:rsidR="002449C2" w:rsidRDefault="00123961">
            <w:pPr>
              <w:spacing w:after="0" w:line="240" w:lineRule="auto"/>
              <w:ind w:left="72" w:firstLine="20"/>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2021</w:t>
            </w:r>
          </w:p>
        </w:tc>
        <w:tc>
          <w:tcPr>
            <w:tcW w:w="4009" w:type="dxa"/>
            <w:tcBorders>
              <w:top w:val="single" w:sz="4" w:space="0" w:color="000000"/>
              <w:left w:val="single" w:sz="4" w:space="0" w:color="000000"/>
              <w:bottom w:val="single" w:sz="4" w:space="0" w:color="000000"/>
              <w:right w:val="single" w:sz="4" w:space="0" w:color="000000"/>
            </w:tcBorders>
            <w:vAlign w:val="center"/>
          </w:tcPr>
          <w:p w14:paraId="562C695E" w14:textId="77777777" w:rsidR="002449C2" w:rsidRDefault="00123961">
            <w:pPr>
              <w:spacing w:after="0" w:line="240" w:lineRule="auto"/>
              <w:ind w:left="7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Общество с ограниченной ответственностью «ЮгСтройМонтаж»</w:t>
            </w:r>
          </w:p>
        </w:tc>
        <w:tc>
          <w:tcPr>
            <w:tcW w:w="3331" w:type="dxa"/>
            <w:tcBorders>
              <w:top w:val="single" w:sz="4" w:space="0" w:color="000000"/>
              <w:left w:val="single" w:sz="4" w:space="0" w:color="000000"/>
              <w:bottom w:val="single" w:sz="4" w:space="0" w:color="000000"/>
              <w:right w:val="single" w:sz="4" w:space="0" w:color="000000"/>
            </w:tcBorders>
            <w:vAlign w:val="center"/>
          </w:tcPr>
          <w:p w14:paraId="00D327C3" w14:textId="77777777" w:rsidR="002449C2" w:rsidRDefault="00123961">
            <w:pPr>
              <w:spacing w:after="0" w:line="240" w:lineRule="auto"/>
              <w:ind w:left="7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Член Совета директоров</w:t>
            </w:r>
          </w:p>
        </w:tc>
      </w:tr>
      <w:tr w:rsidR="002449C2" w14:paraId="09257938" w14:textId="77777777">
        <w:trPr>
          <w:trHeight w:val="227"/>
        </w:trPr>
        <w:tc>
          <w:tcPr>
            <w:tcW w:w="934" w:type="dxa"/>
            <w:tcBorders>
              <w:top w:val="single" w:sz="4" w:space="0" w:color="000000"/>
              <w:left w:val="single" w:sz="4" w:space="0" w:color="000000"/>
              <w:bottom w:val="single" w:sz="4" w:space="0" w:color="000000"/>
              <w:right w:val="single" w:sz="4" w:space="0" w:color="000000"/>
            </w:tcBorders>
            <w:vAlign w:val="center"/>
          </w:tcPr>
          <w:p w14:paraId="53B6FE32" w14:textId="77777777" w:rsidR="002449C2" w:rsidRDefault="00123961">
            <w:pPr>
              <w:spacing w:after="0" w:line="240" w:lineRule="auto"/>
              <w:ind w:firstLine="130"/>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2021</w:t>
            </w:r>
          </w:p>
        </w:tc>
        <w:tc>
          <w:tcPr>
            <w:tcW w:w="1169" w:type="dxa"/>
            <w:tcBorders>
              <w:top w:val="single" w:sz="4" w:space="0" w:color="000000"/>
              <w:left w:val="single" w:sz="4" w:space="0" w:color="000000"/>
              <w:bottom w:val="single" w:sz="4" w:space="0" w:color="000000"/>
              <w:right w:val="single" w:sz="4" w:space="0" w:color="000000"/>
            </w:tcBorders>
            <w:vAlign w:val="center"/>
          </w:tcPr>
          <w:p w14:paraId="2E429DDB" w14:textId="77777777" w:rsidR="002449C2" w:rsidRDefault="00123961">
            <w:pPr>
              <w:spacing w:after="0" w:line="240" w:lineRule="auto"/>
              <w:ind w:left="72" w:firstLine="20"/>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2021</w:t>
            </w:r>
          </w:p>
        </w:tc>
        <w:tc>
          <w:tcPr>
            <w:tcW w:w="4009" w:type="dxa"/>
            <w:tcBorders>
              <w:top w:val="single" w:sz="4" w:space="0" w:color="000000"/>
              <w:left w:val="single" w:sz="4" w:space="0" w:color="000000"/>
              <w:bottom w:val="single" w:sz="4" w:space="0" w:color="000000"/>
              <w:right w:val="single" w:sz="4" w:space="0" w:color="000000"/>
            </w:tcBorders>
            <w:vAlign w:val="center"/>
          </w:tcPr>
          <w:p w14:paraId="4CAE9E4B" w14:textId="77777777" w:rsidR="002449C2" w:rsidRDefault="00123961">
            <w:pPr>
              <w:spacing w:after="0" w:line="240" w:lineRule="auto"/>
              <w:ind w:left="7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Публичное акционерное общество «Россети Кубань»</w:t>
            </w:r>
          </w:p>
        </w:tc>
        <w:tc>
          <w:tcPr>
            <w:tcW w:w="3331" w:type="dxa"/>
            <w:tcBorders>
              <w:top w:val="single" w:sz="4" w:space="0" w:color="000000"/>
              <w:left w:val="single" w:sz="4" w:space="0" w:color="000000"/>
              <w:bottom w:val="single" w:sz="4" w:space="0" w:color="000000"/>
              <w:right w:val="single" w:sz="4" w:space="0" w:color="000000"/>
            </w:tcBorders>
            <w:vAlign w:val="center"/>
          </w:tcPr>
          <w:p w14:paraId="61FB84E0" w14:textId="77777777" w:rsidR="002449C2" w:rsidRDefault="00123961">
            <w:pPr>
              <w:spacing w:after="0" w:line="240" w:lineRule="auto"/>
              <w:ind w:left="7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Помощник генерального директора сектора помощников генерального директора управления документационного и протокольного обеспечения департамента управления делами; помощник генерального директора управления делами департамента управления делами (по совместительству)</w:t>
            </w:r>
          </w:p>
        </w:tc>
      </w:tr>
      <w:tr w:rsidR="002449C2" w14:paraId="17E02F76" w14:textId="77777777">
        <w:trPr>
          <w:trHeight w:val="227"/>
        </w:trPr>
        <w:tc>
          <w:tcPr>
            <w:tcW w:w="934" w:type="dxa"/>
            <w:tcBorders>
              <w:top w:val="single" w:sz="4" w:space="0" w:color="000000"/>
              <w:left w:val="single" w:sz="4" w:space="0" w:color="000000"/>
              <w:bottom w:val="single" w:sz="4" w:space="0" w:color="000000"/>
              <w:right w:val="single" w:sz="4" w:space="0" w:color="000000"/>
            </w:tcBorders>
            <w:vAlign w:val="center"/>
          </w:tcPr>
          <w:p w14:paraId="7DA805C6" w14:textId="77777777" w:rsidR="002449C2" w:rsidRDefault="00123961">
            <w:pPr>
              <w:spacing w:after="0" w:line="240" w:lineRule="auto"/>
              <w:ind w:firstLine="130"/>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2021</w:t>
            </w:r>
          </w:p>
        </w:tc>
        <w:tc>
          <w:tcPr>
            <w:tcW w:w="1169" w:type="dxa"/>
            <w:tcBorders>
              <w:top w:val="single" w:sz="4" w:space="0" w:color="000000"/>
              <w:left w:val="single" w:sz="4" w:space="0" w:color="000000"/>
              <w:bottom w:val="single" w:sz="4" w:space="0" w:color="000000"/>
              <w:right w:val="single" w:sz="4" w:space="0" w:color="000000"/>
            </w:tcBorders>
            <w:vAlign w:val="center"/>
          </w:tcPr>
          <w:p w14:paraId="31F2721E" w14:textId="77777777" w:rsidR="002449C2" w:rsidRDefault="00123961">
            <w:pPr>
              <w:spacing w:after="0" w:line="240" w:lineRule="auto"/>
              <w:ind w:left="72" w:firstLine="20"/>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настоящее время</w:t>
            </w:r>
          </w:p>
        </w:tc>
        <w:tc>
          <w:tcPr>
            <w:tcW w:w="4009" w:type="dxa"/>
            <w:tcBorders>
              <w:top w:val="single" w:sz="4" w:space="0" w:color="000000"/>
              <w:left w:val="single" w:sz="4" w:space="0" w:color="000000"/>
              <w:bottom w:val="single" w:sz="4" w:space="0" w:color="000000"/>
              <w:right w:val="single" w:sz="4" w:space="0" w:color="000000"/>
            </w:tcBorders>
            <w:vAlign w:val="center"/>
          </w:tcPr>
          <w:p w14:paraId="3D10C609" w14:textId="77777777" w:rsidR="002449C2" w:rsidRDefault="00123961">
            <w:pPr>
              <w:spacing w:after="0" w:line="240" w:lineRule="auto"/>
              <w:ind w:left="7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Публичное акционерное общество «Россети Юг»</w:t>
            </w:r>
          </w:p>
        </w:tc>
        <w:tc>
          <w:tcPr>
            <w:tcW w:w="3331" w:type="dxa"/>
            <w:tcBorders>
              <w:top w:val="single" w:sz="4" w:space="0" w:color="000000"/>
              <w:left w:val="single" w:sz="4" w:space="0" w:color="000000"/>
              <w:bottom w:val="single" w:sz="4" w:space="0" w:color="000000"/>
              <w:right w:val="single" w:sz="4" w:space="0" w:color="000000"/>
            </w:tcBorders>
            <w:vAlign w:val="center"/>
          </w:tcPr>
          <w:p w14:paraId="478A18A4" w14:textId="77777777" w:rsidR="002449C2" w:rsidRDefault="00123961">
            <w:pPr>
              <w:spacing w:after="0" w:line="240" w:lineRule="auto"/>
              <w:ind w:left="7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Заместитель Генерального директора по экономике и финансам</w:t>
            </w:r>
          </w:p>
        </w:tc>
      </w:tr>
      <w:tr w:rsidR="002449C2" w14:paraId="129A329B" w14:textId="77777777">
        <w:trPr>
          <w:trHeight w:val="546"/>
        </w:trPr>
        <w:tc>
          <w:tcPr>
            <w:tcW w:w="934" w:type="dxa"/>
            <w:tcBorders>
              <w:top w:val="single" w:sz="4" w:space="0" w:color="000000"/>
              <w:left w:val="single" w:sz="4" w:space="0" w:color="000000"/>
              <w:bottom w:val="single" w:sz="4" w:space="0" w:color="000000"/>
              <w:right w:val="single" w:sz="4" w:space="0" w:color="000000"/>
            </w:tcBorders>
            <w:vAlign w:val="center"/>
          </w:tcPr>
          <w:p w14:paraId="0E897A37" w14:textId="77777777" w:rsidR="002449C2" w:rsidRDefault="00123961">
            <w:pPr>
              <w:spacing w:after="0" w:line="240" w:lineRule="auto"/>
              <w:ind w:firstLine="130"/>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2021</w:t>
            </w:r>
          </w:p>
        </w:tc>
        <w:tc>
          <w:tcPr>
            <w:tcW w:w="1169" w:type="dxa"/>
            <w:tcBorders>
              <w:top w:val="single" w:sz="4" w:space="0" w:color="000000"/>
              <w:left w:val="single" w:sz="4" w:space="0" w:color="000000"/>
              <w:bottom w:val="single" w:sz="4" w:space="0" w:color="000000"/>
              <w:right w:val="single" w:sz="4" w:space="0" w:color="000000"/>
            </w:tcBorders>
            <w:vAlign w:val="center"/>
          </w:tcPr>
          <w:p w14:paraId="4B225A3C" w14:textId="77777777" w:rsidR="002449C2" w:rsidRDefault="00123961">
            <w:pPr>
              <w:spacing w:after="0" w:line="240" w:lineRule="auto"/>
              <w:ind w:left="72" w:firstLine="20"/>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настоящее время</w:t>
            </w:r>
          </w:p>
        </w:tc>
        <w:tc>
          <w:tcPr>
            <w:tcW w:w="4009" w:type="dxa"/>
            <w:tcBorders>
              <w:top w:val="single" w:sz="4" w:space="0" w:color="000000"/>
              <w:left w:val="single" w:sz="4" w:space="0" w:color="000000"/>
              <w:bottom w:val="single" w:sz="4" w:space="0" w:color="000000"/>
              <w:right w:val="single" w:sz="4" w:space="0" w:color="000000"/>
            </w:tcBorders>
            <w:vAlign w:val="center"/>
          </w:tcPr>
          <w:p w14:paraId="7FEC89DB" w14:textId="77777777" w:rsidR="002449C2" w:rsidRDefault="00123961">
            <w:pPr>
              <w:spacing w:after="0" w:line="240" w:lineRule="auto"/>
              <w:ind w:left="7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Публичное акционерное общество «Россети Юг»</w:t>
            </w:r>
          </w:p>
        </w:tc>
        <w:tc>
          <w:tcPr>
            <w:tcW w:w="3331" w:type="dxa"/>
            <w:tcBorders>
              <w:top w:val="single" w:sz="4" w:space="0" w:color="000000"/>
              <w:left w:val="single" w:sz="4" w:space="0" w:color="000000"/>
              <w:bottom w:val="single" w:sz="4" w:space="0" w:color="000000"/>
              <w:right w:val="single" w:sz="4" w:space="0" w:color="000000"/>
            </w:tcBorders>
            <w:vAlign w:val="center"/>
          </w:tcPr>
          <w:p w14:paraId="3071A380" w14:textId="77777777" w:rsidR="002449C2" w:rsidRDefault="00123961">
            <w:pPr>
              <w:spacing w:after="0" w:line="240" w:lineRule="auto"/>
              <w:ind w:left="7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Член Правления</w:t>
            </w:r>
          </w:p>
        </w:tc>
      </w:tr>
      <w:tr w:rsidR="002449C2" w14:paraId="6CE60E73" w14:textId="77777777">
        <w:trPr>
          <w:trHeight w:val="227"/>
        </w:trPr>
        <w:tc>
          <w:tcPr>
            <w:tcW w:w="934" w:type="dxa"/>
            <w:tcBorders>
              <w:top w:val="single" w:sz="4" w:space="0" w:color="000000"/>
              <w:left w:val="single" w:sz="4" w:space="0" w:color="000000"/>
              <w:bottom w:val="single" w:sz="4" w:space="0" w:color="000000"/>
              <w:right w:val="single" w:sz="4" w:space="0" w:color="000000"/>
            </w:tcBorders>
            <w:vAlign w:val="center"/>
          </w:tcPr>
          <w:p w14:paraId="40941443" w14:textId="77777777" w:rsidR="002449C2" w:rsidRDefault="00123961">
            <w:pPr>
              <w:spacing w:after="0" w:line="240" w:lineRule="auto"/>
              <w:ind w:firstLine="130"/>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2021</w:t>
            </w:r>
          </w:p>
        </w:tc>
        <w:tc>
          <w:tcPr>
            <w:tcW w:w="1169" w:type="dxa"/>
            <w:tcBorders>
              <w:top w:val="single" w:sz="4" w:space="0" w:color="000000"/>
              <w:left w:val="single" w:sz="4" w:space="0" w:color="000000"/>
              <w:bottom w:val="single" w:sz="4" w:space="0" w:color="000000"/>
              <w:right w:val="single" w:sz="4" w:space="0" w:color="000000"/>
            </w:tcBorders>
            <w:vAlign w:val="center"/>
          </w:tcPr>
          <w:p w14:paraId="0BDA31C6" w14:textId="77777777" w:rsidR="002449C2" w:rsidRDefault="00123961">
            <w:pPr>
              <w:spacing w:after="0" w:line="240" w:lineRule="auto"/>
              <w:ind w:left="72" w:firstLine="20"/>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настоящее время</w:t>
            </w:r>
          </w:p>
        </w:tc>
        <w:tc>
          <w:tcPr>
            <w:tcW w:w="4009" w:type="dxa"/>
            <w:tcBorders>
              <w:top w:val="single" w:sz="4" w:space="0" w:color="000000"/>
              <w:left w:val="single" w:sz="4" w:space="0" w:color="000000"/>
              <w:bottom w:val="single" w:sz="4" w:space="0" w:color="000000"/>
              <w:right w:val="single" w:sz="4" w:space="0" w:color="000000"/>
            </w:tcBorders>
            <w:vAlign w:val="center"/>
          </w:tcPr>
          <w:p w14:paraId="4CB42DD4" w14:textId="77777777" w:rsidR="002449C2" w:rsidRDefault="00123961">
            <w:pPr>
              <w:spacing w:after="0" w:line="240" w:lineRule="auto"/>
              <w:ind w:left="7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Публичное акционерное общество «Россети Кубань»</w:t>
            </w:r>
          </w:p>
        </w:tc>
        <w:tc>
          <w:tcPr>
            <w:tcW w:w="3331" w:type="dxa"/>
            <w:tcBorders>
              <w:top w:val="single" w:sz="4" w:space="0" w:color="000000"/>
              <w:left w:val="single" w:sz="4" w:space="0" w:color="000000"/>
              <w:bottom w:val="single" w:sz="4" w:space="0" w:color="000000"/>
              <w:right w:val="single" w:sz="4" w:space="0" w:color="000000"/>
            </w:tcBorders>
            <w:vAlign w:val="center"/>
          </w:tcPr>
          <w:p w14:paraId="374F00FF" w14:textId="77777777" w:rsidR="002449C2" w:rsidRDefault="00123961">
            <w:pPr>
              <w:spacing w:after="0" w:line="240" w:lineRule="auto"/>
              <w:ind w:left="7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Заместитель Генерального директора по экономике и финансам (по совместительству)</w:t>
            </w:r>
          </w:p>
        </w:tc>
      </w:tr>
      <w:tr w:rsidR="002449C2" w14:paraId="2FE20FAE" w14:textId="77777777">
        <w:trPr>
          <w:trHeight w:val="578"/>
        </w:trPr>
        <w:tc>
          <w:tcPr>
            <w:tcW w:w="934" w:type="dxa"/>
            <w:tcBorders>
              <w:top w:val="single" w:sz="4" w:space="0" w:color="000000"/>
              <w:left w:val="single" w:sz="4" w:space="0" w:color="000000"/>
              <w:bottom w:val="single" w:sz="4" w:space="0" w:color="000000"/>
              <w:right w:val="single" w:sz="4" w:space="0" w:color="000000"/>
            </w:tcBorders>
            <w:vAlign w:val="center"/>
          </w:tcPr>
          <w:p w14:paraId="50C54D7C" w14:textId="77777777" w:rsidR="002449C2" w:rsidRDefault="00123961">
            <w:pPr>
              <w:spacing w:after="0" w:line="240" w:lineRule="auto"/>
              <w:ind w:left="7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2021</w:t>
            </w:r>
          </w:p>
        </w:tc>
        <w:tc>
          <w:tcPr>
            <w:tcW w:w="1169" w:type="dxa"/>
            <w:tcBorders>
              <w:top w:val="single" w:sz="4" w:space="0" w:color="000000"/>
              <w:left w:val="single" w:sz="4" w:space="0" w:color="000000"/>
              <w:bottom w:val="single" w:sz="4" w:space="0" w:color="000000"/>
              <w:right w:val="single" w:sz="4" w:space="0" w:color="000000"/>
            </w:tcBorders>
            <w:vAlign w:val="center"/>
          </w:tcPr>
          <w:p w14:paraId="3C3A63B1" w14:textId="77777777" w:rsidR="002449C2" w:rsidRDefault="00123961">
            <w:pPr>
              <w:spacing w:after="0" w:line="240" w:lineRule="auto"/>
              <w:ind w:left="72" w:firstLine="20"/>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настоящее время</w:t>
            </w:r>
          </w:p>
        </w:tc>
        <w:tc>
          <w:tcPr>
            <w:tcW w:w="4009" w:type="dxa"/>
            <w:tcBorders>
              <w:top w:val="single" w:sz="4" w:space="0" w:color="000000"/>
              <w:left w:val="single" w:sz="4" w:space="0" w:color="000000"/>
              <w:bottom w:val="single" w:sz="4" w:space="0" w:color="000000"/>
              <w:right w:val="single" w:sz="4" w:space="0" w:color="000000"/>
            </w:tcBorders>
            <w:vAlign w:val="center"/>
          </w:tcPr>
          <w:p w14:paraId="270F4861" w14:textId="77777777" w:rsidR="002449C2" w:rsidRDefault="00123961">
            <w:pPr>
              <w:spacing w:after="0" w:line="240" w:lineRule="auto"/>
              <w:ind w:left="7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Публичное акционерное общество «Россети Кубань»</w:t>
            </w:r>
          </w:p>
        </w:tc>
        <w:tc>
          <w:tcPr>
            <w:tcW w:w="3331" w:type="dxa"/>
            <w:tcBorders>
              <w:top w:val="single" w:sz="4" w:space="0" w:color="000000"/>
              <w:left w:val="single" w:sz="4" w:space="0" w:color="000000"/>
              <w:bottom w:val="single" w:sz="4" w:space="0" w:color="000000"/>
              <w:right w:val="single" w:sz="4" w:space="0" w:color="000000"/>
            </w:tcBorders>
            <w:vAlign w:val="center"/>
          </w:tcPr>
          <w:p w14:paraId="10588B3B" w14:textId="77777777" w:rsidR="002449C2" w:rsidRDefault="00123961">
            <w:pPr>
              <w:spacing w:after="0" w:line="240" w:lineRule="auto"/>
              <w:ind w:left="7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Член Правления</w:t>
            </w:r>
          </w:p>
        </w:tc>
      </w:tr>
      <w:tr w:rsidR="002449C2" w14:paraId="725494C3" w14:textId="77777777">
        <w:trPr>
          <w:trHeight w:val="395"/>
        </w:trPr>
        <w:tc>
          <w:tcPr>
            <w:tcW w:w="6112" w:type="dxa"/>
            <w:gridSpan w:val="3"/>
            <w:tcBorders>
              <w:top w:val="single" w:sz="4" w:space="0" w:color="000000"/>
              <w:left w:val="single" w:sz="4" w:space="0" w:color="000000"/>
              <w:bottom w:val="single" w:sz="4" w:space="0" w:color="000000"/>
              <w:right w:val="single" w:sz="4" w:space="0" w:color="000000"/>
            </w:tcBorders>
            <w:vAlign w:val="center"/>
          </w:tcPr>
          <w:p w14:paraId="0E80575D" w14:textId="77777777" w:rsidR="002449C2" w:rsidRDefault="00123961">
            <w:pPr>
              <w:spacing w:after="0" w:line="240" w:lineRule="auto"/>
              <w:ind w:left="7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Дата первого избрания членом Правления</w:t>
            </w:r>
          </w:p>
        </w:tc>
        <w:tc>
          <w:tcPr>
            <w:tcW w:w="3331" w:type="dxa"/>
            <w:tcBorders>
              <w:top w:val="single" w:sz="4" w:space="0" w:color="000000"/>
              <w:left w:val="single" w:sz="4" w:space="0" w:color="000000"/>
              <w:bottom w:val="single" w:sz="4" w:space="0" w:color="000000"/>
              <w:right w:val="single" w:sz="4" w:space="0" w:color="000000"/>
            </w:tcBorders>
            <w:vAlign w:val="center"/>
          </w:tcPr>
          <w:p w14:paraId="6CA43365" w14:textId="77777777" w:rsidR="002449C2" w:rsidRDefault="00123961">
            <w:pPr>
              <w:spacing w:after="0" w:line="240" w:lineRule="auto"/>
              <w:ind w:left="72"/>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29.10.2021</w:t>
            </w:r>
          </w:p>
        </w:tc>
      </w:tr>
    </w:tbl>
    <w:p w14:paraId="5D093D74" w14:textId="77777777" w:rsidR="002449C2" w:rsidRDefault="002449C2">
      <w:pPr>
        <w:spacing w:after="0" w:line="240" w:lineRule="auto"/>
        <w:ind w:left="142" w:hanging="142"/>
        <w:jc w:val="both"/>
        <w:rPr>
          <w:rFonts w:ascii="Times New Roman" w:hAnsi="Times New Roman"/>
          <w:sz w:val="26"/>
          <w:szCs w:val="26"/>
          <w:lang w:eastAsia="en-US"/>
        </w:rPr>
      </w:pPr>
    </w:p>
    <w:p w14:paraId="468765A7" w14:textId="77777777" w:rsidR="002449C2" w:rsidRDefault="00123961">
      <w:pPr>
        <w:spacing w:after="0" w:line="240" w:lineRule="auto"/>
        <w:ind w:left="142"/>
        <w:rPr>
          <w:rFonts w:ascii="Times New Roman" w:hAnsi="Times New Roman"/>
          <w:b/>
          <w:sz w:val="26"/>
          <w:szCs w:val="26"/>
          <w:lang w:eastAsia="en-US"/>
        </w:rPr>
      </w:pPr>
      <w:r>
        <w:rPr>
          <w:rFonts w:ascii="Times New Roman" w:hAnsi="Times New Roman"/>
          <w:b/>
          <w:sz w:val="26"/>
          <w:szCs w:val="26"/>
          <w:lang w:eastAsia="en-US"/>
        </w:rPr>
        <w:t xml:space="preserve">Мусинов Олег Валерьевич </w:t>
      </w:r>
    </w:p>
    <w:p w14:paraId="5353A1B1" w14:textId="77777777" w:rsidR="002449C2" w:rsidRDefault="00123961">
      <w:pPr>
        <w:spacing w:after="0" w:line="240" w:lineRule="auto"/>
        <w:ind w:left="142"/>
        <w:rPr>
          <w:rFonts w:ascii="Times New Roman" w:hAnsi="Times New Roman"/>
          <w:sz w:val="26"/>
          <w:szCs w:val="26"/>
          <w:lang w:eastAsia="en-US"/>
        </w:rPr>
      </w:pPr>
      <w:r>
        <w:rPr>
          <w:rFonts w:ascii="Times New Roman" w:hAnsi="Times New Roman"/>
          <w:sz w:val="26"/>
          <w:szCs w:val="26"/>
          <w:lang w:eastAsia="en-US"/>
        </w:rPr>
        <w:t>Год рождения: 1972</w:t>
      </w:r>
    </w:p>
    <w:p w14:paraId="4A6EDDF7" w14:textId="77777777" w:rsidR="002449C2" w:rsidRDefault="00123961">
      <w:pPr>
        <w:spacing w:after="0" w:line="240" w:lineRule="auto"/>
        <w:ind w:left="142"/>
        <w:jc w:val="both"/>
        <w:rPr>
          <w:rFonts w:ascii="Times New Roman" w:hAnsi="Times New Roman"/>
          <w:sz w:val="26"/>
          <w:szCs w:val="26"/>
          <w:lang w:eastAsia="en-US"/>
        </w:rPr>
      </w:pPr>
      <w:r>
        <w:rPr>
          <w:rFonts w:ascii="Times New Roman" w:hAnsi="Times New Roman"/>
          <w:sz w:val="26"/>
          <w:szCs w:val="26"/>
          <w:lang w:eastAsia="en-US"/>
        </w:rPr>
        <w:t>Образование: Высшее.</w:t>
      </w:r>
    </w:p>
    <w:p w14:paraId="1A461E54" w14:textId="77777777" w:rsidR="002449C2" w:rsidRDefault="00123961">
      <w:pPr>
        <w:spacing w:after="0" w:line="240" w:lineRule="auto"/>
        <w:ind w:left="142"/>
        <w:jc w:val="both"/>
        <w:rPr>
          <w:rFonts w:ascii="Times New Roman" w:hAnsi="Times New Roman"/>
          <w:sz w:val="26"/>
          <w:szCs w:val="26"/>
          <w:lang w:eastAsia="ru-RU"/>
        </w:rPr>
      </w:pPr>
      <w:r>
        <w:rPr>
          <w:rFonts w:ascii="Times New Roman" w:hAnsi="Times New Roman"/>
          <w:sz w:val="26"/>
          <w:szCs w:val="26"/>
          <w:lang w:eastAsia="ru-RU"/>
        </w:rPr>
        <w:t>1998, Хабаровская государственная академия экономики и права, квалификация «юрист», специальность «юриспруденция»;</w:t>
      </w:r>
    </w:p>
    <w:p w14:paraId="0F064EF1" w14:textId="77777777" w:rsidR="002449C2" w:rsidRDefault="00123961">
      <w:pPr>
        <w:spacing w:after="0" w:line="240" w:lineRule="auto"/>
        <w:ind w:left="142"/>
        <w:jc w:val="both"/>
        <w:rPr>
          <w:rFonts w:ascii="Times New Roman" w:hAnsi="Times New Roman"/>
          <w:sz w:val="26"/>
          <w:szCs w:val="26"/>
          <w:lang w:eastAsia="ru-RU"/>
        </w:rPr>
      </w:pPr>
      <w:r>
        <w:rPr>
          <w:rFonts w:ascii="Times New Roman" w:hAnsi="Times New Roman"/>
          <w:sz w:val="26"/>
          <w:szCs w:val="26"/>
          <w:lang w:eastAsia="ru-RU"/>
        </w:rPr>
        <w:t>2016, Федеральное государственное бюджетное образовательное учреждение высшего образования «Донской государственный аграрный университет», квалификация «магистр», направление подготовки «электроэнергетика и электротехника».</w:t>
      </w:r>
    </w:p>
    <w:p w14:paraId="000F1F8A" w14:textId="77777777" w:rsidR="002449C2" w:rsidRDefault="00123961">
      <w:pPr>
        <w:spacing w:after="0" w:line="240" w:lineRule="auto"/>
        <w:ind w:left="142"/>
        <w:jc w:val="both"/>
        <w:rPr>
          <w:rFonts w:ascii="Times New Roman" w:hAnsi="Times New Roman"/>
          <w:sz w:val="26"/>
          <w:szCs w:val="26"/>
          <w:lang w:eastAsia="ru-RU"/>
        </w:rPr>
      </w:pPr>
      <w:r>
        <w:rPr>
          <w:rFonts w:ascii="Times New Roman" w:hAnsi="Times New Roman"/>
          <w:sz w:val="26"/>
          <w:szCs w:val="26"/>
          <w:lang w:eastAsia="ru-RU"/>
        </w:rPr>
        <w:t>Дополнительное образование:</w:t>
      </w:r>
    </w:p>
    <w:p w14:paraId="5F399625" w14:textId="77777777" w:rsidR="002449C2" w:rsidRDefault="00123961">
      <w:pPr>
        <w:spacing w:after="0" w:line="240" w:lineRule="auto"/>
        <w:ind w:left="142"/>
        <w:jc w:val="both"/>
        <w:rPr>
          <w:rFonts w:ascii="Times New Roman" w:hAnsi="Times New Roman"/>
          <w:sz w:val="26"/>
          <w:szCs w:val="26"/>
          <w:lang w:eastAsia="ru-RU"/>
        </w:rPr>
      </w:pPr>
      <w:r>
        <w:rPr>
          <w:rFonts w:ascii="Times New Roman" w:hAnsi="Times New Roman"/>
          <w:sz w:val="26"/>
          <w:szCs w:val="26"/>
          <w:lang w:eastAsia="ru-RU"/>
        </w:rPr>
        <w:t xml:space="preserve">2021, Федеральное государственное автономное образовательное учреждение высшего образования «Московский государственный институт международных отношений (университет) Министерства иностранных дел Российской Федерации», по программе </w:t>
      </w:r>
      <w:r>
        <w:rPr>
          <w:rFonts w:ascii="Times New Roman" w:hAnsi="Times New Roman"/>
          <w:sz w:val="26"/>
          <w:szCs w:val="26"/>
          <w:lang w:val="en-US" w:eastAsia="ru-RU"/>
        </w:rPr>
        <w:t>Executive</w:t>
      </w:r>
      <w:r>
        <w:rPr>
          <w:rFonts w:ascii="Times New Roman" w:hAnsi="Times New Roman"/>
          <w:sz w:val="26"/>
          <w:szCs w:val="26"/>
          <w:lang w:eastAsia="ru-RU"/>
        </w:rPr>
        <w:t xml:space="preserve"> </w:t>
      </w:r>
      <w:r>
        <w:rPr>
          <w:rFonts w:ascii="Times New Roman" w:hAnsi="Times New Roman"/>
          <w:sz w:val="26"/>
          <w:szCs w:val="26"/>
          <w:lang w:val="en-US" w:eastAsia="ru-RU"/>
        </w:rPr>
        <w:t>MBA</w:t>
      </w:r>
      <w:r>
        <w:rPr>
          <w:rFonts w:ascii="Times New Roman" w:hAnsi="Times New Roman"/>
          <w:sz w:val="26"/>
          <w:szCs w:val="26"/>
          <w:lang w:eastAsia="ru-RU"/>
        </w:rPr>
        <w:t xml:space="preserve">, Мастер делового администрирования - </w:t>
      </w:r>
      <w:r>
        <w:rPr>
          <w:rFonts w:ascii="Times New Roman" w:hAnsi="Times New Roman"/>
          <w:sz w:val="26"/>
          <w:szCs w:val="26"/>
          <w:lang w:val="en-US" w:eastAsia="ru-RU"/>
        </w:rPr>
        <w:t>Master</w:t>
      </w:r>
      <w:r>
        <w:rPr>
          <w:rFonts w:ascii="Times New Roman" w:hAnsi="Times New Roman"/>
          <w:sz w:val="26"/>
          <w:szCs w:val="26"/>
          <w:lang w:eastAsia="ru-RU"/>
        </w:rPr>
        <w:t xml:space="preserve"> </w:t>
      </w:r>
      <w:r>
        <w:rPr>
          <w:rFonts w:ascii="Times New Roman" w:hAnsi="Times New Roman"/>
          <w:sz w:val="26"/>
          <w:szCs w:val="26"/>
          <w:lang w:val="en-US" w:eastAsia="ru-RU"/>
        </w:rPr>
        <w:t>of</w:t>
      </w:r>
      <w:r>
        <w:rPr>
          <w:rFonts w:ascii="Times New Roman" w:hAnsi="Times New Roman"/>
          <w:sz w:val="26"/>
          <w:szCs w:val="26"/>
          <w:lang w:eastAsia="ru-RU"/>
        </w:rPr>
        <w:t xml:space="preserve"> </w:t>
      </w:r>
      <w:r>
        <w:rPr>
          <w:rFonts w:ascii="Times New Roman" w:hAnsi="Times New Roman"/>
          <w:sz w:val="26"/>
          <w:szCs w:val="26"/>
          <w:lang w:val="en-US" w:eastAsia="ru-RU"/>
        </w:rPr>
        <w:t>Business</w:t>
      </w:r>
      <w:r>
        <w:rPr>
          <w:rFonts w:ascii="Times New Roman" w:hAnsi="Times New Roman"/>
          <w:sz w:val="26"/>
          <w:szCs w:val="26"/>
          <w:lang w:eastAsia="ru-RU"/>
        </w:rPr>
        <w:t xml:space="preserve"> </w:t>
      </w:r>
      <w:r>
        <w:rPr>
          <w:rFonts w:ascii="Times New Roman" w:hAnsi="Times New Roman"/>
          <w:sz w:val="26"/>
          <w:szCs w:val="26"/>
          <w:lang w:val="en-US" w:eastAsia="ru-RU"/>
        </w:rPr>
        <w:t>Administration</w:t>
      </w:r>
      <w:r>
        <w:rPr>
          <w:rFonts w:ascii="Times New Roman" w:hAnsi="Times New Roman"/>
          <w:sz w:val="26"/>
          <w:szCs w:val="26"/>
          <w:lang w:eastAsia="ru-RU"/>
        </w:rPr>
        <w:t xml:space="preserve"> (</w:t>
      </w:r>
      <w:r>
        <w:rPr>
          <w:rFonts w:ascii="Times New Roman" w:hAnsi="Times New Roman"/>
          <w:sz w:val="26"/>
          <w:szCs w:val="26"/>
          <w:lang w:val="en-US" w:eastAsia="ru-RU"/>
        </w:rPr>
        <w:t>MBA</w:t>
      </w:r>
      <w:r>
        <w:rPr>
          <w:rFonts w:ascii="Times New Roman" w:hAnsi="Times New Roman"/>
          <w:sz w:val="26"/>
          <w:szCs w:val="26"/>
          <w:lang w:eastAsia="ru-RU"/>
        </w:rPr>
        <w:t>).</w:t>
      </w:r>
    </w:p>
    <w:p w14:paraId="3F41FF4E" w14:textId="77777777" w:rsidR="002449C2" w:rsidRDefault="00123961">
      <w:pPr>
        <w:spacing w:after="0" w:line="240" w:lineRule="auto"/>
        <w:ind w:left="142"/>
        <w:jc w:val="both"/>
        <w:rPr>
          <w:rFonts w:ascii="Times New Roman" w:hAnsi="Times New Roman"/>
          <w:sz w:val="26"/>
          <w:szCs w:val="26"/>
          <w:lang w:eastAsia="en-US"/>
        </w:rPr>
      </w:pPr>
      <w:r>
        <w:rPr>
          <w:rFonts w:ascii="Times New Roman" w:hAnsi="Times New Roman"/>
          <w:sz w:val="26"/>
          <w:szCs w:val="26"/>
          <w:lang w:eastAsia="en-US"/>
        </w:rPr>
        <w:t>Сведения о местах работы члена Правления за последние 5 лет и об участии в органах управления и контроля других организаций:</w:t>
      </w:r>
    </w:p>
    <w:tbl>
      <w:tblPr>
        <w:tblW w:w="4900" w:type="pct"/>
        <w:tblInd w:w="72" w:type="dxa"/>
        <w:tblLayout w:type="fixed"/>
        <w:tblCellMar>
          <w:left w:w="72" w:type="dxa"/>
          <w:right w:w="72" w:type="dxa"/>
        </w:tblCellMar>
        <w:tblLook w:val="04A0" w:firstRow="1" w:lastRow="0" w:firstColumn="1" w:lastColumn="0" w:noHBand="0" w:noVBand="1"/>
      </w:tblPr>
      <w:tblGrid>
        <w:gridCol w:w="931"/>
        <w:gridCol w:w="1310"/>
        <w:gridCol w:w="3865"/>
        <w:gridCol w:w="3328"/>
      </w:tblGrid>
      <w:tr w:rsidR="002449C2" w14:paraId="1BCC7D64" w14:textId="77777777">
        <w:tc>
          <w:tcPr>
            <w:tcW w:w="2243" w:type="dxa"/>
            <w:gridSpan w:val="2"/>
            <w:tcBorders>
              <w:top w:val="single" w:sz="4" w:space="0" w:color="000000"/>
              <w:left w:val="single" w:sz="4" w:space="0" w:color="000000"/>
              <w:bottom w:val="single" w:sz="4" w:space="0" w:color="000000"/>
              <w:right w:val="single" w:sz="4" w:space="0" w:color="000000"/>
            </w:tcBorders>
            <w:vAlign w:val="center"/>
          </w:tcPr>
          <w:p w14:paraId="61EC3018"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Период</w:t>
            </w:r>
          </w:p>
        </w:tc>
        <w:tc>
          <w:tcPr>
            <w:tcW w:w="3869" w:type="dxa"/>
            <w:vMerge w:val="restart"/>
            <w:tcBorders>
              <w:top w:val="single" w:sz="4" w:space="0" w:color="000000"/>
              <w:left w:val="single" w:sz="4" w:space="0" w:color="000000"/>
              <w:bottom w:val="single" w:sz="4" w:space="0" w:color="000000"/>
              <w:right w:val="single" w:sz="4" w:space="0" w:color="000000"/>
            </w:tcBorders>
            <w:vAlign w:val="center"/>
          </w:tcPr>
          <w:p w14:paraId="3CFE03FA"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Наименование организации</w:t>
            </w:r>
          </w:p>
        </w:tc>
        <w:tc>
          <w:tcPr>
            <w:tcW w:w="3331" w:type="dxa"/>
            <w:vMerge w:val="restart"/>
            <w:tcBorders>
              <w:top w:val="single" w:sz="4" w:space="0" w:color="000000"/>
              <w:left w:val="single" w:sz="4" w:space="0" w:color="000000"/>
              <w:bottom w:val="single" w:sz="4" w:space="0" w:color="000000"/>
              <w:right w:val="single" w:sz="4" w:space="0" w:color="000000"/>
            </w:tcBorders>
            <w:vAlign w:val="center"/>
          </w:tcPr>
          <w:p w14:paraId="77EB5FF0"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Должность</w:t>
            </w:r>
          </w:p>
        </w:tc>
      </w:tr>
      <w:tr w:rsidR="002449C2" w14:paraId="2E1DFF36" w14:textId="77777777">
        <w:tc>
          <w:tcPr>
            <w:tcW w:w="932" w:type="dxa"/>
            <w:tcBorders>
              <w:top w:val="single" w:sz="4" w:space="0" w:color="000000"/>
              <w:left w:val="single" w:sz="4" w:space="0" w:color="000000"/>
              <w:bottom w:val="single" w:sz="4" w:space="0" w:color="000000"/>
              <w:right w:val="single" w:sz="4" w:space="0" w:color="000000"/>
            </w:tcBorders>
            <w:vAlign w:val="center"/>
          </w:tcPr>
          <w:p w14:paraId="0EF31AE8"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w:t>
            </w:r>
          </w:p>
        </w:tc>
        <w:tc>
          <w:tcPr>
            <w:tcW w:w="1311" w:type="dxa"/>
            <w:tcBorders>
              <w:top w:val="single" w:sz="4" w:space="0" w:color="000000"/>
              <w:left w:val="single" w:sz="4" w:space="0" w:color="000000"/>
              <w:bottom w:val="single" w:sz="4" w:space="0" w:color="000000"/>
              <w:right w:val="single" w:sz="4" w:space="0" w:color="000000"/>
            </w:tcBorders>
            <w:vAlign w:val="center"/>
          </w:tcPr>
          <w:p w14:paraId="1F5BE4E4"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w:t>
            </w:r>
          </w:p>
        </w:tc>
        <w:tc>
          <w:tcPr>
            <w:tcW w:w="3869" w:type="dxa"/>
            <w:vMerge/>
            <w:tcBorders>
              <w:top w:val="single" w:sz="4" w:space="0" w:color="000000"/>
              <w:left w:val="single" w:sz="4" w:space="0" w:color="000000"/>
              <w:bottom w:val="single" w:sz="4" w:space="0" w:color="000000"/>
              <w:right w:val="single" w:sz="4" w:space="0" w:color="000000"/>
            </w:tcBorders>
            <w:vAlign w:val="center"/>
          </w:tcPr>
          <w:p w14:paraId="2368B18F" w14:textId="77777777" w:rsidR="002449C2" w:rsidRDefault="002449C2">
            <w:pPr>
              <w:spacing w:after="0" w:line="240" w:lineRule="auto"/>
              <w:ind w:left="72"/>
              <w:jc w:val="center"/>
              <w:rPr>
                <w:rFonts w:ascii="Times New Roman" w:eastAsia="Times New Roman" w:hAnsi="Times New Roman"/>
                <w:color w:val="000000"/>
                <w:sz w:val="20"/>
                <w:szCs w:val="20"/>
                <w:lang w:eastAsia="ru-RU"/>
              </w:rPr>
            </w:pPr>
          </w:p>
        </w:tc>
        <w:tc>
          <w:tcPr>
            <w:tcW w:w="3331" w:type="dxa"/>
            <w:vMerge/>
            <w:tcBorders>
              <w:top w:val="single" w:sz="4" w:space="0" w:color="000000"/>
              <w:left w:val="single" w:sz="4" w:space="0" w:color="000000"/>
              <w:bottom w:val="single" w:sz="4" w:space="0" w:color="000000"/>
              <w:right w:val="single" w:sz="4" w:space="0" w:color="000000"/>
            </w:tcBorders>
            <w:vAlign w:val="center"/>
          </w:tcPr>
          <w:p w14:paraId="02706D4E" w14:textId="77777777" w:rsidR="002449C2" w:rsidRDefault="002449C2">
            <w:pPr>
              <w:spacing w:after="0" w:line="240" w:lineRule="auto"/>
              <w:ind w:left="72"/>
              <w:jc w:val="center"/>
              <w:rPr>
                <w:rFonts w:ascii="Times New Roman" w:eastAsia="Times New Roman" w:hAnsi="Times New Roman"/>
                <w:color w:val="000000"/>
                <w:sz w:val="20"/>
                <w:szCs w:val="20"/>
                <w:lang w:eastAsia="ru-RU"/>
              </w:rPr>
            </w:pPr>
          </w:p>
        </w:tc>
      </w:tr>
      <w:tr w:rsidR="002449C2" w14:paraId="3B744CD3" w14:textId="77777777">
        <w:trPr>
          <w:trHeight w:val="227"/>
        </w:trPr>
        <w:tc>
          <w:tcPr>
            <w:tcW w:w="932" w:type="dxa"/>
            <w:tcBorders>
              <w:top w:val="single" w:sz="4" w:space="0" w:color="000000"/>
              <w:left w:val="single" w:sz="4" w:space="0" w:color="000000"/>
              <w:bottom w:val="single" w:sz="4" w:space="0" w:color="000000"/>
              <w:right w:val="single" w:sz="4" w:space="0" w:color="000000"/>
            </w:tcBorders>
            <w:vAlign w:val="center"/>
          </w:tcPr>
          <w:p w14:paraId="4FD48519"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2014</w:t>
            </w:r>
          </w:p>
        </w:tc>
        <w:tc>
          <w:tcPr>
            <w:tcW w:w="1311" w:type="dxa"/>
            <w:tcBorders>
              <w:top w:val="single" w:sz="4" w:space="0" w:color="000000"/>
              <w:left w:val="single" w:sz="4" w:space="0" w:color="000000"/>
              <w:bottom w:val="single" w:sz="4" w:space="0" w:color="000000"/>
              <w:right w:val="single" w:sz="4" w:space="0" w:color="000000"/>
            </w:tcBorders>
            <w:vAlign w:val="center"/>
          </w:tcPr>
          <w:p w14:paraId="2702EFB1"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2022</w:t>
            </w:r>
          </w:p>
        </w:tc>
        <w:tc>
          <w:tcPr>
            <w:tcW w:w="3869" w:type="dxa"/>
            <w:tcBorders>
              <w:top w:val="single" w:sz="4" w:space="0" w:color="000000"/>
              <w:left w:val="single" w:sz="4" w:space="0" w:color="000000"/>
              <w:bottom w:val="single" w:sz="4" w:space="0" w:color="000000"/>
              <w:right w:val="single" w:sz="4" w:space="0" w:color="000000"/>
            </w:tcBorders>
            <w:vAlign w:val="center"/>
          </w:tcPr>
          <w:p w14:paraId="36B22A73"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Публичное акционерное общество «Россети Юг»</w:t>
            </w:r>
          </w:p>
        </w:tc>
        <w:tc>
          <w:tcPr>
            <w:tcW w:w="3331" w:type="dxa"/>
            <w:tcBorders>
              <w:top w:val="single" w:sz="4" w:space="0" w:color="000000"/>
              <w:left w:val="single" w:sz="4" w:space="0" w:color="000000"/>
              <w:bottom w:val="single" w:sz="4" w:space="0" w:color="000000"/>
              <w:right w:val="single" w:sz="4" w:space="0" w:color="000000"/>
            </w:tcBorders>
            <w:vAlign w:val="center"/>
          </w:tcPr>
          <w:p w14:paraId="6C134CC0"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Заместитель генерального директора по корпоративному управлению</w:t>
            </w:r>
          </w:p>
        </w:tc>
      </w:tr>
      <w:tr w:rsidR="002449C2" w14:paraId="2DDCF7A6" w14:textId="77777777">
        <w:trPr>
          <w:trHeight w:val="227"/>
        </w:trPr>
        <w:tc>
          <w:tcPr>
            <w:tcW w:w="932" w:type="dxa"/>
            <w:tcBorders>
              <w:top w:val="single" w:sz="4" w:space="0" w:color="000000"/>
              <w:left w:val="single" w:sz="4" w:space="0" w:color="000000"/>
              <w:bottom w:val="single" w:sz="4" w:space="0" w:color="000000"/>
              <w:right w:val="single" w:sz="4" w:space="0" w:color="000000"/>
            </w:tcBorders>
            <w:vAlign w:val="center"/>
          </w:tcPr>
          <w:p w14:paraId="77B403DB"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2018</w:t>
            </w:r>
          </w:p>
        </w:tc>
        <w:tc>
          <w:tcPr>
            <w:tcW w:w="1311" w:type="dxa"/>
            <w:tcBorders>
              <w:top w:val="single" w:sz="4" w:space="0" w:color="000000"/>
              <w:left w:val="single" w:sz="4" w:space="0" w:color="000000"/>
              <w:bottom w:val="single" w:sz="4" w:space="0" w:color="000000"/>
              <w:right w:val="single" w:sz="4" w:space="0" w:color="000000"/>
            </w:tcBorders>
            <w:vAlign w:val="center"/>
          </w:tcPr>
          <w:p w14:paraId="5004D428"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настоящее время</w:t>
            </w:r>
          </w:p>
        </w:tc>
        <w:tc>
          <w:tcPr>
            <w:tcW w:w="3869" w:type="dxa"/>
            <w:tcBorders>
              <w:top w:val="single" w:sz="4" w:space="0" w:color="000000"/>
              <w:left w:val="single" w:sz="4" w:space="0" w:color="000000"/>
              <w:bottom w:val="single" w:sz="4" w:space="0" w:color="000000"/>
              <w:right w:val="single" w:sz="4" w:space="0" w:color="000000"/>
            </w:tcBorders>
            <w:vAlign w:val="center"/>
          </w:tcPr>
          <w:p w14:paraId="644BD613"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Акционерное общество «Волгоградские межрайонные электрические сети»</w:t>
            </w:r>
          </w:p>
        </w:tc>
        <w:tc>
          <w:tcPr>
            <w:tcW w:w="3331" w:type="dxa"/>
            <w:tcBorders>
              <w:top w:val="single" w:sz="4" w:space="0" w:color="000000"/>
              <w:left w:val="single" w:sz="4" w:space="0" w:color="000000"/>
              <w:bottom w:val="single" w:sz="4" w:space="0" w:color="000000"/>
              <w:right w:val="single" w:sz="4" w:space="0" w:color="000000"/>
            </w:tcBorders>
            <w:vAlign w:val="center"/>
          </w:tcPr>
          <w:p w14:paraId="4C60850C"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inherit" w:eastAsia="Times New Roman" w:hAnsi="inherit"/>
                <w:color w:val="000000"/>
                <w:sz w:val="20"/>
                <w:szCs w:val="20"/>
                <w:lang w:eastAsia="ru-RU"/>
              </w:rPr>
              <w:t>Член Совета директоров</w:t>
            </w:r>
          </w:p>
        </w:tc>
      </w:tr>
      <w:tr w:rsidR="002449C2" w14:paraId="428B9466" w14:textId="77777777">
        <w:trPr>
          <w:trHeight w:val="227"/>
        </w:trPr>
        <w:tc>
          <w:tcPr>
            <w:tcW w:w="932" w:type="dxa"/>
            <w:tcBorders>
              <w:top w:val="single" w:sz="4" w:space="0" w:color="000000"/>
              <w:left w:val="single" w:sz="4" w:space="0" w:color="000000"/>
              <w:bottom w:val="single" w:sz="4" w:space="0" w:color="000000"/>
              <w:right w:val="single" w:sz="4" w:space="0" w:color="000000"/>
            </w:tcBorders>
            <w:vAlign w:val="center"/>
          </w:tcPr>
          <w:p w14:paraId="1115706D"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2019</w:t>
            </w:r>
          </w:p>
        </w:tc>
        <w:tc>
          <w:tcPr>
            <w:tcW w:w="1311" w:type="dxa"/>
            <w:tcBorders>
              <w:top w:val="single" w:sz="4" w:space="0" w:color="000000"/>
              <w:left w:val="single" w:sz="4" w:space="0" w:color="000000"/>
              <w:bottom w:val="single" w:sz="4" w:space="0" w:color="000000"/>
              <w:right w:val="single" w:sz="4" w:space="0" w:color="000000"/>
            </w:tcBorders>
            <w:vAlign w:val="center"/>
          </w:tcPr>
          <w:p w14:paraId="7E86C642"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настоящее время</w:t>
            </w:r>
          </w:p>
        </w:tc>
        <w:tc>
          <w:tcPr>
            <w:tcW w:w="3869" w:type="dxa"/>
            <w:tcBorders>
              <w:top w:val="single" w:sz="4" w:space="0" w:color="000000"/>
              <w:left w:val="single" w:sz="4" w:space="0" w:color="000000"/>
              <w:bottom w:val="single" w:sz="4" w:space="0" w:color="000000"/>
              <w:right w:val="single" w:sz="4" w:space="0" w:color="000000"/>
            </w:tcBorders>
            <w:vAlign w:val="center"/>
          </w:tcPr>
          <w:p w14:paraId="1370C8D1"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Публичное акционерное общество «Россети Юг»</w:t>
            </w:r>
          </w:p>
        </w:tc>
        <w:tc>
          <w:tcPr>
            <w:tcW w:w="3331" w:type="dxa"/>
            <w:tcBorders>
              <w:top w:val="single" w:sz="4" w:space="0" w:color="000000"/>
              <w:left w:val="single" w:sz="4" w:space="0" w:color="000000"/>
              <w:bottom w:val="single" w:sz="4" w:space="0" w:color="000000"/>
              <w:right w:val="single" w:sz="4" w:space="0" w:color="000000"/>
            </w:tcBorders>
            <w:vAlign w:val="center"/>
          </w:tcPr>
          <w:p w14:paraId="68D4B0B2"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inherit" w:eastAsia="Times New Roman" w:hAnsi="inherit"/>
                <w:color w:val="000000"/>
                <w:sz w:val="20"/>
                <w:szCs w:val="20"/>
                <w:lang w:eastAsia="ru-RU"/>
              </w:rPr>
              <w:t>Член Правления</w:t>
            </w:r>
          </w:p>
        </w:tc>
      </w:tr>
      <w:tr w:rsidR="002449C2" w14:paraId="2E1CA837" w14:textId="77777777">
        <w:trPr>
          <w:trHeight w:val="227"/>
        </w:trPr>
        <w:tc>
          <w:tcPr>
            <w:tcW w:w="932" w:type="dxa"/>
            <w:tcBorders>
              <w:top w:val="single" w:sz="4" w:space="0" w:color="000000"/>
              <w:left w:val="single" w:sz="4" w:space="0" w:color="000000"/>
              <w:bottom w:val="single" w:sz="4" w:space="0" w:color="000000"/>
              <w:right w:val="single" w:sz="4" w:space="0" w:color="000000"/>
            </w:tcBorders>
            <w:vAlign w:val="center"/>
          </w:tcPr>
          <w:p w14:paraId="7FC8F0EE"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2021</w:t>
            </w:r>
          </w:p>
        </w:tc>
        <w:tc>
          <w:tcPr>
            <w:tcW w:w="1311" w:type="dxa"/>
            <w:tcBorders>
              <w:top w:val="single" w:sz="4" w:space="0" w:color="000000"/>
              <w:left w:val="single" w:sz="4" w:space="0" w:color="000000"/>
              <w:bottom w:val="single" w:sz="4" w:space="0" w:color="000000"/>
              <w:right w:val="single" w:sz="4" w:space="0" w:color="000000"/>
            </w:tcBorders>
            <w:vAlign w:val="center"/>
          </w:tcPr>
          <w:p w14:paraId="5ACFDF88"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2022</w:t>
            </w:r>
          </w:p>
        </w:tc>
        <w:tc>
          <w:tcPr>
            <w:tcW w:w="3869" w:type="dxa"/>
            <w:tcBorders>
              <w:top w:val="single" w:sz="4" w:space="0" w:color="000000"/>
              <w:left w:val="single" w:sz="4" w:space="0" w:color="000000"/>
              <w:bottom w:val="single" w:sz="4" w:space="0" w:color="000000"/>
              <w:right w:val="single" w:sz="4" w:space="0" w:color="000000"/>
            </w:tcBorders>
            <w:vAlign w:val="center"/>
          </w:tcPr>
          <w:p w14:paraId="73BF5505"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Публичное акционерное общество «Россети Кубань»</w:t>
            </w:r>
          </w:p>
        </w:tc>
        <w:tc>
          <w:tcPr>
            <w:tcW w:w="3331" w:type="dxa"/>
            <w:tcBorders>
              <w:top w:val="single" w:sz="4" w:space="0" w:color="000000"/>
              <w:left w:val="single" w:sz="4" w:space="0" w:color="000000"/>
              <w:bottom w:val="single" w:sz="4" w:space="0" w:color="000000"/>
              <w:right w:val="single" w:sz="4" w:space="0" w:color="000000"/>
            </w:tcBorders>
            <w:vAlign w:val="center"/>
          </w:tcPr>
          <w:p w14:paraId="0E2DA13F"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Помощник генерального директора управления делами департамента управления делами (по совместительству)</w:t>
            </w:r>
          </w:p>
          <w:p w14:paraId="078FAE41" w14:textId="77777777" w:rsidR="002449C2" w:rsidRDefault="002449C2">
            <w:pPr>
              <w:spacing w:after="0" w:line="240" w:lineRule="auto"/>
              <w:ind w:left="72"/>
              <w:jc w:val="both"/>
              <w:rPr>
                <w:rFonts w:ascii="inherit" w:eastAsia="Times New Roman" w:hAnsi="inherit"/>
                <w:color w:val="000000"/>
                <w:sz w:val="21"/>
                <w:szCs w:val="21"/>
                <w:lang w:eastAsia="ru-RU"/>
              </w:rPr>
            </w:pPr>
          </w:p>
        </w:tc>
      </w:tr>
      <w:tr w:rsidR="002449C2" w14:paraId="3F3774E5" w14:textId="77777777">
        <w:trPr>
          <w:trHeight w:val="227"/>
        </w:trPr>
        <w:tc>
          <w:tcPr>
            <w:tcW w:w="932" w:type="dxa"/>
            <w:tcBorders>
              <w:top w:val="single" w:sz="4" w:space="0" w:color="000000"/>
              <w:left w:val="single" w:sz="4" w:space="0" w:color="000000"/>
              <w:bottom w:val="single" w:sz="4" w:space="0" w:color="000000"/>
              <w:right w:val="single" w:sz="4" w:space="0" w:color="000000"/>
            </w:tcBorders>
            <w:vAlign w:val="center"/>
          </w:tcPr>
          <w:p w14:paraId="1C6E0D17"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2022</w:t>
            </w:r>
          </w:p>
        </w:tc>
        <w:tc>
          <w:tcPr>
            <w:tcW w:w="1311" w:type="dxa"/>
            <w:tcBorders>
              <w:top w:val="single" w:sz="4" w:space="0" w:color="000000"/>
              <w:left w:val="single" w:sz="4" w:space="0" w:color="000000"/>
              <w:bottom w:val="single" w:sz="4" w:space="0" w:color="000000"/>
              <w:right w:val="single" w:sz="4" w:space="0" w:color="000000"/>
            </w:tcBorders>
            <w:vAlign w:val="center"/>
          </w:tcPr>
          <w:p w14:paraId="44F8ED4B"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2024</w:t>
            </w:r>
          </w:p>
        </w:tc>
        <w:tc>
          <w:tcPr>
            <w:tcW w:w="3869" w:type="dxa"/>
            <w:tcBorders>
              <w:top w:val="single" w:sz="4" w:space="0" w:color="000000"/>
              <w:left w:val="single" w:sz="4" w:space="0" w:color="000000"/>
              <w:bottom w:val="single" w:sz="4" w:space="0" w:color="000000"/>
              <w:right w:val="single" w:sz="4" w:space="0" w:color="000000"/>
            </w:tcBorders>
            <w:vAlign w:val="center"/>
          </w:tcPr>
          <w:p w14:paraId="1CB42A18"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Публичное акционерное общество «Россети Кубань»</w:t>
            </w:r>
          </w:p>
        </w:tc>
        <w:tc>
          <w:tcPr>
            <w:tcW w:w="3331" w:type="dxa"/>
            <w:tcBorders>
              <w:top w:val="single" w:sz="4" w:space="0" w:color="000000"/>
              <w:left w:val="single" w:sz="4" w:space="0" w:color="000000"/>
              <w:bottom w:val="single" w:sz="4" w:space="0" w:color="000000"/>
              <w:right w:val="single" w:sz="4" w:space="0" w:color="000000"/>
            </w:tcBorders>
            <w:vAlign w:val="center"/>
          </w:tcPr>
          <w:p w14:paraId="46BF9803"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Помощник генерального директора общего руководства исполнительного аппарата (по совместительству)</w:t>
            </w:r>
          </w:p>
        </w:tc>
      </w:tr>
      <w:tr w:rsidR="002449C2" w14:paraId="6BA8DF5C" w14:textId="77777777">
        <w:trPr>
          <w:trHeight w:val="227"/>
        </w:trPr>
        <w:tc>
          <w:tcPr>
            <w:tcW w:w="932" w:type="dxa"/>
            <w:tcBorders>
              <w:top w:val="single" w:sz="4" w:space="0" w:color="000000"/>
              <w:left w:val="single" w:sz="4" w:space="0" w:color="000000"/>
              <w:bottom w:val="single" w:sz="4" w:space="0" w:color="000000"/>
              <w:right w:val="single" w:sz="4" w:space="0" w:color="000000"/>
            </w:tcBorders>
            <w:vAlign w:val="center"/>
          </w:tcPr>
          <w:p w14:paraId="4D8C4BCF"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2022</w:t>
            </w:r>
          </w:p>
        </w:tc>
        <w:tc>
          <w:tcPr>
            <w:tcW w:w="1311" w:type="dxa"/>
            <w:tcBorders>
              <w:top w:val="single" w:sz="4" w:space="0" w:color="000000"/>
              <w:left w:val="single" w:sz="4" w:space="0" w:color="000000"/>
              <w:bottom w:val="single" w:sz="4" w:space="0" w:color="000000"/>
              <w:right w:val="single" w:sz="4" w:space="0" w:color="000000"/>
            </w:tcBorders>
            <w:vAlign w:val="center"/>
          </w:tcPr>
          <w:p w14:paraId="1A451D24"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настоящее время</w:t>
            </w:r>
          </w:p>
        </w:tc>
        <w:tc>
          <w:tcPr>
            <w:tcW w:w="3869" w:type="dxa"/>
            <w:tcBorders>
              <w:top w:val="single" w:sz="4" w:space="0" w:color="000000"/>
              <w:left w:val="single" w:sz="4" w:space="0" w:color="000000"/>
              <w:bottom w:val="single" w:sz="4" w:space="0" w:color="000000"/>
              <w:right w:val="single" w:sz="4" w:space="0" w:color="000000"/>
            </w:tcBorders>
            <w:vAlign w:val="center"/>
          </w:tcPr>
          <w:p w14:paraId="687BB8DB"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Публичное акционерное общество «Россети Юг»</w:t>
            </w:r>
          </w:p>
        </w:tc>
        <w:tc>
          <w:tcPr>
            <w:tcW w:w="3331" w:type="dxa"/>
            <w:tcBorders>
              <w:top w:val="single" w:sz="4" w:space="0" w:color="000000"/>
              <w:left w:val="single" w:sz="4" w:space="0" w:color="000000"/>
              <w:bottom w:val="single" w:sz="4" w:space="0" w:color="000000"/>
              <w:right w:val="single" w:sz="4" w:space="0" w:color="000000"/>
            </w:tcBorders>
            <w:vAlign w:val="center"/>
          </w:tcPr>
          <w:p w14:paraId="6D6F8E09"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Заместитель Генерального директора по правовому и корпоративному управлению</w:t>
            </w:r>
          </w:p>
        </w:tc>
      </w:tr>
      <w:tr w:rsidR="002449C2" w14:paraId="4B46AED8" w14:textId="77777777">
        <w:trPr>
          <w:trHeight w:val="227"/>
        </w:trPr>
        <w:tc>
          <w:tcPr>
            <w:tcW w:w="932" w:type="dxa"/>
            <w:tcBorders>
              <w:top w:val="single" w:sz="4" w:space="0" w:color="000000"/>
              <w:left w:val="single" w:sz="4" w:space="0" w:color="000000"/>
              <w:bottom w:val="single" w:sz="4" w:space="0" w:color="000000"/>
              <w:right w:val="single" w:sz="4" w:space="0" w:color="000000"/>
            </w:tcBorders>
            <w:vAlign w:val="center"/>
          </w:tcPr>
          <w:p w14:paraId="488DC26F"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2024</w:t>
            </w:r>
          </w:p>
        </w:tc>
        <w:tc>
          <w:tcPr>
            <w:tcW w:w="1311" w:type="dxa"/>
            <w:tcBorders>
              <w:top w:val="single" w:sz="4" w:space="0" w:color="000000"/>
              <w:left w:val="single" w:sz="4" w:space="0" w:color="000000"/>
              <w:bottom w:val="single" w:sz="4" w:space="0" w:color="000000"/>
              <w:right w:val="single" w:sz="4" w:space="0" w:color="000000"/>
            </w:tcBorders>
            <w:vAlign w:val="center"/>
          </w:tcPr>
          <w:p w14:paraId="0168F977"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настоящее время</w:t>
            </w:r>
          </w:p>
        </w:tc>
        <w:tc>
          <w:tcPr>
            <w:tcW w:w="3869" w:type="dxa"/>
            <w:tcBorders>
              <w:top w:val="single" w:sz="4" w:space="0" w:color="000000"/>
              <w:left w:val="single" w:sz="4" w:space="0" w:color="000000"/>
              <w:bottom w:val="single" w:sz="4" w:space="0" w:color="000000"/>
              <w:right w:val="single" w:sz="4" w:space="0" w:color="000000"/>
            </w:tcBorders>
            <w:vAlign w:val="center"/>
          </w:tcPr>
          <w:p w14:paraId="3336F53E"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Публичное акционерное общество «Россети Кубань»</w:t>
            </w:r>
          </w:p>
        </w:tc>
        <w:tc>
          <w:tcPr>
            <w:tcW w:w="3331" w:type="dxa"/>
            <w:tcBorders>
              <w:top w:val="single" w:sz="4" w:space="0" w:color="000000"/>
              <w:left w:val="single" w:sz="4" w:space="0" w:color="000000"/>
              <w:bottom w:val="single" w:sz="4" w:space="0" w:color="000000"/>
              <w:right w:val="single" w:sz="4" w:space="0" w:color="000000"/>
            </w:tcBorders>
            <w:vAlign w:val="center"/>
          </w:tcPr>
          <w:p w14:paraId="5E6B090A"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Заместитель Генерального директора по корпоративному управлению (по совместительству), член Правления</w:t>
            </w:r>
          </w:p>
        </w:tc>
      </w:tr>
      <w:tr w:rsidR="002449C2" w14:paraId="1D971B66" w14:textId="77777777">
        <w:trPr>
          <w:trHeight w:val="393"/>
        </w:trPr>
        <w:tc>
          <w:tcPr>
            <w:tcW w:w="6112" w:type="dxa"/>
            <w:gridSpan w:val="3"/>
            <w:tcBorders>
              <w:top w:val="single" w:sz="4" w:space="0" w:color="000000"/>
              <w:left w:val="single" w:sz="4" w:space="0" w:color="000000"/>
              <w:bottom w:val="single" w:sz="4" w:space="0" w:color="000000"/>
              <w:right w:val="single" w:sz="4" w:space="0" w:color="000000"/>
            </w:tcBorders>
            <w:vAlign w:val="center"/>
          </w:tcPr>
          <w:p w14:paraId="71AE6D55"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olor w:val="000000"/>
                <w:sz w:val="20"/>
                <w:szCs w:val="20"/>
                <w:lang w:eastAsia="ru-RU"/>
              </w:rPr>
              <w:t>Дата первого избрания членом Правления</w:t>
            </w:r>
          </w:p>
        </w:tc>
        <w:tc>
          <w:tcPr>
            <w:tcW w:w="3331" w:type="dxa"/>
            <w:tcBorders>
              <w:top w:val="single" w:sz="4" w:space="0" w:color="000000"/>
              <w:left w:val="single" w:sz="4" w:space="0" w:color="000000"/>
              <w:bottom w:val="single" w:sz="4" w:space="0" w:color="000000"/>
              <w:right w:val="single" w:sz="4" w:space="0" w:color="000000"/>
            </w:tcBorders>
            <w:vAlign w:val="center"/>
          </w:tcPr>
          <w:p w14:paraId="4BA5400D"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27.02.2019</w:t>
            </w:r>
          </w:p>
        </w:tc>
      </w:tr>
    </w:tbl>
    <w:p w14:paraId="0F99A04A" w14:textId="77777777" w:rsidR="002449C2" w:rsidRDefault="002449C2">
      <w:pPr>
        <w:spacing w:after="0" w:line="240" w:lineRule="auto"/>
        <w:ind w:left="142"/>
        <w:rPr>
          <w:rFonts w:ascii="Times New Roman" w:hAnsi="Times New Roman"/>
          <w:b/>
          <w:sz w:val="26"/>
          <w:szCs w:val="26"/>
          <w:lang w:eastAsia="en-US"/>
        </w:rPr>
      </w:pPr>
    </w:p>
    <w:p w14:paraId="13A70290" w14:textId="77777777" w:rsidR="002449C2" w:rsidRDefault="00123961">
      <w:pPr>
        <w:spacing w:after="0" w:line="240" w:lineRule="auto"/>
        <w:ind w:left="142"/>
        <w:rPr>
          <w:rFonts w:ascii="Times New Roman" w:hAnsi="Times New Roman"/>
          <w:b/>
          <w:sz w:val="26"/>
          <w:szCs w:val="26"/>
          <w:lang w:eastAsia="en-US"/>
        </w:rPr>
      </w:pPr>
      <w:r>
        <w:rPr>
          <w:rFonts w:ascii="Times New Roman" w:hAnsi="Times New Roman"/>
          <w:b/>
          <w:sz w:val="26"/>
          <w:szCs w:val="26"/>
          <w:lang w:eastAsia="en-US"/>
        </w:rPr>
        <w:t xml:space="preserve">Часовской Александр Александрович </w:t>
      </w:r>
    </w:p>
    <w:p w14:paraId="091A1353" w14:textId="77777777" w:rsidR="002449C2" w:rsidRDefault="00123961">
      <w:pPr>
        <w:spacing w:after="0" w:line="240" w:lineRule="auto"/>
        <w:ind w:left="142"/>
        <w:rPr>
          <w:rFonts w:ascii="Times New Roman" w:hAnsi="Times New Roman"/>
          <w:sz w:val="26"/>
          <w:szCs w:val="26"/>
          <w:lang w:eastAsia="en-US"/>
        </w:rPr>
      </w:pPr>
      <w:r>
        <w:rPr>
          <w:rFonts w:ascii="Times New Roman" w:hAnsi="Times New Roman"/>
          <w:sz w:val="26"/>
          <w:szCs w:val="26"/>
          <w:lang w:eastAsia="en-US"/>
        </w:rPr>
        <w:t>Год рождения: 1957</w:t>
      </w:r>
    </w:p>
    <w:p w14:paraId="486415CB" w14:textId="77777777" w:rsidR="002449C2" w:rsidRDefault="00123961">
      <w:pPr>
        <w:spacing w:after="0" w:line="240" w:lineRule="auto"/>
        <w:ind w:left="142"/>
        <w:jc w:val="both"/>
        <w:rPr>
          <w:rFonts w:ascii="Times New Roman" w:hAnsi="Times New Roman"/>
          <w:sz w:val="26"/>
          <w:szCs w:val="26"/>
          <w:lang w:eastAsia="en-US"/>
        </w:rPr>
      </w:pPr>
      <w:r>
        <w:rPr>
          <w:rFonts w:ascii="Times New Roman" w:hAnsi="Times New Roman"/>
          <w:sz w:val="26"/>
          <w:szCs w:val="26"/>
          <w:lang w:eastAsia="en-US"/>
        </w:rPr>
        <w:t>Образование: Высшее.</w:t>
      </w:r>
    </w:p>
    <w:p w14:paraId="42A4E0E4" w14:textId="77777777" w:rsidR="002449C2" w:rsidRDefault="00123961">
      <w:pPr>
        <w:spacing w:after="0" w:line="240" w:lineRule="auto"/>
        <w:ind w:left="142"/>
        <w:jc w:val="both"/>
        <w:rPr>
          <w:rFonts w:ascii="Times New Roman" w:hAnsi="Times New Roman"/>
          <w:sz w:val="26"/>
          <w:szCs w:val="26"/>
          <w:lang w:eastAsia="ru-RU"/>
        </w:rPr>
      </w:pPr>
      <w:r>
        <w:rPr>
          <w:rFonts w:ascii="Times New Roman" w:hAnsi="Times New Roman"/>
          <w:sz w:val="26"/>
          <w:szCs w:val="26"/>
          <w:lang w:eastAsia="en-US"/>
        </w:rPr>
        <w:t xml:space="preserve">1978, </w:t>
      </w:r>
      <w:r>
        <w:rPr>
          <w:rFonts w:ascii="Times New Roman" w:hAnsi="Times New Roman"/>
          <w:sz w:val="26"/>
          <w:szCs w:val="26"/>
          <w:lang w:eastAsia="ru-RU"/>
        </w:rPr>
        <w:t>Московское высшее пограничное командное Краснознаменное училище КГБ при СМ СССР им. Моссовета, квалификация «общевойсковой офицер с высшим общим образованием», специальность «командная, общевойсковая»;</w:t>
      </w:r>
    </w:p>
    <w:p w14:paraId="4A5463FE" w14:textId="77777777" w:rsidR="002449C2" w:rsidRDefault="00123961">
      <w:pPr>
        <w:spacing w:after="0" w:line="240" w:lineRule="auto"/>
        <w:ind w:left="142"/>
        <w:jc w:val="both"/>
        <w:rPr>
          <w:rFonts w:ascii="Times New Roman" w:hAnsi="Times New Roman"/>
          <w:sz w:val="26"/>
          <w:szCs w:val="26"/>
          <w:lang w:eastAsia="en-US"/>
        </w:rPr>
      </w:pPr>
      <w:r>
        <w:rPr>
          <w:rFonts w:ascii="Times New Roman" w:hAnsi="Times New Roman"/>
          <w:sz w:val="26"/>
          <w:szCs w:val="26"/>
          <w:lang w:eastAsia="ru-RU"/>
        </w:rPr>
        <w:t>1985, Краснознаменный институт КГБ СССР им. Ю.В. Андропова, квалификация «референт-международник», специальность «международные отношения».</w:t>
      </w:r>
    </w:p>
    <w:p w14:paraId="228CE6F6" w14:textId="77777777" w:rsidR="002449C2" w:rsidRDefault="00123961">
      <w:pPr>
        <w:spacing w:after="0" w:line="240" w:lineRule="auto"/>
        <w:ind w:left="142"/>
        <w:jc w:val="both"/>
        <w:rPr>
          <w:rFonts w:ascii="Times New Roman" w:hAnsi="Times New Roman"/>
          <w:sz w:val="26"/>
          <w:szCs w:val="26"/>
          <w:lang w:eastAsia="en-US"/>
        </w:rPr>
      </w:pPr>
      <w:r>
        <w:rPr>
          <w:rFonts w:ascii="Times New Roman" w:hAnsi="Times New Roman"/>
          <w:sz w:val="26"/>
          <w:szCs w:val="26"/>
          <w:lang w:eastAsia="en-US"/>
        </w:rPr>
        <w:t>Сведения о местах работы члена Правления за последние 5 лет и об участии в органах управления и контроля других организаций:</w:t>
      </w:r>
    </w:p>
    <w:tbl>
      <w:tblPr>
        <w:tblW w:w="4900" w:type="pct"/>
        <w:tblInd w:w="72" w:type="dxa"/>
        <w:tblLayout w:type="fixed"/>
        <w:tblCellMar>
          <w:left w:w="72" w:type="dxa"/>
          <w:right w:w="72" w:type="dxa"/>
        </w:tblCellMar>
        <w:tblLook w:val="04A0" w:firstRow="1" w:lastRow="0" w:firstColumn="1" w:lastColumn="0" w:noHBand="0" w:noVBand="1"/>
      </w:tblPr>
      <w:tblGrid>
        <w:gridCol w:w="1272"/>
        <w:gridCol w:w="1208"/>
        <w:gridCol w:w="3626"/>
        <w:gridCol w:w="3328"/>
      </w:tblGrid>
      <w:tr w:rsidR="002449C2" w14:paraId="730C6127" w14:textId="77777777">
        <w:tc>
          <w:tcPr>
            <w:tcW w:w="2482" w:type="dxa"/>
            <w:gridSpan w:val="2"/>
            <w:tcBorders>
              <w:top w:val="single" w:sz="4" w:space="0" w:color="000000"/>
              <w:left w:val="single" w:sz="4" w:space="0" w:color="000000"/>
              <w:bottom w:val="single" w:sz="4" w:space="0" w:color="000000"/>
              <w:right w:val="single" w:sz="4" w:space="0" w:color="000000"/>
            </w:tcBorders>
            <w:vAlign w:val="center"/>
          </w:tcPr>
          <w:p w14:paraId="12851D1F"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Период</w:t>
            </w:r>
          </w:p>
        </w:tc>
        <w:tc>
          <w:tcPr>
            <w:tcW w:w="3630" w:type="dxa"/>
            <w:vMerge w:val="restart"/>
            <w:tcBorders>
              <w:top w:val="single" w:sz="4" w:space="0" w:color="000000"/>
              <w:left w:val="single" w:sz="4" w:space="0" w:color="000000"/>
              <w:bottom w:val="single" w:sz="4" w:space="0" w:color="000000"/>
              <w:right w:val="single" w:sz="4" w:space="0" w:color="000000"/>
            </w:tcBorders>
            <w:vAlign w:val="center"/>
          </w:tcPr>
          <w:p w14:paraId="17BAF91E"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Наименование организации</w:t>
            </w:r>
          </w:p>
        </w:tc>
        <w:tc>
          <w:tcPr>
            <w:tcW w:w="3331" w:type="dxa"/>
            <w:vMerge w:val="restart"/>
            <w:tcBorders>
              <w:top w:val="single" w:sz="4" w:space="0" w:color="000000"/>
              <w:left w:val="single" w:sz="4" w:space="0" w:color="000000"/>
              <w:bottom w:val="single" w:sz="4" w:space="0" w:color="000000"/>
              <w:right w:val="single" w:sz="4" w:space="0" w:color="000000"/>
            </w:tcBorders>
            <w:vAlign w:val="center"/>
          </w:tcPr>
          <w:p w14:paraId="7AF3B8FB"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Должность</w:t>
            </w:r>
          </w:p>
        </w:tc>
      </w:tr>
      <w:tr w:rsidR="002449C2" w14:paraId="2075EC7E" w14:textId="77777777">
        <w:tc>
          <w:tcPr>
            <w:tcW w:w="1273" w:type="dxa"/>
            <w:tcBorders>
              <w:top w:val="single" w:sz="4" w:space="0" w:color="000000"/>
              <w:left w:val="single" w:sz="4" w:space="0" w:color="000000"/>
              <w:bottom w:val="single" w:sz="4" w:space="0" w:color="000000"/>
              <w:right w:val="single" w:sz="4" w:space="0" w:color="000000"/>
            </w:tcBorders>
            <w:vAlign w:val="center"/>
          </w:tcPr>
          <w:p w14:paraId="3CF80BA1"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w:t>
            </w:r>
          </w:p>
        </w:tc>
        <w:tc>
          <w:tcPr>
            <w:tcW w:w="1209" w:type="dxa"/>
            <w:tcBorders>
              <w:top w:val="single" w:sz="4" w:space="0" w:color="000000"/>
              <w:left w:val="single" w:sz="4" w:space="0" w:color="000000"/>
              <w:bottom w:val="single" w:sz="4" w:space="0" w:color="000000"/>
              <w:right w:val="single" w:sz="4" w:space="0" w:color="000000"/>
            </w:tcBorders>
            <w:vAlign w:val="center"/>
          </w:tcPr>
          <w:p w14:paraId="12E30013" w14:textId="77777777" w:rsidR="002449C2" w:rsidRDefault="00123961">
            <w:pPr>
              <w:spacing w:after="0" w:line="240" w:lineRule="auto"/>
              <w:ind w:left="72"/>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w:t>
            </w:r>
          </w:p>
        </w:tc>
        <w:tc>
          <w:tcPr>
            <w:tcW w:w="3630" w:type="dxa"/>
            <w:vMerge/>
            <w:tcBorders>
              <w:top w:val="single" w:sz="4" w:space="0" w:color="000000"/>
              <w:left w:val="single" w:sz="4" w:space="0" w:color="000000"/>
              <w:bottom w:val="single" w:sz="4" w:space="0" w:color="000000"/>
              <w:right w:val="single" w:sz="4" w:space="0" w:color="000000"/>
            </w:tcBorders>
            <w:vAlign w:val="center"/>
          </w:tcPr>
          <w:p w14:paraId="2986918D" w14:textId="77777777" w:rsidR="002449C2" w:rsidRDefault="002449C2">
            <w:pPr>
              <w:spacing w:after="0" w:line="240" w:lineRule="auto"/>
              <w:ind w:left="72"/>
              <w:jc w:val="center"/>
              <w:rPr>
                <w:rFonts w:ascii="Times New Roman" w:eastAsia="Times New Roman" w:hAnsi="Times New Roman"/>
                <w:color w:val="000000"/>
                <w:sz w:val="20"/>
                <w:szCs w:val="20"/>
                <w:lang w:eastAsia="ru-RU"/>
              </w:rPr>
            </w:pPr>
          </w:p>
        </w:tc>
        <w:tc>
          <w:tcPr>
            <w:tcW w:w="3331" w:type="dxa"/>
            <w:vMerge/>
            <w:tcBorders>
              <w:top w:val="single" w:sz="4" w:space="0" w:color="000000"/>
              <w:left w:val="single" w:sz="4" w:space="0" w:color="000000"/>
              <w:bottom w:val="single" w:sz="4" w:space="0" w:color="000000"/>
              <w:right w:val="single" w:sz="4" w:space="0" w:color="000000"/>
            </w:tcBorders>
            <w:vAlign w:val="center"/>
          </w:tcPr>
          <w:p w14:paraId="2A8A8DFD" w14:textId="77777777" w:rsidR="002449C2" w:rsidRDefault="002449C2">
            <w:pPr>
              <w:spacing w:after="0" w:line="240" w:lineRule="auto"/>
              <w:ind w:left="72"/>
              <w:jc w:val="center"/>
              <w:rPr>
                <w:rFonts w:ascii="Times New Roman" w:eastAsia="Times New Roman" w:hAnsi="Times New Roman"/>
                <w:color w:val="000000"/>
                <w:sz w:val="20"/>
                <w:szCs w:val="20"/>
                <w:lang w:eastAsia="ru-RU"/>
              </w:rPr>
            </w:pPr>
          </w:p>
        </w:tc>
      </w:tr>
      <w:tr w:rsidR="002449C2" w14:paraId="3C053C0F" w14:textId="77777777">
        <w:trPr>
          <w:trHeight w:val="227"/>
        </w:trPr>
        <w:tc>
          <w:tcPr>
            <w:tcW w:w="1273" w:type="dxa"/>
            <w:tcBorders>
              <w:top w:val="single" w:sz="4" w:space="0" w:color="000000"/>
              <w:left w:val="single" w:sz="4" w:space="0" w:color="000000"/>
              <w:bottom w:val="single" w:sz="4" w:space="0" w:color="000000"/>
              <w:right w:val="single" w:sz="4" w:space="0" w:color="000000"/>
            </w:tcBorders>
            <w:vAlign w:val="center"/>
          </w:tcPr>
          <w:p w14:paraId="66FE5F7C"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2013</w:t>
            </w:r>
          </w:p>
        </w:tc>
        <w:tc>
          <w:tcPr>
            <w:tcW w:w="1209" w:type="dxa"/>
            <w:tcBorders>
              <w:top w:val="single" w:sz="4" w:space="0" w:color="000000"/>
              <w:left w:val="single" w:sz="4" w:space="0" w:color="000000"/>
              <w:bottom w:val="single" w:sz="4" w:space="0" w:color="000000"/>
              <w:right w:val="single" w:sz="4" w:space="0" w:color="000000"/>
            </w:tcBorders>
            <w:vAlign w:val="center"/>
          </w:tcPr>
          <w:p w14:paraId="47A1FD5A"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настоящее время</w:t>
            </w:r>
          </w:p>
        </w:tc>
        <w:tc>
          <w:tcPr>
            <w:tcW w:w="3630" w:type="dxa"/>
            <w:tcBorders>
              <w:top w:val="single" w:sz="4" w:space="0" w:color="000000"/>
              <w:left w:val="single" w:sz="4" w:space="0" w:color="000000"/>
              <w:bottom w:val="single" w:sz="4" w:space="0" w:color="000000"/>
              <w:right w:val="single" w:sz="4" w:space="0" w:color="000000"/>
            </w:tcBorders>
            <w:vAlign w:val="center"/>
          </w:tcPr>
          <w:p w14:paraId="2C812F5A"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Публичное акционерное общество «Россети Юг»</w:t>
            </w:r>
          </w:p>
        </w:tc>
        <w:tc>
          <w:tcPr>
            <w:tcW w:w="3331" w:type="dxa"/>
            <w:tcBorders>
              <w:top w:val="single" w:sz="4" w:space="0" w:color="000000"/>
              <w:left w:val="single" w:sz="4" w:space="0" w:color="000000"/>
              <w:bottom w:val="single" w:sz="4" w:space="0" w:color="000000"/>
              <w:right w:val="single" w:sz="4" w:space="0" w:color="000000"/>
            </w:tcBorders>
            <w:vAlign w:val="center"/>
          </w:tcPr>
          <w:p w14:paraId="7302585F"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Заместитель Генерального директора по безопасности</w:t>
            </w:r>
          </w:p>
        </w:tc>
      </w:tr>
      <w:tr w:rsidR="002449C2" w14:paraId="4A0F7A7E" w14:textId="77777777">
        <w:trPr>
          <w:trHeight w:val="227"/>
        </w:trPr>
        <w:tc>
          <w:tcPr>
            <w:tcW w:w="1273" w:type="dxa"/>
            <w:tcBorders>
              <w:top w:val="single" w:sz="4" w:space="0" w:color="000000"/>
              <w:left w:val="single" w:sz="4" w:space="0" w:color="000000"/>
              <w:bottom w:val="single" w:sz="4" w:space="0" w:color="000000"/>
              <w:right w:val="single" w:sz="4" w:space="0" w:color="000000"/>
            </w:tcBorders>
            <w:vAlign w:val="center"/>
          </w:tcPr>
          <w:p w14:paraId="2FDDD58E"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2014</w:t>
            </w:r>
          </w:p>
        </w:tc>
        <w:tc>
          <w:tcPr>
            <w:tcW w:w="1209" w:type="dxa"/>
            <w:tcBorders>
              <w:top w:val="single" w:sz="4" w:space="0" w:color="000000"/>
              <w:left w:val="single" w:sz="4" w:space="0" w:color="000000"/>
              <w:bottom w:val="single" w:sz="4" w:space="0" w:color="000000"/>
              <w:right w:val="single" w:sz="4" w:space="0" w:color="000000"/>
            </w:tcBorders>
            <w:vAlign w:val="center"/>
          </w:tcPr>
          <w:p w14:paraId="6C5674B6"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настоящее время</w:t>
            </w:r>
          </w:p>
        </w:tc>
        <w:tc>
          <w:tcPr>
            <w:tcW w:w="3630" w:type="dxa"/>
            <w:tcBorders>
              <w:top w:val="single" w:sz="4" w:space="0" w:color="000000"/>
              <w:left w:val="single" w:sz="4" w:space="0" w:color="000000"/>
              <w:bottom w:val="single" w:sz="4" w:space="0" w:color="000000"/>
              <w:right w:val="single" w:sz="4" w:space="0" w:color="000000"/>
            </w:tcBorders>
            <w:vAlign w:val="center"/>
          </w:tcPr>
          <w:p w14:paraId="4BC858F0"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Публичное акционерное общество «Россети Юг»</w:t>
            </w:r>
          </w:p>
        </w:tc>
        <w:tc>
          <w:tcPr>
            <w:tcW w:w="3331" w:type="dxa"/>
            <w:tcBorders>
              <w:top w:val="single" w:sz="4" w:space="0" w:color="000000"/>
              <w:left w:val="single" w:sz="4" w:space="0" w:color="000000"/>
              <w:bottom w:val="single" w:sz="4" w:space="0" w:color="000000"/>
              <w:right w:val="single" w:sz="4" w:space="0" w:color="000000"/>
            </w:tcBorders>
            <w:vAlign w:val="center"/>
          </w:tcPr>
          <w:p w14:paraId="6008BB8A"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Член Правления</w:t>
            </w:r>
          </w:p>
        </w:tc>
      </w:tr>
      <w:tr w:rsidR="002449C2" w14:paraId="2A103E21" w14:textId="77777777">
        <w:trPr>
          <w:trHeight w:val="227"/>
        </w:trPr>
        <w:tc>
          <w:tcPr>
            <w:tcW w:w="1273" w:type="dxa"/>
            <w:tcBorders>
              <w:top w:val="single" w:sz="4" w:space="0" w:color="000000"/>
              <w:left w:val="single" w:sz="4" w:space="0" w:color="000000"/>
              <w:bottom w:val="single" w:sz="4" w:space="0" w:color="000000"/>
              <w:right w:val="single" w:sz="4" w:space="0" w:color="000000"/>
            </w:tcBorders>
            <w:vAlign w:val="center"/>
          </w:tcPr>
          <w:p w14:paraId="4EDB1A0D"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2022</w:t>
            </w:r>
          </w:p>
        </w:tc>
        <w:tc>
          <w:tcPr>
            <w:tcW w:w="1209" w:type="dxa"/>
            <w:tcBorders>
              <w:top w:val="single" w:sz="4" w:space="0" w:color="000000"/>
              <w:left w:val="single" w:sz="4" w:space="0" w:color="000000"/>
              <w:bottom w:val="single" w:sz="4" w:space="0" w:color="000000"/>
              <w:right w:val="single" w:sz="4" w:space="0" w:color="000000"/>
            </w:tcBorders>
            <w:vAlign w:val="center"/>
          </w:tcPr>
          <w:p w14:paraId="46833C3D"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настоящее время</w:t>
            </w:r>
          </w:p>
        </w:tc>
        <w:tc>
          <w:tcPr>
            <w:tcW w:w="3630" w:type="dxa"/>
            <w:tcBorders>
              <w:top w:val="single" w:sz="4" w:space="0" w:color="000000"/>
              <w:left w:val="single" w:sz="4" w:space="0" w:color="000000"/>
              <w:bottom w:val="single" w:sz="4" w:space="0" w:color="000000"/>
              <w:right w:val="single" w:sz="4" w:space="0" w:color="000000"/>
            </w:tcBorders>
            <w:vAlign w:val="center"/>
          </w:tcPr>
          <w:p w14:paraId="33AACFFF"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Публичное акционерное общество «Россети Кубань»</w:t>
            </w:r>
          </w:p>
        </w:tc>
        <w:tc>
          <w:tcPr>
            <w:tcW w:w="3331" w:type="dxa"/>
            <w:tcBorders>
              <w:top w:val="single" w:sz="4" w:space="0" w:color="000000"/>
              <w:left w:val="single" w:sz="4" w:space="0" w:color="000000"/>
              <w:bottom w:val="single" w:sz="4" w:space="0" w:color="000000"/>
              <w:right w:val="single" w:sz="4" w:space="0" w:color="000000"/>
            </w:tcBorders>
            <w:vAlign w:val="center"/>
          </w:tcPr>
          <w:p w14:paraId="3AFA2954" w14:textId="77777777" w:rsidR="002449C2" w:rsidRDefault="00123961">
            <w:pPr>
              <w:spacing w:after="0" w:line="240" w:lineRule="auto"/>
              <w:ind w:left="72"/>
              <w:jc w:val="both"/>
              <w:rPr>
                <w:rFonts w:ascii="Times New Roman" w:eastAsia="Times New Roman" w:hAnsi="Times New Roman"/>
                <w:color w:val="000000"/>
                <w:sz w:val="20"/>
                <w:szCs w:val="20"/>
                <w:lang w:eastAsia="ru-RU"/>
              </w:rPr>
            </w:pPr>
            <w:r>
              <w:rPr>
                <w:rFonts w:ascii="Times New Roman" w:eastAsia="Times New Roman" w:hAnsi="Times New Roman" w:cs="Arial"/>
                <w:color w:val="000000"/>
                <w:sz w:val="20"/>
                <w:szCs w:val="20"/>
                <w:lang w:eastAsia="ru-RU"/>
              </w:rPr>
              <w:t>Помощник генерального директора общего руководства исполнительного аппарата; помощник Генерального директора управления делами департамента управления делами (по совместительству)</w:t>
            </w:r>
          </w:p>
        </w:tc>
      </w:tr>
      <w:tr w:rsidR="002449C2" w14:paraId="0AC5DF86" w14:textId="77777777">
        <w:trPr>
          <w:trHeight w:val="227"/>
        </w:trPr>
        <w:tc>
          <w:tcPr>
            <w:tcW w:w="6112" w:type="dxa"/>
            <w:gridSpan w:val="3"/>
            <w:tcBorders>
              <w:top w:val="single" w:sz="4" w:space="0" w:color="000000"/>
              <w:left w:val="single" w:sz="4" w:space="0" w:color="000000"/>
              <w:bottom w:val="single" w:sz="4" w:space="0" w:color="000000"/>
              <w:right w:val="single" w:sz="4" w:space="0" w:color="000000"/>
            </w:tcBorders>
            <w:vAlign w:val="center"/>
          </w:tcPr>
          <w:p w14:paraId="4C2C3DD2"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olor w:val="000000"/>
                <w:sz w:val="20"/>
                <w:szCs w:val="20"/>
                <w:lang w:eastAsia="ru-RU"/>
              </w:rPr>
              <w:t>Дата первого избрания членом Правления</w:t>
            </w:r>
          </w:p>
        </w:tc>
        <w:tc>
          <w:tcPr>
            <w:tcW w:w="3331" w:type="dxa"/>
            <w:tcBorders>
              <w:top w:val="single" w:sz="4" w:space="0" w:color="000000"/>
              <w:left w:val="single" w:sz="4" w:space="0" w:color="000000"/>
              <w:bottom w:val="single" w:sz="4" w:space="0" w:color="000000"/>
              <w:right w:val="single" w:sz="4" w:space="0" w:color="000000"/>
            </w:tcBorders>
            <w:vAlign w:val="center"/>
          </w:tcPr>
          <w:p w14:paraId="584C8637" w14:textId="77777777" w:rsidR="002449C2" w:rsidRDefault="00123961">
            <w:pPr>
              <w:spacing w:after="0" w:line="240" w:lineRule="auto"/>
              <w:ind w:left="72"/>
              <w:jc w:val="both"/>
              <w:rPr>
                <w:rFonts w:ascii="Times New Roman" w:eastAsia="Times New Roman" w:hAnsi="Times New Roman" w:cs="Arial"/>
                <w:color w:val="000000"/>
                <w:sz w:val="20"/>
                <w:szCs w:val="20"/>
                <w:lang w:eastAsia="ru-RU"/>
              </w:rPr>
            </w:pPr>
            <w:r>
              <w:rPr>
                <w:rFonts w:ascii="Times New Roman" w:eastAsia="Times New Roman" w:hAnsi="Times New Roman" w:cs="Arial"/>
                <w:color w:val="000000"/>
                <w:sz w:val="20"/>
                <w:szCs w:val="20"/>
                <w:lang w:eastAsia="ru-RU"/>
              </w:rPr>
              <w:t>21.04.2014</w:t>
            </w:r>
          </w:p>
        </w:tc>
      </w:tr>
    </w:tbl>
    <w:p w14:paraId="641CCE9A" w14:textId="77777777" w:rsidR="002449C2" w:rsidRDefault="002449C2">
      <w:pPr>
        <w:spacing w:after="0" w:line="240" w:lineRule="auto"/>
        <w:ind w:left="142" w:firstLine="709"/>
        <w:jc w:val="both"/>
        <w:rPr>
          <w:rFonts w:ascii="Times New Roman" w:hAnsi="Times New Roman"/>
          <w:sz w:val="26"/>
          <w:szCs w:val="26"/>
          <w:lang w:eastAsia="en-US"/>
        </w:rPr>
      </w:pPr>
    </w:p>
    <w:p w14:paraId="402EC941" w14:textId="77777777" w:rsidR="002449C2" w:rsidRDefault="00123961">
      <w:pPr>
        <w:widowControl w:val="0"/>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Члены Правления Общества:</w:t>
      </w:r>
    </w:p>
    <w:p w14:paraId="5DEB9E40" w14:textId="77777777" w:rsidR="002449C2" w:rsidRDefault="00123961">
      <w:pPr>
        <w:widowControl w:val="0"/>
        <w:numPr>
          <w:ilvl w:val="0"/>
          <w:numId w:val="9"/>
        </w:numPr>
        <w:shd w:val="clear" w:color="auto" w:fill="FFFFFF"/>
        <w:spacing w:after="0" w:line="240" w:lineRule="auto"/>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не имели родственных связей с лицами, входящими в состав органов управления и/ или органов контроля за финансово-хозяйственной деятельностью ПАО «Россети Юг»;</w:t>
      </w:r>
    </w:p>
    <w:p w14:paraId="3322DCB6" w14:textId="77777777" w:rsidR="002449C2" w:rsidRDefault="00123961">
      <w:pPr>
        <w:widowControl w:val="0"/>
        <w:numPr>
          <w:ilvl w:val="0"/>
          <w:numId w:val="9"/>
        </w:numPr>
        <w:shd w:val="clear" w:color="auto" w:fill="FFFFFF"/>
        <w:spacing w:after="0" w:line="240" w:lineRule="auto"/>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не привлекались к административной ответственности за правонарушения в области финансов, налогов и сборов, рынка ценных бумаг или уголовной ответственности за преступления в сфере экономики и/или за преступления против государственной власти;</w:t>
      </w:r>
    </w:p>
    <w:p w14:paraId="5B79F554" w14:textId="77777777" w:rsidR="002449C2" w:rsidRDefault="00123961">
      <w:pPr>
        <w:widowControl w:val="0"/>
        <w:numPr>
          <w:ilvl w:val="0"/>
          <w:numId w:val="9"/>
        </w:numPr>
        <w:shd w:val="clear" w:color="auto" w:fill="FFFFFF"/>
        <w:spacing w:after="0" w:line="240" w:lineRule="auto"/>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не занимали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p>
    <w:p w14:paraId="70C56EBB" w14:textId="77777777" w:rsidR="002449C2" w:rsidRDefault="00123961">
      <w:pPr>
        <w:widowControl w:val="0"/>
        <w:numPr>
          <w:ilvl w:val="0"/>
          <w:numId w:val="9"/>
        </w:numPr>
        <w:shd w:val="clear" w:color="auto" w:fill="FFFFFF"/>
        <w:spacing w:after="0" w:line="240" w:lineRule="auto"/>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не имели конфликта интересов с членами Совета директоров и исполнительными органами ПАО «Россети Юг» (в том числе связанного с участием указанных лиц в органах управления конкурентов Общества);</w:t>
      </w:r>
    </w:p>
    <w:p w14:paraId="6135E641" w14:textId="77777777" w:rsidR="002449C2" w:rsidRDefault="00123961">
      <w:pPr>
        <w:widowControl w:val="0"/>
        <w:numPr>
          <w:ilvl w:val="0"/>
          <w:numId w:val="9"/>
        </w:numPr>
        <w:shd w:val="clear" w:color="auto" w:fill="FFFFFF"/>
        <w:spacing w:after="0" w:line="240" w:lineRule="auto"/>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не представляли сведения о возможности приобретения или о приобретении определенными акционерами степени контроля, несоразмерной их участию в уставном капитале Общества, в том числе на основании акционерных соглашений, наличии обыкновенных акций с разной номинальной стоимостью;</w:t>
      </w:r>
    </w:p>
    <w:p w14:paraId="6BCF4239" w14:textId="77777777" w:rsidR="002449C2" w:rsidRDefault="002449C2">
      <w:pPr>
        <w:widowControl w:val="0"/>
        <w:shd w:val="clear" w:color="auto" w:fill="FFFFFF"/>
        <w:spacing w:after="0" w:line="240" w:lineRule="auto"/>
        <w:ind w:firstLine="567"/>
        <w:jc w:val="both"/>
        <w:rPr>
          <w:rFonts w:ascii="Times New Roman" w:eastAsia="Times New Roman" w:hAnsi="Times New Roman"/>
          <w:sz w:val="26"/>
          <w:szCs w:val="26"/>
          <w:lang w:eastAsia="ru-RU"/>
        </w:rPr>
      </w:pPr>
    </w:p>
    <w:p w14:paraId="092C7328" w14:textId="77777777" w:rsidR="002449C2" w:rsidRDefault="00123961">
      <w:pPr>
        <w:widowControl w:val="0"/>
        <w:shd w:val="clear" w:color="auto" w:fill="FFFFFF"/>
        <w:tabs>
          <w:tab w:val="left" w:pos="142"/>
        </w:tabs>
        <w:spacing w:after="0" w:line="240" w:lineRule="auto"/>
        <w:ind w:firstLine="567"/>
        <w:jc w:val="both"/>
        <w:rPr>
          <w:rFonts w:ascii="Times New Roman" w:eastAsia="Times New Roman" w:hAnsi="Times New Roman"/>
          <w:b/>
          <w:color w:val="0069FB"/>
          <w:sz w:val="26"/>
          <w:szCs w:val="26"/>
          <w:lang w:eastAsia="en-US"/>
        </w:rPr>
      </w:pPr>
      <w:r>
        <w:rPr>
          <w:rFonts w:ascii="Times New Roman" w:eastAsia="Times New Roman" w:hAnsi="Times New Roman"/>
          <w:color w:val="000000"/>
          <w:sz w:val="26"/>
          <w:szCs w:val="26"/>
          <w:lang w:eastAsia="en-US"/>
        </w:rPr>
        <w:t>Член Правления Гончаров П.В. владеет долей обыкновенных акций ПАО «Россети Юг» в размере 0,0002% от уставного капитала Общества. Иные члены Правления Общества не владеют акциями ПАО «Россети Юг»,</w:t>
      </w:r>
      <w:r w:rsidR="00F86E2E">
        <w:rPr>
          <w:rFonts w:ascii="Times New Roman" w:eastAsia="Times New Roman" w:hAnsi="Times New Roman"/>
          <w:color w:val="000000"/>
          <w:sz w:val="26"/>
          <w:szCs w:val="26"/>
          <w:lang w:eastAsia="en-US"/>
        </w:rPr>
        <w:t xml:space="preserve"> а также</w:t>
      </w:r>
      <w:r>
        <w:rPr>
          <w:rFonts w:ascii="Times New Roman" w:eastAsia="Times New Roman" w:hAnsi="Times New Roman"/>
          <w:color w:val="000000"/>
          <w:sz w:val="26"/>
          <w:szCs w:val="26"/>
          <w:lang w:eastAsia="en-US"/>
        </w:rPr>
        <w:t xml:space="preserve"> акциями дочерних/зависимых обществ ПАО «Россети Юг». Информация о совершении членами Правления сделок по приобретению или отчуждению акций Общества в Общество не поступала. Получено согласие всех членов Правления Общества на раскрытие информации о них в настоящем Годовом отчете.</w:t>
      </w:r>
    </w:p>
    <w:p w14:paraId="0795A479" w14:textId="77777777" w:rsidR="002449C2" w:rsidRDefault="00123961">
      <w:pPr>
        <w:shd w:val="clear" w:color="auto" w:fill="FFFFFF"/>
        <w:spacing w:before="120" w:after="120" w:line="240" w:lineRule="auto"/>
        <w:ind w:firstLine="567"/>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Статистика заседаний</w:t>
      </w:r>
    </w:p>
    <w:tbl>
      <w:tblPr>
        <w:tblW w:w="4750" w:type="pct"/>
        <w:tblLayout w:type="fixed"/>
        <w:tblCellMar>
          <w:top w:w="75" w:type="dxa"/>
          <w:left w:w="75" w:type="dxa"/>
          <w:bottom w:w="75" w:type="dxa"/>
          <w:right w:w="75" w:type="dxa"/>
        </w:tblCellMar>
        <w:tblLook w:val="04A0" w:firstRow="1" w:lastRow="0" w:firstColumn="1" w:lastColumn="0" w:noHBand="0" w:noVBand="1"/>
      </w:tblPr>
      <w:tblGrid>
        <w:gridCol w:w="3576"/>
        <w:gridCol w:w="1115"/>
        <w:gridCol w:w="1116"/>
        <w:gridCol w:w="1113"/>
        <w:gridCol w:w="1111"/>
        <w:gridCol w:w="1109"/>
      </w:tblGrid>
      <w:tr w:rsidR="002449C2" w14:paraId="5BC6115E" w14:textId="77777777">
        <w:tc>
          <w:tcPr>
            <w:tcW w:w="3580" w:type="dxa"/>
            <w:tcBorders>
              <w:top w:val="single" w:sz="6" w:space="0" w:color="2BAAFF"/>
              <w:left w:val="single" w:sz="6" w:space="0" w:color="2BAAFF"/>
              <w:bottom w:val="single" w:sz="6" w:space="0" w:color="2BAAFF"/>
              <w:right w:val="single" w:sz="6" w:space="0" w:color="2BAAFF"/>
            </w:tcBorders>
          </w:tcPr>
          <w:p w14:paraId="12D36FE1" w14:textId="77777777" w:rsidR="002449C2" w:rsidRDefault="002449C2">
            <w:pPr>
              <w:shd w:val="clear" w:color="auto" w:fill="FFFFFF"/>
              <w:spacing w:after="0" w:line="240" w:lineRule="auto"/>
              <w:rPr>
                <w:rFonts w:ascii="Times New Roman" w:eastAsia="Times New Roman" w:hAnsi="Times New Roman"/>
                <w:color w:val="000000"/>
                <w:sz w:val="20"/>
                <w:szCs w:val="20"/>
                <w:lang w:eastAsia="ru-RU"/>
              </w:rPr>
            </w:pPr>
          </w:p>
        </w:tc>
        <w:tc>
          <w:tcPr>
            <w:tcW w:w="1117" w:type="dxa"/>
            <w:tcBorders>
              <w:top w:val="single" w:sz="6" w:space="0" w:color="2BAAFF"/>
              <w:left w:val="single" w:sz="6" w:space="0" w:color="2BAAFF"/>
              <w:bottom w:val="single" w:sz="6" w:space="0" w:color="2BAAFF"/>
              <w:right w:val="single" w:sz="6" w:space="0" w:color="2BAAFF"/>
            </w:tcBorders>
            <w:tcMar>
              <w:top w:w="0" w:type="dxa"/>
              <w:left w:w="7" w:type="dxa"/>
              <w:bottom w:w="0" w:type="dxa"/>
              <w:right w:w="7" w:type="dxa"/>
            </w:tcMar>
          </w:tcPr>
          <w:p w14:paraId="5477CDE0" w14:textId="77777777" w:rsidR="002449C2" w:rsidRDefault="00123961">
            <w:pPr>
              <w:shd w:val="clear" w:color="auto" w:fill="FFFFFF"/>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2020</w:t>
            </w:r>
          </w:p>
        </w:tc>
        <w:tc>
          <w:tcPr>
            <w:tcW w:w="1118" w:type="dxa"/>
            <w:tcBorders>
              <w:top w:val="single" w:sz="6" w:space="0" w:color="2BAAFF"/>
              <w:left w:val="single" w:sz="6" w:space="0" w:color="2BAAFF"/>
              <w:bottom w:val="single" w:sz="6" w:space="0" w:color="2BAAFF"/>
              <w:right w:val="single" w:sz="6" w:space="0" w:color="2BAAFF"/>
            </w:tcBorders>
            <w:tcMar>
              <w:top w:w="0" w:type="dxa"/>
              <w:left w:w="7" w:type="dxa"/>
              <w:bottom w:w="0" w:type="dxa"/>
              <w:right w:w="7" w:type="dxa"/>
            </w:tcMar>
          </w:tcPr>
          <w:p w14:paraId="1321DAA0" w14:textId="77777777" w:rsidR="002449C2" w:rsidRDefault="00123961">
            <w:pPr>
              <w:shd w:val="clear" w:color="auto" w:fill="FFFFFF"/>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2021</w:t>
            </w:r>
          </w:p>
        </w:tc>
        <w:tc>
          <w:tcPr>
            <w:tcW w:w="1115" w:type="dxa"/>
            <w:tcBorders>
              <w:top w:val="single" w:sz="6" w:space="0" w:color="2BAAFF"/>
              <w:left w:val="single" w:sz="6" w:space="0" w:color="2BAAFF"/>
              <w:bottom w:val="single" w:sz="6" w:space="0" w:color="2BAAFF"/>
              <w:right w:val="single" w:sz="6" w:space="0" w:color="2BAAFF"/>
            </w:tcBorders>
            <w:tcMar>
              <w:top w:w="0" w:type="dxa"/>
              <w:left w:w="7" w:type="dxa"/>
              <w:bottom w:w="0" w:type="dxa"/>
              <w:right w:w="7" w:type="dxa"/>
            </w:tcMar>
          </w:tcPr>
          <w:p w14:paraId="14CCF435" w14:textId="77777777" w:rsidR="002449C2" w:rsidRDefault="00123961">
            <w:pPr>
              <w:shd w:val="clear" w:color="auto" w:fill="FFFFFF"/>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2022</w:t>
            </w:r>
          </w:p>
        </w:tc>
        <w:tc>
          <w:tcPr>
            <w:tcW w:w="1113" w:type="dxa"/>
            <w:tcBorders>
              <w:top w:val="single" w:sz="6" w:space="0" w:color="2BAAFF"/>
              <w:left w:val="single" w:sz="6" w:space="0" w:color="2BAAFF"/>
              <w:bottom w:val="single" w:sz="6" w:space="0" w:color="2BAAFF"/>
              <w:right w:val="single" w:sz="6" w:space="0" w:color="2BAAFF"/>
            </w:tcBorders>
            <w:tcMar>
              <w:top w:w="0" w:type="dxa"/>
              <w:left w:w="7" w:type="dxa"/>
              <w:bottom w:w="0" w:type="dxa"/>
              <w:right w:w="7" w:type="dxa"/>
            </w:tcMar>
          </w:tcPr>
          <w:p w14:paraId="15C1650E" w14:textId="77777777" w:rsidR="002449C2" w:rsidRDefault="00123961">
            <w:pPr>
              <w:shd w:val="clear" w:color="auto" w:fill="FFFFFF"/>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2023</w:t>
            </w:r>
          </w:p>
        </w:tc>
        <w:tc>
          <w:tcPr>
            <w:tcW w:w="1111" w:type="dxa"/>
            <w:tcBorders>
              <w:top w:val="single" w:sz="6" w:space="0" w:color="2BAAFF"/>
              <w:left w:val="single" w:sz="6" w:space="0" w:color="2BAAFF"/>
              <w:bottom w:val="single" w:sz="6" w:space="0" w:color="2BAAFF"/>
              <w:right w:val="single" w:sz="6" w:space="0" w:color="2BAAFF"/>
            </w:tcBorders>
            <w:tcMar>
              <w:top w:w="0" w:type="dxa"/>
              <w:left w:w="7" w:type="dxa"/>
              <w:bottom w:w="0" w:type="dxa"/>
              <w:right w:w="7" w:type="dxa"/>
            </w:tcMar>
          </w:tcPr>
          <w:p w14:paraId="374E8EB9" w14:textId="77777777" w:rsidR="002449C2" w:rsidRDefault="00123961">
            <w:pPr>
              <w:shd w:val="clear" w:color="auto" w:fill="FFFFFF"/>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2024</w:t>
            </w:r>
          </w:p>
        </w:tc>
      </w:tr>
      <w:tr w:rsidR="002449C2" w14:paraId="5282CBC4" w14:textId="77777777">
        <w:tc>
          <w:tcPr>
            <w:tcW w:w="3580" w:type="dxa"/>
            <w:tcBorders>
              <w:top w:val="single" w:sz="6" w:space="0" w:color="2BAAFF"/>
              <w:left w:val="single" w:sz="6" w:space="0" w:color="2BAAFF"/>
              <w:bottom w:val="single" w:sz="6" w:space="0" w:color="2BAAFF"/>
              <w:right w:val="single" w:sz="6" w:space="0" w:color="2BAAFF"/>
            </w:tcBorders>
          </w:tcPr>
          <w:p w14:paraId="58952BE6" w14:textId="77777777" w:rsidR="002449C2" w:rsidRDefault="00123961">
            <w:pPr>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Проведено заседаний</w:t>
            </w:r>
          </w:p>
        </w:tc>
        <w:tc>
          <w:tcPr>
            <w:tcW w:w="1117" w:type="dxa"/>
            <w:tcBorders>
              <w:top w:val="single" w:sz="6" w:space="0" w:color="2BAAFF"/>
              <w:left w:val="single" w:sz="6" w:space="0" w:color="2BAAFF"/>
              <w:bottom w:val="single" w:sz="6" w:space="0" w:color="2BAAFF"/>
              <w:right w:val="single" w:sz="6" w:space="0" w:color="2BAAFF"/>
            </w:tcBorders>
            <w:shd w:val="clear" w:color="auto" w:fill="FFFFFF"/>
            <w:tcMar>
              <w:top w:w="0" w:type="dxa"/>
              <w:left w:w="7" w:type="dxa"/>
              <w:bottom w:w="0" w:type="dxa"/>
              <w:right w:w="7" w:type="dxa"/>
            </w:tcMar>
          </w:tcPr>
          <w:p w14:paraId="6DC1EDD8"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38</w:t>
            </w:r>
          </w:p>
        </w:tc>
        <w:tc>
          <w:tcPr>
            <w:tcW w:w="1118" w:type="dxa"/>
            <w:tcBorders>
              <w:top w:val="single" w:sz="6" w:space="0" w:color="2BAAFF"/>
              <w:left w:val="single" w:sz="6" w:space="0" w:color="2BAAFF"/>
              <w:bottom w:val="single" w:sz="6" w:space="0" w:color="2BAAFF"/>
              <w:right w:val="single" w:sz="6" w:space="0" w:color="2BAAFF"/>
            </w:tcBorders>
            <w:shd w:val="clear" w:color="auto" w:fill="FFFFFF"/>
            <w:tcMar>
              <w:top w:w="0" w:type="dxa"/>
              <w:left w:w="7" w:type="dxa"/>
              <w:bottom w:w="0" w:type="dxa"/>
              <w:right w:w="7" w:type="dxa"/>
            </w:tcMar>
          </w:tcPr>
          <w:p w14:paraId="43CE68C3"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41</w:t>
            </w:r>
          </w:p>
        </w:tc>
        <w:tc>
          <w:tcPr>
            <w:tcW w:w="1115" w:type="dxa"/>
            <w:tcBorders>
              <w:top w:val="single" w:sz="6" w:space="0" w:color="2BAAFF"/>
              <w:left w:val="single" w:sz="6" w:space="0" w:color="2BAAFF"/>
              <w:bottom w:val="single" w:sz="6" w:space="0" w:color="2BAAFF"/>
              <w:right w:val="single" w:sz="6" w:space="0" w:color="2BAAFF"/>
            </w:tcBorders>
            <w:shd w:val="clear" w:color="auto" w:fill="FFFFFF"/>
            <w:tcMar>
              <w:top w:w="0" w:type="dxa"/>
              <w:left w:w="7" w:type="dxa"/>
              <w:bottom w:w="0" w:type="dxa"/>
              <w:right w:w="7" w:type="dxa"/>
            </w:tcMar>
          </w:tcPr>
          <w:p w14:paraId="6095CCE4"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53</w:t>
            </w:r>
          </w:p>
        </w:tc>
        <w:tc>
          <w:tcPr>
            <w:tcW w:w="1113" w:type="dxa"/>
            <w:tcBorders>
              <w:top w:val="single" w:sz="6" w:space="0" w:color="2BAAFF"/>
              <w:left w:val="single" w:sz="6" w:space="0" w:color="2BAAFF"/>
              <w:bottom w:val="single" w:sz="6" w:space="0" w:color="2BAAFF"/>
              <w:right w:val="single" w:sz="6" w:space="0" w:color="2BAAFF"/>
            </w:tcBorders>
            <w:shd w:val="clear" w:color="auto" w:fill="FFFFFF"/>
            <w:tcMar>
              <w:top w:w="0" w:type="dxa"/>
              <w:left w:w="7" w:type="dxa"/>
              <w:bottom w:w="0" w:type="dxa"/>
              <w:right w:w="7" w:type="dxa"/>
            </w:tcMar>
          </w:tcPr>
          <w:p w14:paraId="6DE22EAD"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61</w:t>
            </w:r>
          </w:p>
        </w:tc>
        <w:tc>
          <w:tcPr>
            <w:tcW w:w="1111" w:type="dxa"/>
            <w:tcBorders>
              <w:top w:val="single" w:sz="6" w:space="0" w:color="2BAAFF"/>
              <w:left w:val="single" w:sz="6" w:space="0" w:color="2BAAFF"/>
              <w:bottom w:val="single" w:sz="6" w:space="0" w:color="2BAAFF"/>
              <w:right w:val="single" w:sz="6" w:space="0" w:color="2BAAFF"/>
            </w:tcBorders>
            <w:shd w:val="clear" w:color="auto" w:fill="FFFFFF"/>
            <w:tcMar>
              <w:top w:w="0" w:type="dxa"/>
              <w:left w:w="7" w:type="dxa"/>
              <w:bottom w:w="0" w:type="dxa"/>
              <w:right w:w="7" w:type="dxa"/>
            </w:tcMar>
          </w:tcPr>
          <w:p w14:paraId="1925999D"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50</w:t>
            </w:r>
          </w:p>
        </w:tc>
      </w:tr>
      <w:tr w:rsidR="002449C2" w14:paraId="16C5B15E" w14:textId="77777777">
        <w:tc>
          <w:tcPr>
            <w:tcW w:w="3580" w:type="dxa"/>
            <w:tcBorders>
              <w:top w:val="single" w:sz="6" w:space="0" w:color="2BAAFF"/>
              <w:left w:val="single" w:sz="6" w:space="0" w:color="2BAAFF"/>
              <w:bottom w:val="single" w:sz="6" w:space="0" w:color="2BAAFF"/>
              <w:right w:val="single" w:sz="6" w:space="0" w:color="2BAAFF"/>
            </w:tcBorders>
          </w:tcPr>
          <w:p w14:paraId="7ECFECB9" w14:textId="77777777" w:rsidR="002449C2" w:rsidRDefault="00123961">
            <w:pPr>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i/>
                <w:iCs/>
                <w:color w:val="000000"/>
                <w:sz w:val="20"/>
                <w:szCs w:val="20"/>
                <w:lang w:eastAsia="ru-RU"/>
              </w:rPr>
              <w:t>в форме совместного присутствия</w:t>
            </w:r>
          </w:p>
        </w:tc>
        <w:tc>
          <w:tcPr>
            <w:tcW w:w="1117" w:type="dxa"/>
            <w:tcBorders>
              <w:top w:val="single" w:sz="6" w:space="0" w:color="2BAAFF"/>
              <w:left w:val="single" w:sz="6" w:space="0" w:color="2BAAFF"/>
              <w:bottom w:val="single" w:sz="6" w:space="0" w:color="2BAAFF"/>
              <w:right w:val="single" w:sz="6" w:space="0" w:color="2BAAFF"/>
            </w:tcBorders>
            <w:shd w:val="clear" w:color="auto" w:fill="FFFFFF"/>
            <w:tcMar>
              <w:top w:w="0" w:type="dxa"/>
              <w:left w:w="7" w:type="dxa"/>
              <w:bottom w:w="0" w:type="dxa"/>
              <w:right w:w="7" w:type="dxa"/>
            </w:tcMar>
          </w:tcPr>
          <w:p w14:paraId="09B98333" w14:textId="77777777" w:rsidR="002449C2" w:rsidRDefault="00123961">
            <w:pPr>
              <w:shd w:val="clear" w:color="auto" w:fill="FFFFFF"/>
              <w:spacing w:after="0" w:line="240" w:lineRule="auto"/>
              <w:jc w:val="center"/>
              <w:rPr>
                <w:rFonts w:ascii="Times New Roman" w:eastAsia="Times New Roman" w:hAnsi="Times New Roman"/>
                <w:i/>
                <w:color w:val="000000"/>
                <w:sz w:val="20"/>
                <w:szCs w:val="20"/>
                <w:lang w:eastAsia="ru-RU"/>
              </w:rPr>
            </w:pPr>
            <w:r>
              <w:rPr>
                <w:rFonts w:ascii="Times New Roman" w:eastAsia="Times New Roman" w:hAnsi="Times New Roman"/>
                <w:i/>
                <w:color w:val="000000"/>
                <w:sz w:val="20"/>
                <w:szCs w:val="20"/>
                <w:lang w:eastAsia="ru-RU"/>
              </w:rPr>
              <w:t>0</w:t>
            </w:r>
          </w:p>
        </w:tc>
        <w:tc>
          <w:tcPr>
            <w:tcW w:w="1118" w:type="dxa"/>
            <w:tcBorders>
              <w:top w:val="single" w:sz="6" w:space="0" w:color="2BAAFF"/>
              <w:left w:val="single" w:sz="6" w:space="0" w:color="2BAAFF"/>
              <w:bottom w:val="single" w:sz="6" w:space="0" w:color="2BAAFF"/>
              <w:right w:val="single" w:sz="6" w:space="0" w:color="2BAAFF"/>
            </w:tcBorders>
            <w:shd w:val="clear" w:color="auto" w:fill="FFFFFF"/>
            <w:tcMar>
              <w:top w:w="0" w:type="dxa"/>
              <w:left w:w="7" w:type="dxa"/>
              <w:bottom w:w="0" w:type="dxa"/>
              <w:right w:w="7" w:type="dxa"/>
            </w:tcMar>
          </w:tcPr>
          <w:p w14:paraId="2CEAF719" w14:textId="77777777" w:rsidR="002449C2" w:rsidRDefault="00123961">
            <w:pPr>
              <w:shd w:val="clear" w:color="auto" w:fill="FFFFFF"/>
              <w:spacing w:after="0" w:line="240" w:lineRule="auto"/>
              <w:jc w:val="center"/>
              <w:rPr>
                <w:rFonts w:ascii="Times New Roman" w:eastAsia="Times New Roman" w:hAnsi="Times New Roman"/>
                <w:i/>
                <w:color w:val="000000"/>
                <w:sz w:val="20"/>
                <w:szCs w:val="20"/>
                <w:lang w:eastAsia="ru-RU"/>
              </w:rPr>
            </w:pPr>
            <w:r>
              <w:rPr>
                <w:rFonts w:ascii="Times New Roman" w:eastAsia="Times New Roman" w:hAnsi="Times New Roman"/>
                <w:i/>
                <w:color w:val="000000"/>
                <w:sz w:val="20"/>
                <w:szCs w:val="20"/>
                <w:lang w:eastAsia="ru-RU"/>
              </w:rPr>
              <w:t>0</w:t>
            </w:r>
          </w:p>
        </w:tc>
        <w:tc>
          <w:tcPr>
            <w:tcW w:w="1115" w:type="dxa"/>
            <w:tcBorders>
              <w:top w:val="single" w:sz="6" w:space="0" w:color="2BAAFF"/>
              <w:left w:val="single" w:sz="6" w:space="0" w:color="2BAAFF"/>
              <w:bottom w:val="single" w:sz="6" w:space="0" w:color="2BAAFF"/>
              <w:right w:val="single" w:sz="6" w:space="0" w:color="2BAAFF"/>
            </w:tcBorders>
            <w:shd w:val="clear" w:color="auto" w:fill="FFFFFF"/>
            <w:tcMar>
              <w:top w:w="0" w:type="dxa"/>
              <w:left w:w="7" w:type="dxa"/>
              <w:bottom w:w="0" w:type="dxa"/>
              <w:right w:w="7" w:type="dxa"/>
            </w:tcMar>
          </w:tcPr>
          <w:p w14:paraId="4D163D11" w14:textId="77777777" w:rsidR="002449C2" w:rsidRDefault="00123961">
            <w:pPr>
              <w:shd w:val="clear" w:color="auto" w:fill="FFFFFF"/>
              <w:spacing w:after="0" w:line="240" w:lineRule="auto"/>
              <w:jc w:val="center"/>
              <w:rPr>
                <w:rFonts w:ascii="Times New Roman" w:eastAsia="Times New Roman" w:hAnsi="Times New Roman"/>
                <w:i/>
                <w:color w:val="000000"/>
                <w:sz w:val="20"/>
                <w:szCs w:val="20"/>
                <w:lang w:eastAsia="ru-RU"/>
              </w:rPr>
            </w:pPr>
            <w:r>
              <w:rPr>
                <w:rFonts w:ascii="Times New Roman" w:eastAsia="Times New Roman" w:hAnsi="Times New Roman"/>
                <w:i/>
                <w:color w:val="000000"/>
                <w:sz w:val="20"/>
                <w:szCs w:val="20"/>
                <w:lang w:eastAsia="ru-RU"/>
              </w:rPr>
              <w:t>0</w:t>
            </w:r>
          </w:p>
        </w:tc>
        <w:tc>
          <w:tcPr>
            <w:tcW w:w="1113" w:type="dxa"/>
            <w:tcBorders>
              <w:top w:val="single" w:sz="6" w:space="0" w:color="2BAAFF"/>
              <w:left w:val="single" w:sz="6" w:space="0" w:color="2BAAFF"/>
              <w:bottom w:val="single" w:sz="6" w:space="0" w:color="2BAAFF"/>
              <w:right w:val="single" w:sz="6" w:space="0" w:color="2BAAFF"/>
            </w:tcBorders>
            <w:shd w:val="clear" w:color="auto" w:fill="FFFFFF"/>
            <w:tcMar>
              <w:top w:w="0" w:type="dxa"/>
              <w:left w:w="7" w:type="dxa"/>
              <w:bottom w:w="0" w:type="dxa"/>
              <w:right w:w="7" w:type="dxa"/>
            </w:tcMar>
          </w:tcPr>
          <w:p w14:paraId="69319DD9" w14:textId="77777777" w:rsidR="002449C2" w:rsidRDefault="00123961">
            <w:pPr>
              <w:shd w:val="clear" w:color="auto" w:fill="FFFFFF"/>
              <w:spacing w:after="0" w:line="240" w:lineRule="auto"/>
              <w:jc w:val="center"/>
              <w:rPr>
                <w:rFonts w:ascii="Times New Roman" w:eastAsia="Times New Roman" w:hAnsi="Times New Roman"/>
                <w:i/>
                <w:color w:val="000000"/>
                <w:sz w:val="20"/>
                <w:szCs w:val="20"/>
                <w:lang w:eastAsia="ru-RU"/>
              </w:rPr>
            </w:pPr>
            <w:r>
              <w:rPr>
                <w:rFonts w:ascii="Times New Roman" w:eastAsia="Times New Roman" w:hAnsi="Times New Roman"/>
                <w:i/>
                <w:color w:val="000000"/>
                <w:sz w:val="20"/>
                <w:szCs w:val="20"/>
                <w:lang w:eastAsia="ru-RU"/>
              </w:rPr>
              <w:t>0</w:t>
            </w:r>
          </w:p>
        </w:tc>
        <w:tc>
          <w:tcPr>
            <w:tcW w:w="1111" w:type="dxa"/>
            <w:tcBorders>
              <w:top w:val="single" w:sz="6" w:space="0" w:color="2BAAFF"/>
              <w:left w:val="single" w:sz="6" w:space="0" w:color="2BAAFF"/>
              <w:bottom w:val="single" w:sz="6" w:space="0" w:color="2BAAFF"/>
              <w:right w:val="single" w:sz="6" w:space="0" w:color="2BAAFF"/>
            </w:tcBorders>
            <w:shd w:val="clear" w:color="auto" w:fill="FFFFFF"/>
            <w:tcMar>
              <w:top w:w="0" w:type="dxa"/>
              <w:left w:w="7" w:type="dxa"/>
              <w:bottom w:w="0" w:type="dxa"/>
              <w:right w:w="7" w:type="dxa"/>
            </w:tcMar>
          </w:tcPr>
          <w:p w14:paraId="2F818485" w14:textId="77777777" w:rsidR="002449C2" w:rsidRDefault="00123961">
            <w:pPr>
              <w:shd w:val="clear" w:color="auto" w:fill="FFFFFF"/>
              <w:spacing w:after="0" w:line="240" w:lineRule="auto"/>
              <w:jc w:val="center"/>
              <w:rPr>
                <w:rFonts w:ascii="Times New Roman" w:eastAsia="Times New Roman" w:hAnsi="Times New Roman"/>
                <w:i/>
                <w:color w:val="000000"/>
                <w:sz w:val="20"/>
                <w:szCs w:val="20"/>
                <w:lang w:eastAsia="ru-RU"/>
              </w:rPr>
            </w:pPr>
            <w:r>
              <w:rPr>
                <w:rFonts w:ascii="Times New Roman" w:eastAsia="Times New Roman" w:hAnsi="Times New Roman"/>
                <w:i/>
                <w:color w:val="000000"/>
                <w:sz w:val="20"/>
                <w:szCs w:val="20"/>
                <w:lang w:eastAsia="ru-RU"/>
              </w:rPr>
              <w:t>0</w:t>
            </w:r>
          </w:p>
        </w:tc>
      </w:tr>
      <w:tr w:rsidR="002449C2" w14:paraId="0067AFD7" w14:textId="77777777">
        <w:tc>
          <w:tcPr>
            <w:tcW w:w="3580" w:type="dxa"/>
            <w:tcBorders>
              <w:top w:val="single" w:sz="6" w:space="0" w:color="2BAAFF"/>
              <w:left w:val="single" w:sz="6" w:space="0" w:color="2BAAFF"/>
              <w:bottom w:val="single" w:sz="6" w:space="0" w:color="2BAAFF"/>
              <w:right w:val="single" w:sz="6" w:space="0" w:color="2BAAFF"/>
            </w:tcBorders>
          </w:tcPr>
          <w:p w14:paraId="39322ED4" w14:textId="77777777" w:rsidR="002449C2" w:rsidRDefault="00123961">
            <w:pPr>
              <w:shd w:val="clear" w:color="auto" w:fill="FFFFFF"/>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Рассмотрено вопросов</w:t>
            </w:r>
          </w:p>
        </w:tc>
        <w:tc>
          <w:tcPr>
            <w:tcW w:w="1117" w:type="dxa"/>
            <w:tcBorders>
              <w:top w:val="single" w:sz="6" w:space="0" w:color="2BAAFF"/>
              <w:left w:val="single" w:sz="6" w:space="0" w:color="2BAAFF"/>
              <w:bottom w:val="single" w:sz="6" w:space="0" w:color="2BAAFF"/>
              <w:right w:val="single" w:sz="6" w:space="0" w:color="2BAAFF"/>
            </w:tcBorders>
            <w:shd w:val="clear" w:color="auto" w:fill="FFFFFF"/>
            <w:tcMar>
              <w:top w:w="0" w:type="dxa"/>
              <w:left w:w="7" w:type="dxa"/>
              <w:bottom w:w="0" w:type="dxa"/>
              <w:right w:w="7" w:type="dxa"/>
            </w:tcMar>
          </w:tcPr>
          <w:p w14:paraId="553B4006"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167</w:t>
            </w:r>
          </w:p>
        </w:tc>
        <w:tc>
          <w:tcPr>
            <w:tcW w:w="1118" w:type="dxa"/>
            <w:tcBorders>
              <w:top w:val="single" w:sz="6" w:space="0" w:color="2BAAFF"/>
              <w:left w:val="single" w:sz="6" w:space="0" w:color="2BAAFF"/>
              <w:bottom w:val="single" w:sz="6" w:space="0" w:color="2BAAFF"/>
              <w:right w:val="single" w:sz="6" w:space="0" w:color="2BAAFF"/>
            </w:tcBorders>
            <w:shd w:val="clear" w:color="auto" w:fill="FFFFFF"/>
            <w:tcMar>
              <w:top w:w="0" w:type="dxa"/>
              <w:left w:w="7" w:type="dxa"/>
              <w:bottom w:w="0" w:type="dxa"/>
              <w:right w:w="7" w:type="dxa"/>
            </w:tcMar>
          </w:tcPr>
          <w:p w14:paraId="5D140B2E"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221</w:t>
            </w:r>
          </w:p>
        </w:tc>
        <w:tc>
          <w:tcPr>
            <w:tcW w:w="1115" w:type="dxa"/>
            <w:tcBorders>
              <w:top w:val="single" w:sz="6" w:space="0" w:color="2BAAFF"/>
              <w:left w:val="single" w:sz="6" w:space="0" w:color="2BAAFF"/>
              <w:bottom w:val="single" w:sz="6" w:space="0" w:color="2BAAFF"/>
              <w:right w:val="single" w:sz="6" w:space="0" w:color="2BAAFF"/>
            </w:tcBorders>
            <w:shd w:val="clear" w:color="auto" w:fill="FFFFFF"/>
            <w:tcMar>
              <w:top w:w="0" w:type="dxa"/>
              <w:left w:w="7" w:type="dxa"/>
              <w:bottom w:w="0" w:type="dxa"/>
              <w:right w:w="7" w:type="dxa"/>
            </w:tcMar>
          </w:tcPr>
          <w:p w14:paraId="64FDDE37"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239</w:t>
            </w:r>
          </w:p>
        </w:tc>
        <w:tc>
          <w:tcPr>
            <w:tcW w:w="1113" w:type="dxa"/>
            <w:tcBorders>
              <w:top w:val="single" w:sz="6" w:space="0" w:color="2BAAFF"/>
              <w:left w:val="single" w:sz="6" w:space="0" w:color="2BAAFF"/>
              <w:bottom w:val="single" w:sz="6" w:space="0" w:color="2BAAFF"/>
              <w:right w:val="single" w:sz="6" w:space="0" w:color="2BAAFF"/>
            </w:tcBorders>
            <w:shd w:val="clear" w:color="auto" w:fill="FFFFFF"/>
            <w:tcMar>
              <w:top w:w="0" w:type="dxa"/>
              <w:left w:w="7" w:type="dxa"/>
              <w:bottom w:w="0" w:type="dxa"/>
              <w:right w:w="7" w:type="dxa"/>
            </w:tcMar>
          </w:tcPr>
          <w:p w14:paraId="7A42E381"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253</w:t>
            </w:r>
          </w:p>
        </w:tc>
        <w:tc>
          <w:tcPr>
            <w:tcW w:w="1111" w:type="dxa"/>
            <w:tcBorders>
              <w:top w:val="single" w:sz="6" w:space="0" w:color="2BAAFF"/>
              <w:left w:val="single" w:sz="6" w:space="0" w:color="2BAAFF"/>
              <w:bottom w:val="single" w:sz="6" w:space="0" w:color="2BAAFF"/>
              <w:right w:val="single" w:sz="6" w:space="0" w:color="2BAAFF"/>
            </w:tcBorders>
            <w:shd w:val="clear" w:color="auto" w:fill="FFFFFF"/>
            <w:tcMar>
              <w:top w:w="0" w:type="dxa"/>
              <w:left w:w="7" w:type="dxa"/>
              <w:bottom w:w="0" w:type="dxa"/>
              <w:right w:w="7" w:type="dxa"/>
            </w:tcMar>
          </w:tcPr>
          <w:p w14:paraId="731ED1E8" w14:textId="77777777" w:rsidR="002449C2" w:rsidRDefault="00123961">
            <w:pPr>
              <w:shd w:val="clear" w:color="auto" w:fill="FFFFFF"/>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253</w:t>
            </w:r>
          </w:p>
        </w:tc>
      </w:tr>
    </w:tbl>
    <w:p w14:paraId="24D176A4" w14:textId="77777777" w:rsidR="002449C2" w:rsidRDefault="00123961">
      <w:pPr>
        <w:shd w:val="clear" w:color="auto" w:fill="FFFFFF"/>
        <w:spacing w:before="150" w:after="150" w:line="240" w:lineRule="auto"/>
        <w:ind w:firstLine="709"/>
        <w:jc w:val="both"/>
        <w:rPr>
          <w:rFonts w:ascii="Times New Roman" w:hAnsi="Times New Roman"/>
          <w:color w:val="000000"/>
          <w:sz w:val="26"/>
          <w:szCs w:val="26"/>
        </w:rPr>
      </w:pPr>
      <w:r>
        <w:rPr>
          <w:rFonts w:ascii="Times New Roman" w:hAnsi="Times New Roman"/>
          <w:color w:val="000000"/>
          <w:sz w:val="26"/>
          <w:szCs w:val="26"/>
        </w:rPr>
        <w:t>В отчетном периоде проведено 50 заседаний (все в заочной форме).</w:t>
      </w:r>
    </w:p>
    <w:p w14:paraId="12C13984" w14:textId="255F582E" w:rsidR="002449C2" w:rsidRDefault="00123961">
      <w:pPr>
        <w:shd w:val="clear" w:color="auto" w:fill="FFFFFF"/>
        <w:spacing w:before="150" w:after="150" w:line="240" w:lineRule="auto"/>
        <w:ind w:firstLine="709"/>
        <w:jc w:val="both"/>
        <w:rPr>
          <w:rFonts w:ascii="Times New Roman" w:hAnsi="Times New Roman"/>
          <w:color w:val="000000"/>
          <w:sz w:val="26"/>
          <w:szCs w:val="26"/>
        </w:rPr>
      </w:pPr>
      <w:r>
        <w:rPr>
          <w:rFonts w:ascii="Times New Roman" w:hAnsi="Times New Roman"/>
          <w:color w:val="000000"/>
          <w:sz w:val="26"/>
          <w:szCs w:val="26"/>
        </w:rPr>
        <w:t xml:space="preserve">Заседания Правления в отчетном году проводились в соответствии с планами его работы, а также по инициативе </w:t>
      </w:r>
      <w:r w:rsidR="00F86E2E">
        <w:rPr>
          <w:rFonts w:ascii="Times New Roman" w:hAnsi="Times New Roman"/>
          <w:color w:val="000000"/>
          <w:sz w:val="26"/>
          <w:szCs w:val="26"/>
        </w:rPr>
        <w:t xml:space="preserve">Председателя </w:t>
      </w:r>
      <w:r>
        <w:rPr>
          <w:rFonts w:ascii="Times New Roman" w:hAnsi="Times New Roman"/>
          <w:color w:val="000000"/>
          <w:sz w:val="26"/>
          <w:szCs w:val="26"/>
        </w:rPr>
        <w:t xml:space="preserve">Правления. </w:t>
      </w:r>
    </w:p>
    <w:p w14:paraId="19C826D7" w14:textId="77777777" w:rsidR="002449C2" w:rsidRDefault="00123961">
      <w:pPr>
        <w:shd w:val="clear" w:color="auto" w:fill="FFFFFF"/>
        <w:tabs>
          <w:tab w:val="left" w:pos="142"/>
        </w:tabs>
        <w:spacing w:before="120" w:after="0" w:line="240" w:lineRule="auto"/>
        <w:ind w:firstLine="567"/>
        <w:jc w:val="both"/>
        <w:rPr>
          <w:rFonts w:ascii="Times New Roman" w:hAnsi="Times New Roman"/>
          <w:sz w:val="26"/>
          <w:szCs w:val="26"/>
        </w:rPr>
      </w:pPr>
      <w:r>
        <w:rPr>
          <w:rFonts w:ascii="Times New Roman" w:hAnsi="Times New Roman"/>
          <w:sz w:val="26"/>
          <w:szCs w:val="26"/>
        </w:rPr>
        <w:t>Среди наиболее важных вопросов, рассмотренных Правлением Общества в 2024 году, следует отметить следующие вопросы:</w:t>
      </w:r>
    </w:p>
    <w:p w14:paraId="2E86CE30" w14:textId="77777777" w:rsidR="002449C2" w:rsidRDefault="00123961">
      <w:pPr>
        <w:shd w:val="clear" w:color="auto" w:fill="FFFFFF"/>
        <w:spacing w:after="0" w:line="240" w:lineRule="auto"/>
        <w:jc w:val="both"/>
        <w:rPr>
          <w:rFonts w:ascii="Times New Roman" w:eastAsia="Times New Roman" w:hAnsi="Times New Roman"/>
          <w:i/>
          <w:sz w:val="26"/>
          <w:szCs w:val="26"/>
          <w:lang w:eastAsia="ru-RU"/>
        </w:rPr>
      </w:pPr>
      <w:r>
        <w:rPr>
          <w:rFonts w:ascii="Times New Roman" w:eastAsia="Times New Roman" w:hAnsi="Times New Roman"/>
          <w:i/>
          <w:sz w:val="26"/>
          <w:szCs w:val="26"/>
          <w:lang w:eastAsia="ru-RU"/>
        </w:rPr>
        <w:t>- о рассмотрении информации менеджмента Общества о выполнении Планов корректирующих мероприятий по устранению недостатков, выявленных Ревизионной комиссией Общества, внутренним аудитом Общества, внешними органами контроля (надзора), о реализации мер, принятых по фактам информирования о потенциальных случаях недобросовестных действий работников, а также результатам проведенных расследований по итогам 2023 года;</w:t>
      </w:r>
    </w:p>
    <w:p w14:paraId="04A0D73D" w14:textId="77777777" w:rsidR="002449C2" w:rsidRDefault="00123961">
      <w:pPr>
        <w:shd w:val="clear" w:color="auto" w:fill="FFFFFF"/>
        <w:spacing w:after="0" w:line="240" w:lineRule="auto"/>
        <w:ind w:firstLine="567"/>
        <w:jc w:val="both"/>
        <w:rPr>
          <w:rFonts w:ascii="Times New Roman" w:eastAsia="Times New Roman" w:hAnsi="Times New Roman"/>
          <w:i/>
          <w:sz w:val="26"/>
          <w:szCs w:val="26"/>
          <w:lang w:eastAsia="ru-RU"/>
        </w:rPr>
      </w:pPr>
      <w:r>
        <w:rPr>
          <w:rFonts w:ascii="Times New Roman" w:eastAsia="Times New Roman" w:hAnsi="Times New Roman"/>
          <w:i/>
          <w:sz w:val="26"/>
          <w:szCs w:val="26"/>
          <w:lang w:eastAsia="ru-RU"/>
        </w:rPr>
        <w:t>- о рассмотрении отчетов владельцев рисков по управлению функциональными рисками и рисками бизнес-процессов Общества;</w:t>
      </w:r>
    </w:p>
    <w:p w14:paraId="296E03CC" w14:textId="77777777" w:rsidR="002449C2" w:rsidRDefault="00123961">
      <w:pPr>
        <w:shd w:val="clear" w:color="auto" w:fill="FFFFFF"/>
        <w:spacing w:after="0" w:line="240" w:lineRule="auto"/>
        <w:ind w:firstLine="567"/>
        <w:jc w:val="both"/>
        <w:rPr>
          <w:rFonts w:ascii="Times New Roman" w:eastAsia="Times New Roman" w:hAnsi="Times New Roman"/>
          <w:i/>
          <w:sz w:val="26"/>
          <w:szCs w:val="26"/>
          <w:lang w:eastAsia="ru-RU"/>
        </w:rPr>
      </w:pPr>
      <w:r>
        <w:rPr>
          <w:rFonts w:ascii="Times New Roman" w:eastAsia="Times New Roman" w:hAnsi="Times New Roman"/>
          <w:i/>
          <w:sz w:val="26"/>
          <w:szCs w:val="26"/>
          <w:lang w:eastAsia="ru-RU"/>
        </w:rPr>
        <w:t>- о рассмотрении отчётов об исполнении сводного на принципах РСБУ и консолидированного на принципах МСФО бизнес-планов Группы компаний Россети Юг за 2022 год;</w:t>
      </w:r>
    </w:p>
    <w:p w14:paraId="7C946B45" w14:textId="77777777" w:rsidR="002449C2" w:rsidRDefault="00123961">
      <w:pPr>
        <w:shd w:val="clear" w:color="auto" w:fill="FFFFFF"/>
        <w:spacing w:after="0" w:line="240" w:lineRule="auto"/>
        <w:ind w:firstLine="567"/>
        <w:jc w:val="both"/>
        <w:rPr>
          <w:rFonts w:ascii="Times New Roman" w:eastAsia="Times New Roman" w:hAnsi="Times New Roman"/>
          <w:i/>
          <w:sz w:val="26"/>
          <w:szCs w:val="26"/>
          <w:lang w:eastAsia="ru-RU"/>
        </w:rPr>
      </w:pPr>
      <w:r>
        <w:rPr>
          <w:rFonts w:ascii="Times New Roman" w:eastAsia="Times New Roman" w:hAnsi="Times New Roman"/>
          <w:i/>
          <w:sz w:val="26"/>
          <w:szCs w:val="26"/>
          <w:lang w:eastAsia="ru-RU"/>
        </w:rPr>
        <w:t>- о рассмотрении отчетов об итогах финансово-хозяйственной деятельности ДЗО ПАО «Россети Юг»;</w:t>
      </w:r>
    </w:p>
    <w:p w14:paraId="64E41ED0" w14:textId="77777777" w:rsidR="002449C2" w:rsidRDefault="00123961">
      <w:pPr>
        <w:shd w:val="clear" w:color="auto" w:fill="FFFFFF"/>
        <w:spacing w:after="0" w:line="240" w:lineRule="auto"/>
        <w:ind w:firstLine="567"/>
        <w:jc w:val="both"/>
        <w:rPr>
          <w:rFonts w:ascii="Times New Roman" w:eastAsia="Times New Roman" w:hAnsi="Times New Roman"/>
          <w:i/>
          <w:sz w:val="26"/>
          <w:szCs w:val="26"/>
          <w:lang w:eastAsia="ru-RU"/>
        </w:rPr>
      </w:pPr>
      <w:r>
        <w:rPr>
          <w:rFonts w:ascii="Times New Roman" w:eastAsia="Times New Roman" w:hAnsi="Times New Roman"/>
          <w:i/>
          <w:sz w:val="26"/>
          <w:szCs w:val="26"/>
          <w:lang w:eastAsia="ru-RU"/>
        </w:rPr>
        <w:t>- о рассмотрении отчетов о приобретении объектов электроэнергетики, одобрение приобретения которых не требуется Советом директоров;</w:t>
      </w:r>
    </w:p>
    <w:p w14:paraId="1E7F0F5F" w14:textId="77777777" w:rsidR="002449C2" w:rsidRDefault="00123961">
      <w:pPr>
        <w:shd w:val="clear" w:color="auto" w:fill="FFFFFF"/>
        <w:spacing w:after="0" w:line="240" w:lineRule="auto"/>
        <w:ind w:firstLine="567"/>
        <w:jc w:val="both"/>
        <w:rPr>
          <w:rFonts w:ascii="Times New Roman" w:eastAsia="Times New Roman" w:hAnsi="Times New Roman"/>
          <w:i/>
          <w:sz w:val="26"/>
          <w:szCs w:val="26"/>
          <w:lang w:eastAsia="ru-RU"/>
        </w:rPr>
      </w:pPr>
      <w:r>
        <w:rPr>
          <w:rFonts w:ascii="Times New Roman" w:eastAsia="Times New Roman" w:hAnsi="Times New Roman"/>
          <w:i/>
          <w:sz w:val="26"/>
          <w:szCs w:val="26"/>
          <w:lang w:eastAsia="ru-RU"/>
        </w:rPr>
        <w:t>- о рассмотрении ежеквартальных отчетов о заключенных соглашениях о компенсации ПАО «Россети Юг</w:t>
      </w:r>
      <w:r w:rsidR="00F86E2E">
        <w:rPr>
          <w:rFonts w:ascii="Times New Roman" w:eastAsia="Times New Roman" w:hAnsi="Times New Roman"/>
          <w:i/>
          <w:sz w:val="26"/>
          <w:szCs w:val="26"/>
          <w:lang w:eastAsia="ru-RU"/>
        </w:rPr>
        <w:t>»</w:t>
      </w:r>
      <w:r>
        <w:rPr>
          <w:rFonts w:ascii="Times New Roman" w:eastAsia="Times New Roman" w:hAnsi="Times New Roman"/>
          <w:i/>
          <w:sz w:val="26"/>
          <w:szCs w:val="26"/>
          <w:lang w:eastAsia="ru-RU"/>
        </w:rPr>
        <w:t>;</w:t>
      </w:r>
    </w:p>
    <w:p w14:paraId="0B7D6204" w14:textId="77777777" w:rsidR="002449C2" w:rsidRDefault="00123961">
      <w:pPr>
        <w:shd w:val="clear" w:color="auto" w:fill="FFFFFF"/>
        <w:spacing w:after="0" w:line="240" w:lineRule="auto"/>
        <w:ind w:firstLine="567"/>
        <w:jc w:val="both"/>
        <w:rPr>
          <w:rFonts w:ascii="Times New Roman" w:eastAsia="Times New Roman" w:hAnsi="Times New Roman"/>
          <w:i/>
          <w:sz w:val="26"/>
          <w:szCs w:val="26"/>
          <w:lang w:eastAsia="ru-RU"/>
        </w:rPr>
      </w:pPr>
      <w:r>
        <w:rPr>
          <w:rFonts w:ascii="Times New Roman" w:eastAsia="Times New Roman" w:hAnsi="Times New Roman"/>
          <w:i/>
          <w:sz w:val="26"/>
          <w:szCs w:val="26"/>
          <w:lang w:eastAsia="ru-RU"/>
        </w:rPr>
        <w:t>- о предварительном рассмотрении параметров бизнес-плана ПАО «Россети Юг» и прогнозных показателей на последующие периоды;</w:t>
      </w:r>
    </w:p>
    <w:p w14:paraId="6425F743" w14:textId="77777777" w:rsidR="002449C2" w:rsidRDefault="00123961">
      <w:pPr>
        <w:shd w:val="clear" w:color="auto" w:fill="FFFFFF"/>
        <w:spacing w:after="0" w:line="240" w:lineRule="auto"/>
        <w:ind w:firstLine="567"/>
        <w:jc w:val="both"/>
        <w:rPr>
          <w:rFonts w:ascii="Times New Roman" w:eastAsia="Times New Roman" w:hAnsi="Times New Roman"/>
          <w:i/>
          <w:sz w:val="26"/>
          <w:szCs w:val="26"/>
          <w:lang w:eastAsia="ru-RU"/>
        </w:rPr>
      </w:pPr>
      <w:r>
        <w:rPr>
          <w:rFonts w:ascii="Times New Roman" w:eastAsia="Times New Roman" w:hAnsi="Times New Roman"/>
          <w:i/>
          <w:sz w:val="26"/>
          <w:szCs w:val="26"/>
          <w:lang w:eastAsia="ru-RU"/>
        </w:rPr>
        <w:t>- об утверждении Реестра рисков ПАО «Россети Юг» на 2025 год, Плана мероприятий по управлению рисками Общества и Карты рисков ПАО «Россети Юг».</w:t>
      </w:r>
    </w:p>
    <w:p w14:paraId="1F8BADF1" w14:textId="77777777" w:rsidR="002449C2" w:rsidRDefault="00123961">
      <w:pPr>
        <w:shd w:val="clear" w:color="auto" w:fill="FFFFFF"/>
        <w:spacing w:after="0" w:line="240" w:lineRule="auto"/>
        <w:ind w:firstLine="567"/>
        <w:jc w:val="both"/>
        <w:rPr>
          <w:rFonts w:ascii="Times New Roman" w:eastAsia="Times New Roman" w:hAnsi="Times New Roman"/>
          <w:i/>
          <w:sz w:val="26"/>
          <w:szCs w:val="26"/>
          <w:lang w:eastAsia="ru-RU"/>
        </w:rPr>
      </w:pPr>
      <w:r>
        <w:rPr>
          <w:rFonts w:ascii="Times New Roman" w:eastAsia="Times New Roman" w:hAnsi="Times New Roman"/>
          <w:i/>
          <w:noProof/>
          <w:sz w:val="26"/>
          <w:szCs w:val="26"/>
          <w:lang w:eastAsia="ru-RU"/>
        </w:rPr>
        <w:drawing>
          <wp:anchor distT="0" distB="0" distL="0" distR="0" simplePos="0" relativeHeight="8" behindDoc="0" locked="0" layoutInCell="0" allowOverlap="1" wp14:anchorId="681A8A78" wp14:editId="5D3F042B">
            <wp:simplePos x="0" y="0"/>
            <wp:positionH relativeFrom="column">
              <wp:posOffset>212090</wp:posOffset>
            </wp:positionH>
            <wp:positionV relativeFrom="paragraph">
              <wp:posOffset>-267335</wp:posOffset>
            </wp:positionV>
            <wp:extent cx="5909310" cy="2877820"/>
            <wp:effectExtent l="0" t="0" r="0" b="0"/>
            <wp:wrapSquare wrapText="largest"/>
            <wp:docPr id="123"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anchor>
        </w:drawing>
      </w:r>
    </w:p>
    <w:p w14:paraId="4C9CBFE8" w14:textId="77777777" w:rsidR="002449C2" w:rsidRDefault="00123961">
      <w:pPr>
        <w:shd w:val="clear" w:color="auto" w:fill="FFFFFF"/>
        <w:spacing w:after="0" w:line="240" w:lineRule="auto"/>
        <w:ind w:firstLine="567"/>
        <w:jc w:val="both"/>
        <w:rPr>
          <w:rFonts w:ascii="Times New Roman" w:hAnsi="Times New Roman"/>
          <w:sz w:val="26"/>
          <w:szCs w:val="26"/>
        </w:rPr>
      </w:pPr>
      <w:r>
        <w:rPr>
          <w:rFonts w:ascii="Times New Roman" w:hAnsi="Times New Roman"/>
          <w:sz w:val="26"/>
          <w:szCs w:val="26"/>
        </w:rPr>
        <w:t>Кроме того, существенный объем рассмотренных в 2024 году вопросов, касался принятия решений о заключении сделок, предметом которых является имущество, работы и услуги, стоимость которых составляет от 1 до 25 процентов балансовой стоимости активов Общества по данным бухгалтерской (финансовой) отчетности на последнюю отчетную дату.</w:t>
      </w:r>
    </w:p>
    <w:p w14:paraId="347AFA74" w14:textId="77777777" w:rsidR="002449C2" w:rsidRDefault="00123961">
      <w:pPr>
        <w:shd w:val="clear" w:color="auto" w:fill="FFFFFF"/>
        <w:spacing w:after="0" w:line="240" w:lineRule="auto"/>
        <w:ind w:firstLine="567"/>
        <w:jc w:val="both"/>
        <w:rPr>
          <w:rFonts w:ascii="Times New Roman" w:hAnsi="Times New Roman"/>
          <w:sz w:val="26"/>
          <w:szCs w:val="26"/>
        </w:rPr>
      </w:pPr>
      <w:r>
        <w:rPr>
          <w:rFonts w:ascii="Times New Roman" w:hAnsi="Times New Roman"/>
          <w:sz w:val="26"/>
          <w:szCs w:val="26"/>
        </w:rPr>
        <w:t>Помимо текущего управления Обществом, Правление, как один из основных участников процесса управления рисками, значительную часть времени уделяло вопросам организации функционирования системы внутреннего контроля и управления рисками, предложениям по развитию и совершенствованию СВК и СУР в Обществе.</w:t>
      </w:r>
    </w:p>
    <w:p w14:paraId="6CE6FF71" w14:textId="77777777" w:rsidR="002449C2" w:rsidRDefault="00123961">
      <w:pPr>
        <w:shd w:val="clear" w:color="auto" w:fill="FFFFFF"/>
        <w:spacing w:before="120" w:after="120" w:line="240" w:lineRule="auto"/>
        <w:ind w:firstLine="567"/>
        <w:jc w:val="center"/>
        <w:rPr>
          <w:rFonts w:ascii="Times New Roman" w:eastAsia="Times New Roman" w:hAnsi="Times New Roman"/>
          <w:color w:val="000000"/>
          <w:sz w:val="28"/>
          <w:szCs w:val="28"/>
          <w:lang w:eastAsia="ru-RU"/>
        </w:rPr>
      </w:pPr>
      <w:r>
        <w:rPr>
          <w:rFonts w:ascii="Times New Roman" w:eastAsia="Times New Roman" w:hAnsi="Times New Roman"/>
          <w:b/>
          <w:sz w:val="26"/>
          <w:szCs w:val="26"/>
          <w:lang w:eastAsia="ru-RU"/>
        </w:rPr>
        <w:t>ПРЕДОТВРАЩЕНИЕ КОНФЛИКТА ИНТЕРЕСОВ</w:t>
      </w:r>
      <w:r>
        <w:rPr>
          <w:rFonts w:ascii="Times New Roman" w:eastAsia="Times New Roman" w:hAnsi="Times New Roman"/>
          <w:b/>
          <w:bCs/>
          <w:i/>
          <w:iCs/>
          <w:color w:val="000000"/>
          <w:sz w:val="28"/>
          <w:szCs w:val="28"/>
          <w:lang w:eastAsia="ru-RU"/>
        </w:rPr>
        <w:t xml:space="preserve"> </w:t>
      </w:r>
    </w:p>
    <w:p w14:paraId="74E280F1" w14:textId="77777777" w:rsidR="002449C2" w:rsidRDefault="00123961">
      <w:pPr>
        <w:shd w:val="clear" w:color="auto" w:fill="FFFFFF"/>
        <w:spacing w:after="0" w:line="240" w:lineRule="auto"/>
        <w:ind w:firstLine="567"/>
        <w:jc w:val="both"/>
        <w:rPr>
          <w:rFonts w:ascii="Times New Roman" w:hAnsi="Times New Roman"/>
          <w:sz w:val="26"/>
          <w:szCs w:val="26"/>
        </w:rPr>
      </w:pPr>
      <w:r>
        <w:rPr>
          <w:rFonts w:ascii="Times New Roman" w:hAnsi="Times New Roman"/>
          <w:sz w:val="26"/>
          <w:szCs w:val="26"/>
        </w:rPr>
        <w:t xml:space="preserve">Компания уделяет повышенное внимание вопросам предотвращения и минимизации последствий возможного конфликта интересов у членов органов управления Общества. </w:t>
      </w:r>
    </w:p>
    <w:p w14:paraId="30799729" w14:textId="77777777" w:rsidR="002449C2" w:rsidRDefault="00123961">
      <w:pPr>
        <w:shd w:val="clear" w:color="auto" w:fill="FFFFFF"/>
        <w:spacing w:after="0" w:line="240" w:lineRule="auto"/>
        <w:ind w:firstLine="567"/>
        <w:jc w:val="both"/>
        <w:rPr>
          <w:rFonts w:ascii="Times New Roman" w:hAnsi="Times New Roman"/>
          <w:sz w:val="26"/>
          <w:szCs w:val="26"/>
        </w:rPr>
      </w:pPr>
      <w:r>
        <w:rPr>
          <w:rFonts w:ascii="Times New Roman" w:hAnsi="Times New Roman"/>
          <w:sz w:val="26"/>
          <w:szCs w:val="26"/>
        </w:rPr>
        <w:t xml:space="preserve">Урегулирование конфликта интересов осуществляется на основании утвержденных в Обществе Кодекса корпоративной этики, Положения о Совете директоров и Положения о Правлении Компании. </w:t>
      </w:r>
    </w:p>
    <w:p w14:paraId="43A8D23E" w14:textId="77777777" w:rsidR="002449C2" w:rsidRDefault="00123961">
      <w:pPr>
        <w:shd w:val="clear" w:color="auto" w:fill="FFFFFF"/>
        <w:spacing w:after="0" w:line="240" w:lineRule="auto"/>
        <w:ind w:firstLine="567"/>
        <w:jc w:val="both"/>
        <w:rPr>
          <w:rFonts w:ascii="Times New Roman" w:hAnsi="Times New Roman"/>
          <w:sz w:val="26"/>
          <w:szCs w:val="26"/>
        </w:rPr>
      </w:pPr>
      <w:r>
        <w:rPr>
          <w:rFonts w:ascii="Times New Roman" w:hAnsi="Times New Roman"/>
          <w:sz w:val="26"/>
          <w:szCs w:val="26"/>
        </w:rPr>
        <w:t xml:space="preserve">В соответствии с рекомендациями Кодекса корпоративного управления Банка России членам Совета директоров рекомендуется воздерживаться от действий, которые приведут или могут привести к возникновению конфликта между их интересами и интересами Компании. Обязанность действовать разумно и добросовестно в интересах Общества, также возлагается на исполнительные органы Общества. </w:t>
      </w:r>
    </w:p>
    <w:p w14:paraId="3E965FE7" w14:textId="77777777" w:rsidR="002449C2" w:rsidRDefault="00123961">
      <w:pPr>
        <w:shd w:val="clear" w:color="auto" w:fill="FFFFFF"/>
        <w:spacing w:after="0" w:line="240" w:lineRule="auto"/>
        <w:ind w:firstLine="567"/>
        <w:jc w:val="both"/>
        <w:rPr>
          <w:rFonts w:ascii="Times New Roman" w:hAnsi="Times New Roman"/>
          <w:sz w:val="26"/>
          <w:szCs w:val="26"/>
        </w:rPr>
      </w:pPr>
      <w:r>
        <w:rPr>
          <w:rFonts w:ascii="Times New Roman" w:hAnsi="Times New Roman"/>
          <w:sz w:val="26"/>
          <w:szCs w:val="26"/>
        </w:rPr>
        <w:t>Всеми членами органов управления ПАО «Россети Юг» выполнены требования ст. 82 Федерального закона «Об акционерных обществах» о направлении в ПАО «Россети Юг» уведомлений о признаках возможной заинтересованности в совершении Обществом сделок.</w:t>
      </w:r>
    </w:p>
    <w:p w14:paraId="29E9F06B"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218" w:name="_Toc511807245"/>
      <w:bookmarkStart w:id="219" w:name="_Toc33542808"/>
      <w:bookmarkStart w:id="220" w:name="_Toc195174976"/>
      <w:bookmarkStart w:id="221" w:name="_Toc196143069"/>
      <w:r>
        <w:rPr>
          <w:rFonts w:ascii="Times New Roman" w:eastAsia="Times New Roman" w:hAnsi="Times New Roman"/>
          <w:caps/>
          <w:color w:val="632423"/>
          <w:spacing w:val="15"/>
          <w:sz w:val="24"/>
          <w:szCs w:val="24"/>
          <w:lang w:eastAsia="en-US" w:bidi="en-US"/>
        </w:rPr>
        <w:t xml:space="preserve">Управление ДЗО </w:t>
      </w:r>
      <w:bookmarkEnd w:id="218"/>
      <w:r>
        <w:rPr>
          <w:rFonts w:ascii="Times New Roman" w:eastAsia="Times New Roman" w:hAnsi="Times New Roman"/>
          <w:caps/>
          <w:color w:val="632423"/>
          <w:spacing w:val="15"/>
          <w:sz w:val="24"/>
          <w:szCs w:val="24"/>
          <w:lang w:eastAsia="en-US" w:bidi="en-US"/>
        </w:rPr>
        <w:t>Общества</w:t>
      </w:r>
      <w:bookmarkEnd w:id="219"/>
      <w:bookmarkEnd w:id="220"/>
      <w:bookmarkEnd w:id="221"/>
    </w:p>
    <w:p w14:paraId="0EB90800" w14:textId="79DE2ACB" w:rsidR="002449C2" w:rsidRDefault="00123961">
      <w:pPr>
        <w:widowControl w:val="0"/>
        <w:shd w:val="clear" w:color="auto" w:fill="FFFFFF"/>
        <w:tabs>
          <w:tab w:val="left" w:pos="142"/>
        </w:tabs>
        <w:spacing w:before="40" w:after="0" w:line="240" w:lineRule="auto"/>
        <w:ind w:firstLine="567"/>
        <w:jc w:val="both"/>
        <w:rPr>
          <w:rFonts w:ascii="Times New Roman" w:hAnsi="Times New Roman"/>
          <w:sz w:val="26"/>
          <w:szCs w:val="26"/>
          <w:lang w:eastAsia="ru-RU"/>
        </w:rPr>
      </w:pPr>
      <w:r>
        <w:rPr>
          <w:rFonts w:ascii="Times New Roman" w:hAnsi="Times New Roman"/>
          <w:sz w:val="26"/>
          <w:szCs w:val="26"/>
          <w:lang w:eastAsia="ru-RU"/>
        </w:rPr>
        <w:t>Корпоративное управление ДЗО ПАО «Россети Юг» осуществляет через своих представителей в органах управления дочерних и зависимых обществ, руководствуясь законодательством Российской Федерации, Уставами ПАО «Россети Юг» и ДЗО, Регламентом взаимодействия ПАО «Россети Юг» с ДЗО/ВЗО ПАО «Россети Юг», утвержденным приказом Общества от 01.08.2019 №577, Регламентом формирования и представления итоговых поручений представителям ПАО «Россети Юг» по вопросам повестки дня заседаний Советов директоров ДЗО и ВЗО ПАО «Россети Юг», утвержденным приказом Общества от 09.09.2019 №685.</w:t>
      </w:r>
    </w:p>
    <w:p w14:paraId="6B749448" w14:textId="77777777" w:rsidR="002449C2" w:rsidRDefault="00123961">
      <w:pPr>
        <w:widowControl w:val="0"/>
        <w:shd w:val="clear" w:color="auto" w:fill="FFFFFF"/>
        <w:tabs>
          <w:tab w:val="left" w:pos="142"/>
        </w:tabs>
        <w:spacing w:before="40" w:after="0" w:line="240" w:lineRule="auto"/>
        <w:ind w:firstLine="567"/>
        <w:jc w:val="both"/>
        <w:rPr>
          <w:rFonts w:ascii="Times New Roman" w:hAnsi="Times New Roman"/>
          <w:sz w:val="26"/>
          <w:szCs w:val="26"/>
          <w:lang w:eastAsia="ru-RU"/>
        </w:rPr>
      </w:pPr>
      <w:r>
        <w:rPr>
          <w:rFonts w:ascii="Times New Roman" w:hAnsi="Times New Roman"/>
          <w:sz w:val="26"/>
          <w:szCs w:val="26"/>
          <w:lang w:eastAsia="ru-RU"/>
        </w:rPr>
        <w:t>По состоянию на 31.12.2024 ПАО «Россети Юг» владеет 100 процентами голосующих акций трех дочерних обществ:</w:t>
      </w:r>
    </w:p>
    <w:p w14:paraId="72697568" w14:textId="77777777" w:rsidR="002449C2" w:rsidRDefault="00123961">
      <w:pPr>
        <w:numPr>
          <w:ilvl w:val="0"/>
          <w:numId w:val="58"/>
        </w:numPr>
        <w:shd w:val="clear" w:color="auto" w:fill="FFFFFF"/>
        <w:tabs>
          <w:tab w:val="left" w:pos="142"/>
        </w:tabs>
        <w:spacing w:after="0" w:line="240" w:lineRule="auto"/>
        <w:jc w:val="both"/>
        <w:rPr>
          <w:rFonts w:ascii="Times New Roman" w:hAnsi="Times New Roman"/>
          <w:sz w:val="26"/>
          <w:szCs w:val="26"/>
          <w:lang w:eastAsia="ru-RU"/>
        </w:rPr>
      </w:pPr>
      <w:r>
        <w:rPr>
          <w:rFonts w:ascii="Times New Roman" w:hAnsi="Times New Roman"/>
          <w:sz w:val="26"/>
          <w:szCs w:val="26"/>
          <w:lang w:eastAsia="ru-RU"/>
        </w:rPr>
        <w:t>АО «Энергосервис Юга»</w:t>
      </w:r>
      <w:r w:rsidR="00167DBF">
        <w:rPr>
          <w:rFonts w:ascii="Times New Roman" w:hAnsi="Times New Roman"/>
          <w:sz w:val="26"/>
          <w:szCs w:val="26"/>
          <w:lang w:eastAsia="ru-RU"/>
        </w:rPr>
        <w:t>;</w:t>
      </w:r>
    </w:p>
    <w:p w14:paraId="52C9FC4F" w14:textId="77777777" w:rsidR="002449C2" w:rsidRDefault="00123961">
      <w:pPr>
        <w:numPr>
          <w:ilvl w:val="0"/>
          <w:numId w:val="58"/>
        </w:numPr>
        <w:shd w:val="clear" w:color="auto" w:fill="FFFFFF"/>
        <w:tabs>
          <w:tab w:val="left" w:pos="142"/>
        </w:tabs>
        <w:spacing w:after="0" w:line="240" w:lineRule="auto"/>
        <w:jc w:val="both"/>
        <w:rPr>
          <w:rFonts w:ascii="Times New Roman" w:hAnsi="Times New Roman"/>
          <w:sz w:val="26"/>
          <w:szCs w:val="26"/>
          <w:lang w:eastAsia="ru-RU"/>
        </w:rPr>
      </w:pPr>
      <w:r>
        <w:rPr>
          <w:rFonts w:ascii="Times New Roman" w:hAnsi="Times New Roman"/>
          <w:sz w:val="26"/>
          <w:szCs w:val="26"/>
          <w:lang w:eastAsia="ru-RU"/>
        </w:rPr>
        <w:t>АО «База отдыха «Энергетик»</w:t>
      </w:r>
      <w:r w:rsidR="00167DBF">
        <w:rPr>
          <w:rFonts w:ascii="Times New Roman" w:hAnsi="Times New Roman"/>
          <w:sz w:val="26"/>
          <w:szCs w:val="26"/>
          <w:lang w:eastAsia="ru-RU"/>
        </w:rPr>
        <w:t>;</w:t>
      </w:r>
    </w:p>
    <w:p w14:paraId="29E14156" w14:textId="77777777" w:rsidR="002449C2" w:rsidRDefault="00123961">
      <w:pPr>
        <w:numPr>
          <w:ilvl w:val="0"/>
          <w:numId w:val="58"/>
        </w:numPr>
        <w:shd w:val="clear" w:color="auto" w:fill="FFFFFF"/>
        <w:tabs>
          <w:tab w:val="left" w:pos="142"/>
        </w:tabs>
        <w:spacing w:after="0" w:line="240" w:lineRule="auto"/>
        <w:jc w:val="both"/>
        <w:rPr>
          <w:rFonts w:ascii="Times New Roman" w:hAnsi="Times New Roman"/>
          <w:sz w:val="26"/>
          <w:szCs w:val="26"/>
          <w:lang w:eastAsia="ru-RU"/>
        </w:rPr>
      </w:pPr>
      <w:r>
        <w:rPr>
          <w:rFonts w:ascii="Times New Roman" w:hAnsi="Times New Roman"/>
          <w:sz w:val="26"/>
          <w:szCs w:val="26"/>
          <w:lang w:eastAsia="ru-RU"/>
        </w:rPr>
        <w:t>АО «ВМЭС».</w:t>
      </w:r>
    </w:p>
    <w:p w14:paraId="41944387" w14:textId="77777777" w:rsidR="002449C2" w:rsidRDefault="002449C2">
      <w:pPr>
        <w:shd w:val="clear" w:color="auto" w:fill="FFFFFF"/>
        <w:tabs>
          <w:tab w:val="left" w:pos="142"/>
        </w:tabs>
        <w:spacing w:after="0" w:line="240" w:lineRule="auto"/>
        <w:ind w:firstLine="567"/>
        <w:jc w:val="both"/>
        <w:rPr>
          <w:rFonts w:ascii="Times New Roman" w:hAnsi="Times New Roman"/>
          <w:sz w:val="26"/>
          <w:szCs w:val="26"/>
          <w:lang w:eastAsia="ru-RU"/>
        </w:rPr>
      </w:pPr>
    </w:p>
    <w:p w14:paraId="6FEF703A" w14:textId="77777777" w:rsidR="002449C2" w:rsidRDefault="00123961">
      <w:pPr>
        <w:shd w:val="clear" w:color="auto" w:fill="FFFFFF"/>
        <w:tabs>
          <w:tab w:val="left" w:pos="142"/>
        </w:tabs>
        <w:spacing w:after="0" w:line="240" w:lineRule="auto"/>
        <w:ind w:firstLine="567"/>
        <w:rPr>
          <w:rFonts w:ascii="Times New Roman" w:hAnsi="Times New Roman"/>
          <w:b/>
          <w:sz w:val="26"/>
          <w:szCs w:val="26"/>
          <w:lang w:eastAsia="ru-RU"/>
        </w:rPr>
      </w:pPr>
      <w:r>
        <w:rPr>
          <w:rFonts w:ascii="Times New Roman" w:hAnsi="Times New Roman"/>
          <w:b/>
          <w:sz w:val="26"/>
          <w:szCs w:val="26"/>
          <w:lang w:eastAsia="ru-RU"/>
        </w:rPr>
        <w:t>АО «Энергосервис Юга»</w:t>
      </w:r>
    </w:p>
    <w:p w14:paraId="4FB14746"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pacing w:val="-2"/>
          <w:sz w:val="26"/>
          <w:szCs w:val="26"/>
          <w:lang w:eastAsia="ru-RU"/>
        </w:rPr>
        <w:t>Акционерное общество «Энергосервис Юга»</w:t>
      </w:r>
      <w:r>
        <w:rPr>
          <w:rFonts w:ascii="Times New Roman" w:eastAsia="Times New Roman" w:hAnsi="Times New Roman"/>
          <w:sz w:val="26"/>
          <w:szCs w:val="26"/>
          <w:lang w:eastAsia="ru-RU"/>
        </w:rPr>
        <w:t xml:space="preserve"> (сокращенное наименование - </w:t>
      </w:r>
      <w:r>
        <w:rPr>
          <w:rFonts w:ascii="Times New Roman" w:eastAsia="Times New Roman" w:hAnsi="Times New Roman"/>
          <w:spacing w:val="-2"/>
          <w:sz w:val="26"/>
          <w:szCs w:val="26"/>
          <w:lang w:eastAsia="ru-RU"/>
        </w:rPr>
        <w:t>АО «Энергосервис Юга»</w:t>
      </w:r>
      <w:r>
        <w:rPr>
          <w:rFonts w:ascii="Times New Roman" w:eastAsia="Times New Roman" w:hAnsi="Times New Roman"/>
          <w:sz w:val="26"/>
          <w:szCs w:val="26"/>
          <w:lang w:eastAsia="ru-RU"/>
        </w:rPr>
        <w:t>) создано на основании решения Совета директоров ОАО «МРСК Юга» 24.12.2010 (протокол от 24.12.2010 №57/2010).</w:t>
      </w:r>
    </w:p>
    <w:p w14:paraId="5F0818FA" w14:textId="77777777" w:rsidR="002449C2" w:rsidRDefault="00123961">
      <w:pPr>
        <w:spacing w:after="0" w:line="171" w:lineRule="atLeast"/>
        <w:ind w:firstLine="567"/>
        <w:rPr>
          <w:rFonts w:ascii="Times New Roman" w:eastAsia="Times New Roman" w:hAnsi="Times New Roman"/>
          <w:b/>
          <w:i/>
          <w:sz w:val="26"/>
          <w:szCs w:val="26"/>
          <w:lang w:eastAsia="en-US"/>
        </w:rPr>
      </w:pPr>
      <w:r>
        <w:rPr>
          <w:rFonts w:ascii="Times New Roman" w:eastAsia="Times New Roman" w:hAnsi="Times New Roman"/>
          <w:b/>
          <w:i/>
          <w:sz w:val="26"/>
          <w:szCs w:val="26"/>
          <w:lang w:eastAsia="en-US"/>
        </w:rPr>
        <w:t>Основные виды деятельности.</w:t>
      </w:r>
    </w:p>
    <w:p w14:paraId="54B312C6"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технические испытания, исследования и сертификация;</w:t>
      </w:r>
    </w:p>
    <w:p w14:paraId="74E41B9B"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испытания и анализ механических и электрических характеристик готовой продукции: моторов, автомобилей, станков, радиоэлектронных устройств, оборудования связи и другого оборудования, включающего механические и электрические компоненты;</w:t>
      </w:r>
    </w:p>
    <w:p w14:paraId="6E03F5CD"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научные исследования и разработки в области естественных и технических наук;</w:t>
      </w:r>
    </w:p>
    <w:p w14:paraId="28F9BA47"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прочая деятельность по техническому контролю, испытаниям и анализу;</w:t>
      </w:r>
    </w:p>
    <w:p w14:paraId="0F6BF290"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аудиторская деятельность;</w:t>
      </w:r>
    </w:p>
    <w:p w14:paraId="3B453DB4"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разработка проектов промышленных процессов и производств, относящихся к электротехнике, электронной технике, горному делу, химической технологии, машиностроению, а также в области промышленного строительства, системотехники и техники безопасности;</w:t>
      </w:r>
    </w:p>
    <w:p w14:paraId="6A5CEF7D"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монтаж инженерного оборудования зданий и сооружений;</w:t>
      </w:r>
    </w:p>
    <w:p w14:paraId="0A5C8B18"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производство, передача и распределение электроэнергии;</w:t>
      </w:r>
    </w:p>
    <w:p w14:paraId="1B50D4CA"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производство, передача и распределение пара и горячей воды (тепловой энергии);</w:t>
      </w:r>
    </w:p>
    <w:p w14:paraId="06FFFE49"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деятельность в области архитектуры; инженерно-техническое проектирование; геологоразведочные и геофизические работы; геодезическая и картографическая деятельность; деятельность в области стандартизации и метрологии; деятельность в области гидрометеорологии и смежных с ней областях; виды деятельности, связанные с решением технических задач, не включенные в другие группировки;</w:t>
      </w:r>
    </w:p>
    <w:p w14:paraId="25CAF323"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консультирование по вопросам коммерческой деятельности и управления.</w:t>
      </w:r>
    </w:p>
    <w:p w14:paraId="75DE5D87"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Общество вправе осуществлять иные виды деятельности, не запрещенные законом.</w:t>
      </w:r>
    </w:p>
    <w:p w14:paraId="6EB6FFBF" w14:textId="77777777" w:rsidR="002449C2" w:rsidRDefault="00123961">
      <w:pPr>
        <w:spacing w:after="0" w:line="171" w:lineRule="atLeast"/>
        <w:ind w:firstLine="567"/>
        <w:rPr>
          <w:rFonts w:ascii="Times New Roman" w:eastAsia="Times New Roman" w:hAnsi="Times New Roman"/>
          <w:sz w:val="26"/>
          <w:szCs w:val="26"/>
          <w:lang w:eastAsia="ru-RU"/>
        </w:rPr>
      </w:pPr>
      <w:r>
        <w:rPr>
          <w:rFonts w:ascii="Times New Roman" w:eastAsia="Times New Roman" w:hAnsi="Times New Roman"/>
          <w:b/>
          <w:i/>
          <w:sz w:val="26"/>
          <w:szCs w:val="26"/>
          <w:lang w:eastAsia="en-US"/>
        </w:rPr>
        <w:t>Органы управления и контроля.</w:t>
      </w:r>
    </w:p>
    <w:p w14:paraId="7D7E3E64" w14:textId="77777777" w:rsidR="002449C2" w:rsidRDefault="00123961">
      <w:pPr>
        <w:spacing w:after="0" w:line="171" w:lineRule="atLeast"/>
        <w:ind w:firstLine="567"/>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Совет директоров АО «Энергосервис Юга»:</w:t>
      </w:r>
    </w:p>
    <w:p w14:paraId="6F2C73D8" w14:textId="77777777" w:rsidR="002449C2" w:rsidRDefault="00123961">
      <w:pPr>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Эбзеев Борис Борисович</w:t>
      </w:r>
      <w:r w:rsidR="00167DBF">
        <w:rPr>
          <w:rFonts w:ascii="Times New Roman" w:eastAsia="Times New Roman" w:hAnsi="Times New Roman"/>
          <w:sz w:val="26"/>
          <w:szCs w:val="26"/>
          <w:lang w:eastAsia="ru-RU"/>
        </w:rPr>
        <w:t>;</w:t>
      </w:r>
    </w:p>
    <w:p w14:paraId="17650681" w14:textId="77777777" w:rsidR="002449C2" w:rsidRDefault="00123961">
      <w:pPr>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Гончаров Павел Викторович</w:t>
      </w:r>
      <w:r w:rsidR="00167DBF">
        <w:rPr>
          <w:rFonts w:ascii="Times New Roman" w:eastAsia="Times New Roman" w:hAnsi="Times New Roman"/>
          <w:sz w:val="26"/>
          <w:szCs w:val="26"/>
          <w:lang w:eastAsia="ru-RU"/>
        </w:rPr>
        <w:t>;</w:t>
      </w:r>
    </w:p>
    <w:p w14:paraId="19B73F09" w14:textId="77777777" w:rsidR="002449C2" w:rsidRDefault="00123961">
      <w:pPr>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Докучаев Алексей Станиславович</w:t>
      </w:r>
      <w:r w:rsidR="00167DBF">
        <w:rPr>
          <w:rFonts w:ascii="Times New Roman" w:eastAsia="Times New Roman" w:hAnsi="Times New Roman"/>
          <w:sz w:val="26"/>
          <w:szCs w:val="26"/>
          <w:lang w:eastAsia="ru-RU"/>
        </w:rPr>
        <w:t>;</w:t>
      </w:r>
      <w:r>
        <w:rPr>
          <w:rFonts w:ascii="Times New Roman" w:eastAsia="Times New Roman" w:hAnsi="Times New Roman"/>
          <w:sz w:val="26"/>
          <w:szCs w:val="26"/>
          <w:lang w:eastAsia="ru-RU"/>
        </w:rPr>
        <w:t xml:space="preserve"> </w:t>
      </w:r>
    </w:p>
    <w:p w14:paraId="25F9EA47" w14:textId="77777777" w:rsidR="002449C2" w:rsidRDefault="00123961">
      <w:pPr>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Журавлев Дмитрий Олегович</w:t>
      </w:r>
      <w:r w:rsidR="00167DBF">
        <w:rPr>
          <w:rFonts w:ascii="Times New Roman" w:eastAsia="Times New Roman" w:hAnsi="Times New Roman"/>
          <w:sz w:val="26"/>
          <w:szCs w:val="26"/>
          <w:lang w:eastAsia="ru-RU"/>
        </w:rPr>
        <w:t>;</w:t>
      </w:r>
    </w:p>
    <w:p w14:paraId="7F9D6D7F" w14:textId="77777777" w:rsidR="002449C2" w:rsidRDefault="00123961">
      <w:pPr>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Калашников Никита Владимирович</w:t>
      </w:r>
      <w:r w:rsidR="00167DBF">
        <w:rPr>
          <w:rFonts w:ascii="Times New Roman" w:eastAsia="Times New Roman" w:hAnsi="Times New Roman"/>
          <w:sz w:val="26"/>
          <w:szCs w:val="26"/>
          <w:lang w:eastAsia="ru-RU"/>
        </w:rPr>
        <w:t>;</w:t>
      </w:r>
    </w:p>
    <w:p w14:paraId="557E9AD2" w14:textId="77777777" w:rsidR="002449C2" w:rsidRDefault="00123961">
      <w:pPr>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Бычко Михаил Александрович</w:t>
      </w:r>
      <w:r w:rsidR="00167DBF">
        <w:rPr>
          <w:rFonts w:ascii="Times New Roman" w:eastAsia="Times New Roman" w:hAnsi="Times New Roman"/>
          <w:sz w:val="26"/>
          <w:szCs w:val="26"/>
          <w:lang w:eastAsia="ru-RU"/>
        </w:rPr>
        <w:t>;</w:t>
      </w:r>
    </w:p>
    <w:p w14:paraId="75064387" w14:textId="77777777" w:rsidR="002449C2" w:rsidRDefault="00123961">
      <w:pPr>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Табулов Рустам Элизарович</w:t>
      </w:r>
      <w:r w:rsidR="00167DBF">
        <w:rPr>
          <w:rFonts w:ascii="Times New Roman" w:eastAsia="Times New Roman" w:hAnsi="Times New Roman"/>
          <w:sz w:val="26"/>
          <w:szCs w:val="26"/>
          <w:lang w:eastAsia="ru-RU"/>
        </w:rPr>
        <w:t xml:space="preserve">. </w:t>
      </w:r>
    </w:p>
    <w:p w14:paraId="0C5978B3" w14:textId="77777777" w:rsidR="002449C2" w:rsidRDefault="002449C2">
      <w:pPr>
        <w:spacing w:after="0" w:line="171" w:lineRule="atLeast"/>
        <w:ind w:firstLine="567"/>
        <w:jc w:val="both"/>
        <w:rPr>
          <w:rFonts w:ascii="Times New Roman" w:eastAsia="Times New Roman" w:hAnsi="Times New Roman"/>
          <w:b/>
          <w:sz w:val="26"/>
          <w:szCs w:val="26"/>
          <w:lang w:eastAsia="ru-RU"/>
        </w:rPr>
      </w:pPr>
    </w:p>
    <w:p w14:paraId="5F7818CF" w14:textId="77777777" w:rsidR="002449C2" w:rsidRDefault="00123961">
      <w:pPr>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b/>
          <w:sz w:val="26"/>
          <w:szCs w:val="26"/>
          <w:lang w:eastAsia="ru-RU"/>
        </w:rPr>
        <w:t>Правление</w:t>
      </w:r>
      <w:r>
        <w:rPr>
          <w:rFonts w:ascii="Times New Roman" w:eastAsia="Times New Roman" w:hAnsi="Times New Roman"/>
          <w:sz w:val="26"/>
          <w:szCs w:val="26"/>
          <w:lang w:eastAsia="ru-RU"/>
        </w:rPr>
        <w:t xml:space="preserve"> Уставом Общества не предусмотрено.</w:t>
      </w:r>
    </w:p>
    <w:p w14:paraId="1D5C965E" w14:textId="77777777" w:rsidR="002449C2" w:rsidRDefault="002449C2">
      <w:pPr>
        <w:spacing w:after="0" w:line="171" w:lineRule="atLeast"/>
        <w:ind w:firstLine="567"/>
        <w:jc w:val="both"/>
        <w:rPr>
          <w:rFonts w:ascii="Times New Roman" w:eastAsia="Times New Roman" w:hAnsi="Times New Roman"/>
          <w:b/>
          <w:sz w:val="26"/>
          <w:szCs w:val="26"/>
          <w:lang w:eastAsia="ru-RU"/>
        </w:rPr>
      </w:pPr>
    </w:p>
    <w:p w14:paraId="04014D79" w14:textId="77777777" w:rsidR="002449C2" w:rsidRDefault="00123961">
      <w:pPr>
        <w:spacing w:after="0" w:line="171" w:lineRule="atLeast"/>
        <w:ind w:firstLine="567"/>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Генеральным директором</w:t>
      </w:r>
      <w:r>
        <w:rPr>
          <w:rFonts w:ascii="Times New Roman" w:eastAsia="Times New Roman" w:hAnsi="Times New Roman"/>
          <w:sz w:val="26"/>
          <w:szCs w:val="26"/>
          <w:lang w:eastAsia="ru-RU"/>
        </w:rPr>
        <w:t xml:space="preserve"> АО «Энергосервис Юга» с 01.10.2017 избран Журавлев Дмитрий Олегович.</w:t>
      </w:r>
    </w:p>
    <w:p w14:paraId="4105CCB6" w14:textId="77777777" w:rsidR="002449C2" w:rsidRDefault="002449C2">
      <w:pPr>
        <w:spacing w:after="0" w:line="171" w:lineRule="atLeast"/>
        <w:ind w:firstLine="567"/>
        <w:jc w:val="both"/>
        <w:rPr>
          <w:rFonts w:ascii="Times New Roman" w:eastAsia="Times New Roman" w:hAnsi="Times New Roman"/>
          <w:b/>
          <w:sz w:val="26"/>
          <w:szCs w:val="26"/>
          <w:lang w:eastAsia="ru-RU"/>
        </w:rPr>
      </w:pPr>
    </w:p>
    <w:p w14:paraId="168B2CF9" w14:textId="77777777" w:rsidR="002449C2" w:rsidRDefault="00123961">
      <w:pPr>
        <w:spacing w:after="0" w:line="171" w:lineRule="atLeast"/>
        <w:ind w:firstLine="567"/>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Ревизионная комиссия АО «Энергосервис Юга»:</w:t>
      </w:r>
    </w:p>
    <w:p w14:paraId="7449118A" w14:textId="77777777" w:rsidR="002449C2" w:rsidRDefault="00123961">
      <w:pPr>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Меньшенин Алексей Евгеньевич</w:t>
      </w:r>
      <w:r w:rsidR="00167DBF">
        <w:rPr>
          <w:rFonts w:ascii="Times New Roman" w:eastAsia="Times New Roman" w:hAnsi="Times New Roman"/>
          <w:sz w:val="26"/>
          <w:szCs w:val="26"/>
          <w:lang w:eastAsia="ru-RU"/>
        </w:rPr>
        <w:t>;</w:t>
      </w:r>
    </w:p>
    <w:p w14:paraId="3232C71B" w14:textId="77777777" w:rsidR="002449C2" w:rsidRDefault="00123961">
      <w:pPr>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Печенкин Николай Владимирович</w:t>
      </w:r>
      <w:r w:rsidR="00167DBF">
        <w:rPr>
          <w:rFonts w:ascii="Times New Roman" w:eastAsia="Times New Roman" w:hAnsi="Times New Roman"/>
          <w:sz w:val="26"/>
          <w:szCs w:val="26"/>
          <w:lang w:eastAsia="ru-RU"/>
        </w:rPr>
        <w:t>;</w:t>
      </w:r>
    </w:p>
    <w:p w14:paraId="610D26E8" w14:textId="76A00138" w:rsidR="002449C2" w:rsidRDefault="00123961">
      <w:pPr>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Гладкина Екатерина Максимовна</w:t>
      </w:r>
      <w:r w:rsidR="00167DBF">
        <w:rPr>
          <w:rFonts w:ascii="Times New Roman" w:eastAsia="Times New Roman" w:hAnsi="Times New Roman"/>
          <w:sz w:val="26"/>
          <w:szCs w:val="26"/>
          <w:lang w:eastAsia="ru-RU"/>
        </w:rPr>
        <w:t>.</w:t>
      </w:r>
    </w:p>
    <w:p w14:paraId="509A72CA" w14:textId="77777777" w:rsidR="002449C2" w:rsidRDefault="002449C2">
      <w:pPr>
        <w:shd w:val="clear" w:color="auto" w:fill="FFFFFF"/>
        <w:spacing w:after="0" w:line="240" w:lineRule="auto"/>
        <w:ind w:firstLine="567"/>
        <w:jc w:val="both"/>
        <w:rPr>
          <w:rFonts w:ascii="Times New Roman" w:eastAsia="Times New Roman" w:hAnsi="Times New Roman"/>
          <w:spacing w:val="-2"/>
          <w:sz w:val="26"/>
          <w:szCs w:val="26"/>
          <w:lang w:eastAsia="ru-RU"/>
        </w:rPr>
      </w:pPr>
    </w:p>
    <w:p w14:paraId="5032876C" w14:textId="77777777" w:rsidR="002449C2" w:rsidRDefault="00123961">
      <w:pPr>
        <w:tabs>
          <w:tab w:val="left" w:pos="993"/>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pacing w:val="-2"/>
          <w:sz w:val="26"/>
          <w:szCs w:val="26"/>
          <w:lang w:eastAsia="ru-RU"/>
        </w:rPr>
        <w:t>Для проверки и подтверждения достоверности годовой финансовой отчетности АО «Энергосервис Юга» Общим собранием акционеров АО «Энергосервис Юга» 28.06.2024 (протокол заседания Правления ПАО «Россети Юг» от 28.06.2024 №565) аудиторской организацией Общества назначено ООО «АйБиСи Групп» (ИНН 77439442156 ОГРН 5147746194415).</w:t>
      </w:r>
    </w:p>
    <w:p w14:paraId="3D82247C" w14:textId="77777777" w:rsidR="002449C2" w:rsidRDefault="00123961">
      <w:pPr>
        <w:tabs>
          <w:tab w:val="left" w:pos="993"/>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Уставный капитал АО «</w:t>
      </w:r>
      <w:r>
        <w:rPr>
          <w:rFonts w:ascii="Times New Roman" w:eastAsia="Times New Roman" w:hAnsi="Times New Roman"/>
          <w:spacing w:val="-2"/>
          <w:sz w:val="26"/>
          <w:szCs w:val="26"/>
          <w:lang w:eastAsia="ru-RU"/>
        </w:rPr>
        <w:t>Энергосервис Юга</w:t>
      </w:r>
      <w:r>
        <w:rPr>
          <w:rFonts w:ascii="Times New Roman" w:eastAsia="Times New Roman" w:hAnsi="Times New Roman"/>
          <w:sz w:val="26"/>
          <w:szCs w:val="26"/>
          <w:lang w:eastAsia="ru-RU"/>
        </w:rPr>
        <w:t xml:space="preserve">» составляет </w:t>
      </w:r>
      <w:r>
        <w:rPr>
          <w:rFonts w:ascii="Times New Roman" w:eastAsia="Times New Roman" w:hAnsi="Times New Roman"/>
          <w:spacing w:val="-2"/>
          <w:sz w:val="26"/>
          <w:szCs w:val="26"/>
          <w:lang w:eastAsia="ru-RU"/>
        </w:rPr>
        <w:t>2 500 000 (Два миллиона пятьсот тысяч) рублей</w:t>
      </w:r>
      <w:r>
        <w:rPr>
          <w:rFonts w:ascii="Times New Roman" w:eastAsia="Times New Roman" w:hAnsi="Times New Roman"/>
          <w:sz w:val="26"/>
          <w:szCs w:val="26"/>
          <w:lang w:eastAsia="ru-RU"/>
        </w:rPr>
        <w:t xml:space="preserve"> и разделен на 2 500 (Две тысячи пятьсот) штук обыкновенных именных акций номинальной стоимостью </w:t>
      </w:r>
      <w:r>
        <w:rPr>
          <w:rFonts w:ascii="Times New Roman" w:eastAsia="Times New Roman" w:hAnsi="Times New Roman"/>
          <w:spacing w:val="-2"/>
          <w:sz w:val="26"/>
          <w:szCs w:val="26"/>
          <w:lang w:eastAsia="ru-RU"/>
        </w:rPr>
        <w:t>1 000 (Одна тысяча) рублей каждая</w:t>
      </w:r>
      <w:r>
        <w:rPr>
          <w:rFonts w:ascii="Times New Roman" w:eastAsia="Times New Roman" w:hAnsi="Times New Roman"/>
          <w:sz w:val="26"/>
          <w:szCs w:val="26"/>
          <w:lang w:eastAsia="ru-RU"/>
        </w:rPr>
        <w:t>.</w:t>
      </w:r>
    </w:p>
    <w:p w14:paraId="44BE7240"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отчетном периоде ПАО «Россети Юг» в отношении АО «Энергосервис Юга» подготовлено 16 итоговых поручений, согласно которым определена позиция по 72 вопросам повесток дня заседания Совета директоров.</w:t>
      </w:r>
    </w:p>
    <w:p w14:paraId="5931ECD9" w14:textId="77777777" w:rsidR="002449C2" w:rsidRDefault="002449C2">
      <w:pPr>
        <w:shd w:val="clear" w:color="auto" w:fill="FFFFFF"/>
        <w:tabs>
          <w:tab w:val="left" w:pos="142"/>
        </w:tabs>
        <w:spacing w:after="0" w:line="240" w:lineRule="auto"/>
        <w:ind w:firstLine="567"/>
        <w:jc w:val="both"/>
        <w:rPr>
          <w:rFonts w:ascii="Times New Roman" w:hAnsi="Times New Roman"/>
          <w:sz w:val="26"/>
          <w:szCs w:val="26"/>
          <w:lang w:eastAsia="ru-RU"/>
        </w:rPr>
      </w:pPr>
    </w:p>
    <w:p w14:paraId="6B581460" w14:textId="77777777" w:rsidR="002449C2" w:rsidRDefault="00123961">
      <w:pPr>
        <w:shd w:val="clear" w:color="auto" w:fill="FFFFFF"/>
        <w:spacing w:before="240" w:after="0" w:line="240" w:lineRule="auto"/>
        <w:ind w:firstLine="567"/>
        <w:contextualSpacing/>
        <w:rPr>
          <w:rFonts w:ascii="Times New Roman" w:eastAsia="Times New Roman" w:hAnsi="Times New Roman"/>
          <w:b/>
          <w:sz w:val="26"/>
          <w:szCs w:val="26"/>
          <w:lang w:eastAsia="en-US"/>
        </w:rPr>
      </w:pPr>
      <w:r>
        <w:rPr>
          <w:rFonts w:ascii="Times New Roman" w:eastAsia="Times New Roman" w:hAnsi="Times New Roman"/>
          <w:b/>
          <w:sz w:val="26"/>
          <w:szCs w:val="26"/>
          <w:lang w:eastAsia="en-US"/>
        </w:rPr>
        <w:t>АО «База отдыха «Энергетик»</w:t>
      </w:r>
    </w:p>
    <w:p w14:paraId="2D129505" w14:textId="77777777" w:rsidR="002449C2" w:rsidRDefault="00123961">
      <w:pPr>
        <w:shd w:val="clear" w:color="auto" w:fill="FFFFFF"/>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Акционерное общество «База отдыха «Энергетик» (сокращенное наименование - АО «База отдыха «Энергетик») создано на основании решения Совета директоров ОАО «Ростовэнерго» 31.10.2003 (протокол от 31.10.2003 №11) и зарегистрировано по адресу: Российская Федерация, Краснодарский край, Туапсинский район, село Шепси, ул. Школьная, 3.</w:t>
      </w:r>
    </w:p>
    <w:p w14:paraId="3CEBBB41" w14:textId="77777777" w:rsidR="002449C2" w:rsidRDefault="00123961">
      <w:pPr>
        <w:shd w:val="clear" w:color="auto" w:fill="FFFFFF"/>
        <w:spacing w:after="0" w:line="171" w:lineRule="atLeast"/>
        <w:ind w:firstLine="567"/>
        <w:rPr>
          <w:rFonts w:ascii="Times New Roman" w:eastAsia="Times New Roman" w:hAnsi="Times New Roman"/>
          <w:b/>
          <w:i/>
          <w:sz w:val="26"/>
          <w:szCs w:val="26"/>
          <w:lang w:eastAsia="en-US"/>
        </w:rPr>
      </w:pPr>
      <w:r>
        <w:rPr>
          <w:rFonts w:ascii="Times New Roman" w:eastAsia="Times New Roman" w:hAnsi="Times New Roman"/>
          <w:b/>
          <w:i/>
          <w:sz w:val="26"/>
          <w:szCs w:val="26"/>
          <w:lang w:eastAsia="en-US"/>
        </w:rPr>
        <w:t>Основные виды деятельности.</w:t>
      </w:r>
    </w:p>
    <w:p w14:paraId="3A7B8FAB"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Основными видами деятельности Общества являются деятельность санаторно-курортного учреждения по лечению и оздоровлению (отдыху) взрослых, родителей с детьми (не менее 5-ти летнего возраста) и организованных групп детей школьного возраста, оказание сервисно-бытовых, экскурсионно-туристических, культурно-развлекательных услуг.</w:t>
      </w:r>
    </w:p>
    <w:p w14:paraId="314371E8"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Общество вправе осуществлять иные виды деятельности, не запрещенные законом.</w:t>
      </w:r>
    </w:p>
    <w:p w14:paraId="0375A282" w14:textId="77777777" w:rsidR="002449C2" w:rsidRDefault="002449C2">
      <w:pPr>
        <w:shd w:val="clear" w:color="auto" w:fill="FFFFFF"/>
        <w:spacing w:after="0" w:line="240" w:lineRule="auto"/>
        <w:ind w:firstLine="567"/>
        <w:jc w:val="both"/>
        <w:rPr>
          <w:rFonts w:ascii="Times New Roman" w:eastAsia="Times New Roman" w:hAnsi="Times New Roman"/>
          <w:sz w:val="26"/>
          <w:szCs w:val="26"/>
          <w:lang w:eastAsia="ru-RU"/>
        </w:rPr>
      </w:pPr>
    </w:p>
    <w:p w14:paraId="52E804CE" w14:textId="77777777" w:rsidR="002449C2" w:rsidRDefault="00123961">
      <w:pPr>
        <w:shd w:val="clear" w:color="auto" w:fill="FFFFFF"/>
        <w:spacing w:after="0" w:line="171" w:lineRule="atLeast"/>
        <w:ind w:firstLine="567"/>
        <w:rPr>
          <w:rFonts w:ascii="Times New Roman" w:eastAsia="Times New Roman" w:hAnsi="Times New Roman"/>
          <w:sz w:val="26"/>
          <w:szCs w:val="26"/>
          <w:lang w:eastAsia="ru-RU"/>
        </w:rPr>
      </w:pPr>
      <w:r>
        <w:rPr>
          <w:rFonts w:ascii="Times New Roman" w:eastAsia="Times New Roman" w:hAnsi="Times New Roman"/>
          <w:b/>
          <w:i/>
          <w:sz w:val="26"/>
          <w:szCs w:val="26"/>
          <w:lang w:eastAsia="en-US"/>
        </w:rPr>
        <w:t>Органы управления и контроля.</w:t>
      </w:r>
    </w:p>
    <w:p w14:paraId="2A0D39CA" w14:textId="77777777" w:rsidR="002449C2" w:rsidRDefault="00123961">
      <w:pPr>
        <w:shd w:val="clear" w:color="auto" w:fill="FFFFFF"/>
        <w:spacing w:after="0" w:line="171" w:lineRule="atLeast"/>
        <w:ind w:firstLine="567"/>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Совет директоров АО «База отдыха «Энергетик»:</w:t>
      </w:r>
    </w:p>
    <w:p w14:paraId="586EC3E3" w14:textId="77777777" w:rsidR="002449C2" w:rsidRDefault="00123961">
      <w:pPr>
        <w:shd w:val="clear" w:color="auto" w:fill="FFFFFF"/>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Джабраилова Юлианна Хасановна</w:t>
      </w:r>
      <w:r w:rsidR="00167DBF">
        <w:rPr>
          <w:rFonts w:ascii="Times New Roman" w:eastAsia="Times New Roman" w:hAnsi="Times New Roman"/>
          <w:sz w:val="26"/>
          <w:szCs w:val="26"/>
          <w:lang w:eastAsia="ru-RU"/>
        </w:rPr>
        <w:t>;</w:t>
      </w:r>
      <w:r>
        <w:rPr>
          <w:rFonts w:ascii="Times New Roman" w:eastAsia="Times New Roman" w:hAnsi="Times New Roman"/>
          <w:sz w:val="26"/>
          <w:szCs w:val="26"/>
          <w:lang w:eastAsia="ru-RU"/>
        </w:rPr>
        <w:t xml:space="preserve"> </w:t>
      </w:r>
    </w:p>
    <w:p w14:paraId="2C5DBC93" w14:textId="77777777" w:rsidR="002449C2" w:rsidRDefault="00123961">
      <w:pPr>
        <w:shd w:val="clear" w:color="auto" w:fill="FFFFFF"/>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Иорданиди Кирилл Александрович</w:t>
      </w:r>
      <w:r w:rsidR="00167DBF">
        <w:rPr>
          <w:rFonts w:ascii="Times New Roman" w:eastAsia="Times New Roman" w:hAnsi="Times New Roman"/>
          <w:sz w:val="26"/>
          <w:szCs w:val="26"/>
          <w:lang w:eastAsia="ru-RU"/>
        </w:rPr>
        <w:t>;</w:t>
      </w:r>
    </w:p>
    <w:p w14:paraId="23181677" w14:textId="77777777" w:rsidR="002449C2" w:rsidRDefault="00123961">
      <w:pPr>
        <w:shd w:val="clear" w:color="auto" w:fill="FFFFFF"/>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Калмыкова Ольга Николаевна</w:t>
      </w:r>
      <w:r w:rsidR="00167DBF">
        <w:rPr>
          <w:rFonts w:ascii="Times New Roman" w:eastAsia="Times New Roman" w:hAnsi="Times New Roman"/>
          <w:sz w:val="26"/>
          <w:szCs w:val="26"/>
          <w:lang w:eastAsia="ru-RU"/>
        </w:rPr>
        <w:t>;</w:t>
      </w:r>
    </w:p>
    <w:p w14:paraId="6E229C82" w14:textId="77777777" w:rsidR="002449C2" w:rsidRDefault="00123961">
      <w:pPr>
        <w:shd w:val="clear" w:color="auto" w:fill="FFFFFF"/>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Табулов Рустам Элизарович</w:t>
      </w:r>
      <w:r w:rsidR="00167DBF">
        <w:rPr>
          <w:rFonts w:ascii="Times New Roman" w:eastAsia="Times New Roman" w:hAnsi="Times New Roman"/>
          <w:sz w:val="26"/>
          <w:szCs w:val="26"/>
          <w:lang w:eastAsia="ru-RU"/>
        </w:rPr>
        <w:t>;</w:t>
      </w:r>
    </w:p>
    <w:p w14:paraId="40DB19CB" w14:textId="77777777" w:rsidR="002449C2" w:rsidRDefault="00123961">
      <w:pPr>
        <w:shd w:val="clear" w:color="auto" w:fill="FFFFFF"/>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Кириченко Татьяна Сергеевна</w:t>
      </w:r>
      <w:r w:rsidR="00167DBF">
        <w:rPr>
          <w:rFonts w:ascii="Times New Roman" w:eastAsia="Times New Roman" w:hAnsi="Times New Roman"/>
          <w:sz w:val="26"/>
          <w:szCs w:val="26"/>
          <w:lang w:eastAsia="ru-RU"/>
        </w:rPr>
        <w:t xml:space="preserve">. </w:t>
      </w:r>
    </w:p>
    <w:p w14:paraId="3079503F" w14:textId="77777777" w:rsidR="002449C2" w:rsidRDefault="002449C2">
      <w:pPr>
        <w:shd w:val="clear" w:color="auto" w:fill="FFFFFF"/>
        <w:tabs>
          <w:tab w:val="left" w:pos="1080"/>
        </w:tabs>
        <w:spacing w:after="0" w:line="240" w:lineRule="auto"/>
        <w:ind w:firstLine="567"/>
        <w:jc w:val="both"/>
        <w:rPr>
          <w:rFonts w:ascii="Times New Roman" w:eastAsia="Times New Roman" w:hAnsi="Times New Roman"/>
          <w:b/>
          <w:sz w:val="26"/>
          <w:szCs w:val="26"/>
          <w:lang w:eastAsia="ru-RU"/>
        </w:rPr>
      </w:pPr>
    </w:p>
    <w:p w14:paraId="39085003" w14:textId="77777777" w:rsidR="002449C2" w:rsidRDefault="00123961">
      <w:pPr>
        <w:shd w:val="clear" w:color="auto" w:fill="FFFFFF"/>
        <w:tabs>
          <w:tab w:val="left" w:pos="1080"/>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b/>
          <w:sz w:val="26"/>
          <w:szCs w:val="26"/>
          <w:lang w:eastAsia="ru-RU"/>
        </w:rPr>
        <w:t>Правление</w:t>
      </w:r>
      <w:r>
        <w:rPr>
          <w:rFonts w:ascii="Times New Roman" w:eastAsia="Times New Roman" w:hAnsi="Times New Roman"/>
          <w:sz w:val="26"/>
          <w:szCs w:val="26"/>
          <w:lang w:eastAsia="ru-RU"/>
        </w:rPr>
        <w:t xml:space="preserve"> Уставом Общества не предусмотрено.</w:t>
      </w:r>
    </w:p>
    <w:p w14:paraId="0EF255BD" w14:textId="77777777" w:rsidR="002449C2" w:rsidRDefault="002449C2">
      <w:pPr>
        <w:shd w:val="clear" w:color="auto" w:fill="FFFFFF"/>
        <w:tabs>
          <w:tab w:val="left" w:pos="1080"/>
        </w:tabs>
        <w:spacing w:after="0" w:line="240" w:lineRule="auto"/>
        <w:ind w:firstLine="567"/>
        <w:jc w:val="both"/>
        <w:rPr>
          <w:rFonts w:ascii="Times New Roman" w:eastAsia="Times New Roman" w:hAnsi="Times New Roman"/>
          <w:sz w:val="26"/>
          <w:szCs w:val="26"/>
          <w:lang w:eastAsia="ru-RU"/>
        </w:rPr>
      </w:pPr>
    </w:p>
    <w:p w14:paraId="01CFF48D" w14:textId="77777777" w:rsidR="002449C2" w:rsidRDefault="00123961">
      <w:pPr>
        <w:shd w:val="clear" w:color="auto" w:fill="FFFFFF"/>
        <w:tabs>
          <w:tab w:val="left" w:pos="1080"/>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b/>
          <w:sz w:val="26"/>
          <w:szCs w:val="26"/>
          <w:lang w:eastAsia="ru-RU"/>
        </w:rPr>
        <w:t>Генеральным директором</w:t>
      </w:r>
      <w:r>
        <w:rPr>
          <w:rFonts w:ascii="Times New Roman" w:eastAsia="Times New Roman" w:hAnsi="Times New Roman"/>
          <w:sz w:val="26"/>
          <w:szCs w:val="26"/>
          <w:lang w:eastAsia="ru-RU"/>
        </w:rPr>
        <w:t xml:space="preserve"> Общества с 31.08.2020 избран </w:t>
      </w:r>
      <w:r>
        <w:rPr>
          <w:rFonts w:ascii="Times New Roman" w:eastAsia="Times New Roman" w:hAnsi="Times New Roman"/>
          <w:bCs/>
          <w:sz w:val="26"/>
          <w:szCs w:val="26"/>
          <w:lang w:eastAsia="ru-RU"/>
        </w:rPr>
        <w:t>Кузин Алексей Витальевич</w:t>
      </w:r>
      <w:r>
        <w:rPr>
          <w:rFonts w:ascii="Times New Roman" w:eastAsia="Times New Roman" w:hAnsi="Times New Roman"/>
          <w:sz w:val="26"/>
          <w:szCs w:val="26"/>
          <w:lang w:eastAsia="ru-RU"/>
        </w:rPr>
        <w:t>.</w:t>
      </w:r>
    </w:p>
    <w:p w14:paraId="21E5843D" w14:textId="77777777" w:rsidR="002449C2" w:rsidRDefault="002449C2">
      <w:pPr>
        <w:shd w:val="clear" w:color="auto" w:fill="FFFFFF"/>
        <w:spacing w:after="0" w:line="171" w:lineRule="atLeast"/>
        <w:ind w:firstLine="567"/>
        <w:jc w:val="both"/>
        <w:rPr>
          <w:rFonts w:ascii="Times New Roman" w:eastAsia="Times New Roman" w:hAnsi="Times New Roman"/>
          <w:b/>
          <w:sz w:val="26"/>
          <w:szCs w:val="26"/>
          <w:lang w:eastAsia="ru-RU"/>
        </w:rPr>
      </w:pPr>
    </w:p>
    <w:p w14:paraId="7D0EE8C8" w14:textId="77777777" w:rsidR="002449C2" w:rsidRDefault="00123961">
      <w:pPr>
        <w:shd w:val="clear" w:color="auto" w:fill="FFFFFF"/>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b/>
          <w:sz w:val="26"/>
          <w:szCs w:val="26"/>
          <w:lang w:eastAsia="ru-RU"/>
        </w:rPr>
        <w:t>Ревизионная комиссия АО «База отдыха «Энергетик»:</w:t>
      </w:r>
    </w:p>
    <w:p w14:paraId="40054295"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Меньшенин Алексей Евгеньевич</w:t>
      </w:r>
      <w:r w:rsidR="00167DBF">
        <w:rPr>
          <w:rFonts w:ascii="Times New Roman" w:eastAsia="Times New Roman" w:hAnsi="Times New Roman"/>
          <w:sz w:val="26"/>
          <w:szCs w:val="26"/>
          <w:lang w:eastAsia="ru-RU"/>
        </w:rPr>
        <w:t>;</w:t>
      </w:r>
    </w:p>
    <w:p w14:paraId="24D826C5"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Тихонова Эмилия Константиновна</w:t>
      </w:r>
      <w:r w:rsidR="00167DBF">
        <w:rPr>
          <w:rFonts w:ascii="Times New Roman" w:eastAsia="Times New Roman" w:hAnsi="Times New Roman"/>
          <w:sz w:val="26"/>
          <w:szCs w:val="26"/>
          <w:lang w:eastAsia="ru-RU"/>
        </w:rPr>
        <w:t>;</w:t>
      </w:r>
    </w:p>
    <w:p w14:paraId="135428D6" w14:textId="3C453A00"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Гуденко Анна Геннадьевна</w:t>
      </w:r>
      <w:r w:rsidR="00167DBF">
        <w:rPr>
          <w:rFonts w:ascii="Times New Roman" w:eastAsia="Times New Roman" w:hAnsi="Times New Roman"/>
          <w:sz w:val="26"/>
          <w:szCs w:val="26"/>
          <w:lang w:eastAsia="ru-RU"/>
        </w:rPr>
        <w:t>.</w:t>
      </w:r>
    </w:p>
    <w:p w14:paraId="1EAF6858" w14:textId="77777777" w:rsidR="002449C2" w:rsidRDefault="002449C2">
      <w:pPr>
        <w:shd w:val="clear" w:color="auto" w:fill="FFFFFF"/>
        <w:spacing w:after="0" w:line="171" w:lineRule="atLeast"/>
        <w:ind w:firstLine="567"/>
        <w:jc w:val="both"/>
        <w:rPr>
          <w:rFonts w:ascii="Times New Roman" w:eastAsia="Times New Roman" w:hAnsi="Times New Roman"/>
          <w:spacing w:val="-2"/>
          <w:sz w:val="26"/>
          <w:szCs w:val="26"/>
          <w:lang w:eastAsia="ru-RU"/>
        </w:rPr>
      </w:pPr>
    </w:p>
    <w:p w14:paraId="4A42C033" w14:textId="77777777" w:rsidR="002449C2" w:rsidRDefault="00123961">
      <w:pPr>
        <w:tabs>
          <w:tab w:val="left" w:pos="993"/>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pacing w:val="-2"/>
          <w:sz w:val="26"/>
          <w:szCs w:val="26"/>
          <w:lang w:eastAsia="ru-RU"/>
        </w:rPr>
        <w:t>Для проверки и подтверждения достоверности годовой финансовой отчетности Общим собранием акционеров АО «База отдыха «Энергетик» 28.06.2024 (протокол заседания Правления ПАО «Россети Юг» от 28.06.2024 №565) аудиторской организацией Общества назначено ООО «АйБиСи Групп» (ИНН 77439442156 ОГРН 5147746194415).</w:t>
      </w:r>
    </w:p>
    <w:p w14:paraId="52FEE718"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Уставный капитал АО «База отдыха «Энергетик» составляет 10 015 141 (десять миллионов пятнадцать тысяч сто сорок один) рубль 95 копеек и разделен на 111 279 355 (сто одиннадцать миллионов двести семьдесят девять тысяч триста пятьдесят пять) штук обыкновенных именных акций номинальной стоимостью 0,09 рубля каждая.</w:t>
      </w:r>
    </w:p>
    <w:p w14:paraId="17F46D25"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отчетном периоде ПАО «Россети Юг» в отношении АО «База отдыха «Энергетик» подготовлено 11 итоговых поручений, согласно которым определена позиция по 23 вопросам повесток дня заседания Совета директоров.</w:t>
      </w:r>
    </w:p>
    <w:p w14:paraId="170BEDB9" w14:textId="77777777" w:rsidR="002449C2" w:rsidRDefault="002449C2">
      <w:pPr>
        <w:shd w:val="clear" w:color="auto" w:fill="FFFFFF"/>
        <w:tabs>
          <w:tab w:val="left" w:pos="142"/>
        </w:tabs>
        <w:spacing w:after="0" w:line="240" w:lineRule="auto"/>
        <w:ind w:firstLine="567"/>
        <w:jc w:val="both"/>
        <w:rPr>
          <w:rFonts w:ascii="Times New Roman" w:hAnsi="Times New Roman"/>
          <w:sz w:val="26"/>
          <w:szCs w:val="26"/>
          <w:lang w:eastAsia="ru-RU"/>
        </w:rPr>
      </w:pPr>
    </w:p>
    <w:p w14:paraId="3FAB9E69" w14:textId="77777777" w:rsidR="002449C2" w:rsidRDefault="00123961">
      <w:pPr>
        <w:shd w:val="clear" w:color="auto" w:fill="FFFFFF"/>
        <w:spacing w:before="240" w:after="0" w:line="240" w:lineRule="auto"/>
        <w:ind w:firstLine="567"/>
        <w:contextualSpacing/>
        <w:rPr>
          <w:rFonts w:ascii="Times New Roman" w:eastAsia="Times New Roman" w:hAnsi="Times New Roman"/>
          <w:b/>
          <w:sz w:val="26"/>
          <w:szCs w:val="26"/>
          <w:lang w:eastAsia="en-US"/>
        </w:rPr>
      </w:pPr>
      <w:r>
        <w:rPr>
          <w:rFonts w:ascii="Times New Roman" w:eastAsia="Times New Roman" w:hAnsi="Times New Roman"/>
          <w:b/>
          <w:sz w:val="26"/>
          <w:szCs w:val="26"/>
          <w:lang w:eastAsia="en-US"/>
        </w:rPr>
        <w:t>АО «ВМЭС»</w:t>
      </w:r>
    </w:p>
    <w:p w14:paraId="35E8F192" w14:textId="77777777" w:rsidR="002449C2" w:rsidRDefault="00123961">
      <w:pPr>
        <w:shd w:val="clear" w:color="auto" w:fill="FFFFFF"/>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С 20.06.2019 Общество является дочерним акционерным обществом Публичного акционерного общества «Россети Юг», являющегося единственным акционером Общества. </w:t>
      </w:r>
    </w:p>
    <w:p w14:paraId="44883632" w14:textId="77777777" w:rsidR="002449C2" w:rsidRDefault="00123961">
      <w:pPr>
        <w:shd w:val="clear" w:color="auto" w:fill="FFFFFF"/>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Общество создано в результате проведения процедуры замещения активов МУПП «ВМЭС» на основании решения собрания кредиторов МУПП «ВМЭС» от 02.04.2018 (протокол №18). </w:t>
      </w:r>
    </w:p>
    <w:p w14:paraId="3893F2EF" w14:textId="77777777" w:rsidR="002449C2" w:rsidRDefault="00123961">
      <w:pPr>
        <w:shd w:val="clear" w:color="auto" w:fill="FFFFFF"/>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05.04.2018 на основании решения МУПП «ВМЭС», являющегося единственным учредителем Общества, от 02.04.2018 №1 была внесена запись в Единый государственный реестр юридических лиц о государственной регистрации создания юридического лица (ГРН № 1183443005778). </w:t>
      </w:r>
    </w:p>
    <w:p w14:paraId="1EDB7B57" w14:textId="77777777" w:rsidR="002449C2" w:rsidRDefault="00123961">
      <w:pPr>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Решением Комиссии по консолидации электросетевых активов ПАО «Россети Юг» (протокол от 07.12.2018 №54/2018) подтверждена целесообразность совершения сделки по консолидации 100% пакета акций ПАО «ВМЭС». Решением Правления ПАО «Россети Юг» признано целесообразным приобретение 100% пакета акций Публичного акционерного общества «Волгоградские межрайонные электрические сети» (протокол от 10.12.2018 №299). Решением Совета директоров ПАО «Россети Юг» 29.04.2019 (протокол от 29.04.2019 №315/2019) одобрено участие ПАО «Россети Юг» в Публичном акционерном обществе «Волгоградские межрайонные электрические сети» путем заключения договора купли-продажи акций по итогам участия в открытом конкурсе по продаже акций ПАО «ВМЭС».</w:t>
      </w:r>
    </w:p>
    <w:p w14:paraId="65177B24" w14:textId="77777777" w:rsidR="002449C2" w:rsidRDefault="00123961">
      <w:pPr>
        <w:spacing w:after="0" w:line="171" w:lineRule="atLeast"/>
        <w:ind w:firstLine="567"/>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20.12.2019 АО «ВМЭС» приобрело статус Акционерного общества. </w:t>
      </w:r>
    </w:p>
    <w:p w14:paraId="50DBF94E" w14:textId="77777777" w:rsidR="002449C2" w:rsidRDefault="00123961">
      <w:pPr>
        <w:spacing w:after="0" w:line="171" w:lineRule="atLeast"/>
        <w:ind w:firstLine="567"/>
        <w:rPr>
          <w:rFonts w:ascii="Times New Roman" w:eastAsia="Times New Roman" w:hAnsi="Times New Roman"/>
          <w:b/>
          <w:i/>
          <w:sz w:val="26"/>
          <w:szCs w:val="26"/>
          <w:lang w:eastAsia="en-US"/>
        </w:rPr>
      </w:pPr>
      <w:r>
        <w:rPr>
          <w:rFonts w:ascii="Times New Roman" w:eastAsia="Times New Roman" w:hAnsi="Times New Roman"/>
          <w:b/>
          <w:i/>
          <w:sz w:val="26"/>
          <w:szCs w:val="26"/>
          <w:lang w:eastAsia="en-US"/>
        </w:rPr>
        <w:t>Основные виды деятельности.</w:t>
      </w:r>
    </w:p>
    <w:p w14:paraId="21F80E63"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Основным видом деятельности Общества является распределение электроэнергии. Общество вправе осуществлять иные виды деятельности, не запрещенные законом.</w:t>
      </w:r>
    </w:p>
    <w:p w14:paraId="444CB8C4" w14:textId="77777777" w:rsidR="002449C2" w:rsidRDefault="002449C2">
      <w:pPr>
        <w:spacing w:after="0" w:line="171" w:lineRule="atLeast"/>
        <w:ind w:firstLine="567"/>
        <w:rPr>
          <w:rFonts w:ascii="Times New Roman" w:eastAsia="Times New Roman" w:hAnsi="Times New Roman"/>
          <w:b/>
          <w:i/>
          <w:sz w:val="26"/>
          <w:szCs w:val="26"/>
          <w:lang w:eastAsia="en-US"/>
        </w:rPr>
      </w:pPr>
    </w:p>
    <w:p w14:paraId="4E591803" w14:textId="77777777" w:rsidR="002449C2" w:rsidRDefault="00123961">
      <w:pPr>
        <w:spacing w:after="0" w:line="171" w:lineRule="atLeast"/>
        <w:ind w:firstLine="567"/>
        <w:rPr>
          <w:rFonts w:ascii="Times New Roman" w:eastAsia="Times New Roman" w:hAnsi="Times New Roman"/>
          <w:sz w:val="26"/>
          <w:szCs w:val="26"/>
          <w:lang w:eastAsia="ru-RU"/>
        </w:rPr>
      </w:pPr>
      <w:r>
        <w:rPr>
          <w:rFonts w:ascii="Times New Roman" w:eastAsia="Times New Roman" w:hAnsi="Times New Roman"/>
          <w:b/>
          <w:i/>
          <w:sz w:val="26"/>
          <w:szCs w:val="26"/>
          <w:lang w:eastAsia="en-US"/>
        </w:rPr>
        <w:t>Органы управления и контроля.</w:t>
      </w:r>
    </w:p>
    <w:p w14:paraId="4AFAF8A4" w14:textId="77777777" w:rsidR="002449C2" w:rsidRDefault="00123961">
      <w:pPr>
        <w:spacing w:after="0" w:line="171" w:lineRule="atLeast"/>
        <w:ind w:firstLine="567"/>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Совет директоров АО «ВМЭС»:</w:t>
      </w:r>
    </w:p>
    <w:p w14:paraId="19218558" w14:textId="77777777" w:rsidR="002449C2" w:rsidRDefault="00123961">
      <w:pPr>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Эбзеев Борис Борисович</w:t>
      </w:r>
      <w:r w:rsidR="00167DBF">
        <w:rPr>
          <w:rFonts w:ascii="Times New Roman" w:eastAsia="Times New Roman" w:hAnsi="Times New Roman"/>
          <w:sz w:val="26"/>
          <w:szCs w:val="26"/>
          <w:lang w:eastAsia="ru-RU"/>
        </w:rPr>
        <w:t>;</w:t>
      </w:r>
      <w:r>
        <w:rPr>
          <w:rFonts w:ascii="Times New Roman" w:eastAsia="Times New Roman" w:hAnsi="Times New Roman"/>
          <w:sz w:val="26"/>
          <w:szCs w:val="26"/>
          <w:lang w:eastAsia="ru-RU"/>
        </w:rPr>
        <w:t xml:space="preserve"> </w:t>
      </w:r>
    </w:p>
    <w:p w14:paraId="36054BAC" w14:textId="77777777" w:rsidR="002449C2" w:rsidRDefault="00123961">
      <w:pPr>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Мусинов Олег Валерьевич</w:t>
      </w:r>
      <w:r w:rsidR="00167DBF">
        <w:rPr>
          <w:rFonts w:ascii="Times New Roman" w:eastAsia="Times New Roman" w:hAnsi="Times New Roman"/>
          <w:sz w:val="26"/>
          <w:szCs w:val="26"/>
          <w:lang w:eastAsia="ru-RU"/>
        </w:rPr>
        <w:t>;</w:t>
      </w:r>
    </w:p>
    <w:p w14:paraId="0434E300" w14:textId="77777777" w:rsidR="002449C2" w:rsidRDefault="00123961">
      <w:pPr>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Рыбин Алексей Александрович</w:t>
      </w:r>
      <w:r w:rsidR="00167DBF">
        <w:rPr>
          <w:rFonts w:ascii="Times New Roman" w:eastAsia="Times New Roman" w:hAnsi="Times New Roman"/>
          <w:sz w:val="26"/>
          <w:szCs w:val="26"/>
          <w:lang w:eastAsia="ru-RU"/>
        </w:rPr>
        <w:t>;</w:t>
      </w:r>
    </w:p>
    <w:p w14:paraId="7BF51E7C" w14:textId="77777777" w:rsidR="002449C2" w:rsidRDefault="00123961">
      <w:pPr>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Ткаченко Олег Вадимович</w:t>
      </w:r>
      <w:r w:rsidR="00167DBF">
        <w:rPr>
          <w:rFonts w:ascii="Times New Roman" w:eastAsia="Times New Roman" w:hAnsi="Times New Roman"/>
          <w:sz w:val="26"/>
          <w:szCs w:val="26"/>
          <w:lang w:eastAsia="ru-RU"/>
        </w:rPr>
        <w:t>;</w:t>
      </w:r>
    </w:p>
    <w:p w14:paraId="059F70B0" w14:textId="2C651730" w:rsidR="002449C2" w:rsidRDefault="00123961">
      <w:pPr>
        <w:tabs>
          <w:tab w:val="left" w:pos="1080"/>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Мурый Антон Геннадьевич</w:t>
      </w:r>
      <w:r w:rsidR="00167DBF">
        <w:rPr>
          <w:rFonts w:ascii="Times New Roman" w:eastAsia="Times New Roman" w:hAnsi="Times New Roman"/>
          <w:sz w:val="26"/>
          <w:szCs w:val="26"/>
          <w:lang w:eastAsia="ru-RU"/>
        </w:rPr>
        <w:t>.</w:t>
      </w:r>
    </w:p>
    <w:p w14:paraId="50B2CA4E" w14:textId="77777777" w:rsidR="002449C2" w:rsidRDefault="002449C2">
      <w:pPr>
        <w:tabs>
          <w:tab w:val="left" w:pos="1080"/>
        </w:tabs>
        <w:spacing w:after="0" w:line="240" w:lineRule="auto"/>
        <w:ind w:firstLine="567"/>
        <w:jc w:val="both"/>
        <w:rPr>
          <w:rFonts w:ascii="Times New Roman" w:eastAsia="Times New Roman" w:hAnsi="Times New Roman"/>
          <w:sz w:val="26"/>
          <w:szCs w:val="26"/>
          <w:lang w:eastAsia="ru-RU"/>
        </w:rPr>
      </w:pPr>
    </w:p>
    <w:p w14:paraId="7607FF47" w14:textId="77777777" w:rsidR="002449C2" w:rsidRDefault="00123961">
      <w:pPr>
        <w:tabs>
          <w:tab w:val="left" w:pos="1080"/>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b/>
          <w:sz w:val="26"/>
          <w:szCs w:val="26"/>
          <w:lang w:eastAsia="ru-RU"/>
        </w:rPr>
        <w:t>Правление</w:t>
      </w:r>
      <w:r>
        <w:rPr>
          <w:rFonts w:ascii="Times New Roman" w:eastAsia="Times New Roman" w:hAnsi="Times New Roman"/>
          <w:sz w:val="26"/>
          <w:szCs w:val="26"/>
          <w:lang w:eastAsia="ru-RU"/>
        </w:rPr>
        <w:t xml:space="preserve"> Уставом Общества не предусмотрено.</w:t>
      </w:r>
    </w:p>
    <w:p w14:paraId="2BD94B0B" w14:textId="77777777" w:rsidR="002449C2" w:rsidRDefault="002449C2">
      <w:pPr>
        <w:spacing w:after="0" w:line="171" w:lineRule="atLeast"/>
        <w:ind w:firstLine="567"/>
        <w:jc w:val="both"/>
        <w:rPr>
          <w:rFonts w:ascii="Times New Roman" w:eastAsia="Times New Roman" w:hAnsi="Times New Roman"/>
          <w:sz w:val="26"/>
          <w:szCs w:val="26"/>
          <w:lang w:eastAsia="ru-RU"/>
        </w:rPr>
      </w:pPr>
    </w:p>
    <w:p w14:paraId="4A20AF66" w14:textId="77777777" w:rsidR="002449C2" w:rsidRDefault="00123961">
      <w:pPr>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b/>
          <w:sz w:val="26"/>
          <w:szCs w:val="26"/>
          <w:lang w:eastAsia="ru-RU"/>
        </w:rPr>
        <w:t>Генеральный директор</w:t>
      </w:r>
      <w:r>
        <w:rPr>
          <w:rFonts w:ascii="Times New Roman" w:eastAsia="Times New Roman" w:hAnsi="Times New Roman"/>
          <w:sz w:val="26"/>
          <w:szCs w:val="26"/>
          <w:lang w:eastAsia="ru-RU"/>
        </w:rPr>
        <w:t xml:space="preserve"> </w:t>
      </w:r>
    </w:p>
    <w:p w14:paraId="62F5C40E" w14:textId="77777777" w:rsidR="002449C2" w:rsidRDefault="00123961">
      <w:pPr>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С 26.10.2021 по 26.02.2025 Генеральным директором Общества являлся Рыбин Алексей Александрович. </w:t>
      </w:r>
    </w:p>
    <w:p w14:paraId="096F2B6D" w14:textId="77777777" w:rsidR="002449C2" w:rsidRDefault="00123961">
      <w:pPr>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26.02.2025 решением Совета директоров АО «ВМЭС» 26.02.2025 (протокол от 26.02.2025 № 138/2025) Генеральным директором избран Коледин Алексей Викторович.</w:t>
      </w:r>
    </w:p>
    <w:p w14:paraId="08E19C03" w14:textId="77777777" w:rsidR="002449C2" w:rsidRDefault="00123961">
      <w:pPr>
        <w:spacing w:after="0" w:line="171" w:lineRule="atLeast"/>
        <w:ind w:firstLine="567"/>
        <w:jc w:val="both"/>
        <w:rPr>
          <w:rFonts w:ascii="Times New Roman" w:eastAsia="Times New Roman" w:hAnsi="Times New Roman"/>
          <w:sz w:val="26"/>
          <w:szCs w:val="26"/>
          <w:lang w:eastAsia="ru-RU"/>
        </w:rPr>
      </w:pPr>
      <w:r>
        <w:rPr>
          <w:rFonts w:ascii="Times New Roman" w:eastAsia="Times New Roman" w:hAnsi="Times New Roman"/>
          <w:b/>
          <w:sz w:val="26"/>
          <w:szCs w:val="26"/>
          <w:lang w:eastAsia="ru-RU"/>
        </w:rPr>
        <w:t>Ревизионная комиссия АО «ВМЭС»</w:t>
      </w:r>
    </w:p>
    <w:p w14:paraId="522AE765"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Печенкин Николай Владимирович</w:t>
      </w:r>
      <w:r w:rsidR="00167DBF">
        <w:rPr>
          <w:rFonts w:ascii="Times New Roman" w:eastAsia="Times New Roman" w:hAnsi="Times New Roman"/>
          <w:sz w:val="26"/>
          <w:szCs w:val="26"/>
          <w:lang w:eastAsia="ru-RU"/>
        </w:rPr>
        <w:t>;</w:t>
      </w:r>
    </w:p>
    <w:p w14:paraId="52FBF265"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Качадурьян Анастасия Александровна</w:t>
      </w:r>
      <w:r w:rsidR="00167DBF">
        <w:rPr>
          <w:rFonts w:ascii="Times New Roman" w:eastAsia="Times New Roman" w:hAnsi="Times New Roman"/>
          <w:sz w:val="26"/>
          <w:szCs w:val="26"/>
          <w:lang w:eastAsia="ru-RU"/>
        </w:rPr>
        <w:t>;</w:t>
      </w:r>
    </w:p>
    <w:p w14:paraId="268EEB54" w14:textId="1A3EA811"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Роман Елена Сергеевна</w:t>
      </w:r>
      <w:r w:rsidR="00167DBF">
        <w:rPr>
          <w:rFonts w:ascii="Times New Roman" w:eastAsia="Times New Roman" w:hAnsi="Times New Roman"/>
          <w:sz w:val="26"/>
          <w:szCs w:val="26"/>
          <w:lang w:eastAsia="ru-RU"/>
        </w:rPr>
        <w:t>.</w:t>
      </w:r>
    </w:p>
    <w:p w14:paraId="53E6B8CD" w14:textId="77777777" w:rsidR="002449C2" w:rsidRDefault="002449C2">
      <w:pPr>
        <w:spacing w:after="0" w:line="171" w:lineRule="atLeast"/>
        <w:ind w:firstLine="567"/>
        <w:jc w:val="both"/>
        <w:rPr>
          <w:rFonts w:ascii="Times New Roman" w:eastAsia="Times New Roman" w:hAnsi="Times New Roman"/>
          <w:spacing w:val="-2"/>
          <w:sz w:val="26"/>
          <w:szCs w:val="26"/>
          <w:lang w:eastAsia="ru-RU"/>
        </w:rPr>
      </w:pPr>
    </w:p>
    <w:p w14:paraId="554C6EA8" w14:textId="77777777" w:rsidR="002449C2" w:rsidRDefault="00123961">
      <w:pPr>
        <w:tabs>
          <w:tab w:val="left" w:pos="993"/>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pacing w:val="-2"/>
          <w:sz w:val="26"/>
          <w:szCs w:val="26"/>
          <w:lang w:eastAsia="ru-RU"/>
        </w:rPr>
        <w:t>Для проверки и подтверждения достоверности годовой финансовой отчетности АО «ВМЭС» 28.06.2024 (протокол заседания Правления ПАО «Россети Юг» № 565) аудиторской организацией Общества назначено ООО «АйБиСи Групп» (ИНН 77439442156 ОГРН 5147746194415).</w:t>
      </w:r>
    </w:p>
    <w:p w14:paraId="703E093B" w14:textId="77777777" w:rsidR="002449C2" w:rsidRDefault="002449C2">
      <w:pPr>
        <w:spacing w:after="0" w:line="240" w:lineRule="auto"/>
        <w:ind w:firstLine="567"/>
        <w:jc w:val="both"/>
        <w:rPr>
          <w:rFonts w:ascii="Times New Roman" w:eastAsia="Times New Roman" w:hAnsi="Times New Roman"/>
          <w:sz w:val="26"/>
          <w:szCs w:val="26"/>
          <w:lang w:eastAsia="ru-RU"/>
        </w:rPr>
      </w:pPr>
    </w:p>
    <w:p w14:paraId="16F51359" w14:textId="1CFB1FC9" w:rsidR="002449C2" w:rsidRDefault="00123961">
      <w:pPr>
        <w:spacing w:after="0" w:line="240" w:lineRule="auto"/>
        <w:ind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Уставный капитал АО «ВМЭС» составляет 2 300 000 000 (Два миллиарда триста миллионов) рублей 00 копеек</w:t>
      </w:r>
      <w:r w:rsidR="00167DBF">
        <w:rPr>
          <w:rFonts w:ascii="Times New Roman" w:eastAsia="Times New Roman" w:hAnsi="Times New Roman"/>
          <w:sz w:val="26"/>
          <w:szCs w:val="26"/>
          <w:lang w:eastAsia="ru-RU"/>
        </w:rPr>
        <w:t xml:space="preserve">и </w:t>
      </w:r>
      <w:r>
        <w:rPr>
          <w:rFonts w:ascii="Times New Roman" w:eastAsia="Times New Roman" w:hAnsi="Times New Roman"/>
          <w:sz w:val="26"/>
          <w:szCs w:val="26"/>
          <w:lang w:eastAsia="ru-RU"/>
        </w:rPr>
        <w:t>разделен на 2 300 000 000 обыкновенных именных акций номинальной стоимостью 1 (Один) рубль каждая.</w:t>
      </w:r>
    </w:p>
    <w:p w14:paraId="52F3FAFF"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отчетном периоде ПАО «Россети Юг» в отношении АО «ВМЭС» подготовлено 25 итоговых поручений, согласно которым определена позиция по 69 вопросам повесток дня заседания Совета директоров Общества.</w:t>
      </w:r>
    </w:p>
    <w:p w14:paraId="74F0F548" w14:textId="77777777" w:rsidR="002449C2" w:rsidRDefault="002449C2">
      <w:pPr>
        <w:shd w:val="clear" w:color="auto" w:fill="FFFFFF"/>
        <w:tabs>
          <w:tab w:val="left" w:pos="142"/>
        </w:tabs>
        <w:spacing w:after="0" w:line="240" w:lineRule="auto"/>
        <w:ind w:firstLine="567"/>
        <w:jc w:val="both"/>
        <w:rPr>
          <w:rFonts w:ascii="Times New Roman" w:hAnsi="Times New Roman"/>
          <w:sz w:val="26"/>
          <w:szCs w:val="26"/>
          <w:lang w:eastAsia="ru-RU"/>
        </w:rPr>
      </w:pPr>
    </w:p>
    <w:p w14:paraId="5AFEB388" w14:textId="77777777" w:rsidR="002449C2" w:rsidRDefault="00123961">
      <w:pPr>
        <w:shd w:val="clear" w:color="auto" w:fill="FFFFFF"/>
        <w:tabs>
          <w:tab w:val="left" w:pos="142"/>
        </w:tabs>
        <w:spacing w:after="0" w:line="240" w:lineRule="auto"/>
        <w:ind w:firstLine="567"/>
        <w:jc w:val="both"/>
        <w:rPr>
          <w:rFonts w:ascii="Times New Roman" w:hAnsi="Times New Roman"/>
          <w:sz w:val="26"/>
          <w:szCs w:val="26"/>
          <w:lang w:eastAsia="ru-RU"/>
        </w:rPr>
      </w:pPr>
      <w:r>
        <w:rPr>
          <w:rFonts w:ascii="Times New Roman" w:hAnsi="Times New Roman"/>
          <w:sz w:val="26"/>
          <w:szCs w:val="26"/>
          <w:lang w:eastAsia="ru-RU"/>
        </w:rPr>
        <w:t>Сведения об участии в деятельности дочерних, зависимых и других хозяйственных обществ (коммерческих организациях), а также информация об участии в некоммерческих организациях в 2024 году приведена в приложении № 5 к настоящему Годовому отчету.</w:t>
      </w:r>
    </w:p>
    <w:p w14:paraId="783A434B" w14:textId="77777777" w:rsidR="002449C2" w:rsidRDefault="00123961">
      <w:pPr>
        <w:shd w:val="clear" w:color="auto" w:fill="FFFFFF"/>
        <w:tabs>
          <w:tab w:val="left" w:pos="142"/>
        </w:tabs>
        <w:spacing w:after="0" w:line="240" w:lineRule="auto"/>
        <w:ind w:firstLine="567"/>
        <w:jc w:val="both"/>
        <w:rPr>
          <w:rFonts w:ascii="Times New Roman" w:hAnsi="Times New Roman"/>
          <w:sz w:val="26"/>
          <w:szCs w:val="26"/>
          <w:lang w:eastAsia="ru-RU"/>
        </w:rPr>
      </w:pPr>
      <w:r>
        <w:rPr>
          <w:rFonts w:ascii="Times New Roman" w:hAnsi="Times New Roman"/>
          <w:sz w:val="26"/>
          <w:szCs w:val="26"/>
          <w:lang w:eastAsia="ru-RU"/>
        </w:rPr>
        <w:t>В целях минимизации рисков неисполнения ДЗО требований действующего законодательства Российской Федерации в области раскрытия информации Обществом осуществлялся постоянный контроль ДЗО посредством мониторинга публичных источников информации.</w:t>
      </w:r>
    </w:p>
    <w:p w14:paraId="6E347ABF" w14:textId="77777777" w:rsidR="002449C2" w:rsidRDefault="00123961">
      <w:pPr>
        <w:shd w:val="clear" w:color="auto" w:fill="FFFFFF"/>
        <w:tabs>
          <w:tab w:val="left" w:pos="142"/>
        </w:tabs>
        <w:spacing w:after="0" w:line="240" w:lineRule="auto"/>
        <w:ind w:firstLine="567"/>
        <w:jc w:val="both"/>
        <w:rPr>
          <w:rFonts w:ascii="Times New Roman" w:hAnsi="Times New Roman"/>
          <w:sz w:val="26"/>
          <w:szCs w:val="26"/>
          <w:lang w:eastAsia="ru-RU"/>
        </w:rPr>
      </w:pPr>
      <w:r>
        <w:br w:type="page"/>
      </w:r>
    </w:p>
    <w:p w14:paraId="6E55DDCE" w14:textId="77777777" w:rsidR="002449C2" w:rsidRDefault="00123961">
      <w:pPr>
        <w:keepNext/>
        <w:pBdr>
          <w:bottom w:val="single" w:sz="4" w:space="1" w:color="622423"/>
        </w:pBdr>
        <w:spacing w:line="252" w:lineRule="auto"/>
        <w:jc w:val="center"/>
        <w:outlineLvl w:val="1"/>
        <w:rPr>
          <w:rFonts w:ascii="Times New Roman" w:eastAsia="Times New Roman" w:hAnsi="Times New Roman"/>
          <w:caps/>
          <w:color w:val="632423"/>
          <w:spacing w:val="15"/>
          <w:sz w:val="24"/>
          <w:szCs w:val="24"/>
          <w:lang w:eastAsia="en-US" w:bidi="en-US"/>
        </w:rPr>
      </w:pPr>
      <w:bookmarkStart w:id="222" w:name="_Toc505174449"/>
      <w:bookmarkStart w:id="223" w:name="_Toc536544570"/>
      <w:bookmarkStart w:id="224" w:name="_Toc33542809"/>
      <w:bookmarkStart w:id="225" w:name="_Toc195174977"/>
      <w:bookmarkStart w:id="226" w:name="_Toc196143070"/>
      <w:r>
        <w:rPr>
          <w:rFonts w:ascii="Times New Roman" w:eastAsia="Times New Roman" w:hAnsi="Times New Roman"/>
          <w:caps/>
          <w:color w:val="632423"/>
          <w:spacing w:val="15"/>
          <w:sz w:val="24"/>
          <w:szCs w:val="24"/>
          <w:lang w:eastAsia="en-US" w:bidi="en-US"/>
        </w:rPr>
        <w:t>Системы вознаграждения в Компании</w:t>
      </w:r>
      <w:bookmarkEnd w:id="222"/>
      <w:bookmarkEnd w:id="223"/>
      <w:bookmarkEnd w:id="224"/>
      <w:bookmarkEnd w:id="225"/>
      <w:bookmarkEnd w:id="226"/>
    </w:p>
    <w:p w14:paraId="6F2B21BE" w14:textId="77777777" w:rsidR="002449C2" w:rsidRDefault="00123961">
      <w:pPr>
        <w:keepNext/>
        <w:keepLines/>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227" w:name="_Toc195174978"/>
      <w:bookmarkStart w:id="228" w:name="_Toc196143071"/>
      <w:r>
        <w:rPr>
          <w:rFonts w:ascii="Times New Roman" w:eastAsia="Times New Roman" w:hAnsi="Times New Roman"/>
          <w:color w:val="385623"/>
          <w:sz w:val="28"/>
          <w:szCs w:val="28"/>
          <w:lang w:eastAsia="en-US" w:bidi="en-US"/>
        </w:rPr>
        <w:t>Вознаграждение членов Совета директоров</w:t>
      </w:r>
      <w:bookmarkEnd w:id="227"/>
      <w:bookmarkEnd w:id="228"/>
    </w:p>
    <w:p w14:paraId="64BA643E" w14:textId="77777777" w:rsidR="002449C2" w:rsidRDefault="00123961">
      <w:pPr>
        <w:shd w:val="clear" w:color="auto" w:fill="FFFFFF"/>
        <w:tabs>
          <w:tab w:val="left" w:pos="0"/>
          <w:tab w:val="left" w:pos="993"/>
        </w:tabs>
        <w:spacing w:after="0" w:line="240" w:lineRule="auto"/>
        <w:ind w:firstLine="425"/>
        <w:jc w:val="both"/>
        <w:rPr>
          <w:rFonts w:ascii="Times New Roman" w:hAnsi="Times New Roman"/>
          <w:sz w:val="26"/>
          <w:szCs w:val="26"/>
        </w:rPr>
      </w:pPr>
      <w:r>
        <w:rPr>
          <w:rFonts w:ascii="Times New Roman" w:hAnsi="Times New Roman"/>
          <w:sz w:val="26"/>
          <w:szCs w:val="26"/>
        </w:rPr>
        <w:t xml:space="preserve">Порядок расчета и выплаты вознаграждения членам Совета директоров Общества регламентируется </w:t>
      </w:r>
      <w:hyperlink r:id="rId177">
        <w:r>
          <w:rPr>
            <w:rFonts w:ascii="Times New Roman" w:hAnsi="Times New Roman"/>
            <w:color w:val="0000FF"/>
            <w:sz w:val="26"/>
            <w:szCs w:val="26"/>
            <w:u w:val="single"/>
          </w:rPr>
          <w:t>Положением о выплате членам Совета директоров</w:t>
        </w:r>
      </w:hyperlink>
      <w:r>
        <w:rPr>
          <w:rFonts w:ascii="Times New Roman" w:hAnsi="Times New Roman"/>
          <w:sz w:val="26"/>
          <w:szCs w:val="26"/>
        </w:rPr>
        <w:t xml:space="preserve"> ПАО «Россети Юг» вознаграждений и компенсаций</w:t>
      </w:r>
      <w:r w:rsidR="00AA69D1">
        <w:rPr>
          <w:rStyle w:val="af"/>
          <w:rFonts w:ascii="Times New Roman" w:hAnsi="Times New Roman"/>
          <w:sz w:val="26"/>
          <w:szCs w:val="26"/>
        </w:rPr>
        <w:footnoteReference w:id="27"/>
      </w:r>
      <w:r w:rsidR="00AA69D1">
        <w:rPr>
          <w:rFonts w:ascii="Times New Roman" w:hAnsi="Times New Roman"/>
          <w:sz w:val="26"/>
          <w:szCs w:val="26"/>
        </w:rPr>
        <w:t xml:space="preserve"> </w:t>
      </w:r>
      <w:r>
        <w:rPr>
          <w:rFonts w:ascii="Times New Roman" w:hAnsi="Times New Roman"/>
          <w:sz w:val="26"/>
          <w:szCs w:val="26"/>
        </w:rPr>
        <w:t>(далее – Положение).</w:t>
      </w:r>
    </w:p>
    <w:p w14:paraId="5DA47FDB" w14:textId="77777777" w:rsidR="002449C2" w:rsidRDefault="002449C2">
      <w:pPr>
        <w:widowControl w:val="0"/>
        <w:shd w:val="clear" w:color="auto" w:fill="FFFFFF"/>
        <w:tabs>
          <w:tab w:val="left" w:pos="851"/>
        </w:tabs>
        <w:spacing w:after="0" w:line="240" w:lineRule="auto"/>
        <w:ind w:firstLine="567"/>
        <w:jc w:val="both"/>
        <w:rPr>
          <w:rFonts w:ascii="Times New Roman" w:hAnsi="Times New Roman"/>
          <w:sz w:val="26"/>
          <w:szCs w:val="26"/>
        </w:rPr>
      </w:pPr>
    </w:p>
    <w:p w14:paraId="0AC9CC87" w14:textId="77777777" w:rsidR="002449C2" w:rsidRDefault="00123961">
      <w:pPr>
        <w:widowControl w:val="0"/>
        <w:shd w:val="clear" w:color="auto" w:fill="FFFFFF"/>
        <w:tabs>
          <w:tab w:val="left" w:pos="851"/>
        </w:tabs>
        <w:spacing w:after="0" w:line="240" w:lineRule="auto"/>
        <w:ind w:firstLine="567"/>
        <w:jc w:val="both"/>
        <w:rPr>
          <w:rFonts w:ascii="Times New Roman" w:hAnsi="Times New Roman"/>
          <w:sz w:val="26"/>
          <w:szCs w:val="26"/>
        </w:rPr>
      </w:pPr>
      <w:r>
        <w:rPr>
          <w:rFonts w:ascii="Times New Roman" w:hAnsi="Times New Roman"/>
          <w:sz w:val="26"/>
          <w:szCs w:val="26"/>
        </w:rPr>
        <w:t>Положение предусматривает выплаты:</w:t>
      </w:r>
    </w:p>
    <w:p w14:paraId="7AB813F5" w14:textId="77777777" w:rsidR="002449C2" w:rsidRDefault="00123961">
      <w:pPr>
        <w:widowControl w:val="0"/>
        <w:numPr>
          <w:ilvl w:val="0"/>
          <w:numId w:val="12"/>
        </w:numPr>
        <w:shd w:val="clear" w:color="auto" w:fill="FFFFFF"/>
        <w:tabs>
          <w:tab w:val="left" w:pos="851"/>
        </w:tabs>
        <w:spacing w:after="0" w:line="240" w:lineRule="auto"/>
        <w:jc w:val="both"/>
        <w:rPr>
          <w:rFonts w:ascii="Times New Roman" w:hAnsi="Times New Roman"/>
          <w:sz w:val="26"/>
          <w:szCs w:val="26"/>
        </w:rPr>
      </w:pPr>
      <w:r>
        <w:rPr>
          <w:rFonts w:ascii="Times New Roman" w:eastAsia="Times New Roman" w:hAnsi="Times New Roman"/>
          <w:sz w:val="26"/>
          <w:szCs w:val="26"/>
          <w:lang w:eastAsia="ru-RU"/>
        </w:rPr>
        <w:t xml:space="preserve">Вознаграждение за участие в работе Совета директоров. </w:t>
      </w:r>
    </w:p>
    <w:p w14:paraId="02E291B2" w14:textId="77777777" w:rsidR="002449C2" w:rsidRDefault="00123961">
      <w:pPr>
        <w:shd w:val="clear" w:color="auto" w:fill="FFFFFF"/>
        <w:tabs>
          <w:tab w:val="left" w:pos="142"/>
        </w:tabs>
        <w:spacing w:before="40"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Вознаграждение членам Совета директоров Общества выплачивается ежеквартально.</w:t>
      </w:r>
    </w:p>
    <w:p w14:paraId="48FC1E86" w14:textId="77777777" w:rsidR="002449C2" w:rsidRDefault="00123961">
      <w:pPr>
        <w:shd w:val="clear" w:color="auto" w:fill="FFFFFF"/>
        <w:tabs>
          <w:tab w:val="left" w:pos="142"/>
        </w:tabs>
        <w:spacing w:before="40"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Размер вознаграждения за участие в работе Совета директоров Общества каждого члена Совета директоров Общества рассчитывается с учетом общего количества заседаний Совета директоров Общества за отчетный квартал и количества заседаний, в которых член Совета директоров принимал участие и размера базовой части вознаграждения. Размер базовой части вознаграждения устанавливается исходя из выручки Общества, рассчитанной по РСБУ за прошедший финансовый год. Для ПАО «Россети Юг» размер базовой части вознаграждения в 2024 году составил – 2 200 тыс. руб.</w:t>
      </w:r>
    </w:p>
    <w:p w14:paraId="0B2BD1C1" w14:textId="77777777" w:rsidR="002449C2" w:rsidRDefault="00123961">
      <w:pPr>
        <w:shd w:val="clear" w:color="auto" w:fill="FFFFFF"/>
        <w:tabs>
          <w:tab w:val="left" w:pos="360"/>
          <w:tab w:val="left" w:pos="993"/>
        </w:tabs>
        <w:spacing w:before="60" w:after="0" w:line="240" w:lineRule="auto"/>
        <w:ind w:left="360"/>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Дополнительно к вознаграждению за участие в работе Совета директоров Общества членам Совета директоров устанавливаются следующие надбавки: </w:t>
      </w:r>
    </w:p>
    <w:p w14:paraId="2B1A7FC7" w14:textId="77777777" w:rsidR="002449C2" w:rsidRDefault="00123961">
      <w:pPr>
        <w:shd w:val="clear" w:color="auto" w:fill="FFFFFF"/>
        <w:tabs>
          <w:tab w:val="left" w:pos="360"/>
          <w:tab w:val="left" w:pos="993"/>
        </w:tabs>
        <w:spacing w:before="60" w:after="0" w:line="240" w:lineRule="auto"/>
        <w:ind w:left="360"/>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30% – Председателю Совета директоров Общества; </w:t>
      </w:r>
    </w:p>
    <w:p w14:paraId="32A4C4A5" w14:textId="77777777" w:rsidR="002449C2" w:rsidRDefault="00123961">
      <w:pPr>
        <w:shd w:val="clear" w:color="auto" w:fill="FFFFFF"/>
        <w:tabs>
          <w:tab w:val="left" w:pos="360"/>
          <w:tab w:val="left" w:pos="993"/>
        </w:tabs>
        <w:spacing w:before="60" w:after="0" w:line="240" w:lineRule="auto"/>
        <w:ind w:left="360"/>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20% – Председателю специализированного Комитета Совета директоров Общества;</w:t>
      </w:r>
    </w:p>
    <w:p w14:paraId="7618AF20" w14:textId="77777777" w:rsidR="002449C2" w:rsidRDefault="00123961">
      <w:pPr>
        <w:shd w:val="clear" w:color="auto" w:fill="FFFFFF"/>
        <w:tabs>
          <w:tab w:val="left" w:pos="360"/>
          <w:tab w:val="left" w:pos="993"/>
        </w:tabs>
        <w:spacing w:before="60" w:after="0" w:line="240" w:lineRule="auto"/>
        <w:ind w:left="360"/>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10% – за членство в специализированном Комитете Совета директоров Общества. </w:t>
      </w:r>
    </w:p>
    <w:p w14:paraId="2C035FE1" w14:textId="77777777" w:rsidR="002449C2" w:rsidRDefault="00123961">
      <w:pPr>
        <w:shd w:val="clear" w:color="auto" w:fill="FFFFFF"/>
        <w:tabs>
          <w:tab w:val="left" w:pos="360"/>
          <w:tab w:val="left" w:pos="993"/>
        </w:tabs>
        <w:spacing w:before="60" w:after="0" w:line="240" w:lineRule="auto"/>
        <w:ind w:left="360"/>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Общий размер вознаграждения одного члена Совета директоров с учетом надбавок не может превышать1/4 базовой части вознаграждения (550 тыс. руб.).</w:t>
      </w:r>
    </w:p>
    <w:p w14:paraId="1881FAF4" w14:textId="77777777" w:rsidR="002449C2" w:rsidRDefault="00123961">
      <w:pPr>
        <w:widowControl w:val="0"/>
        <w:shd w:val="clear" w:color="auto" w:fill="FFFFFF"/>
        <w:tabs>
          <w:tab w:val="left" w:pos="567"/>
        </w:tabs>
        <w:spacing w:after="0" w:line="240" w:lineRule="auto"/>
        <w:ind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Вознаграждение не выплачивается:</w:t>
      </w:r>
    </w:p>
    <w:p w14:paraId="4D852FAB" w14:textId="77777777" w:rsidR="002449C2" w:rsidRDefault="00123961">
      <w:pPr>
        <w:widowControl w:val="0"/>
        <w:numPr>
          <w:ilvl w:val="0"/>
          <w:numId w:val="13"/>
        </w:numPr>
        <w:shd w:val="clear" w:color="auto" w:fill="FFFFFF"/>
        <w:tabs>
          <w:tab w:val="left" w:pos="567"/>
        </w:tabs>
        <w:spacing w:after="0" w:line="240" w:lineRule="auto"/>
        <w:ind w:left="0" w:firstLine="284"/>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единоличному исполнительному органу (Генеральному директору) Общества;</w:t>
      </w:r>
    </w:p>
    <w:p w14:paraId="09828279" w14:textId="77777777" w:rsidR="002449C2" w:rsidRDefault="00123961">
      <w:pPr>
        <w:widowControl w:val="0"/>
        <w:numPr>
          <w:ilvl w:val="0"/>
          <w:numId w:val="13"/>
        </w:numPr>
        <w:shd w:val="clear" w:color="auto" w:fill="FFFFFF"/>
        <w:tabs>
          <w:tab w:val="left" w:pos="567"/>
        </w:tabs>
        <w:spacing w:after="0" w:line="240" w:lineRule="auto"/>
        <w:ind w:left="0" w:firstLine="284"/>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лицам, в отношении которых предусмотрено законодательное ограничение или запрет на получение выплат от коммерческих организаций;</w:t>
      </w:r>
    </w:p>
    <w:p w14:paraId="6ED41D24" w14:textId="77777777" w:rsidR="002449C2" w:rsidRDefault="00123961">
      <w:pPr>
        <w:widowControl w:val="0"/>
        <w:numPr>
          <w:ilvl w:val="0"/>
          <w:numId w:val="13"/>
        </w:numPr>
        <w:shd w:val="clear" w:color="auto" w:fill="FFFFFF"/>
        <w:tabs>
          <w:tab w:val="left" w:pos="567"/>
        </w:tabs>
        <w:spacing w:after="0" w:line="240" w:lineRule="auto"/>
        <w:ind w:left="0" w:firstLine="284"/>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членам Совета директоров, которые приняли участие менее чем в 50% состоявшихся заседаний.</w:t>
      </w:r>
    </w:p>
    <w:p w14:paraId="5A6EEF54" w14:textId="77777777" w:rsidR="002449C2" w:rsidRDefault="00123961">
      <w:pPr>
        <w:shd w:val="clear" w:color="auto" w:fill="FFFFFF"/>
        <w:tabs>
          <w:tab w:val="left" w:pos="142"/>
        </w:tabs>
        <w:spacing w:before="40"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Совокупный размер вознаграждения членам Совета директоров Общества за 2024 год составил 18 742 307,70 руб. (с учетом НДФЛ). Иных выплат членам Совета директоров Общества не осуществлялось.  </w:t>
      </w:r>
    </w:p>
    <w:p w14:paraId="746D75BE" w14:textId="77777777" w:rsidR="002449C2" w:rsidRDefault="002449C2">
      <w:pPr>
        <w:shd w:val="clear" w:color="auto" w:fill="FFFFFF"/>
        <w:spacing w:after="0" w:line="240" w:lineRule="auto"/>
        <w:ind w:firstLine="567"/>
        <w:contextualSpacing/>
        <w:jc w:val="both"/>
        <w:rPr>
          <w:rFonts w:ascii="Cambria" w:eastAsia="Times New Roman" w:hAnsi="Cambria"/>
          <w:b/>
          <w:sz w:val="26"/>
          <w:szCs w:val="26"/>
          <w:lang w:eastAsia="ru-RU"/>
        </w:rPr>
      </w:pPr>
    </w:p>
    <w:tbl>
      <w:tblPr>
        <w:tblW w:w="6799" w:type="dxa"/>
        <w:jc w:val="center"/>
        <w:tblLayout w:type="fixed"/>
        <w:tblLook w:val="04A0" w:firstRow="1" w:lastRow="0" w:firstColumn="1" w:lastColumn="0" w:noHBand="0" w:noVBand="1"/>
      </w:tblPr>
      <w:tblGrid>
        <w:gridCol w:w="5240"/>
        <w:gridCol w:w="1559"/>
      </w:tblGrid>
      <w:tr w:rsidR="002449C2" w14:paraId="4636CD97" w14:textId="77777777" w:rsidTr="009B1FB4">
        <w:trPr>
          <w:trHeight w:val="300"/>
          <w:jc w:val="center"/>
        </w:trPr>
        <w:tc>
          <w:tcPr>
            <w:tcW w:w="5240" w:type="dxa"/>
            <w:tcBorders>
              <w:top w:val="single" w:sz="4" w:space="0" w:color="000000"/>
              <w:left w:val="single" w:sz="4" w:space="0" w:color="000000"/>
              <w:bottom w:val="single" w:sz="4" w:space="0" w:color="000000"/>
              <w:right w:val="single" w:sz="4" w:space="0" w:color="000000"/>
            </w:tcBorders>
            <w:vAlign w:val="bottom"/>
          </w:tcPr>
          <w:p w14:paraId="264AEFBD" w14:textId="77777777" w:rsidR="002449C2" w:rsidRDefault="00123961">
            <w:pPr>
              <w:shd w:val="clear" w:color="auto" w:fill="FFFFFF"/>
              <w:spacing w:after="0" w:line="240" w:lineRule="auto"/>
              <w:rPr>
                <w:rFonts w:ascii="Times New Roman" w:eastAsia="Times New Roman" w:hAnsi="Times New Roman"/>
                <w:sz w:val="26"/>
                <w:szCs w:val="26"/>
                <w:lang w:eastAsia="ru-RU"/>
              </w:rPr>
            </w:pPr>
            <w:r>
              <w:rPr>
                <w:rFonts w:ascii="Times New Roman" w:eastAsia="Times New Roman" w:hAnsi="Times New Roman"/>
                <w:sz w:val="26"/>
                <w:szCs w:val="26"/>
                <w:lang w:eastAsia="ar-SA"/>
              </w:rPr>
              <w:t>Наименование</w:t>
            </w:r>
          </w:p>
        </w:tc>
        <w:tc>
          <w:tcPr>
            <w:tcW w:w="1559" w:type="dxa"/>
            <w:tcBorders>
              <w:top w:val="single" w:sz="4" w:space="0" w:color="000000"/>
              <w:left w:val="single" w:sz="4" w:space="0" w:color="000000"/>
              <w:bottom w:val="single" w:sz="4" w:space="0" w:color="000000"/>
              <w:right w:val="single" w:sz="4" w:space="0" w:color="000000"/>
            </w:tcBorders>
            <w:vAlign w:val="bottom"/>
          </w:tcPr>
          <w:p w14:paraId="23DBE6ED" w14:textId="77777777" w:rsidR="002449C2" w:rsidRDefault="00123961">
            <w:pPr>
              <w:shd w:val="clear" w:color="auto" w:fill="FFFFFF"/>
              <w:spacing w:after="0" w:line="240" w:lineRule="auto"/>
              <w:jc w:val="right"/>
              <w:rPr>
                <w:rFonts w:ascii="Times New Roman" w:eastAsia="Times New Roman" w:hAnsi="Times New Roman"/>
                <w:sz w:val="26"/>
                <w:szCs w:val="26"/>
                <w:lang w:eastAsia="ru-RU"/>
              </w:rPr>
            </w:pPr>
            <w:r>
              <w:rPr>
                <w:rFonts w:ascii="Times New Roman" w:eastAsia="Times New Roman" w:hAnsi="Times New Roman"/>
                <w:sz w:val="26"/>
                <w:szCs w:val="26"/>
                <w:lang w:eastAsia="ru-RU"/>
              </w:rPr>
              <w:t>2024</w:t>
            </w:r>
          </w:p>
        </w:tc>
      </w:tr>
      <w:tr w:rsidR="002449C2" w14:paraId="1CA8752B" w14:textId="77777777" w:rsidTr="009B1FB4">
        <w:trPr>
          <w:trHeight w:val="300"/>
          <w:jc w:val="center"/>
        </w:trPr>
        <w:tc>
          <w:tcPr>
            <w:tcW w:w="5240" w:type="dxa"/>
            <w:tcBorders>
              <w:top w:val="single" w:sz="4" w:space="0" w:color="000000"/>
              <w:left w:val="single" w:sz="4" w:space="0" w:color="000000"/>
              <w:bottom w:val="single" w:sz="4" w:space="0" w:color="000000"/>
              <w:right w:val="single" w:sz="4" w:space="0" w:color="000000"/>
            </w:tcBorders>
            <w:vAlign w:val="bottom"/>
          </w:tcPr>
          <w:p w14:paraId="3F79FC3D" w14:textId="77777777" w:rsidR="002449C2" w:rsidRDefault="00123961">
            <w:pPr>
              <w:shd w:val="clear" w:color="auto" w:fill="FFFFFF"/>
              <w:spacing w:after="0" w:line="240" w:lineRule="auto"/>
              <w:rPr>
                <w:rFonts w:ascii="Times New Roman" w:eastAsia="Times New Roman" w:hAnsi="Times New Roman"/>
                <w:sz w:val="26"/>
                <w:szCs w:val="26"/>
                <w:lang w:eastAsia="ru-RU"/>
              </w:rPr>
            </w:pPr>
            <w:r>
              <w:rPr>
                <w:rFonts w:ascii="Times New Roman" w:eastAsia="Times New Roman" w:hAnsi="Times New Roman"/>
                <w:sz w:val="26"/>
                <w:szCs w:val="26"/>
                <w:lang w:eastAsia="ru-RU"/>
              </w:rPr>
              <w:t>Объем вознаграждения членов Совета директоров Общества, тыс. руб.</w:t>
            </w:r>
          </w:p>
        </w:tc>
        <w:tc>
          <w:tcPr>
            <w:tcW w:w="1559" w:type="dxa"/>
            <w:tcBorders>
              <w:top w:val="single" w:sz="4" w:space="0" w:color="000000"/>
              <w:left w:val="single" w:sz="4" w:space="0" w:color="000000"/>
              <w:bottom w:val="single" w:sz="4" w:space="0" w:color="000000"/>
              <w:right w:val="single" w:sz="4" w:space="0" w:color="000000"/>
            </w:tcBorders>
          </w:tcPr>
          <w:p w14:paraId="45CE7698" w14:textId="77777777" w:rsidR="002449C2" w:rsidRDefault="00123961">
            <w:pPr>
              <w:shd w:val="clear" w:color="auto" w:fill="FFFFFF"/>
              <w:spacing w:after="0" w:line="240" w:lineRule="auto"/>
              <w:jc w:val="right"/>
              <w:rPr>
                <w:rFonts w:ascii="Times New Roman" w:eastAsia="Times New Roman" w:hAnsi="Times New Roman"/>
                <w:sz w:val="26"/>
                <w:szCs w:val="26"/>
                <w:lang w:eastAsia="ru-RU"/>
              </w:rPr>
            </w:pPr>
            <w:r>
              <w:rPr>
                <w:rFonts w:ascii="Times New Roman" w:eastAsia="Times New Roman" w:hAnsi="Times New Roman"/>
                <w:sz w:val="26"/>
                <w:szCs w:val="26"/>
                <w:lang w:eastAsia="ru-RU"/>
              </w:rPr>
              <w:t>18 742</w:t>
            </w:r>
          </w:p>
        </w:tc>
      </w:tr>
    </w:tbl>
    <w:p w14:paraId="26A33045" w14:textId="20218DC2" w:rsidR="009B1FB4" w:rsidRDefault="009B1FB4" w:rsidP="009B1FB4">
      <w:pPr>
        <w:shd w:val="clear" w:color="auto" w:fill="FFFFFF"/>
        <w:spacing w:after="0" w:line="171" w:lineRule="atLeast"/>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Положением не предусмотрена система долгосрочной моти</w:t>
      </w:r>
      <w:r w:rsidR="002561D1">
        <w:rPr>
          <w:rFonts w:ascii="Times New Roman" w:eastAsia="Times New Roman" w:hAnsi="Times New Roman"/>
          <w:sz w:val="26"/>
          <w:szCs w:val="26"/>
          <w:lang w:eastAsia="en-US"/>
        </w:rPr>
        <w:t>вации членов Совета директоров.</w:t>
      </w:r>
    </w:p>
    <w:p w14:paraId="42BF1421" w14:textId="77777777" w:rsidR="002449C2" w:rsidRDefault="00123961">
      <w:pPr>
        <w:shd w:val="clear" w:color="auto" w:fill="FFFFFF"/>
        <w:spacing w:after="0" w:line="171" w:lineRule="atLeast"/>
        <w:ind w:firstLine="567"/>
        <w:jc w:val="both"/>
        <w:rPr>
          <w:rFonts w:ascii="Times New Roman" w:hAnsi="Times New Roman"/>
          <w:sz w:val="26"/>
          <w:szCs w:val="26"/>
        </w:rPr>
      </w:pPr>
      <w:r>
        <w:rPr>
          <w:rFonts w:ascii="Times New Roman" w:hAnsi="Times New Roman"/>
          <w:sz w:val="26"/>
          <w:szCs w:val="26"/>
        </w:rPr>
        <w:t xml:space="preserve">Выплата вознаграждения производится за счет прибыли от нерегулируемых видов деятельности. </w:t>
      </w:r>
    </w:p>
    <w:p w14:paraId="3774063D" w14:textId="77777777" w:rsidR="002449C2" w:rsidRDefault="002449C2">
      <w:pPr>
        <w:shd w:val="clear" w:color="auto" w:fill="FFFFFF"/>
        <w:spacing w:after="0" w:line="171" w:lineRule="atLeast"/>
        <w:ind w:firstLine="567"/>
        <w:jc w:val="both"/>
        <w:rPr>
          <w:rFonts w:ascii="Times New Roman" w:hAnsi="Times New Roman"/>
          <w:sz w:val="26"/>
          <w:szCs w:val="26"/>
        </w:rPr>
      </w:pPr>
    </w:p>
    <w:p w14:paraId="79201A3D" w14:textId="77777777" w:rsidR="002449C2" w:rsidRDefault="00123961">
      <w:pPr>
        <w:shd w:val="clear" w:color="auto" w:fill="FFFFFF"/>
        <w:spacing w:after="0" w:line="171" w:lineRule="atLeast"/>
        <w:ind w:firstLine="567"/>
        <w:jc w:val="both"/>
        <w:rPr>
          <w:rFonts w:ascii="Times New Roman" w:hAnsi="Times New Roman"/>
          <w:sz w:val="26"/>
          <w:szCs w:val="26"/>
        </w:rPr>
      </w:pPr>
      <w:r>
        <w:rPr>
          <w:rFonts w:ascii="Times New Roman" w:hAnsi="Times New Roman"/>
          <w:sz w:val="26"/>
          <w:szCs w:val="26"/>
        </w:rPr>
        <w:t xml:space="preserve">В 2024 году обучение членов Совета директоров Общества не проводилось. </w:t>
      </w:r>
    </w:p>
    <w:p w14:paraId="5F9B8C52" w14:textId="77777777" w:rsidR="002449C2" w:rsidRDefault="002449C2">
      <w:pPr>
        <w:widowControl w:val="0"/>
        <w:shd w:val="clear" w:color="auto" w:fill="FFFFFF"/>
        <w:tabs>
          <w:tab w:val="left" w:pos="567"/>
        </w:tabs>
        <w:spacing w:after="0" w:line="240" w:lineRule="auto"/>
        <w:contextualSpacing/>
        <w:jc w:val="both"/>
        <w:rPr>
          <w:rFonts w:ascii="Times New Roman" w:eastAsia="Times New Roman" w:hAnsi="Times New Roman"/>
          <w:sz w:val="26"/>
          <w:szCs w:val="26"/>
          <w:lang w:eastAsia="ru-RU"/>
        </w:rPr>
      </w:pPr>
    </w:p>
    <w:p w14:paraId="6D6310DC" w14:textId="77777777" w:rsidR="002449C2" w:rsidRDefault="00123961">
      <w:pPr>
        <w:widowControl w:val="0"/>
        <w:numPr>
          <w:ilvl w:val="0"/>
          <w:numId w:val="12"/>
        </w:numPr>
        <w:shd w:val="clear" w:color="auto" w:fill="FFFFFF"/>
        <w:tabs>
          <w:tab w:val="left" w:pos="851"/>
        </w:tabs>
        <w:spacing w:after="0" w:line="240" w:lineRule="auto"/>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Компенсация членам Совета директоров.</w:t>
      </w:r>
    </w:p>
    <w:p w14:paraId="0C8AB76B" w14:textId="77777777" w:rsidR="002449C2" w:rsidRDefault="00123961">
      <w:pPr>
        <w:shd w:val="clear" w:color="auto" w:fill="FFFFFF"/>
        <w:tabs>
          <w:tab w:val="left" w:pos="142"/>
        </w:tabs>
        <w:spacing w:before="40"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Членам Совета директоров Общества компенсируются расходы, связанные с участием в заседаниях Совета директоров, комитетах Совета директоров, Общих собраниях акционеров Общества, по действующим на момент проведения заседания (собрания) нормам возмещения командировочных расходов, установленным для высших менеджеров Общества. </w:t>
      </w:r>
    </w:p>
    <w:p w14:paraId="40AB4223" w14:textId="77777777" w:rsidR="002449C2" w:rsidRDefault="00123961">
      <w:pPr>
        <w:shd w:val="clear" w:color="auto" w:fill="FFFFFF"/>
        <w:tabs>
          <w:tab w:val="left" w:pos="142"/>
        </w:tabs>
        <w:spacing w:before="40"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Выплата компенсаций производится Обществом в течение трех рабочих дней после предоставления документов, подтверждающих произведенные расходы.</w:t>
      </w:r>
    </w:p>
    <w:p w14:paraId="05151063" w14:textId="77777777" w:rsidR="002449C2" w:rsidRDefault="002449C2">
      <w:pPr>
        <w:shd w:val="clear" w:color="auto" w:fill="FFFFFF"/>
        <w:tabs>
          <w:tab w:val="left" w:pos="142"/>
        </w:tabs>
        <w:spacing w:before="40" w:after="0" w:line="240" w:lineRule="auto"/>
        <w:ind w:firstLine="567"/>
        <w:jc w:val="both"/>
        <w:rPr>
          <w:rFonts w:ascii="Times New Roman" w:eastAsia="Times New Roman" w:hAnsi="Times New Roman"/>
          <w:b/>
          <w:sz w:val="26"/>
          <w:szCs w:val="26"/>
          <w:lang w:eastAsia="ru-RU"/>
        </w:rPr>
      </w:pPr>
    </w:p>
    <w:p w14:paraId="14224703" w14:textId="77777777" w:rsidR="002449C2" w:rsidRDefault="00123961">
      <w:pPr>
        <w:shd w:val="clear" w:color="auto" w:fill="FFFFFF"/>
        <w:tabs>
          <w:tab w:val="left" w:pos="142"/>
        </w:tabs>
        <w:spacing w:before="40" w:after="0" w:line="240" w:lineRule="auto"/>
        <w:ind w:firstLine="567"/>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Компенсации расходов, выплаченные членам Совета директоров Общества в 2024 году, руб.</w:t>
      </w:r>
    </w:p>
    <w:p w14:paraId="020AF58A" w14:textId="77777777" w:rsidR="002449C2" w:rsidRDefault="002449C2">
      <w:pPr>
        <w:shd w:val="clear" w:color="auto" w:fill="FFFFFF"/>
        <w:tabs>
          <w:tab w:val="left" w:pos="142"/>
        </w:tabs>
        <w:spacing w:before="40" w:after="0" w:line="240" w:lineRule="auto"/>
        <w:ind w:firstLine="567"/>
        <w:jc w:val="both"/>
        <w:rPr>
          <w:rFonts w:ascii="Times New Roman" w:eastAsia="Times New Roman" w:hAnsi="Times New Roman"/>
          <w:b/>
          <w:sz w:val="26"/>
          <w:szCs w:val="26"/>
          <w:lang w:eastAsia="ru-RU"/>
        </w:rPr>
      </w:pPr>
    </w:p>
    <w:tbl>
      <w:tblPr>
        <w:tblW w:w="8647" w:type="dxa"/>
        <w:tblInd w:w="109" w:type="dxa"/>
        <w:tblLayout w:type="fixed"/>
        <w:tblLook w:val="04A0" w:firstRow="1" w:lastRow="0" w:firstColumn="1" w:lastColumn="0" w:noHBand="0" w:noVBand="1"/>
      </w:tblPr>
      <w:tblGrid>
        <w:gridCol w:w="6947"/>
        <w:gridCol w:w="1700"/>
      </w:tblGrid>
      <w:tr w:rsidR="002449C2" w14:paraId="026CED43" w14:textId="77777777">
        <w:tc>
          <w:tcPr>
            <w:tcW w:w="6946" w:type="dxa"/>
            <w:tcBorders>
              <w:top w:val="single" w:sz="4" w:space="0" w:color="000000"/>
              <w:left w:val="single" w:sz="4" w:space="0" w:color="000000"/>
              <w:bottom w:val="single" w:sz="4" w:space="0" w:color="000000"/>
              <w:right w:val="single" w:sz="4" w:space="0" w:color="000000"/>
            </w:tcBorders>
            <w:vAlign w:val="center"/>
          </w:tcPr>
          <w:p w14:paraId="797A727D" w14:textId="77777777" w:rsidR="002449C2" w:rsidRDefault="00123961">
            <w:pPr>
              <w:shd w:val="clear" w:color="auto" w:fill="FFFFFF"/>
              <w:tabs>
                <w:tab w:val="left" w:pos="142"/>
              </w:tabs>
              <w:spacing w:before="40"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Наименование</w:t>
            </w:r>
          </w:p>
        </w:tc>
        <w:tc>
          <w:tcPr>
            <w:tcW w:w="1700" w:type="dxa"/>
            <w:tcBorders>
              <w:top w:val="single" w:sz="4" w:space="0" w:color="000000"/>
              <w:left w:val="single" w:sz="4" w:space="0" w:color="000000"/>
              <w:bottom w:val="single" w:sz="4" w:space="0" w:color="000000"/>
              <w:right w:val="single" w:sz="4" w:space="0" w:color="000000"/>
            </w:tcBorders>
            <w:vAlign w:val="center"/>
          </w:tcPr>
          <w:p w14:paraId="698730ED" w14:textId="77777777" w:rsidR="002449C2" w:rsidRDefault="00123961">
            <w:pPr>
              <w:shd w:val="clear" w:color="auto" w:fill="FFFFFF"/>
              <w:tabs>
                <w:tab w:val="left" w:pos="142"/>
              </w:tabs>
              <w:spacing w:before="40"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2024</w:t>
            </w:r>
          </w:p>
        </w:tc>
      </w:tr>
      <w:tr w:rsidR="002449C2" w14:paraId="429BCD0C" w14:textId="77777777">
        <w:tc>
          <w:tcPr>
            <w:tcW w:w="6946" w:type="dxa"/>
            <w:tcBorders>
              <w:top w:val="single" w:sz="4" w:space="0" w:color="000000"/>
              <w:left w:val="single" w:sz="4" w:space="0" w:color="000000"/>
              <w:bottom w:val="single" w:sz="4" w:space="0" w:color="000000"/>
              <w:right w:val="single" w:sz="4" w:space="0" w:color="000000"/>
            </w:tcBorders>
          </w:tcPr>
          <w:p w14:paraId="27D6CBCE" w14:textId="77777777" w:rsidR="002449C2" w:rsidRDefault="00123961">
            <w:pPr>
              <w:shd w:val="clear" w:color="auto" w:fill="FFFFFF"/>
              <w:tabs>
                <w:tab w:val="left" w:pos="142"/>
              </w:tabs>
              <w:spacing w:before="40"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Компенсация расходов, связанных с выполнением функций членов Совета директоров</w:t>
            </w:r>
          </w:p>
        </w:tc>
        <w:tc>
          <w:tcPr>
            <w:tcW w:w="1700" w:type="dxa"/>
            <w:tcBorders>
              <w:top w:val="single" w:sz="4" w:space="0" w:color="000000"/>
              <w:left w:val="single" w:sz="4" w:space="0" w:color="000000"/>
              <w:bottom w:val="single" w:sz="4" w:space="0" w:color="000000"/>
              <w:right w:val="single" w:sz="4" w:space="0" w:color="000000"/>
            </w:tcBorders>
            <w:vAlign w:val="center"/>
          </w:tcPr>
          <w:p w14:paraId="7655549C" w14:textId="77777777" w:rsidR="002449C2" w:rsidRDefault="00123961">
            <w:pPr>
              <w:shd w:val="clear" w:color="auto" w:fill="FFFFFF"/>
              <w:tabs>
                <w:tab w:val="left" w:pos="142"/>
              </w:tabs>
              <w:spacing w:before="40" w:after="0" w:line="240" w:lineRule="auto"/>
              <w:jc w:val="center"/>
              <w:rPr>
                <w:rFonts w:ascii="Times New Roman" w:eastAsia="Times New Roman" w:hAnsi="Times New Roman"/>
                <w:sz w:val="26"/>
                <w:szCs w:val="26"/>
                <w:lang w:eastAsia="ru-RU"/>
              </w:rPr>
            </w:pPr>
            <w:r>
              <w:rPr>
                <w:rFonts w:ascii="Times New Roman" w:eastAsia="Times New Roman" w:hAnsi="Times New Roman"/>
                <w:sz w:val="26"/>
                <w:szCs w:val="26"/>
                <w:lang w:eastAsia="ru-RU"/>
              </w:rPr>
              <w:t>0</w:t>
            </w:r>
          </w:p>
        </w:tc>
      </w:tr>
    </w:tbl>
    <w:p w14:paraId="6E16203F" w14:textId="77777777" w:rsidR="002449C2" w:rsidRDefault="002449C2">
      <w:pPr>
        <w:shd w:val="clear" w:color="auto" w:fill="FFFFFF"/>
        <w:tabs>
          <w:tab w:val="left" w:pos="142"/>
        </w:tabs>
        <w:spacing w:before="40" w:after="0" w:line="240" w:lineRule="auto"/>
        <w:ind w:firstLine="567"/>
        <w:jc w:val="both"/>
        <w:rPr>
          <w:rFonts w:ascii="Times New Roman" w:eastAsia="Times New Roman" w:hAnsi="Times New Roman"/>
          <w:sz w:val="26"/>
          <w:szCs w:val="26"/>
          <w:lang w:eastAsia="ru-RU"/>
        </w:rPr>
      </w:pPr>
    </w:p>
    <w:p w14:paraId="58E05A9C" w14:textId="77777777" w:rsidR="002561D1" w:rsidRDefault="00123961" w:rsidP="002561D1">
      <w:pPr>
        <w:shd w:val="clear" w:color="auto" w:fill="FFFFFF"/>
        <w:tabs>
          <w:tab w:val="left" w:pos="142"/>
        </w:tabs>
        <w:spacing w:before="40"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Задолженность по выплате вознаграждений членам Совета директоров по итогам работы за последний завершенный финансовый год отсутствует.</w:t>
      </w:r>
    </w:p>
    <w:p w14:paraId="68227D62" w14:textId="05ACFFDC" w:rsidR="002449C2" w:rsidRDefault="00123961" w:rsidP="002561D1">
      <w:pPr>
        <w:shd w:val="clear" w:color="auto" w:fill="FFFFFF"/>
        <w:tabs>
          <w:tab w:val="left" w:pos="142"/>
        </w:tabs>
        <w:spacing w:before="40" w:after="0" w:line="240" w:lineRule="auto"/>
        <w:ind w:firstLine="567"/>
        <w:jc w:val="both"/>
        <w:rPr>
          <w:rFonts w:ascii="Times New Roman" w:eastAsia="Times New Roman" w:hAnsi="Times New Roman"/>
          <w:b/>
          <w:bCs/>
          <w:sz w:val="28"/>
          <w:szCs w:val="28"/>
          <w:lang w:eastAsia="ru-RU"/>
        </w:rPr>
      </w:pPr>
      <w:r>
        <w:rPr>
          <w:rFonts w:ascii="Times New Roman" w:eastAsia="Times New Roman" w:hAnsi="Times New Roman"/>
          <w:b/>
          <w:bCs/>
          <w:sz w:val="28"/>
          <w:szCs w:val="28"/>
          <w:lang w:eastAsia="ru-RU"/>
        </w:rPr>
        <w:t>Вознаграждение членов Комитетов Совета директоров</w:t>
      </w:r>
    </w:p>
    <w:p w14:paraId="0E311270" w14:textId="77777777" w:rsidR="002449C2" w:rsidRDefault="00123961">
      <w:pPr>
        <w:shd w:val="clear" w:color="auto" w:fill="FFFFFF"/>
        <w:spacing w:before="120" w:after="0" w:line="0" w:lineRule="atLeast"/>
        <w:ind w:left="198" w:firstLine="709"/>
        <w:jc w:val="both"/>
        <w:rPr>
          <w:rFonts w:ascii="Times New Roman" w:hAnsi="Times New Roman"/>
          <w:spacing w:val="-2"/>
          <w:sz w:val="26"/>
          <w:szCs w:val="26"/>
        </w:rPr>
      </w:pPr>
      <w:r>
        <w:rPr>
          <w:rFonts w:ascii="Times New Roman" w:hAnsi="Times New Roman"/>
          <w:spacing w:val="-2"/>
          <w:sz w:val="26"/>
          <w:szCs w:val="26"/>
        </w:rPr>
        <w:t>Решением Совета директоров Общества 31.01.2024 (протокол от 02.02.2024 №560/2024) в целях определения порядка выплаты вознаграждений и компенсаций членам Комитета утверждено единое Положение о выплате вознаграждений и компенсаций членам комитетов Совета директоров ПАО «Россети Юг».</w:t>
      </w:r>
    </w:p>
    <w:p w14:paraId="0B9D1381" w14:textId="77777777" w:rsidR="002449C2" w:rsidRDefault="00123961">
      <w:pPr>
        <w:widowControl w:val="0"/>
        <w:shd w:val="clear" w:color="auto" w:fill="FFFFFF"/>
        <w:spacing w:after="12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Положениями предусматривается выплата вознаграждения за каждое заседание, в котором принял участие член Комитета Совета директоров:</w:t>
      </w:r>
    </w:p>
    <w:tbl>
      <w:tblPr>
        <w:tblW w:w="9214" w:type="dxa"/>
        <w:tblInd w:w="109" w:type="dxa"/>
        <w:tblLayout w:type="fixed"/>
        <w:tblLook w:val="04A0" w:firstRow="1" w:lastRow="0" w:firstColumn="1" w:lastColumn="0" w:noHBand="0" w:noVBand="1"/>
      </w:tblPr>
      <w:tblGrid>
        <w:gridCol w:w="4962"/>
        <w:gridCol w:w="4252"/>
      </w:tblGrid>
      <w:tr w:rsidR="002449C2" w14:paraId="14BCEE84" w14:textId="77777777">
        <w:tc>
          <w:tcPr>
            <w:tcW w:w="4961" w:type="dxa"/>
          </w:tcPr>
          <w:p w14:paraId="2401F3E9" w14:textId="77777777" w:rsidR="002449C2" w:rsidRDefault="00123961">
            <w:pPr>
              <w:shd w:val="clear" w:color="auto" w:fill="FFFFFF"/>
              <w:spacing w:after="0" w:line="240" w:lineRule="auto"/>
              <w:ind w:firstLine="567"/>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За участие в заседании Комитета Совета директоров, проводимого в заочной форме</w:t>
            </w:r>
          </w:p>
        </w:tc>
        <w:tc>
          <w:tcPr>
            <w:tcW w:w="4252" w:type="dxa"/>
          </w:tcPr>
          <w:p w14:paraId="79F70663" w14:textId="77777777" w:rsidR="002449C2" w:rsidRDefault="00123961">
            <w:pPr>
              <w:shd w:val="clear" w:color="auto" w:fill="FFFFFF"/>
              <w:spacing w:after="0" w:line="240" w:lineRule="auto"/>
              <w:ind w:firstLine="567"/>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За участие в заседании Комитета Совета директоров, проводимом в форме совместного присутствия</w:t>
            </w:r>
          </w:p>
        </w:tc>
      </w:tr>
      <w:tr w:rsidR="002449C2" w14:paraId="7FF7319E" w14:textId="77777777">
        <w:trPr>
          <w:trHeight w:val="1951"/>
        </w:trPr>
        <w:tc>
          <w:tcPr>
            <w:tcW w:w="4961" w:type="dxa"/>
          </w:tcPr>
          <w:p w14:paraId="2F16FCD2" w14:textId="77777777" w:rsidR="002449C2" w:rsidRDefault="00123961">
            <w:pPr>
              <w:shd w:val="clear" w:color="auto" w:fill="FFFFFF"/>
              <w:spacing w:before="120" w:after="120" w:line="240" w:lineRule="auto"/>
              <w:ind w:firstLine="567"/>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Выплачивается вознаграждение в размере суммы, эквивалентной одной минимальной месячной тарифной ставке рабочего первого разряда (далее – ММТС), установленной Отраслевым тарифным соглашением в электроэнергетике Российской Федерации (далее – Соглашение) на день проведения заседания Комитета Совета директоров, с учетом индексации, установленной Соглашением.</w:t>
            </w:r>
          </w:p>
        </w:tc>
        <w:tc>
          <w:tcPr>
            <w:tcW w:w="4252" w:type="dxa"/>
          </w:tcPr>
          <w:p w14:paraId="1FEDC6FA" w14:textId="77777777" w:rsidR="002449C2" w:rsidRDefault="00123961">
            <w:pPr>
              <w:shd w:val="clear" w:color="auto" w:fill="FFFFFF"/>
              <w:spacing w:before="120" w:after="120" w:line="240" w:lineRule="auto"/>
              <w:ind w:firstLine="567"/>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Выплачивается вознаграждение в размере суммы, эквивалентной двум ММТС, установленным Соглашением на день проведения заседания Комитета Совета директоров, с учетом индексации, установленной Соглашением.</w:t>
            </w:r>
          </w:p>
        </w:tc>
      </w:tr>
    </w:tbl>
    <w:p w14:paraId="49378192" w14:textId="77777777" w:rsidR="002449C2" w:rsidRDefault="00123961">
      <w:pPr>
        <w:widowControl w:val="0"/>
        <w:shd w:val="clear" w:color="auto" w:fill="FFFFFF"/>
        <w:spacing w:before="120"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Размер вознаграждения, выплачиваемого Председателю Комитета (заместителю Председателя) за каждое заседание, на котором он выполнял функции Председателя Комитета Совета директоров, увеличивается на 50%.</w:t>
      </w:r>
    </w:p>
    <w:p w14:paraId="71728B96" w14:textId="77777777" w:rsidR="002449C2" w:rsidRDefault="002449C2">
      <w:pPr>
        <w:widowControl w:val="0"/>
        <w:shd w:val="clear" w:color="auto" w:fill="FFFFFF"/>
        <w:spacing w:after="0" w:line="240" w:lineRule="auto"/>
        <w:ind w:firstLine="567"/>
        <w:jc w:val="both"/>
        <w:rPr>
          <w:rFonts w:ascii="Times New Roman" w:eastAsia="Times New Roman" w:hAnsi="Times New Roman"/>
          <w:sz w:val="26"/>
          <w:szCs w:val="26"/>
          <w:lang w:eastAsia="en-US"/>
        </w:rPr>
      </w:pPr>
    </w:p>
    <w:p w14:paraId="5261F99E" w14:textId="77777777" w:rsidR="002449C2" w:rsidRDefault="00123961">
      <w:pPr>
        <w:widowControl w:val="0"/>
        <w:shd w:val="clear" w:color="auto" w:fill="FFFFFF"/>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 xml:space="preserve">Кроме того, в соответствии с Положениями члену Комитета Совета директоров компенсируются фактически понесенные расходы, связанные с выполнением функций члена Комитета Совета директоров. </w:t>
      </w:r>
    </w:p>
    <w:p w14:paraId="13B2139E" w14:textId="77777777" w:rsidR="002449C2" w:rsidRDefault="002449C2">
      <w:pPr>
        <w:widowControl w:val="0"/>
        <w:shd w:val="clear" w:color="auto" w:fill="FFFFFF"/>
        <w:spacing w:after="0" w:line="240" w:lineRule="auto"/>
        <w:ind w:firstLine="567"/>
        <w:jc w:val="both"/>
        <w:rPr>
          <w:rFonts w:ascii="Times New Roman" w:eastAsia="Times New Roman" w:hAnsi="Times New Roman"/>
          <w:sz w:val="26"/>
          <w:szCs w:val="26"/>
          <w:lang w:eastAsia="en-US"/>
        </w:rPr>
      </w:pPr>
    </w:p>
    <w:p w14:paraId="31A7597C" w14:textId="77777777" w:rsidR="002449C2" w:rsidRDefault="00123961">
      <w:pPr>
        <w:widowControl w:val="0"/>
        <w:shd w:val="clear" w:color="auto" w:fill="FFFFFF"/>
        <w:spacing w:after="0" w:line="240" w:lineRule="auto"/>
        <w:ind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Вознаграждения и компенсации не выплачиваются членам Комитетов, являющимся:</w:t>
      </w:r>
    </w:p>
    <w:p w14:paraId="7C20AFA7" w14:textId="77777777" w:rsidR="002449C2" w:rsidRDefault="00123961">
      <w:pPr>
        <w:widowControl w:val="0"/>
        <w:numPr>
          <w:ilvl w:val="0"/>
          <w:numId w:val="14"/>
        </w:numPr>
        <w:shd w:val="clear" w:color="auto" w:fill="FFFFFF"/>
        <w:tabs>
          <w:tab w:val="left" w:pos="567"/>
        </w:tabs>
        <w:spacing w:after="0" w:line="240" w:lineRule="auto"/>
        <w:ind w:left="0"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единоличным исполнительным органом (Генеральным директором) Общества;</w:t>
      </w:r>
    </w:p>
    <w:p w14:paraId="0CFF900F" w14:textId="77777777" w:rsidR="002449C2" w:rsidRDefault="00123961">
      <w:pPr>
        <w:widowControl w:val="0"/>
        <w:numPr>
          <w:ilvl w:val="0"/>
          <w:numId w:val="14"/>
        </w:numPr>
        <w:shd w:val="clear" w:color="auto" w:fill="FFFFFF"/>
        <w:tabs>
          <w:tab w:val="left" w:pos="567"/>
        </w:tabs>
        <w:spacing w:after="0" w:line="240" w:lineRule="auto"/>
        <w:ind w:left="0"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лицами, в отношении которых предусмотрено законодательное ограничение или запрет на получение выплат от коммерческих организаций.</w:t>
      </w:r>
    </w:p>
    <w:p w14:paraId="434642A0" w14:textId="77777777" w:rsidR="002449C2" w:rsidRDefault="00123961">
      <w:pPr>
        <w:widowControl w:val="0"/>
        <w:numPr>
          <w:ilvl w:val="0"/>
          <w:numId w:val="14"/>
        </w:numPr>
        <w:shd w:val="clear" w:color="auto" w:fill="FFFFFF"/>
        <w:tabs>
          <w:tab w:val="left" w:pos="567"/>
        </w:tabs>
        <w:spacing w:after="0" w:line="240" w:lineRule="auto"/>
        <w:ind w:left="0" w:firstLine="567"/>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запрет на получение выплат от коммерческих организаций.</w:t>
      </w:r>
    </w:p>
    <w:p w14:paraId="7976D049" w14:textId="77777777" w:rsidR="002449C2" w:rsidRDefault="002449C2">
      <w:pPr>
        <w:spacing w:after="0" w:line="171" w:lineRule="atLeast"/>
        <w:ind w:firstLine="567"/>
        <w:jc w:val="both"/>
        <w:rPr>
          <w:rFonts w:ascii="Times New Roman" w:hAnsi="Times New Roman"/>
          <w:b/>
          <w:color w:val="000000"/>
        </w:rPr>
      </w:pPr>
    </w:p>
    <w:p w14:paraId="5E216A64" w14:textId="77777777" w:rsidR="002449C2" w:rsidRDefault="00123961">
      <w:pPr>
        <w:spacing w:after="0" w:line="171" w:lineRule="atLeast"/>
        <w:ind w:firstLine="567"/>
        <w:jc w:val="both"/>
        <w:rPr>
          <w:rFonts w:ascii="Times New Roman" w:hAnsi="Times New Roman"/>
          <w:b/>
          <w:color w:val="000000"/>
          <w:sz w:val="24"/>
          <w:szCs w:val="24"/>
        </w:rPr>
      </w:pPr>
      <w:r>
        <w:rPr>
          <w:rFonts w:ascii="Times New Roman" w:hAnsi="Times New Roman"/>
          <w:b/>
          <w:color w:val="000000"/>
        </w:rPr>
        <w:t>Вознаграждения, выплаченные членам Комитетов Совета директоров в 2022-2024</w:t>
      </w:r>
      <w:r>
        <w:rPr>
          <w:rFonts w:ascii="Times New Roman" w:hAnsi="Times New Roman"/>
          <w:b/>
          <w:color w:val="000000"/>
          <w:sz w:val="24"/>
          <w:szCs w:val="24"/>
        </w:rPr>
        <w:t xml:space="preserve"> годы</w:t>
      </w:r>
      <w:r w:rsidR="00F74223">
        <w:rPr>
          <w:rStyle w:val="af"/>
          <w:rFonts w:ascii="Times New Roman" w:hAnsi="Times New Roman"/>
          <w:b/>
          <w:color w:val="000000"/>
          <w:sz w:val="24"/>
          <w:szCs w:val="24"/>
        </w:rPr>
        <w:footnoteReference w:id="28"/>
      </w:r>
    </w:p>
    <w:tbl>
      <w:tblPr>
        <w:tblW w:w="9229" w:type="dxa"/>
        <w:jc w:val="center"/>
        <w:tblLayout w:type="fixed"/>
        <w:tblLook w:val="04A0" w:firstRow="1" w:lastRow="0" w:firstColumn="1" w:lastColumn="0" w:noHBand="0" w:noVBand="1"/>
      </w:tblPr>
      <w:tblGrid>
        <w:gridCol w:w="4548"/>
        <w:gridCol w:w="4681"/>
      </w:tblGrid>
      <w:tr w:rsidR="002449C2" w14:paraId="355154AE" w14:textId="77777777">
        <w:trPr>
          <w:trHeight w:val="560"/>
          <w:tblHeader/>
          <w:jc w:val="center"/>
        </w:trPr>
        <w:tc>
          <w:tcPr>
            <w:tcW w:w="454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2FB717E" w14:textId="77777777" w:rsidR="002449C2" w:rsidRDefault="00123961">
            <w:pPr>
              <w:spacing w:after="0" w:line="171" w:lineRule="atLeast"/>
              <w:ind w:firstLine="567"/>
              <w:jc w:val="both"/>
              <w:rPr>
                <w:rFonts w:ascii="Times New Roman" w:hAnsi="Times New Roman"/>
                <w:color w:val="000000"/>
                <w:sz w:val="20"/>
                <w:szCs w:val="20"/>
              </w:rPr>
            </w:pPr>
            <w:r>
              <w:rPr>
                <w:rFonts w:ascii="Times New Roman" w:hAnsi="Times New Roman"/>
                <w:color w:val="000000"/>
                <w:sz w:val="20"/>
                <w:szCs w:val="20"/>
              </w:rPr>
              <w:t>Период</w:t>
            </w:r>
          </w:p>
        </w:tc>
        <w:tc>
          <w:tcPr>
            <w:tcW w:w="4680" w:type="dxa"/>
            <w:tcBorders>
              <w:top w:val="single" w:sz="4" w:space="0" w:color="000000"/>
              <w:bottom w:val="single" w:sz="4" w:space="0" w:color="000000"/>
              <w:right w:val="single" w:sz="4" w:space="0" w:color="000000"/>
            </w:tcBorders>
            <w:shd w:val="clear" w:color="auto" w:fill="FFFFFF"/>
            <w:vAlign w:val="center"/>
          </w:tcPr>
          <w:p w14:paraId="433DCF95" w14:textId="77777777" w:rsidR="002449C2" w:rsidRDefault="00123961">
            <w:pPr>
              <w:spacing w:after="0" w:line="171" w:lineRule="atLeast"/>
              <w:ind w:hanging="39"/>
              <w:jc w:val="both"/>
              <w:rPr>
                <w:rFonts w:ascii="Times New Roman" w:hAnsi="Times New Roman"/>
                <w:color w:val="000000"/>
                <w:sz w:val="20"/>
                <w:szCs w:val="20"/>
              </w:rPr>
            </w:pPr>
            <w:r>
              <w:rPr>
                <w:rFonts w:ascii="Times New Roman" w:hAnsi="Times New Roman"/>
                <w:color w:val="000000"/>
                <w:sz w:val="20"/>
                <w:szCs w:val="20"/>
              </w:rPr>
              <w:t>Вознаграждение за участие в заседаниях Комитетов Совета директоров, руб. (с учетом НДФЛ)</w:t>
            </w:r>
          </w:p>
        </w:tc>
      </w:tr>
      <w:tr w:rsidR="002449C2" w14:paraId="533CF186" w14:textId="77777777">
        <w:trPr>
          <w:trHeight w:val="20"/>
          <w:jc w:val="center"/>
        </w:trPr>
        <w:tc>
          <w:tcPr>
            <w:tcW w:w="9228"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0C2A70FB" w14:textId="77777777" w:rsidR="002449C2" w:rsidRDefault="00123961">
            <w:pPr>
              <w:spacing w:after="0" w:line="171" w:lineRule="atLeast"/>
              <w:ind w:firstLine="567"/>
              <w:jc w:val="both"/>
              <w:rPr>
                <w:rFonts w:ascii="Times New Roman" w:hAnsi="Times New Roman"/>
                <w:color w:val="000000"/>
                <w:sz w:val="20"/>
                <w:szCs w:val="20"/>
              </w:rPr>
            </w:pPr>
            <w:r>
              <w:rPr>
                <w:rFonts w:ascii="Times New Roman" w:hAnsi="Times New Roman"/>
                <w:color w:val="000000"/>
                <w:sz w:val="20"/>
                <w:szCs w:val="20"/>
              </w:rPr>
              <w:t>Комитет по аудиту</w:t>
            </w:r>
          </w:p>
        </w:tc>
      </w:tr>
      <w:tr w:rsidR="002449C2" w14:paraId="7BF5FDF0" w14:textId="77777777">
        <w:trPr>
          <w:trHeight w:val="20"/>
          <w:jc w:val="center"/>
        </w:trPr>
        <w:tc>
          <w:tcPr>
            <w:tcW w:w="454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40A7F30"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2022 год</w:t>
            </w:r>
          </w:p>
        </w:tc>
        <w:tc>
          <w:tcPr>
            <w:tcW w:w="4680" w:type="dxa"/>
            <w:tcBorders>
              <w:top w:val="single" w:sz="4" w:space="0" w:color="000000"/>
              <w:bottom w:val="single" w:sz="4" w:space="0" w:color="000000"/>
              <w:right w:val="single" w:sz="4" w:space="0" w:color="000000"/>
            </w:tcBorders>
            <w:shd w:val="clear" w:color="auto" w:fill="FFFFFF"/>
            <w:vAlign w:val="center"/>
          </w:tcPr>
          <w:p w14:paraId="01BE48A8"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101 807</w:t>
            </w:r>
          </w:p>
        </w:tc>
      </w:tr>
      <w:tr w:rsidR="002449C2" w14:paraId="463141D9" w14:textId="77777777">
        <w:trPr>
          <w:trHeight w:val="20"/>
          <w:jc w:val="center"/>
        </w:trPr>
        <w:tc>
          <w:tcPr>
            <w:tcW w:w="454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271BE723"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2023 год</w:t>
            </w:r>
          </w:p>
        </w:tc>
        <w:tc>
          <w:tcPr>
            <w:tcW w:w="4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7EF95C"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196 637</w:t>
            </w:r>
          </w:p>
        </w:tc>
      </w:tr>
      <w:tr w:rsidR="002449C2" w14:paraId="364EC13A" w14:textId="77777777">
        <w:trPr>
          <w:trHeight w:val="20"/>
          <w:jc w:val="center"/>
        </w:trPr>
        <w:tc>
          <w:tcPr>
            <w:tcW w:w="454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AB7EC62"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2024 год</w:t>
            </w:r>
          </w:p>
        </w:tc>
        <w:tc>
          <w:tcPr>
            <w:tcW w:w="4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CF4618A"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406 869</w:t>
            </w:r>
          </w:p>
        </w:tc>
      </w:tr>
      <w:tr w:rsidR="002449C2" w14:paraId="6A1F5AD8" w14:textId="77777777">
        <w:trPr>
          <w:trHeight w:val="20"/>
          <w:jc w:val="center"/>
        </w:trPr>
        <w:tc>
          <w:tcPr>
            <w:tcW w:w="9228"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06579C99" w14:textId="77777777" w:rsidR="002449C2" w:rsidRDefault="00123961">
            <w:pPr>
              <w:spacing w:after="0" w:line="171" w:lineRule="atLeast"/>
              <w:ind w:firstLine="567"/>
              <w:jc w:val="both"/>
              <w:rPr>
                <w:rFonts w:ascii="Times New Roman" w:hAnsi="Times New Roman"/>
                <w:color w:val="000000"/>
                <w:sz w:val="20"/>
                <w:szCs w:val="20"/>
              </w:rPr>
            </w:pPr>
            <w:r>
              <w:rPr>
                <w:rFonts w:ascii="Times New Roman" w:hAnsi="Times New Roman"/>
                <w:color w:val="000000"/>
                <w:sz w:val="20"/>
                <w:szCs w:val="20"/>
              </w:rPr>
              <w:t>Комитет по кадрам и вознаграждениям</w:t>
            </w:r>
          </w:p>
        </w:tc>
      </w:tr>
      <w:tr w:rsidR="002449C2" w14:paraId="73341A33" w14:textId="77777777">
        <w:trPr>
          <w:trHeight w:val="20"/>
          <w:jc w:val="center"/>
        </w:trPr>
        <w:tc>
          <w:tcPr>
            <w:tcW w:w="454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FECF253"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2022 год</w:t>
            </w:r>
          </w:p>
        </w:tc>
        <w:tc>
          <w:tcPr>
            <w:tcW w:w="4680" w:type="dxa"/>
            <w:tcBorders>
              <w:top w:val="single" w:sz="4" w:space="0" w:color="000000"/>
              <w:bottom w:val="single" w:sz="4" w:space="0" w:color="000000"/>
              <w:right w:val="single" w:sz="4" w:space="0" w:color="000000"/>
            </w:tcBorders>
            <w:shd w:val="clear" w:color="auto" w:fill="FFFFFF"/>
            <w:vAlign w:val="center"/>
          </w:tcPr>
          <w:p w14:paraId="50193C88"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307 697</w:t>
            </w:r>
          </w:p>
        </w:tc>
      </w:tr>
      <w:tr w:rsidR="002449C2" w14:paraId="6B35BB00" w14:textId="77777777">
        <w:trPr>
          <w:trHeight w:val="20"/>
          <w:jc w:val="center"/>
        </w:trPr>
        <w:tc>
          <w:tcPr>
            <w:tcW w:w="454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0DE0CD7"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2023 год</w:t>
            </w:r>
          </w:p>
        </w:tc>
        <w:tc>
          <w:tcPr>
            <w:tcW w:w="4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19F66C0"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503 032</w:t>
            </w:r>
          </w:p>
        </w:tc>
      </w:tr>
      <w:tr w:rsidR="002449C2" w14:paraId="53AB8BB7" w14:textId="77777777">
        <w:trPr>
          <w:trHeight w:val="20"/>
          <w:jc w:val="center"/>
        </w:trPr>
        <w:tc>
          <w:tcPr>
            <w:tcW w:w="454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753D462" w14:textId="51D1D179" w:rsidR="002449C2" w:rsidRDefault="00123961" w:rsidP="00167DBF">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2024 год</w:t>
            </w:r>
          </w:p>
        </w:tc>
        <w:tc>
          <w:tcPr>
            <w:tcW w:w="4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075DF0"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506 778</w:t>
            </w:r>
          </w:p>
        </w:tc>
      </w:tr>
      <w:tr w:rsidR="002449C2" w14:paraId="7FF7A640" w14:textId="77777777">
        <w:trPr>
          <w:trHeight w:val="20"/>
          <w:jc w:val="center"/>
        </w:trPr>
        <w:tc>
          <w:tcPr>
            <w:tcW w:w="9228"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771BC8EA" w14:textId="77777777" w:rsidR="002449C2" w:rsidRDefault="00123961">
            <w:pPr>
              <w:spacing w:after="0" w:line="171" w:lineRule="atLeast"/>
              <w:ind w:firstLine="567"/>
              <w:jc w:val="both"/>
              <w:rPr>
                <w:rFonts w:ascii="Times New Roman" w:hAnsi="Times New Roman"/>
                <w:color w:val="000000"/>
                <w:sz w:val="20"/>
                <w:szCs w:val="20"/>
              </w:rPr>
            </w:pPr>
            <w:r>
              <w:rPr>
                <w:rFonts w:ascii="Times New Roman" w:hAnsi="Times New Roman"/>
                <w:color w:val="000000"/>
                <w:sz w:val="20"/>
                <w:szCs w:val="20"/>
              </w:rPr>
              <w:t>Комитет по стратегии</w:t>
            </w:r>
          </w:p>
        </w:tc>
      </w:tr>
      <w:tr w:rsidR="002449C2" w14:paraId="285C7A02" w14:textId="77777777">
        <w:trPr>
          <w:trHeight w:val="20"/>
          <w:jc w:val="center"/>
        </w:trPr>
        <w:tc>
          <w:tcPr>
            <w:tcW w:w="454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5AB1DF28"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2022 год</w:t>
            </w:r>
          </w:p>
        </w:tc>
        <w:tc>
          <w:tcPr>
            <w:tcW w:w="4680" w:type="dxa"/>
            <w:tcBorders>
              <w:top w:val="single" w:sz="4" w:space="0" w:color="000000"/>
              <w:bottom w:val="single" w:sz="4" w:space="0" w:color="000000"/>
              <w:right w:val="single" w:sz="4" w:space="0" w:color="000000"/>
            </w:tcBorders>
            <w:shd w:val="clear" w:color="auto" w:fill="FFFFFF"/>
            <w:vAlign w:val="center"/>
          </w:tcPr>
          <w:p w14:paraId="74CAEFBF"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1 119 247</w:t>
            </w:r>
          </w:p>
        </w:tc>
      </w:tr>
      <w:tr w:rsidR="002449C2" w14:paraId="0306488F" w14:textId="77777777">
        <w:trPr>
          <w:trHeight w:val="20"/>
          <w:jc w:val="center"/>
        </w:trPr>
        <w:tc>
          <w:tcPr>
            <w:tcW w:w="454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7EC16FDF"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2023 год</w:t>
            </w:r>
          </w:p>
        </w:tc>
        <w:tc>
          <w:tcPr>
            <w:tcW w:w="468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5DEDB359"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1 783 031</w:t>
            </w:r>
          </w:p>
        </w:tc>
      </w:tr>
      <w:tr w:rsidR="002449C2" w14:paraId="46D37581" w14:textId="77777777">
        <w:trPr>
          <w:trHeight w:val="20"/>
          <w:jc w:val="center"/>
        </w:trPr>
        <w:tc>
          <w:tcPr>
            <w:tcW w:w="454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231A46A8" w14:textId="0EF2FD9D" w:rsidR="002449C2" w:rsidRDefault="00123961" w:rsidP="00167DBF">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2024 год</w:t>
            </w:r>
          </w:p>
        </w:tc>
        <w:tc>
          <w:tcPr>
            <w:tcW w:w="468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215510F"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1 695 688</w:t>
            </w:r>
          </w:p>
        </w:tc>
      </w:tr>
      <w:tr w:rsidR="002449C2" w14:paraId="41A6F778" w14:textId="77777777">
        <w:trPr>
          <w:trHeight w:val="20"/>
          <w:jc w:val="center"/>
        </w:trPr>
        <w:tc>
          <w:tcPr>
            <w:tcW w:w="9228"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394FB386" w14:textId="77777777" w:rsidR="002449C2" w:rsidRDefault="00123961">
            <w:pPr>
              <w:spacing w:after="0" w:line="171" w:lineRule="atLeast"/>
              <w:ind w:firstLine="567"/>
              <w:jc w:val="both"/>
              <w:rPr>
                <w:rFonts w:ascii="Times New Roman" w:hAnsi="Times New Roman"/>
                <w:color w:val="000000"/>
                <w:sz w:val="20"/>
                <w:szCs w:val="20"/>
              </w:rPr>
            </w:pPr>
            <w:r>
              <w:rPr>
                <w:rFonts w:ascii="Times New Roman" w:hAnsi="Times New Roman"/>
                <w:color w:val="000000"/>
                <w:sz w:val="20"/>
                <w:szCs w:val="20"/>
              </w:rPr>
              <w:t>Комитет по надежности</w:t>
            </w:r>
          </w:p>
        </w:tc>
      </w:tr>
      <w:tr w:rsidR="002449C2" w14:paraId="7C9F1477" w14:textId="77777777">
        <w:trPr>
          <w:trHeight w:val="20"/>
          <w:jc w:val="center"/>
        </w:trPr>
        <w:tc>
          <w:tcPr>
            <w:tcW w:w="454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D707DA0"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2022 год</w:t>
            </w:r>
          </w:p>
        </w:tc>
        <w:tc>
          <w:tcPr>
            <w:tcW w:w="4680" w:type="dxa"/>
            <w:tcBorders>
              <w:top w:val="single" w:sz="4" w:space="0" w:color="000000"/>
              <w:bottom w:val="single" w:sz="4" w:space="0" w:color="000000"/>
              <w:right w:val="single" w:sz="4" w:space="0" w:color="000000"/>
            </w:tcBorders>
            <w:shd w:val="clear" w:color="auto" w:fill="FFFFFF"/>
            <w:vAlign w:val="center"/>
          </w:tcPr>
          <w:p w14:paraId="1F904476"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388 234</w:t>
            </w:r>
          </w:p>
        </w:tc>
      </w:tr>
      <w:tr w:rsidR="002449C2" w14:paraId="46D47632" w14:textId="77777777">
        <w:trPr>
          <w:trHeight w:val="20"/>
          <w:jc w:val="center"/>
        </w:trPr>
        <w:tc>
          <w:tcPr>
            <w:tcW w:w="454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7DE122DF"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2023 год</w:t>
            </w:r>
          </w:p>
        </w:tc>
        <w:tc>
          <w:tcPr>
            <w:tcW w:w="468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103B8C7"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501 967</w:t>
            </w:r>
          </w:p>
        </w:tc>
      </w:tr>
      <w:tr w:rsidR="002449C2" w14:paraId="5A221A8C" w14:textId="77777777">
        <w:trPr>
          <w:trHeight w:val="20"/>
          <w:jc w:val="center"/>
        </w:trPr>
        <w:tc>
          <w:tcPr>
            <w:tcW w:w="454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5FC73614"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2024 год</w:t>
            </w:r>
          </w:p>
        </w:tc>
        <w:tc>
          <w:tcPr>
            <w:tcW w:w="468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787275E7"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526 242</w:t>
            </w:r>
          </w:p>
        </w:tc>
      </w:tr>
      <w:tr w:rsidR="002449C2" w14:paraId="57F863A0" w14:textId="77777777">
        <w:trPr>
          <w:trHeight w:val="20"/>
          <w:jc w:val="center"/>
        </w:trPr>
        <w:tc>
          <w:tcPr>
            <w:tcW w:w="9228"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696161F8" w14:textId="77777777" w:rsidR="002449C2" w:rsidRDefault="00123961">
            <w:pPr>
              <w:spacing w:after="0" w:line="171" w:lineRule="atLeast"/>
              <w:ind w:firstLine="567"/>
              <w:jc w:val="both"/>
              <w:rPr>
                <w:rFonts w:ascii="Times New Roman" w:hAnsi="Times New Roman"/>
                <w:color w:val="000000"/>
                <w:sz w:val="20"/>
                <w:szCs w:val="20"/>
              </w:rPr>
            </w:pPr>
            <w:r>
              <w:rPr>
                <w:rFonts w:ascii="Times New Roman" w:hAnsi="Times New Roman"/>
                <w:color w:val="000000"/>
                <w:sz w:val="20"/>
                <w:szCs w:val="20"/>
              </w:rPr>
              <w:t>Комитет по технологическому присоединению к электрическим сетям</w:t>
            </w:r>
          </w:p>
        </w:tc>
      </w:tr>
      <w:tr w:rsidR="002449C2" w14:paraId="30C34626" w14:textId="77777777">
        <w:trPr>
          <w:trHeight w:val="20"/>
          <w:jc w:val="center"/>
        </w:trPr>
        <w:tc>
          <w:tcPr>
            <w:tcW w:w="454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F12C69E"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2022год</w:t>
            </w:r>
          </w:p>
        </w:tc>
        <w:tc>
          <w:tcPr>
            <w:tcW w:w="4680" w:type="dxa"/>
            <w:tcBorders>
              <w:top w:val="single" w:sz="4" w:space="0" w:color="000000"/>
              <w:bottom w:val="single" w:sz="4" w:space="0" w:color="000000"/>
              <w:right w:val="single" w:sz="4" w:space="0" w:color="000000"/>
            </w:tcBorders>
            <w:shd w:val="clear" w:color="auto" w:fill="FFFFFF"/>
            <w:vAlign w:val="bottom"/>
          </w:tcPr>
          <w:p w14:paraId="3E5A7EE7"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568 318</w:t>
            </w:r>
          </w:p>
        </w:tc>
      </w:tr>
      <w:tr w:rsidR="002449C2" w14:paraId="42861719" w14:textId="77777777">
        <w:trPr>
          <w:trHeight w:val="20"/>
          <w:jc w:val="center"/>
        </w:trPr>
        <w:tc>
          <w:tcPr>
            <w:tcW w:w="454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E66FEAA"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2023 год</w:t>
            </w:r>
          </w:p>
        </w:tc>
        <w:tc>
          <w:tcPr>
            <w:tcW w:w="468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04497F2"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621 723</w:t>
            </w:r>
          </w:p>
        </w:tc>
      </w:tr>
      <w:tr w:rsidR="002449C2" w14:paraId="17EFC17E" w14:textId="77777777">
        <w:trPr>
          <w:trHeight w:val="20"/>
          <w:jc w:val="center"/>
        </w:trPr>
        <w:tc>
          <w:tcPr>
            <w:tcW w:w="454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2D310169"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2024 год</w:t>
            </w:r>
          </w:p>
        </w:tc>
        <w:tc>
          <w:tcPr>
            <w:tcW w:w="468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C0FDF21"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639 933</w:t>
            </w:r>
          </w:p>
        </w:tc>
      </w:tr>
      <w:tr w:rsidR="002449C2" w14:paraId="7406D4C9" w14:textId="77777777">
        <w:trPr>
          <w:trHeight w:val="20"/>
          <w:jc w:val="center"/>
        </w:trPr>
        <w:tc>
          <w:tcPr>
            <w:tcW w:w="9228" w:type="dxa"/>
            <w:gridSpan w:val="2"/>
            <w:tcBorders>
              <w:top w:val="single" w:sz="4" w:space="0" w:color="000000"/>
              <w:left w:val="single" w:sz="4" w:space="0" w:color="000000"/>
              <w:bottom w:val="single" w:sz="4" w:space="0" w:color="000000"/>
              <w:right w:val="single" w:sz="4" w:space="0" w:color="000000"/>
            </w:tcBorders>
            <w:shd w:val="clear" w:color="auto" w:fill="FFFFFF"/>
            <w:vAlign w:val="bottom"/>
          </w:tcPr>
          <w:p w14:paraId="63DEC3B5" w14:textId="77777777" w:rsidR="002449C2" w:rsidRDefault="00123961">
            <w:pPr>
              <w:spacing w:after="0" w:line="171" w:lineRule="atLeast"/>
              <w:ind w:firstLine="567"/>
              <w:jc w:val="both"/>
              <w:rPr>
                <w:rFonts w:ascii="Times New Roman" w:hAnsi="Times New Roman"/>
                <w:color w:val="000000"/>
                <w:sz w:val="20"/>
                <w:szCs w:val="20"/>
              </w:rPr>
            </w:pPr>
            <w:r>
              <w:rPr>
                <w:rFonts w:ascii="Times New Roman" w:hAnsi="Times New Roman"/>
                <w:color w:val="000000"/>
                <w:sz w:val="20"/>
                <w:szCs w:val="20"/>
              </w:rPr>
              <w:t>Всего выплачено вознаграждений за участие в заседаниях Комитетов Совета директоров</w:t>
            </w:r>
          </w:p>
        </w:tc>
      </w:tr>
      <w:tr w:rsidR="002449C2" w14:paraId="334559AB" w14:textId="77777777">
        <w:trPr>
          <w:trHeight w:val="20"/>
          <w:jc w:val="center"/>
        </w:trPr>
        <w:tc>
          <w:tcPr>
            <w:tcW w:w="454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51E21A6"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2022 год</w:t>
            </w:r>
          </w:p>
        </w:tc>
        <w:tc>
          <w:tcPr>
            <w:tcW w:w="468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2FFDB63F"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2 485 303</w:t>
            </w:r>
          </w:p>
        </w:tc>
      </w:tr>
      <w:tr w:rsidR="002449C2" w14:paraId="02BC9E7B" w14:textId="77777777">
        <w:trPr>
          <w:trHeight w:val="20"/>
          <w:jc w:val="center"/>
        </w:trPr>
        <w:tc>
          <w:tcPr>
            <w:tcW w:w="454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68DB33E"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2023 год</w:t>
            </w:r>
          </w:p>
        </w:tc>
        <w:tc>
          <w:tcPr>
            <w:tcW w:w="468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521F4E5"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3 606 390</w:t>
            </w:r>
          </w:p>
        </w:tc>
      </w:tr>
      <w:tr w:rsidR="002449C2" w14:paraId="10089A5F" w14:textId="77777777">
        <w:trPr>
          <w:trHeight w:val="20"/>
          <w:jc w:val="center"/>
        </w:trPr>
        <w:tc>
          <w:tcPr>
            <w:tcW w:w="454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19188B62"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2024 год</w:t>
            </w:r>
          </w:p>
        </w:tc>
        <w:tc>
          <w:tcPr>
            <w:tcW w:w="468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5DA7F902" w14:textId="77777777" w:rsidR="002449C2" w:rsidRDefault="00123961">
            <w:pPr>
              <w:spacing w:after="0" w:line="171" w:lineRule="atLeast"/>
              <w:ind w:firstLine="567"/>
              <w:jc w:val="both"/>
              <w:rPr>
                <w:rFonts w:ascii="Times New Roman" w:hAnsi="Times New Roman"/>
                <w:color w:val="000000"/>
                <w:sz w:val="18"/>
                <w:szCs w:val="18"/>
              </w:rPr>
            </w:pPr>
            <w:r>
              <w:rPr>
                <w:rFonts w:ascii="Times New Roman" w:hAnsi="Times New Roman"/>
                <w:color w:val="000000"/>
                <w:sz w:val="18"/>
                <w:szCs w:val="18"/>
              </w:rPr>
              <w:t>3 775 510</w:t>
            </w:r>
          </w:p>
        </w:tc>
      </w:tr>
    </w:tbl>
    <w:p w14:paraId="3516DD6B" w14:textId="77777777" w:rsidR="002449C2" w:rsidRDefault="002449C2">
      <w:pPr>
        <w:spacing w:after="0" w:line="171" w:lineRule="atLeast"/>
        <w:ind w:firstLine="567"/>
        <w:jc w:val="both"/>
        <w:rPr>
          <w:rFonts w:ascii="Times New Roman" w:hAnsi="Times New Roman"/>
          <w:b/>
          <w:color w:val="000000"/>
          <w:sz w:val="24"/>
          <w:szCs w:val="24"/>
        </w:rPr>
      </w:pPr>
    </w:p>
    <w:p w14:paraId="49392078" w14:textId="77777777" w:rsidR="002449C2" w:rsidRDefault="00123961">
      <w:pPr>
        <w:keepNext/>
        <w:keepLines/>
        <w:spacing w:before="200" w:after="120" w:line="240" w:lineRule="auto"/>
        <w:ind w:left="567"/>
        <w:jc w:val="both"/>
        <w:outlineLvl w:val="2"/>
        <w:rPr>
          <w:rFonts w:ascii="Times New Roman" w:eastAsia="Times New Roman" w:hAnsi="Times New Roman"/>
          <w:b/>
          <w:color w:val="660033"/>
          <w:sz w:val="26"/>
          <w:szCs w:val="26"/>
          <w:lang w:eastAsia="en-US" w:bidi="en-US"/>
        </w:rPr>
      </w:pPr>
      <w:bookmarkStart w:id="229" w:name="_Toc195174979"/>
      <w:bookmarkStart w:id="230" w:name="_Toc196143072"/>
      <w:r>
        <w:rPr>
          <w:rFonts w:ascii="Times New Roman" w:eastAsia="Times New Roman" w:hAnsi="Times New Roman"/>
          <w:color w:val="385623"/>
          <w:sz w:val="28"/>
          <w:szCs w:val="28"/>
          <w:lang w:eastAsia="en-US" w:bidi="en-US"/>
        </w:rPr>
        <w:t>Система вознаграждения исполнительных органов</w:t>
      </w:r>
      <w:bookmarkEnd w:id="229"/>
      <w:bookmarkEnd w:id="230"/>
      <w:r>
        <w:rPr>
          <w:rFonts w:ascii="Times New Roman" w:eastAsia="Times New Roman" w:hAnsi="Times New Roman"/>
          <w:b/>
          <w:color w:val="660033"/>
          <w:sz w:val="26"/>
          <w:szCs w:val="26"/>
          <w:lang w:eastAsia="en-US" w:bidi="en-US"/>
        </w:rPr>
        <w:t xml:space="preserve"> </w:t>
      </w:r>
    </w:p>
    <w:p w14:paraId="2F9F8A30" w14:textId="77777777" w:rsidR="002449C2" w:rsidRDefault="002449C2">
      <w:pPr>
        <w:shd w:val="clear" w:color="auto" w:fill="FFFFFF"/>
        <w:spacing w:after="0" w:line="240" w:lineRule="auto"/>
        <w:ind w:left="198" w:firstLine="709"/>
        <w:jc w:val="both"/>
        <w:rPr>
          <w:rFonts w:ascii="Cambria" w:hAnsi="Cambria"/>
          <w:sz w:val="26"/>
          <w:szCs w:val="26"/>
        </w:rPr>
      </w:pPr>
    </w:p>
    <w:p w14:paraId="1685312D" w14:textId="77777777" w:rsidR="002449C2" w:rsidRDefault="00123961">
      <w:pPr>
        <w:shd w:val="clear" w:color="auto" w:fill="FFFFFF"/>
        <w:spacing w:after="120" w:line="240" w:lineRule="auto"/>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 xml:space="preserve">Информация о выплате вознаграждения (компенсации расходов) </w:t>
      </w:r>
    </w:p>
    <w:p w14:paraId="0EBC47BE" w14:textId="77777777" w:rsidR="002449C2" w:rsidRDefault="00123961">
      <w:pPr>
        <w:shd w:val="clear" w:color="auto" w:fill="FFFFFF"/>
        <w:spacing w:after="120" w:line="240" w:lineRule="auto"/>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членам Правления</w:t>
      </w:r>
    </w:p>
    <w:p w14:paraId="681906EF"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 xml:space="preserve">В соответствии с решением Совета директоров Общества 29.06.2023 (протокол 30.06.2023 №531/2023) члены Правления Общества относятся к категории высших менеджеров Общества. </w:t>
      </w:r>
    </w:p>
    <w:p w14:paraId="232BE088"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В соответствии с Положением об оплате труда и материальном стимулировании высших менеджеров ПАО «Россети Юг», утвержденным Советом директоров Общества 29.06.2023 (протокол от 30.06.2023 №531/2023)</w:t>
      </w:r>
      <w:r w:rsidR="00167DBF">
        <w:rPr>
          <w:rFonts w:ascii="Times New Roman" w:eastAsia="Times New Roman" w:hAnsi="Times New Roman"/>
          <w:color w:val="000000"/>
          <w:sz w:val="26"/>
          <w:szCs w:val="26"/>
          <w:lang w:eastAsia="ru-RU"/>
        </w:rPr>
        <w:t>,</w:t>
      </w:r>
      <w:r>
        <w:rPr>
          <w:rFonts w:ascii="Times New Roman" w:eastAsia="Times New Roman" w:hAnsi="Times New Roman"/>
          <w:color w:val="000000"/>
          <w:sz w:val="26"/>
          <w:szCs w:val="26"/>
          <w:lang w:eastAsia="ru-RU"/>
        </w:rPr>
        <w:t xml:space="preserve"> при избрании высшего менеджера членом Правления Общества, оплата труда осуществляется путем установления доплаты за членство в коллегиальном исполнительном органе (Правлении) Общества в размере, соответствующем минимальному размеру оплаты труда на основании статьи 133 Трудового кодекса Российской Федерации.</w:t>
      </w:r>
    </w:p>
    <w:p w14:paraId="655195D9" w14:textId="77777777" w:rsidR="002449C2" w:rsidRDefault="002449C2">
      <w:pPr>
        <w:shd w:val="clear" w:color="auto" w:fill="FFFFFF"/>
        <w:tabs>
          <w:tab w:val="left" w:pos="142"/>
        </w:tabs>
        <w:spacing w:after="0" w:line="240" w:lineRule="auto"/>
        <w:ind w:firstLine="567"/>
        <w:jc w:val="both"/>
        <w:rPr>
          <w:rFonts w:ascii="Cambria" w:eastAsia="Times New Roman" w:hAnsi="Cambria"/>
          <w:color w:val="000000"/>
          <w:sz w:val="26"/>
          <w:szCs w:val="26"/>
          <w:lang w:eastAsia="ru-RU"/>
        </w:rPr>
      </w:pPr>
    </w:p>
    <w:p w14:paraId="05EE9AE0" w14:textId="77777777" w:rsidR="002449C2" w:rsidRDefault="00123961">
      <w:pPr>
        <w:widowControl w:val="0"/>
        <w:shd w:val="clear" w:color="auto" w:fill="FFFFFF"/>
        <w:spacing w:before="240" w:after="0" w:line="240" w:lineRule="auto"/>
        <w:jc w:val="both"/>
        <w:rPr>
          <w:rFonts w:ascii="Times New Roman" w:eastAsia="Times New Roman" w:hAnsi="Times New Roman"/>
          <w:b/>
          <w:sz w:val="20"/>
          <w:szCs w:val="20"/>
          <w:lang w:eastAsia="ru-RU"/>
        </w:rPr>
      </w:pPr>
      <w:r>
        <w:rPr>
          <w:rFonts w:ascii="Times New Roman" w:eastAsia="Times New Roman" w:hAnsi="Times New Roman"/>
          <w:b/>
          <w:sz w:val="26"/>
          <w:szCs w:val="26"/>
          <w:lang w:eastAsia="ru-RU"/>
        </w:rPr>
        <w:t xml:space="preserve">Сведения о размере вознаграждений, выплаченных членам Правления Компании, включая лицо, занимающее должность единоличного исполнительного органа, руб. </w:t>
      </w:r>
      <w:r w:rsidR="00A74AA0">
        <w:rPr>
          <w:rStyle w:val="af"/>
          <w:rFonts w:ascii="Times New Roman" w:eastAsia="Times New Roman" w:hAnsi="Times New Roman"/>
          <w:b/>
          <w:sz w:val="26"/>
          <w:szCs w:val="26"/>
          <w:lang w:eastAsia="ru-RU"/>
        </w:rPr>
        <w:footnoteReference w:id="29"/>
      </w:r>
    </w:p>
    <w:p w14:paraId="2DB82C36" w14:textId="77777777" w:rsidR="002449C2" w:rsidRDefault="002449C2">
      <w:pPr>
        <w:widowControl w:val="0"/>
        <w:shd w:val="clear" w:color="auto" w:fill="FFFFFF"/>
        <w:spacing w:after="0" w:line="240" w:lineRule="auto"/>
        <w:ind w:left="567"/>
        <w:jc w:val="both"/>
        <w:rPr>
          <w:rFonts w:ascii="Times New Roman" w:eastAsia="Times New Roman" w:hAnsi="Times New Roman"/>
          <w:sz w:val="20"/>
          <w:szCs w:val="20"/>
          <w:lang w:eastAsia="en-US"/>
        </w:rPr>
      </w:pPr>
    </w:p>
    <w:tbl>
      <w:tblPr>
        <w:tblW w:w="6544" w:type="dxa"/>
        <w:tblInd w:w="1644" w:type="dxa"/>
        <w:tblLayout w:type="fixed"/>
        <w:tblLook w:val="04A0" w:firstRow="1" w:lastRow="0" w:firstColumn="1" w:lastColumn="0" w:noHBand="0" w:noVBand="1"/>
      </w:tblPr>
      <w:tblGrid>
        <w:gridCol w:w="4403"/>
        <w:gridCol w:w="2141"/>
      </w:tblGrid>
      <w:tr w:rsidR="002449C2" w14:paraId="3EFA2111" w14:textId="77777777">
        <w:trPr>
          <w:trHeight w:val="300"/>
        </w:trPr>
        <w:tc>
          <w:tcPr>
            <w:tcW w:w="4402" w:type="dxa"/>
            <w:tcBorders>
              <w:top w:val="single" w:sz="4" w:space="0" w:color="000000"/>
              <w:left w:val="single" w:sz="4" w:space="0" w:color="000000"/>
              <w:bottom w:val="single" w:sz="4" w:space="0" w:color="000000"/>
              <w:right w:val="single" w:sz="4" w:space="0" w:color="000000"/>
            </w:tcBorders>
            <w:vAlign w:val="center"/>
          </w:tcPr>
          <w:p w14:paraId="0D84ED3C"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Наименование выплат</w:t>
            </w:r>
          </w:p>
        </w:tc>
        <w:tc>
          <w:tcPr>
            <w:tcW w:w="2141" w:type="dxa"/>
            <w:tcBorders>
              <w:top w:val="single" w:sz="4" w:space="0" w:color="000000"/>
              <w:bottom w:val="single" w:sz="4" w:space="0" w:color="000000"/>
              <w:right w:val="single" w:sz="4" w:space="0" w:color="000000"/>
            </w:tcBorders>
          </w:tcPr>
          <w:p w14:paraId="3F8DD390"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2024</w:t>
            </w:r>
          </w:p>
        </w:tc>
      </w:tr>
      <w:tr w:rsidR="002449C2" w14:paraId="4120ED9A" w14:textId="77777777">
        <w:trPr>
          <w:trHeight w:val="300"/>
        </w:trPr>
        <w:tc>
          <w:tcPr>
            <w:tcW w:w="4402" w:type="dxa"/>
            <w:tcBorders>
              <w:left w:val="single" w:sz="4" w:space="0" w:color="000000"/>
              <w:bottom w:val="single" w:sz="4" w:space="0" w:color="000000"/>
              <w:right w:val="single" w:sz="4" w:space="0" w:color="000000"/>
            </w:tcBorders>
            <w:vAlign w:val="center"/>
          </w:tcPr>
          <w:p w14:paraId="1CD35648"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Заработная плата</w:t>
            </w:r>
          </w:p>
        </w:tc>
        <w:tc>
          <w:tcPr>
            <w:tcW w:w="2141" w:type="dxa"/>
            <w:tcBorders>
              <w:bottom w:val="single" w:sz="4" w:space="0" w:color="000000"/>
              <w:right w:val="single" w:sz="4" w:space="0" w:color="000000"/>
            </w:tcBorders>
          </w:tcPr>
          <w:p w14:paraId="72A1B81C" w14:textId="77777777" w:rsidR="002449C2" w:rsidRDefault="00123961">
            <w:pPr>
              <w:shd w:val="clear" w:color="auto" w:fill="FFFFFF"/>
              <w:spacing w:after="0" w:line="240" w:lineRule="auto"/>
              <w:ind w:hanging="6"/>
              <w:jc w:val="right"/>
              <w:rPr>
                <w:rFonts w:ascii="Times New Roman" w:eastAsia="Times New Roman" w:hAnsi="Times New Roman"/>
                <w:sz w:val="20"/>
                <w:szCs w:val="20"/>
                <w:lang w:eastAsia="ru-RU"/>
              </w:rPr>
            </w:pPr>
            <w:r>
              <w:rPr>
                <w:rFonts w:ascii="Times New Roman" w:eastAsia="Times New Roman" w:hAnsi="Times New Roman"/>
                <w:sz w:val="20"/>
                <w:szCs w:val="20"/>
                <w:lang w:eastAsia="ru-RU"/>
              </w:rPr>
              <w:t>68 296 015,48</w:t>
            </w:r>
          </w:p>
        </w:tc>
      </w:tr>
      <w:tr w:rsidR="002449C2" w14:paraId="74DB8B80" w14:textId="77777777">
        <w:trPr>
          <w:trHeight w:val="300"/>
        </w:trPr>
        <w:tc>
          <w:tcPr>
            <w:tcW w:w="4402" w:type="dxa"/>
            <w:tcBorders>
              <w:left w:val="single" w:sz="4" w:space="0" w:color="000000"/>
              <w:bottom w:val="single" w:sz="4" w:space="0" w:color="000000"/>
              <w:right w:val="single" w:sz="4" w:space="0" w:color="000000"/>
            </w:tcBorders>
            <w:vAlign w:val="center"/>
          </w:tcPr>
          <w:p w14:paraId="27480849"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Вознаграждение за выполнение функций члена Правления</w:t>
            </w:r>
          </w:p>
        </w:tc>
        <w:tc>
          <w:tcPr>
            <w:tcW w:w="2141" w:type="dxa"/>
            <w:tcBorders>
              <w:bottom w:val="single" w:sz="4" w:space="0" w:color="000000"/>
              <w:right w:val="single" w:sz="4" w:space="0" w:color="000000"/>
            </w:tcBorders>
          </w:tcPr>
          <w:p w14:paraId="11729C1C" w14:textId="77777777" w:rsidR="002449C2" w:rsidRDefault="00123961">
            <w:pPr>
              <w:shd w:val="clear" w:color="auto" w:fill="FFFFFF"/>
              <w:spacing w:after="0" w:line="240" w:lineRule="auto"/>
              <w:jc w:val="right"/>
              <w:rPr>
                <w:rFonts w:ascii="Times New Roman" w:eastAsia="Times New Roman" w:hAnsi="Times New Roman"/>
                <w:sz w:val="20"/>
                <w:szCs w:val="20"/>
                <w:lang w:eastAsia="ru-RU"/>
              </w:rPr>
            </w:pPr>
            <w:r>
              <w:rPr>
                <w:rFonts w:ascii="Times New Roman" w:eastAsia="Times New Roman" w:hAnsi="Times New Roman"/>
                <w:color w:val="000000"/>
                <w:sz w:val="20"/>
                <w:szCs w:val="20"/>
                <w:lang w:eastAsia="ru-RU"/>
              </w:rPr>
              <w:t>1 038 165,95</w:t>
            </w:r>
          </w:p>
        </w:tc>
      </w:tr>
      <w:tr w:rsidR="002449C2" w14:paraId="6DA11337" w14:textId="77777777">
        <w:trPr>
          <w:trHeight w:val="300"/>
        </w:trPr>
        <w:tc>
          <w:tcPr>
            <w:tcW w:w="4402" w:type="dxa"/>
            <w:tcBorders>
              <w:left w:val="single" w:sz="4" w:space="0" w:color="000000"/>
              <w:bottom w:val="single" w:sz="4" w:space="0" w:color="000000"/>
              <w:right w:val="single" w:sz="4" w:space="0" w:color="000000"/>
            </w:tcBorders>
            <w:vAlign w:val="center"/>
          </w:tcPr>
          <w:p w14:paraId="2583A995"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Премирование</w:t>
            </w:r>
          </w:p>
        </w:tc>
        <w:tc>
          <w:tcPr>
            <w:tcW w:w="2141" w:type="dxa"/>
            <w:tcBorders>
              <w:bottom w:val="single" w:sz="4" w:space="0" w:color="000000"/>
              <w:right w:val="single" w:sz="4" w:space="0" w:color="000000"/>
            </w:tcBorders>
          </w:tcPr>
          <w:p w14:paraId="470D8B2D" w14:textId="77777777" w:rsidR="002449C2" w:rsidRDefault="00123961">
            <w:pPr>
              <w:shd w:val="clear" w:color="auto" w:fill="FFFFFF"/>
              <w:spacing w:after="0" w:line="240" w:lineRule="auto"/>
              <w:jc w:val="right"/>
              <w:rPr>
                <w:rFonts w:ascii="Times New Roman" w:eastAsia="Times New Roman" w:hAnsi="Times New Roman"/>
                <w:sz w:val="20"/>
                <w:szCs w:val="20"/>
                <w:lang w:eastAsia="ru-RU"/>
              </w:rPr>
            </w:pPr>
            <w:r>
              <w:rPr>
                <w:rFonts w:ascii="Times New Roman" w:eastAsia="Times New Roman" w:hAnsi="Times New Roman"/>
                <w:sz w:val="20"/>
                <w:szCs w:val="20"/>
                <w:lang w:eastAsia="ru-RU"/>
              </w:rPr>
              <w:t>54 028 946,29</w:t>
            </w:r>
          </w:p>
        </w:tc>
      </w:tr>
      <w:tr w:rsidR="002449C2" w14:paraId="023674AA" w14:textId="77777777">
        <w:trPr>
          <w:trHeight w:val="300"/>
        </w:trPr>
        <w:tc>
          <w:tcPr>
            <w:tcW w:w="4402" w:type="dxa"/>
            <w:tcBorders>
              <w:left w:val="single" w:sz="4" w:space="0" w:color="000000"/>
              <w:bottom w:val="single" w:sz="4" w:space="0" w:color="000000"/>
              <w:right w:val="single" w:sz="4" w:space="0" w:color="000000"/>
            </w:tcBorders>
            <w:vAlign w:val="center"/>
          </w:tcPr>
          <w:p w14:paraId="576B04F6" w14:textId="77777777" w:rsidR="002449C2" w:rsidRDefault="00123961">
            <w:pPr>
              <w:shd w:val="clear" w:color="auto" w:fill="FFFFFF"/>
              <w:spacing w:after="0" w:line="240" w:lineRule="auto"/>
              <w:jc w:val="both"/>
              <w:rPr>
                <w:rFonts w:ascii="Times New Roman" w:eastAsia="Times New Roman" w:hAnsi="Times New Roman"/>
                <w:i/>
                <w:iCs/>
                <w:sz w:val="20"/>
                <w:szCs w:val="20"/>
                <w:lang w:eastAsia="ru-RU"/>
              </w:rPr>
            </w:pPr>
            <w:r>
              <w:rPr>
                <w:rFonts w:ascii="Times New Roman" w:eastAsia="Times New Roman" w:hAnsi="Times New Roman"/>
                <w:i/>
                <w:iCs/>
                <w:sz w:val="20"/>
                <w:szCs w:val="20"/>
                <w:lang w:eastAsia="ru-RU"/>
              </w:rPr>
              <w:t xml:space="preserve">   в том числе годовое вознаграждение</w:t>
            </w:r>
          </w:p>
        </w:tc>
        <w:tc>
          <w:tcPr>
            <w:tcW w:w="2141" w:type="dxa"/>
            <w:tcBorders>
              <w:bottom w:val="single" w:sz="4" w:space="0" w:color="000000"/>
              <w:right w:val="single" w:sz="4" w:space="0" w:color="000000"/>
            </w:tcBorders>
          </w:tcPr>
          <w:p w14:paraId="3FAA456E" w14:textId="77777777" w:rsidR="002449C2" w:rsidRDefault="00123961">
            <w:pPr>
              <w:shd w:val="clear" w:color="auto" w:fill="FFFFFF"/>
              <w:spacing w:after="0" w:line="240" w:lineRule="auto"/>
              <w:jc w:val="right"/>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54 028 946,29</w:t>
            </w:r>
          </w:p>
        </w:tc>
      </w:tr>
      <w:tr w:rsidR="002449C2" w14:paraId="1AAA7232" w14:textId="77777777">
        <w:trPr>
          <w:trHeight w:val="300"/>
        </w:trPr>
        <w:tc>
          <w:tcPr>
            <w:tcW w:w="4402" w:type="dxa"/>
            <w:tcBorders>
              <w:left w:val="single" w:sz="4" w:space="0" w:color="000000"/>
              <w:bottom w:val="single" w:sz="4" w:space="0" w:color="000000"/>
              <w:right w:val="single" w:sz="4" w:space="0" w:color="000000"/>
            </w:tcBorders>
            <w:vAlign w:val="center"/>
          </w:tcPr>
          <w:p w14:paraId="7E266037"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Прочие выплаты</w:t>
            </w:r>
          </w:p>
        </w:tc>
        <w:tc>
          <w:tcPr>
            <w:tcW w:w="2141" w:type="dxa"/>
            <w:tcBorders>
              <w:bottom w:val="single" w:sz="4" w:space="0" w:color="000000"/>
              <w:right w:val="single" w:sz="4" w:space="0" w:color="000000"/>
            </w:tcBorders>
          </w:tcPr>
          <w:p w14:paraId="2146229C" w14:textId="77777777" w:rsidR="002449C2" w:rsidRDefault="00123961">
            <w:pPr>
              <w:shd w:val="clear" w:color="auto" w:fill="FFFFFF"/>
              <w:spacing w:after="0" w:line="240" w:lineRule="auto"/>
              <w:jc w:val="right"/>
              <w:rPr>
                <w:rFonts w:ascii="Times New Roman" w:eastAsia="Times New Roman" w:hAnsi="Times New Roman"/>
                <w:sz w:val="20"/>
                <w:szCs w:val="20"/>
                <w:lang w:eastAsia="ru-RU"/>
              </w:rPr>
            </w:pPr>
            <w:r>
              <w:rPr>
                <w:rFonts w:ascii="Times New Roman" w:eastAsia="Times New Roman" w:hAnsi="Times New Roman"/>
                <w:sz w:val="20"/>
                <w:szCs w:val="20"/>
                <w:lang w:eastAsia="ru-RU"/>
              </w:rPr>
              <w:t>0</w:t>
            </w:r>
          </w:p>
        </w:tc>
      </w:tr>
      <w:tr w:rsidR="002449C2" w14:paraId="44F9FD4B" w14:textId="77777777">
        <w:trPr>
          <w:trHeight w:val="300"/>
        </w:trPr>
        <w:tc>
          <w:tcPr>
            <w:tcW w:w="4402" w:type="dxa"/>
            <w:tcBorders>
              <w:left w:val="single" w:sz="4" w:space="0" w:color="000000"/>
              <w:bottom w:val="single" w:sz="4" w:space="0" w:color="000000"/>
              <w:right w:val="single" w:sz="4" w:space="0" w:color="000000"/>
            </w:tcBorders>
            <w:shd w:val="clear" w:color="000000" w:fill="FFFFFF"/>
            <w:vAlign w:val="center"/>
          </w:tcPr>
          <w:p w14:paraId="17EBB27F"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Выплаты в связи увольнением</w:t>
            </w:r>
          </w:p>
        </w:tc>
        <w:tc>
          <w:tcPr>
            <w:tcW w:w="2141" w:type="dxa"/>
            <w:tcBorders>
              <w:bottom w:val="single" w:sz="4" w:space="0" w:color="000000"/>
              <w:right w:val="single" w:sz="4" w:space="0" w:color="000000"/>
            </w:tcBorders>
            <w:shd w:val="clear" w:color="000000" w:fill="FFFFFF"/>
          </w:tcPr>
          <w:p w14:paraId="482B6CCE" w14:textId="77777777" w:rsidR="002449C2" w:rsidRDefault="00123961">
            <w:pPr>
              <w:shd w:val="clear" w:color="auto" w:fill="FFFFFF"/>
              <w:spacing w:after="0" w:line="240" w:lineRule="auto"/>
              <w:jc w:val="right"/>
              <w:rPr>
                <w:rFonts w:ascii="Times New Roman" w:eastAsia="Times New Roman" w:hAnsi="Times New Roman"/>
                <w:sz w:val="20"/>
                <w:szCs w:val="20"/>
                <w:lang w:eastAsia="ru-RU"/>
              </w:rPr>
            </w:pPr>
            <w:r>
              <w:rPr>
                <w:rFonts w:ascii="Times New Roman" w:eastAsia="Times New Roman" w:hAnsi="Times New Roman"/>
                <w:color w:val="000000"/>
                <w:sz w:val="20"/>
                <w:szCs w:val="20"/>
                <w:lang w:eastAsia="ru-RU"/>
              </w:rPr>
              <w:t>0</w:t>
            </w:r>
          </w:p>
        </w:tc>
      </w:tr>
      <w:tr w:rsidR="002449C2" w14:paraId="3815324C" w14:textId="77777777">
        <w:trPr>
          <w:trHeight w:val="300"/>
        </w:trPr>
        <w:tc>
          <w:tcPr>
            <w:tcW w:w="440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76F3A6"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Всего вознаграждений</w:t>
            </w:r>
          </w:p>
        </w:tc>
        <w:tc>
          <w:tcPr>
            <w:tcW w:w="2141" w:type="dxa"/>
            <w:tcBorders>
              <w:bottom w:val="single" w:sz="4" w:space="0" w:color="000000"/>
              <w:right w:val="single" w:sz="4" w:space="0" w:color="000000"/>
            </w:tcBorders>
            <w:shd w:val="clear" w:color="auto" w:fill="FFFFFF"/>
          </w:tcPr>
          <w:p w14:paraId="7F6DF321" w14:textId="77777777" w:rsidR="002449C2" w:rsidRDefault="00123961">
            <w:pPr>
              <w:shd w:val="clear" w:color="auto" w:fill="FFFFFF"/>
              <w:spacing w:after="0" w:line="240" w:lineRule="auto"/>
              <w:jc w:val="right"/>
              <w:rPr>
                <w:rFonts w:ascii="Times New Roman" w:eastAsia="Times New Roman" w:hAnsi="Times New Roman"/>
                <w:sz w:val="20"/>
                <w:szCs w:val="20"/>
                <w:lang w:eastAsia="ru-RU"/>
              </w:rPr>
            </w:pPr>
            <w:r>
              <w:rPr>
                <w:rFonts w:ascii="Times New Roman" w:eastAsia="Times New Roman" w:hAnsi="Times New Roman"/>
                <w:sz w:val="20"/>
                <w:szCs w:val="20"/>
                <w:lang w:eastAsia="ru-RU"/>
              </w:rPr>
              <w:t>123 363 127,72</w:t>
            </w:r>
          </w:p>
        </w:tc>
      </w:tr>
    </w:tbl>
    <w:p w14:paraId="20376A73" w14:textId="77777777" w:rsidR="002449C2" w:rsidRDefault="002449C2">
      <w:pPr>
        <w:widowControl w:val="0"/>
        <w:shd w:val="clear" w:color="auto" w:fill="FFFFFF"/>
        <w:spacing w:after="0" w:line="240" w:lineRule="auto"/>
        <w:ind w:firstLine="567"/>
        <w:jc w:val="both"/>
        <w:rPr>
          <w:rFonts w:ascii="Times New Roman" w:eastAsia="Times New Roman" w:hAnsi="Times New Roman"/>
          <w:b/>
          <w:sz w:val="20"/>
          <w:szCs w:val="20"/>
          <w:lang w:eastAsia="ru-RU"/>
        </w:rPr>
      </w:pPr>
    </w:p>
    <w:p w14:paraId="318238CB" w14:textId="77777777" w:rsidR="002449C2" w:rsidRDefault="00123961">
      <w:pPr>
        <w:keepNext/>
        <w:keepLines/>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231" w:name="_Toc195174980"/>
      <w:bookmarkStart w:id="232" w:name="_Toc196143073"/>
      <w:r>
        <w:rPr>
          <w:rFonts w:ascii="Times New Roman" w:eastAsia="Times New Roman" w:hAnsi="Times New Roman"/>
          <w:color w:val="385623"/>
          <w:sz w:val="28"/>
          <w:szCs w:val="28"/>
          <w:lang w:eastAsia="en-US" w:bidi="en-US"/>
        </w:rPr>
        <w:t>Вознаграждение членов Ревизионной комиссии.</w:t>
      </w:r>
      <w:bookmarkEnd w:id="231"/>
      <w:bookmarkEnd w:id="232"/>
    </w:p>
    <w:p w14:paraId="6BC9A0F4"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2024 году членам Ревизионной комиссии Компании выплачено вознаграждение в размере 794 тыс. руб.</w:t>
      </w:r>
    </w:p>
    <w:p w14:paraId="3130AF58"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Выплата вознаграждений членам Ревизионной комиссии осуществляется в соответствии с Положением о выплате членам Ревизионной комиссии Общества вознаграждений и компенсаций, утвержденным решением годового Общего собрания акционеров Общества 09.06.2018 (протокол от 15.06.2018 №18). Согласно пункту 2.1 Положения вознаграждение выплачивается члену Ревизионной комиссии Общества по итогам работы за корпоративный год и зависит от степени его участия в работе Ревизионной комиссии. Для определения размеров вознаграждения членам Ревизионной комиссии под корпоративным годом понимается период, с момента избрания персонального состава Ревизионной комиссии на Общем собрании акционеров Общества и до момента проведения последующего Общего собрания акционеров Общества с вопросом «Об избрании членов Ревизионной комиссии Общества». </w:t>
      </w:r>
    </w:p>
    <w:p w14:paraId="33C3A2CE"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Расчет вознаграждения устанавливается исходя из выручки Общества за финансовый год и коэффициента личного участия члена Ревизионной комиссии. Выплата вознаграждения производится не позднее 30 календарных дней после годового Общего собрания акционеров Общества и представления Председателем Ревизионной комиссии Единоличному исполнительному органу Общества расчета коэффициента личного участия членов Ревизионной комиссии. Полный текст Положения размещен в сети интернет на сайте Общества: </w:t>
      </w:r>
      <w:hyperlink r:id="rId178">
        <w:r>
          <w:rPr>
            <w:rStyle w:val="ab"/>
            <w:rFonts w:ascii="Times New Roman" w:eastAsia="Times New Roman" w:hAnsi="Times New Roman"/>
            <w:sz w:val="26"/>
            <w:szCs w:val="26"/>
            <w:lang w:eastAsia="ru-RU"/>
          </w:rPr>
          <w:t>https://rosseti-yug.ru/korporativnoe-upravlenie/dokumenty-reglamentiruyushchie-deyatelnost-organov-upravleniya-i-kontrolya-obshchestva/</w:t>
        </w:r>
      </w:hyperlink>
    </w:p>
    <w:p w14:paraId="73497886"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Компенсации расходов, связанных с выполнением функций членов Ревизионной комиссии, не производилось.</w:t>
      </w:r>
    </w:p>
    <w:p w14:paraId="64A195A7" w14:textId="77777777" w:rsidR="002449C2" w:rsidRDefault="002449C2">
      <w:pPr>
        <w:widowControl w:val="0"/>
        <w:shd w:val="clear" w:color="auto" w:fill="FFFFFF"/>
        <w:spacing w:after="0" w:line="240" w:lineRule="auto"/>
        <w:ind w:left="567"/>
        <w:jc w:val="both"/>
        <w:rPr>
          <w:rFonts w:ascii="Cambria" w:eastAsia="Times New Roman" w:hAnsi="Cambria"/>
          <w:sz w:val="24"/>
          <w:szCs w:val="24"/>
          <w:lang w:eastAsia="en-US"/>
        </w:rPr>
      </w:pPr>
    </w:p>
    <w:p w14:paraId="25F713F1" w14:textId="77777777" w:rsidR="002449C2" w:rsidRDefault="002449C2">
      <w:pPr>
        <w:widowControl w:val="0"/>
        <w:shd w:val="clear" w:color="auto" w:fill="FFFFFF"/>
        <w:spacing w:after="0" w:line="240" w:lineRule="auto"/>
        <w:ind w:left="567"/>
        <w:jc w:val="both"/>
        <w:rPr>
          <w:rFonts w:ascii="Cambria" w:eastAsia="Times New Roman" w:hAnsi="Cambria"/>
          <w:sz w:val="24"/>
          <w:szCs w:val="24"/>
          <w:lang w:eastAsia="en-US"/>
        </w:rPr>
      </w:pPr>
    </w:p>
    <w:p w14:paraId="12C4CA16" w14:textId="77777777" w:rsidR="002449C2" w:rsidRDefault="00123961">
      <w:pPr>
        <w:keepNext/>
        <w:pBdr>
          <w:bottom w:val="single" w:sz="4" w:space="1" w:color="622423"/>
        </w:pBdr>
        <w:shd w:val="clear" w:color="auto" w:fill="FFFFFF"/>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233" w:name="_Toc195174981"/>
      <w:bookmarkStart w:id="234" w:name="_Toc196143074"/>
      <w:r>
        <w:rPr>
          <w:rFonts w:ascii="Times New Roman" w:eastAsia="Times New Roman" w:hAnsi="Times New Roman"/>
          <w:caps/>
          <w:color w:val="632423"/>
          <w:spacing w:val="15"/>
          <w:sz w:val="24"/>
          <w:szCs w:val="24"/>
          <w:lang w:eastAsia="en-US" w:bidi="en-US"/>
        </w:rPr>
        <w:t>Управление рисками, внутренний контроль и внутренний аудит</w:t>
      </w:r>
      <w:bookmarkEnd w:id="233"/>
      <w:bookmarkEnd w:id="234"/>
      <w:r>
        <w:rPr>
          <w:rFonts w:ascii="Times New Roman" w:eastAsia="Times New Roman" w:hAnsi="Times New Roman"/>
          <w:caps/>
          <w:color w:val="632423"/>
          <w:spacing w:val="15"/>
          <w:sz w:val="24"/>
          <w:szCs w:val="24"/>
          <w:lang w:eastAsia="en-US" w:bidi="en-US"/>
        </w:rPr>
        <w:t xml:space="preserve"> </w:t>
      </w:r>
    </w:p>
    <w:p w14:paraId="2289770D" w14:textId="77777777" w:rsidR="002449C2" w:rsidRDefault="00123961">
      <w:pPr>
        <w:keepNext/>
        <w:keepLines/>
        <w:shd w:val="clear" w:color="auto" w:fill="FFFFFF"/>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235" w:name="_Toc195174982"/>
      <w:bookmarkStart w:id="236" w:name="_Toc196143075"/>
      <w:r>
        <w:rPr>
          <w:rFonts w:ascii="Times New Roman" w:eastAsia="Times New Roman" w:hAnsi="Times New Roman"/>
          <w:color w:val="385623"/>
          <w:sz w:val="28"/>
          <w:szCs w:val="28"/>
          <w:lang w:eastAsia="en-US" w:bidi="en-US"/>
        </w:rPr>
        <w:t>Информация о системе управления рисками и внутреннего контроля.</w:t>
      </w:r>
      <w:bookmarkEnd w:id="235"/>
      <w:bookmarkEnd w:id="236"/>
      <w:r>
        <w:rPr>
          <w:rFonts w:ascii="Times New Roman" w:eastAsia="Times New Roman" w:hAnsi="Times New Roman"/>
          <w:color w:val="385623"/>
          <w:sz w:val="28"/>
          <w:szCs w:val="28"/>
          <w:lang w:eastAsia="en-US" w:bidi="en-US"/>
        </w:rPr>
        <w:t xml:space="preserve"> </w:t>
      </w:r>
    </w:p>
    <w:p w14:paraId="0EA8E506" w14:textId="77777777" w:rsidR="002449C2" w:rsidRDefault="00123961">
      <w:pPr>
        <w:shd w:val="clear" w:color="auto" w:fill="FFFFFF"/>
        <w:tabs>
          <w:tab w:val="left" w:pos="142"/>
        </w:tabs>
        <w:spacing w:before="120" w:after="12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Сведения об организации и функционировании системы управления рисками и внутреннего контроля (далее – СУРиВК), основные принципы организации СУРиВК.</w:t>
      </w:r>
    </w:p>
    <w:p w14:paraId="0066CC9C" w14:textId="77777777" w:rsidR="002449C2" w:rsidRDefault="00123961">
      <w:pPr>
        <w:spacing w:after="0" w:line="240"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Система управления рисками и внутреннего контроля (СУРиВК) – совокупность организационных мер, методик, процедур, норм корпоративной культуры и действий, предпринимаемых Обществом для достижения оптимального баланса между ростом стоимости Общества, прибыльностью и рисками, для обеспечения финансовой устойчивости Общества, эффективного ведения хозяйственной деятельности, обеспечения сохранности активов, соблюдения законодательства, устава и внутренних документов Общества, своевременной подготовки достоверной отчетности.</w:t>
      </w:r>
    </w:p>
    <w:p w14:paraId="02C41D58" w14:textId="77777777" w:rsidR="002449C2" w:rsidRDefault="00123961">
      <w:pPr>
        <w:spacing w:after="0" w:line="240" w:lineRule="auto"/>
        <w:ind w:firstLine="709"/>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Целью СУРиВК является обеспечение разумной уверенности в достижении стоящих перед Обществом целей и стратегии развития группы компаний «Россети», включая обеспечение надежного, качественного и доступного энергоснабжения потребителей, а также операционных целей финансово-хозяйственной деятельности. </w:t>
      </w:r>
    </w:p>
    <w:p w14:paraId="38A673F1" w14:textId="77777777" w:rsidR="002449C2" w:rsidRDefault="002449C2">
      <w:pPr>
        <w:shd w:val="clear" w:color="auto" w:fill="FFFFFF"/>
        <w:tabs>
          <w:tab w:val="left" w:pos="0"/>
        </w:tabs>
        <w:spacing w:after="0" w:line="240" w:lineRule="auto"/>
        <w:ind w:firstLine="709"/>
        <w:contextualSpacing/>
        <w:jc w:val="both"/>
        <w:rPr>
          <w:rFonts w:ascii="Times New Roman" w:eastAsia="Times New Roman" w:hAnsi="Times New Roman"/>
          <w:b/>
          <w:sz w:val="14"/>
          <w:szCs w:val="28"/>
          <w:lang w:eastAsia="ru-RU"/>
        </w:rPr>
      </w:pPr>
    </w:p>
    <w:p w14:paraId="64BAA487" w14:textId="77777777" w:rsidR="002449C2" w:rsidRDefault="00123961">
      <w:pPr>
        <w:shd w:val="clear" w:color="auto" w:fill="FFFFFF"/>
        <w:tabs>
          <w:tab w:val="left" w:pos="142"/>
        </w:tabs>
        <w:spacing w:before="120" w:after="12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Перечень внутренних документов, регламентирующих СУРиВК.</w:t>
      </w:r>
    </w:p>
    <w:p w14:paraId="6746AD9A" w14:textId="77777777" w:rsidR="002449C2" w:rsidRDefault="00123961">
      <w:pPr>
        <w:widowControl w:val="0"/>
        <w:spacing w:after="0"/>
        <w:ind w:firstLine="709"/>
        <w:jc w:val="both"/>
        <w:rPr>
          <w:rFonts w:ascii="Times New Roman" w:hAnsi="Times New Roman"/>
          <w:color w:val="000000" w:themeColor="text1"/>
          <w:sz w:val="26"/>
          <w:szCs w:val="26"/>
        </w:rPr>
      </w:pPr>
      <w:r>
        <w:rPr>
          <w:rFonts w:ascii="Times New Roman" w:hAnsi="Times New Roman"/>
          <w:color w:val="000000" w:themeColor="text1"/>
          <w:sz w:val="26"/>
          <w:szCs w:val="26"/>
        </w:rPr>
        <w:t>Основными документами, регламентирующими организацию и функционирование СУРиВК в Обществе, являются:</w:t>
      </w:r>
    </w:p>
    <w:p w14:paraId="1D7ECFA1" w14:textId="77777777" w:rsidR="002449C2" w:rsidRDefault="00123961">
      <w:pPr>
        <w:widowControl w:val="0"/>
        <w:tabs>
          <w:tab w:val="left" w:pos="993"/>
        </w:tabs>
        <w:spacing w:after="0"/>
        <w:ind w:firstLine="709"/>
        <w:jc w:val="both"/>
        <w:rPr>
          <w:rFonts w:ascii="Times New Roman" w:hAnsi="Times New Roman"/>
          <w:color w:val="000000" w:themeColor="text1"/>
          <w:sz w:val="26"/>
          <w:szCs w:val="26"/>
        </w:rPr>
      </w:pPr>
      <w:r>
        <w:rPr>
          <w:rFonts w:ascii="Times New Roman" w:hAnsi="Times New Roman"/>
          <w:color w:val="000000" w:themeColor="text1"/>
          <w:sz w:val="26"/>
          <w:szCs w:val="26"/>
        </w:rPr>
        <w:t>- Политика управления рисками и внутреннего контроля (решение Совета директоров от 07.06.2023, протокол от 08.06.2023 № 525/2023);</w:t>
      </w:r>
    </w:p>
    <w:p w14:paraId="24F00F6F" w14:textId="77777777" w:rsidR="002449C2" w:rsidRDefault="00123961">
      <w:pPr>
        <w:widowControl w:val="0"/>
        <w:tabs>
          <w:tab w:val="left" w:pos="993"/>
        </w:tabs>
        <w:spacing w:after="0"/>
        <w:ind w:firstLine="709"/>
        <w:jc w:val="both"/>
        <w:rPr>
          <w:rFonts w:ascii="Times New Roman" w:hAnsi="Times New Roman"/>
          <w:color w:val="000000" w:themeColor="text1"/>
          <w:sz w:val="26"/>
          <w:szCs w:val="26"/>
        </w:rPr>
      </w:pPr>
      <w:r>
        <w:rPr>
          <w:rFonts w:ascii="Times New Roman" w:hAnsi="Times New Roman"/>
          <w:color w:val="000000" w:themeColor="text1"/>
          <w:sz w:val="26"/>
          <w:szCs w:val="26"/>
        </w:rPr>
        <w:t>- Предпочтительный риск (риск-аппетит) (решение Совета директоров от 05.10.2023, протокол от 06.10.2023 № 546/2023);</w:t>
      </w:r>
    </w:p>
    <w:p w14:paraId="288CD4CA" w14:textId="77777777" w:rsidR="002449C2" w:rsidRDefault="00123961">
      <w:pPr>
        <w:widowControl w:val="0"/>
        <w:tabs>
          <w:tab w:val="left" w:pos="993"/>
        </w:tabs>
        <w:spacing w:after="0"/>
        <w:ind w:firstLine="709"/>
        <w:jc w:val="both"/>
        <w:rPr>
          <w:rFonts w:ascii="Times New Roman" w:hAnsi="Times New Roman"/>
          <w:color w:val="000000" w:themeColor="text1"/>
          <w:sz w:val="26"/>
          <w:szCs w:val="26"/>
        </w:rPr>
      </w:pPr>
      <w:r>
        <w:rPr>
          <w:rFonts w:ascii="Times New Roman" w:hAnsi="Times New Roman"/>
          <w:color w:val="000000" w:themeColor="text1"/>
          <w:sz w:val="26"/>
          <w:szCs w:val="26"/>
        </w:rPr>
        <w:t>- Программа развития СУРиВК (приказ от 01.06.2023 №302, от 08.11.2024 № 669);</w:t>
      </w:r>
    </w:p>
    <w:p w14:paraId="3DCC1D74" w14:textId="77777777" w:rsidR="002449C2" w:rsidRDefault="00123961">
      <w:pPr>
        <w:widowControl w:val="0"/>
        <w:tabs>
          <w:tab w:val="left" w:pos="993"/>
        </w:tabs>
        <w:spacing w:after="0"/>
        <w:ind w:firstLine="709"/>
        <w:jc w:val="both"/>
        <w:rPr>
          <w:rFonts w:ascii="Times New Roman" w:hAnsi="Times New Roman"/>
          <w:color w:val="000000" w:themeColor="text1"/>
          <w:sz w:val="26"/>
          <w:szCs w:val="26"/>
        </w:rPr>
      </w:pPr>
      <w:r>
        <w:rPr>
          <w:rFonts w:ascii="Times New Roman" w:hAnsi="Times New Roman"/>
          <w:color w:val="000000" w:themeColor="text1"/>
          <w:sz w:val="26"/>
          <w:szCs w:val="26"/>
        </w:rPr>
        <w:t>- Порядок организации управления рисками и внутреннего контроля (приказ от 24.09.2024 № 564);</w:t>
      </w:r>
    </w:p>
    <w:p w14:paraId="5A92BD56" w14:textId="77777777" w:rsidR="002449C2" w:rsidRDefault="00123961">
      <w:pPr>
        <w:widowControl w:val="0"/>
        <w:tabs>
          <w:tab w:val="left" w:pos="993"/>
        </w:tabs>
        <w:spacing w:after="0"/>
        <w:ind w:firstLine="709"/>
        <w:jc w:val="both"/>
        <w:rPr>
          <w:rFonts w:ascii="Times New Roman" w:hAnsi="Times New Roman"/>
          <w:color w:val="000000" w:themeColor="text1"/>
          <w:sz w:val="26"/>
          <w:szCs w:val="26"/>
        </w:rPr>
      </w:pPr>
      <w:r>
        <w:rPr>
          <w:rFonts w:ascii="Times New Roman" w:hAnsi="Times New Roman"/>
          <w:color w:val="000000" w:themeColor="text1"/>
          <w:sz w:val="26"/>
          <w:szCs w:val="26"/>
        </w:rPr>
        <w:t>- Методика оценки и мониторинга рисков (приказ от 15.01.2024 №15);</w:t>
      </w:r>
    </w:p>
    <w:p w14:paraId="4A76700C" w14:textId="77777777" w:rsidR="002449C2" w:rsidRDefault="00123961">
      <w:pPr>
        <w:widowControl w:val="0"/>
        <w:tabs>
          <w:tab w:val="left" w:pos="993"/>
        </w:tabs>
        <w:spacing w:after="0"/>
        <w:ind w:firstLine="709"/>
        <w:jc w:val="both"/>
        <w:rPr>
          <w:rFonts w:ascii="Times New Roman" w:hAnsi="Times New Roman"/>
          <w:color w:val="000000" w:themeColor="text1"/>
          <w:sz w:val="26"/>
          <w:szCs w:val="26"/>
        </w:rPr>
      </w:pPr>
      <w:r>
        <w:rPr>
          <w:rFonts w:ascii="Times New Roman" w:hAnsi="Times New Roman"/>
          <w:color w:val="000000" w:themeColor="text1"/>
          <w:sz w:val="26"/>
          <w:szCs w:val="26"/>
        </w:rPr>
        <w:t>- Порядок определения предпочтительного риска (риск-аппетита) (приказ от 17.10.2023 №626);</w:t>
      </w:r>
    </w:p>
    <w:p w14:paraId="3CB5541A" w14:textId="77777777" w:rsidR="002449C2" w:rsidRDefault="00123961">
      <w:pPr>
        <w:widowControl w:val="0"/>
        <w:tabs>
          <w:tab w:val="left" w:pos="993"/>
        </w:tabs>
        <w:spacing w:after="0"/>
        <w:ind w:firstLine="709"/>
        <w:jc w:val="both"/>
        <w:rPr>
          <w:rFonts w:ascii="Times New Roman" w:hAnsi="Times New Roman"/>
          <w:color w:val="000000" w:themeColor="text1"/>
          <w:sz w:val="26"/>
          <w:szCs w:val="26"/>
        </w:rPr>
      </w:pPr>
      <w:r>
        <w:rPr>
          <w:rFonts w:ascii="Times New Roman" w:hAnsi="Times New Roman"/>
          <w:color w:val="000000" w:themeColor="text1"/>
          <w:sz w:val="26"/>
          <w:szCs w:val="26"/>
        </w:rPr>
        <w:t>- Глоссарий в области управления рисками и внутреннего контроля (приказ от 24.01.2023 № 40);</w:t>
      </w:r>
    </w:p>
    <w:p w14:paraId="136837D3" w14:textId="77777777" w:rsidR="002449C2" w:rsidRDefault="00123961">
      <w:pPr>
        <w:widowControl w:val="0"/>
        <w:tabs>
          <w:tab w:val="left" w:pos="993"/>
        </w:tabs>
        <w:spacing w:after="0"/>
        <w:ind w:firstLine="709"/>
        <w:jc w:val="both"/>
        <w:rPr>
          <w:rFonts w:ascii="Times New Roman" w:hAnsi="Times New Roman"/>
          <w:color w:val="000000" w:themeColor="text1"/>
          <w:sz w:val="26"/>
          <w:szCs w:val="26"/>
        </w:rPr>
      </w:pPr>
      <w:r>
        <w:rPr>
          <w:rFonts w:ascii="Times New Roman" w:hAnsi="Times New Roman"/>
          <w:color w:val="000000" w:themeColor="text1"/>
          <w:sz w:val="26"/>
          <w:szCs w:val="26"/>
        </w:rPr>
        <w:t>- Реестр рисков (решение Правления от 14.12.2023, протокол от 14.12.2023 № 535).</w:t>
      </w:r>
    </w:p>
    <w:p w14:paraId="20324CFB" w14:textId="77777777" w:rsidR="002449C2" w:rsidRDefault="00123961">
      <w:pPr>
        <w:shd w:val="clear" w:color="auto" w:fill="FFFFFF"/>
        <w:tabs>
          <w:tab w:val="left" w:pos="142"/>
        </w:tabs>
        <w:spacing w:before="120" w:after="12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Схема взаимодействия участников СУРиВК</w:t>
      </w:r>
    </w:p>
    <w:p w14:paraId="44BFFCEB" w14:textId="77777777" w:rsidR="002449C2" w:rsidRDefault="00123961">
      <w:pPr>
        <w:tabs>
          <w:tab w:val="left" w:pos="1276"/>
          <w:tab w:val="left" w:pos="9922"/>
        </w:tabs>
        <w:spacing w:after="0" w:line="240" w:lineRule="auto"/>
        <w:ind w:firstLine="709"/>
        <w:contextualSpacing/>
        <w:jc w:val="both"/>
        <w:rPr>
          <w:rFonts w:ascii="Times New Roman" w:hAnsi="Times New Roman"/>
          <w:sz w:val="26"/>
          <w:szCs w:val="26"/>
          <w:lang w:eastAsia="ru-RU"/>
        </w:rPr>
      </w:pPr>
      <w:r>
        <w:rPr>
          <w:rFonts w:ascii="Times New Roman" w:hAnsi="Times New Roman"/>
          <w:sz w:val="26"/>
          <w:szCs w:val="26"/>
          <w:lang w:eastAsia="ru-RU"/>
        </w:rPr>
        <w:t>Процесс управление рисками и внутренний контроль охватывает все направления деятельности и осуществляется на всех уровнях корпоративного управления: Советом директоров, уполномоченными комитетами Совета директоров, ревизионной комиссией Общества, исполнительными органами Общества, руководителями и работниками на всех уровнях управления Общества, департаментом внутреннего контроля и управления рисками, департаментом внутреннего аудита.</w:t>
      </w:r>
    </w:p>
    <w:p w14:paraId="1456A501" w14:textId="77777777" w:rsidR="002449C2" w:rsidRDefault="00123961">
      <w:pPr>
        <w:tabs>
          <w:tab w:val="left" w:pos="1276"/>
          <w:tab w:val="left" w:pos="9922"/>
        </w:tabs>
        <w:spacing w:after="0" w:line="240" w:lineRule="auto"/>
        <w:ind w:firstLine="709"/>
        <w:contextualSpacing/>
        <w:jc w:val="both"/>
        <w:rPr>
          <w:rFonts w:ascii="Times New Roman" w:hAnsi="Times New Roman"/>
          <w:sz w:val="26"/>
          <w:szCs w:val="26"/>
          <w:lang w:eastAsia="ru-RU"/>
        </w:rPr>
      </w:pPr>
      <w:r>
        <w:rPr>
          <w:rFonts w:ascii="Times New Roman" w:hAnsi="Times New Roman"/>
          <w:sz w:val="26"/>
          <w:szCs w:val="26"/>
          <w:lang w:eastAsia="ru-RU"/>
        </w:rPr>
        <w:t>Взаимодействие участников СУРиВК Общества отражено на схеме:</w:t>
      </w:r>
    </w:p>
    <w:p w14:paraId="5B04E4D6" w14:textId="77777777" w:rsidR="002449C2" w:rsidRDefault="00123961">
      <w:pPr>
        <w:shd w:val="clear" w:color="auto" w:fill="FFFFFF"/>
        <w:tabs>
          <w:tab w:val="left" w:pos="1276"/>
          <w:tab w:val="left" w:pos="9922"/>
        </w:tabs>
        <w:spacing w:after="0" w:line="240" w:lineRule="auto"/>
        <w:contextualSpacing/>
        <w:jc w:val="both"/>
        <w:rPr>
          <w:rFonts w:ascii="Times New Roman" w:hAnsi="Times New Roman"/>
          <w:sz w:val="26"/>
          <w:szCs w:val="26"/>
          <w:lang w:eastAsia="ru-RU"/>
        </w:rPr>
      </w:pPr>
      <w:r>
        <w:rPr>
          <w:noProof/>
          <w:lang w:eastAsia="ru-RU"/>
        </w:rPr>
        <w:drawing>
          <wp:inline distT="0" distB="0" distL="0" distR="0" wp14:anchorId="558FD902" wp14:editId="0A851771">
            <wp:extent cx="5762625" cy="3666490"/>
            <wp:effectExtent l="0" t="0" r="0" b="0"/>
            <wp:docPr id="124"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51"/>
                    <pic:cNvPicPr>
                      <a:picLocks noChangeAspect="1" noChangeArrowheads="1"/>
                    </pic:cNvPicPr>
                  </pic:nvPicPr>
                  <pic:blipFill>
                    <a:blip r:embed="rId179"/>
                    <a:srcRect b="20411"/>
                    <a:stretch>
                      <a:fillRect/>
                    </a:stretch>
                  </pic:blipFill>
                  <pic:spPr bwMode="auto">
                    <a:xfrm>
                      <a:off x="0" y="0"/>
                      <a:ext cx="5762625" cy="3666490"/>
                    </a:xfrm>
                    <a:prstGeom prst="rect">
                      <a:avLst/>
                    </a:prstGeom>
                    <a:noFill/>
                  </pic:spPr>
                </pic:pic>
              </a:graphicData>
            </a:graphic>
          </wp:inline>
        </w:drawing>
      </w:r>
    </w:p>
    <w:p w14:paraId="65CBDEE6" w14:textId="77777777" w:rsidR="002449C2" w:rsidRDefault="00123961">
      <w:pPr>
        <w:shd w:val="clear" w:color="auto" w:fill="FFFFFF"/>
        <w:tabs>
          <w:tab w:val="left" w:pos="142"/>
        </w:tabs>
        <w:spacing w:before="120" w:after="12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Информация о подразделении внутреннего контроля и управления рисками (основные функции и задачи).</w:t>
      </w:r>
    </w:p>
    <w:p w14:paraId="593312BE" w14:textId="77777777" w:rsidR="002449C2" w:rsidRDefault="00123961">
      <w:pPr>
        <w:tabs>
          <w:tab w:val="left" w:pos="1276"/>
          <w:tab w:val="left" w:pos="9922"/>
        </w:tabs>
        <w:spacing w:after="0" w:line="240" w:lineRule="auto"/>
        <w:ind w:firstLine="709"/>
        <w:contextualSpacing/>
        <w:jc w:val="both"/>
        <w:rPr>
          <w:rFonts w:ascii="Times New Roman" w:hAnsi="Times New Roman"/>
          <w:sz w:val="26"/>
          <w:szCs w:val="26"/>
          <w:lang w:eastAsia="ru-RU"/>
        </w:rPr>
      </w:pPr>
      <w:r>
        <w:rPr>
          <w:rFonts w:ascii="Times New Roman" w:hAnsi="Times New Roman"/>
          <w:sz w:val="26"/>
          <w:szCs w:val="26"/>
          <w:lang w:eastAsia="ru-RU"/>
        </w:rPr>
        <w:t xml:space="preserve">В Обществе организован Департамент внутреннего контроля и управления рисками (далее – ДВКиУР). </w:t>
      </w:r>
    </w:p>
    <w:p w14:paraId="1762E029" w14:textId="77777777" w:rsidR="002449C2" w:rsidRDefault="00123961">
      <w:pPr>
        <w:tabs>
          <w:tab w:val="left" w:pos="1276"/>
          <w:tab w:val="left" w:pos="9922"/>
        </w:tabs>
        <w:spacing w:after="0" w:line="240" w:lineRule="auto"/>
        <w:ind w:firstLine="709"/>
        <w:contextualSpacing/>
        <w:jc w:val="both"/>
        <w:rPr>
          <w:rFonts w:ascii="Times New Roman" w:hAnsi="Times New Roman"/>
          <w:sz w:val="26"/>
          <w:szCs w:val="26"/>
          <w:lang w:eastAsia="ru-RU"/>
        </w:rPr>
      </w:pPr>
      <w:r>
        <w:rPr>
          <w:rFonts w:ascii="Times New Roman" w:hAnsi="Times New Roman"/>
          <w:sz w:val="26"/>
          <w:szCs w:val="26"/>
          <w:lang w:eastAsia="ru-RU"/>
        </w:rPr>
        <w:t>Политикой управления рисками и внутреннего контроля Общества, Положением о департаменте на ДВКиУР возложены следующие функции и задачи:</w:t>
      </w:r>
    </w:p>
    <w:p w14:paraId="473E5644" w14:textId="77777777" w:rsidR="002449C2" w:rsidRDefault="00123961">
      <w:pPr>
        <w:pStyle w:val="afff6"/>
        <w:numPr>
          <w:ilvl w:val="0"/>
          <w:numId w:val="60"/>
        </w:numPr>
        <w:tabs>
          <w:tab w:val="left" w:pos="993"/>
          <w:tab w:val="left" w:pos="9922"/>
        </w:tabs>
        <w:ind w:left="0" w:firstLine="709"/>
        <w:jc w:val="both"/>
        <w:rPr>
          <w:sz w:val="26"/>
          <w:szCs w:val="26"/>
          <w:lang w:eastAsia="ru-RU"/>
        </w:rPr>
      </w:pPr>
      <w:r>
        <w:rPr>
          <w:sz w:val="26"/>
          <w:szCs w:val="26"/>
          <w:lang w:eastAsia="ru-RU"/>
        </w:rPr>
        <w:t>координация процессов управления рисками и внутреннего контроля;</w:t>
      </w:r>
    </w:p>
    <w:p w14:paraId="3D805295" w14:textId="77777777" w:rsidR="002449C2" w:rsidRDefault="00123961">
      <w:pPr>
        <w:pStyle w:val="afff6"/>
        <w:numPr>
          <w:ilvl w:val="0"/>
          <w:numId w:val="60"/>
        </w:numPr>
        <w:tabs>
          <w:tab w:val="left" w:pos="993"/>
          <w:tab w:val="left" w:pos="9922"/>
        </w:tabs>
        <w:ind w:left="0" w:firstLine="709"/>
        <w:jc w:val="both"/>
        <w:rPr>
          <w:sz w:val="26"/>
          <w:szCs w:val="26"/>
          <w:lang w:eastAsia="ru-RU"/>
        </w:rPr>
      </w:pPr>
      <w:r>
        <w:rPr>
          <w:sz w:val="26"/>
          <w:szCs w:val="26"/>
          <w:lang w:eastAsia="ru-RU"/>
        </w:rPr>
        <w:t>организация и проведение обучения работников в области управления рисками и внутреннего контроля;</w:t>
      </w:r>
    </w:p>
    <w:p w14:paraId="7EECFCD6" w14:textId="77777777" w:rsidR="002449C2" w:rsidRDefault="00123961">
      <w:pPr>
        <w:pStyle w:val="afff6"/>
        <w:numPr>
          <w:ilvl w:val="0"/>
          <w:numId w:val="60"/>
        </w:numPr>
        <w:tabs>
          <w:tab w:val="left" w:pos="993"/>
          <w:tab w:val="left" w:pos="9922"/>
        </w:tabs>
        <w:ind w:left="0" w:firstLine="709"/>
        <w:jc w:val="both"/>
        <w:rPr>
          <w:sz w:val="26"/>
          <w:szCs w:val="26"/>
          <w:lang w:eastAsia="ru-RU"/>
        </w:rPr>
      </w:pPr>
      <w:r>
        <w:rPr>
          <w:sz w:val="26"/>
          <w:szCs w:val="26"/>
          <w:lang w:eastAsia="ru-RU"/>
        </w:rPr>
        <w:t xml:space="preserve">проведение анализа портфеля рисков и выработка предложений по стратегии реагирования и перераспределение ресурсов в отношении управления рисками; </w:t>
      </w:r>
    </w:p>
    <w:p w14:paraId="64AC8E5C" w14:textId="77777777" w:rsidR="002449C2" w:rsidRDefault="00123961">
      <w:pPr>
        <w:pStyle w:val="afff6"/>
        <w:numPr>
          <w:ilvl w:val="0"/>
          <w:numId w:val="60"/>
        </w:numPr>
        <w:tabs>
          <w:tab w:val="left" w:pos="993"/>
          <w:tab w:val="left" w:pos="9922"/>
        </w:tabs>
        <w:ind w:left="0" w:firstLine="709"/>
        <w:jc w:val="both"/>
        <w:rPr>
          <w:sz w:val="26"/>
          <w:szCs w:val="26"/>
          <w:lang w:eastAsia="ru-RU"/>
        </w:rPr>
      </w:pPr>
      <w:r>
        <w:rPr>
          <w:sz w:val="26"/>
          <w:szCs w:val="26"/>
          <w:lang w:eastAsia="ru-RU"/>
        </w:rPr>
        <w:t>формирование отчетности по рискам;</w:t>
      </w:r>
    </w:p>
    <w:p w14:paraId="4ADE398F" w14:textId="77777777" w:rsidR="002449C2" w:rsidRDefault="00123961">
      <w:pPr>
        <w:pStyle w:val="afff6"/>
        <w:numPr>
          <w:ilvl w:val="0"/>
          <w:numId w:val="60"/>
        </w:numPr>
        <w:tabs>
          <w:tab w:val="left" w:pos="993"/>
          <w:tab w:val="left" w:pos="9922"/>
        </w:tabs>
        <w:ind w:left="0" w:firstLine="709"/>
        <w:jc w:val="both"/>
        <w:rPr>
          <w:sz w:val="26"/>
          <w:szCs w:val="26"/>
          <w:lang w:eastAsia="ru-RU"/>
        </w:rPr>
      </w:pPr>
      <w:r>
        <w:rPr>
          <w:sz w:val="26"/>
          <w:szCs w:val="26"/>
          <w:lang w:eastAsia="ru-RU"/>
        </w:rPr>
        <w:t>осуществление оперативного контроля за процессом управления рисками структурными подразделениями;</w:t>
      </w:r>
    </w:p>
    <w:p w14:paraId="4A53107E" w14:textId="77777777" w:rsidR="002449C2" w:rsidRDefault="00123961">
      <w:pPr>
        <w:pStyle w:val="afff6"/>
        <w:numPr>
          <w:ilvl w:val="0"/>
          <w:numId w:val="60"/>
        </w:numPr>
        <w:tabs>
          <w:tab w:val="left" w:pos="993"/>
          <w:tab w:val="left" w:pos="9922"/>
        </w:tabs>
        <w:ind w:left="0" w:firstLine="709"/>
        <w:jc w:val="both"/>
        <w:rPr>
          <w:sz w:val="26"/>
          <w:szCs w:val="26"/>
          <w:lang w:eastAsia="ru-RU"/>
        </w:rPr>
      </w:pPr>
      <w:r>
        <w:rPr>
          <w:sz w:val="26"/>
          <w:szCs w:val="26"/>
          <w:lang w:eastAsia="ru-RU"/>
        </w:rPr>
        <w:t>проведение контрольных мероприятий в области организации и функционирования СУРиВК;</w:t>
      </w:r>
    </w:p>
    <w:p w14:paraId="6FACA10A" w14:textId="77777777" w:rsidR="002449C2" w:rsidRDefault="00123961">
      <w:pPr>
        <w:pStyle w:val="afff6"/>
        <w:numPr>
          <w:ilvl w:val="0"/>
          <w:numId w:val="60"/>
        </w:numPr>
        <w:tabs>
          <w:tab w:val="left" w:pos="993"/>
          <w:tab w:val="left" w:pos="9922"/>
        </w:tabs>
        <w:ind w:left="0" w:firstLine="709"/>
        <w:jc w:val="both"/>
        <w:rPr>
          <w:sz w:val="26"/>
          <w:szCs w:val="26"/>
          <w:lang w:eastAsia="ru-RU"/>
        </w:rPr>
      </w:pPr>
      <w:r>
        <w:rPr>
          <w:sz w:val="26"/>
          <w:szCs w:val="26"/>
          <w:lang w:eastAsia="ru-RU"/>
        </w:rPr>
        <w:t>подготовка и представление исполнительным органам информации об организации, функционировании и эффективности СУРиВК, а также по иным вопросам, предусмотренным Политикой.</w:t>
      </w:r>
    </w:p>
    <w:p w14:paraId="4CAAF2B8" w14:textId="77777777" w:rsidR="002449C2" w:rsidRDefault="00123961">
      <w:pPr>
        <w:shd w:val="clear" w:color="auto" w:fill="FFFFFF"/>
        <w:tabs>
          <w:tab w:val="left" w:pos="142"/>
        </w:tabs>
        <w:spacing w:before="120" w:after="12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Информация о результатах проведенной внутренним аудитом оценки эффективности СУРиВК за отчетный год</w:t>
      </w:r>
    </w:p>
    <w:p w14:paraId="552E60DF" w14:textId="77777777" w:rsidR="002449C2" w:rsidRDefault="00123961">
      <w:pPr>
        <w:tabs>
          <w:tab w:val="left" w:pos="1276"/>
          <w:tab w:val="left" w:pos="9922"/>
        </w:tabs>
        <w:spacing w:after="0" w:line="240" w:lineRule="auto"/>
        <w:ind w:firstLine="709"/>
        <w:contextualSpacing/>
        <w:jc w:val="both"/>
        <w:rPr>
          <w:rFonts w:ascii="Times New Roman" w:hAnsi="Times New Roman"/>
          <w:sz w:val="26"/>
          <w:szCs w:val="26"/>
          <w:lang w:eastAsia="ru-RU"/>
        </w:rPr>
      </w:pPr>
      <w:r>
        <w:rPr>
          <w:rFonts w:ascii="Times New Roman" w:hAnsi="Times New Roman"/>
          <w:sz w:val="26"/>
          <w:szCs w:val="26"/>
          <w:lang w:eastAsia="ru-RU"/>
        </w:rPr>
        <w:t xml:space="preserve">Департаментом внутреннего аудита ежегодно проводится внутренняя независимая оценка надежности и эффективности СУРиВК. </w:t>
      </w:r>
    </w:p>
    <w:p w14:paraId="6F4737A8" w14:textId="77777777" w:rsidR="002449C2" w:rsidRDefault="00123961">
      <w:pPr>
        <w:pStyle w:val="afff6"/>
        <w:tabs>
          <w:tab w:val="left" w:pos="1418"/>
        </w:tabs>
        <w:ind w:left="0" w:firstLine="709"/>
        <w:jc w:val="both"/>
        <w:rPr>
          <w:sz w:val="26"/>
          <w:szCs w:val="26"/>
        </w:rPr>
      </w:pPr>
      <w:r>
        <w:rPr>
          <w:sz w:val="26"/>
          <w:szCs w:val="26"/>
        </w:rPr>
        <w:t xml:space="preserve">Результаты оценки надежности и эффективности СУРиВК и рекомендации, направленные на повышение эффективности функционирования СУРиВК, отражены в отчете внутреннего аудитора, ежегодно выносимом на рассмотрение органов управления Общества. </w:t>
      </w:r>
    </w:p>
    <w:p w14:paraId="1A2F1069" w14:textId="77777777" w:rsidR="002449C2" w:rsidRDefault="00123961">
      <w:pPr>
        <w:pStyle w:val="afff6"/>
        <w:tabs>
          <w:tab w:val="left" w:pos="1418"/>
        </w:tabs>
        <w:ind w:left="0"/>
        <w:jc w:val="both"/>
        <w:rPr>
          <w:sz w:val="26"/>
          <w:szCs w:val="26"/>
        </w:rPr>
      </w:pPr>
      <w:r>
        <w:rPr>
          <w:sz w:val="26"/>
          <w:szCs w:val="26"/>
        </w:rPr>
        <w:t xml:space="preserve">           Отчет внутреннего аудита по итогам 2023 года рассмотрен на заседании Совета директоров (протокол от 23.04.2024 №569/2024). По итогам 2023 года уровень зрелости СУРиВК оценен как «5,2» (среднее значение по всем критериям составило 334 баллов). </w:t>
      </w:r>
    </w:p>
    <w:p w14:paraId="1A9540AC" w14:textId="77777777" w:rsidR="002449C2" w:rsidRDefault="00123961">
      <w:pPr>
        <w:pStyle w:val="afff6"/>
        <w:tabs>
          <w:tab w:val="left" w:pos="1418"/>
        </w:tabs>
        <w:ind w:left="0" w:firstLine="709"/>
        <w:jc w:val="both"/>
        <w:rPr>
          <w:sz w:val="26"/>
          <w:szCs w:val="26"/>
        </w:rPr>
      </w:pPr>
      <w:r>
        <w:rPr>
          <w:sz w:val="26"/>
          <w:szCs w:val="26"/>
        </w:rPr>
        <w:t xml:space="preserve">Отчет внутреннего аудита по итогам 2024 года рассмотрен на заседании Совета директоров (протокол от ______ №____). По итогам 2024 года уровень зрелости СУРиВК оценен как «____» (среднее значение по всем критериям составило ____баллов). </w:t>
      </w:r>
    </w:p>
    <w:p w14:paraId="6ADEC69F" w14:textId="77777777" w:rsidR="002449C2" w:rsidRDefault="00123961">
      <w:pPr>
        <w:shd w:val="clear" w:color="auto" w:fill="FFFFFF"/>
        <w:tabs>
          <w:tab w:val="left" w:pos="142"/>
        </w:tabs>
        <w:spacing w:before="120" w:after="12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 xml:space="preserve">Перечень ключевых мер, направленных на совершенствование СУРиВК, реализованных в отчетном году </w:t>
      </w:r>
    </w:p>
    <w:p w14:paraId="7F76AE2E" w14:textId="77777777" w:rsidR="002449C2" w:rsidRDefault="00123961">
      <w:pPr>
        <w:tabs>
          <w:tab w:val="left" w:pos="1276"/>
          <w:tab w:val="left" w:pos="9922"/>
        </w:tabs>
        <w:spacing w:after="0" w:line="240" w:lineRule="auto"/>
        <w:ind w:firstLine="709"/>
        <w:contextualSpacing/>
        <w:jc w:val="both"/>
        <w:rPr>
          <w:rFonts w:ascii="Times New Roman" w:hAnsi="Times New Roman"/>
          <w:sz w:val="26"/>
          <w:szCs w:val="26"/>
          <w:lang w:eastAsia="ru-RU"/>
        </w:rPr>
      </w:pPr>
      <w:r>
        <w:rPr>
          <w:rFonts w:ascii="Times New Roman" w:hAnsi="Times New Roman"/>
          <w:sz w:val="26"/>
          <w:szCs w:val="26"/>
          <w:lang w:eastAsia="ru-RU"/>
        </w:rPr>
        <w:t>В 2024 году реализованы следующие ключевые мероприятия, направленные на совершенствование СУРиВК:</w:t>
      </w:r>
    </w:p>
    <w:p w14:paraId="070514A0" w14:textId="77777777" w:rsidR="002449C2" w:rsidRDefault="00123961">
      <w:pPr>
        <w:pStyle w:val="afff6"/>
        <w:tabs>
          <w:tab w:val="left" w:pos="993"/>
        </w:tabs>
        <w:ind w:left="709"/>
        <w:jc w:val="both"/>
        <w:rPr>
          <w:sz w:val="26"/>
          <w:szCs w:val="26"/>
          <w:lang w:eastAsia="ru-RU"/>
        </w:rPr>
      </w:pPr>
      <w:r>
        <w:rPr>
          <w:sz w:val="26"/>
          <w:szCs w:val="26"/>
          <w:lang w:eastAsia="ru-RU"/>
        </w:rPr>
        <w:t>1. Разработаны / актуализированы нормативно-методологические документы в области управления рисками и внутреннего контроля:</w:t>
      </w:r>
    </w:p>
    <w:p w14:paraId="68F4DF9E" w14:textId="77777777" w:rsidR="002449C2" w:rsidRDefault="00123961">
      <w:pPr>
        <w:pStyle w:val="afff6"/>
        <w:numPr>
          <w:ilvl w:val="0"/>
          <w:numId w:val="61"/>
        </w:numPr>
        <w:tabs>
          <w:tab w:val="left" w:pos="993"/>
        </w:tabs>
        <w:ind w:left="0" w:firstLine="709"/>
        <w:jc w:val="both"/>
        <w:rPr>
          <w:sz w:val="26"/>
          <w:szCs w:val="26"/>
        </w:rPr>
      </w:pPr>
      <w:r>
        <w:rPr>
          <w:sz w:val="26"/>
          <w:szCs w:val="26"/>
        </w:rPr>
        <w:t>Порядок организации управления рисками и внутреннего контроля;</w:t>
      </w:r>
    </w:p>
    <w:p w14:paraId="153391A9" w14:textId="77777777" w:rsidR="002449C2" w:rsidRDefault="00123961">
      <w:pPr>
        <w:pStyle w:val="afff6"/>
        <w:numPr>
          <w:ilvl w:val="0"/>
          <w:numId w:val="61"/>
        </w:numPr>
        <w:tabs>
          <w:tab w:val="left" w:pos="993"/>
        </w:tabs>
        <w:ind w:left="0" w:firstLine="709"/>
        <w:jc w:val="both"/>
        <w:rPr>
          <w:sz w:val="26"/>
          <w:szCs w:val="26"/>
        </w:rPr>
      </w:pPr>
      <w:r>
        <w:rPr>
          <w:sz w:val="26"/>
          <w:szCs w:val="26"/>
        </w:rPr>
        <w:t xml:space="preserve">Программа развития системы управления рисками и внутреннего контроля; </w:t>
      </w:r>
    </w:p>
    <w:p w14:paraId="7667AB07" w14:textId="77777777" w:rsidR="002449C2" w:rsidRDefault="00123961">
      <w:pPr>
        <w:pStyle w:val="afff6"/>
        <w:numPr>
          <w:ilvl w:val="0"/>
          <w:numId w:val="61"/>
        </w:numPr>
        <w:tabs>
          <w:tab w:val="left" w:pos="993"/>
        </w:tabs>
        <w:ind w:left="0" w:firstLine="709"/>
        <w:jc w:val="both"/>
        <w:rPr>
          <w:sz w:val="26"/>
          <w:szCs w:val="26"/>
        </w:rPr>
      </w:pPr>
      <w:r>
        <w:rPr>
          <w:sz w:val="26"/>
          <w:szCs w:val="26"/>
        </w:rPr>
        <w:t>Формат отчета об организации, функционировании и эффективности системы управления рисками и внутреннего контроля, формата отчета об управлении рисками;</w:t>
      </w:r>
    </w:p>
    <w:p w14:paraId="021912F3" w14:textId="77777777" w:rsidR="002449C2" w:rsidRDefault="00123961">
      <w:pPr>
        <w:pStyle w:val="afff6"/>
        <w:numPr>
          <w:ilvl w:val="0"/>
          <w:numId w:val="61"/>
        </w:numPr>
        <w:tabs>
          <w:tab w:val="left" w:pos="993"/>
        </w:tabs>
        <w:ind w:left="0" w:firstLine="709"/>
        <w:jc w:val="both"/>
        <w:rPr>
          <w:sz w:val="26"/>
          <w:szCs w:val="26"/>
        </w:rPr>
      </w:pPr>
      <w:r>
        <w:rPr>
          <w:sz w:val="26"/>
          <w:szCs w:val="26"/>
          <w:lang w:eastAsia="ru-RU"/>
        </w:rPr>
        <w:t>Методика оценки и мониторинга рисков;</w:t>
      </w:r>
    </w:p>
    <w:p w14:paraId="16F89ADE" w14:textId="77777777" w:rsidR="002449C2" w:rsidRDefault="00123961">
      <w:pPr>
        <w:pStyle w:val="afff6"/>
        <w:numPr>
          <w:ilvl w:val="0"/>
          <w:numId w:val="61"/>
        </w:numPr>
        <w:tabs>
          <w:tab w:val="left" w:pos="993"/>
        </w:tabs>
        <w:ind w:left="0" w:firstLine="709"/>
        <w:jc w:val="both"/>
        <w:rPr>
          <w:sz w:val="26"/>
          <w:szCs w:val="26"/>
        </w:rPr>
      </w:pPr>
      <w:r>
        <w:rPr>
          <w:sz w:val="26"/>
          <w:szCs w:val="26"/>
        </w:rPr>
        <w:t>Реестр рисков на 2024 год;</w:t>
      </w:r>
    </w:p>
    <w:p w14:paraId="5A59FF08" w14:textId="77777777" w:rsidR="002449C2" w:rsidRDefault="00123961">
      <w:pPr>
        <w:pStyle w:val="afff6"/>
        <w:numPr>
          <w:ilvl w:val="0"/>
          <w:numId w:val="61"/>
        </w:numPr>
        <w:tabs>
          <w:tab w:val="left" w:pos="993"/>
        </w:tabs>
        <w:ind w:left="0" w:firstLine="709"/>
        <w:jc w:val="both"/>
        <w:rPr>
          <w:sz w:val="26"/>
          <w:szCs w:val="26"/>
        </w:rPr>
      </w:pPr>
      <w:r>
        <w:rPr>
          <w:sz w:val="26"/>
          <w:szCs w:val="26"/>
          <w:lang w:eastAsia="ru-RU"/>
        </w:rPr>
        <w:t>Документы процессного управления, матрицы рисков и контрольных процедур.</w:t>
      </w:r>
    </w:p>
    <w:p w14:paraId="4999B238" w14:textId="77777777" w:rsidR="002449C2" w:rsidRDefault="00123961">
      <w:pPr>
        <w:pStyle w:val="afff6"/>
        <w:tabs>
          <w:tab w:val="left" w:pos="993"/>
        </w:tabs>
        <w:ind w:left="0" w:firstLine="709"/>
        <w:jc w:val="both"/>
        <w:rPr>
          <w:sz w:val="26"/>
          <w:szCs w:val="26"/>
        </w:rPr>
      </w:pPr>
      <w:r>
        <w:rPr>
          <w:sz w:val="26"/>
          <w:szCs w:val="26"/>
        </w:rPr>
        <w:t xml:space="preserve">2. Осуществлялся ежемесячный контроль финансовой устойчивости, сопровождения процедур ликвидации и банкротства контрагентов. </w:t>
      </w:r>
    </w:p>
    <w:p w14:paraId="2856DFCB" w14:textId="77777777" w:rsidR="002449C2" w:rsidRDefault="00123961">
      <w:pPr>
        <w:pStyle w:val="afff6"/>
        <w:tabs>
          <w:tab w:val="left" w:pos="993"/>
        </w:tabs>
        <w:ind w:left="0" w:firstLine="709"/>
        <w:jc w:val="both"/>
        <w:rPr>
          <w:rFonts w:eastAsiaTheme="minorHAnsi"/>
          <w:sz w:val="26"/>
          <w:szCs w:val="26"/>
        </w:rPr>
      </w:pPr>
      <w:r>
        <w:rPr>
          <w:sz w:val="26"/>
          <w:szCs w:val="26"/>
        </w:rPr>
        <w:t xml:space="preserve">3. </w:t>
      </w:r>
      <w:r>
        <w:rPr>
          <w:rFonts w:eastAsiaTheme="minorHAnsi"/>
          <w:sz w:val="26"/>
          <w:szCs w:val="26"/>
        </w:rPr>
        <w:t xml:space="preserve">Организовано обучение работников Общества по вопросам построения СУРиВК.  </w:t>
      </w:r>
    </w:p>
    <w:p w14:paraId="27D4333B" w14:textId="77777777" w:rsidR="002449C2" w:rsidRDefault="00123961">
      <w:pPr>
        <w:shd w:val="clear" w:color="auto" w:fill="FFFFFF"/>
        <w:tabs>
          <w:tab w:val="left" w:pos="142"/>
        </w:tabs>
        <w:spacing w:before="120" w:after="120" w:line="240" w:lineRule="auto"/>
        <w:ind w:firstLine="567"/>
        <w:jc w:val="center"/>
        <w:rPr>
          <w:rFonts w:ascii="Times New Roman" w:eastAsia="Times New Roman" w:hAnsi="Times New Roman"/>
          <w:b/>
          <w:color w:val="1D1B11"/>
          <w:sz w:val="26"/>
          <w:szCs w:val="26"/>
          <w:lang w:eastAsia="ru-RU"/>
        </w:rPr>
      </w:pPr>
      <w:r>
        <w:rPr>
          <w:rFonts w:ascii="Times New Roman" w:eastAsia="Times New Roman" w:hAnsi="Times New Roman"/>
          <w:b/>
          <w:color w:val="1D1B11"/>
          <w:sz w:val="26"/>
          <w:szCs w:val="26"/>
          <w:lang w:eastAsia="ru-RU"/>
        </w:rPr>
        <w:t>Основные направления совершенствования СУРиВК на следующий год</w:t>
      </w:r>
    </w:p>
    <w:p w14:paraId="12BE3906" w14:textId="77777777" w:rsidR="002449C2" w:rsidRDefault="00123961">
      <w:pPr>
        <w:numPr>
          <w:ilvl w:val="0"/>
          <w:numId w:val="61"/>
        </w:numPr>
        <w:tabs>
          <w:tab w:val="left" w:pos="993"/>
        </w:tabs>
        <w:spacing w:after="0" w:line="240" w:lineRule="auto"/>
        <w:ind w:left="0" w:firstLine="709"/>
        <w:contextualSpacing/>
        <w:jc w:val="both"/>
        <w:rPr>
          <w:rFonts w:ascii="Times New Roman" w:hAnsi="Times New Roman"/>
          <w:sz w:val="26"/>
          <w:szCs w:val="26"/>
        </w:rPr>
      </w:pPr>
      <w:r>
        <w:rPr>
          <w:rFonts w:ascii="Times New Roman" w:hAnsi="Times New Roman"/>
          <w:sz w:val="26"/>
          <w:szCs w:val="26"/>
        </w:rPr>
        <w:t>декомпозиция и взаимоувязка рисков корпоративного уровня с рисками бизнес-процессов;</w:t>
      </w:r>
    </w:p>
    <w:p w14:paraId="269E65CF" w14:textId="77777777" w:rsidR="002449C2" w:rsidRDefault="00123961">
      <w:pPr>
        <w:pStyle w:val="afff6"/>
        <w:numPr>
          <w:ilvl w:val="0"/>
          <w:numId w:val="61"/>
        </w:numPr>
        <w:tabs>
          <w:tab w:val="left" w:pos="993"/>
        </w:tabs>
        <w:ind w:left="0" w:firstLine="709"/>
        <w:jc w:val="both"/>
        <w:rPr>
          <w:sz w:val="26"/>
          <w:szCs w:val="26"/>
        </w:rPr>
      </w:pPr>
      <w:r>
        <w:rPr>
          <w:sz w:val="26"/>
          <w:szCs w:val="26"/>
        </w:rPr>
        <w:t>актуализация Методики оценки и мониторинга рисков;</w:t>
      </w:r>
    </w:p>
    <w:p w14:paraId="25B48CBE" w14:textId="77777777" w:rsidR="002449C2" w:rsidRDefault="00123961">
      <w:pPr>
        <w:pStyle w:val="afff6"/>
        <w:numPr>
          <w:ilvl w:val="0"/>
          <w:numId w:val="61"/>
        </w:numPr>
        <w:tabs>
          <w:tab w:val="left" w:pos="993"/>
        </w:tabs>
        <w:ind w:left="0" w:firstLine="709"/>
        <w:jc w:val="both"/>
        <w:rPr>
          <w:sz w:val="26"/>
          <w:szCs w:val="26"/>
        </w:rPr>
      </w:pPr>
      <w:r>
        <w:rPr>
          <w:sz w:val="26"/>
          <w:szCs w:val="26"/>
        </w:rPr>
        <w:t>участие в обучающих мероприятиях для работников компаний группы «Россети» по вопросам организации и функционирования СУРиВК;</w:t>
      </w:r>
    </w:p>
    <w:p w14:paraId="1A8826FF" w14:textId="77777777" w:rsidR="002449C2" w:rsidRDefault="00123961">
      <w:pPr>
        <w:pStyle w:val="afff6"/>
        <w:numPr>
          <w:ilvl w:val="0"/>
          <w:numId w:val="61"/>
        </w:numPr>
        <w:tabs>
          <w:tab w:val="left" w:pos="993"/>
        </w:tabs>
        <w:ind w:left="0" w:firstLine="709"/>
        <w:jc w:val="both"/>
        <w:rPr>
          <w:sz w:val="26"/>
          <w:szCs w:val="26"/>
        </w:rPr>
      </w:pPr>
      <w:r>
        <w:rPr>
          <w:sz w:val="26"/>
          <w:szCs w:val="26"/>
        </w:rPr>
        <w:t>участие в проведении внутренних аудитов, ревизионных проверок ДО и УЦ, проверок финансово-хозяйственной деятельности ДО, служебных проверок;</w:t>
      </w:r>
    </w:p>
    <w:p w14:paraId="744CD389" w14:textId="77777777" w:rsidR="002449C2" w:rsidRDefault="00123961">
      <w:pPr>
        <w:pStyle w:val="afff6"/>
        <w:numPr>
          <w:ilvl w:val="0"/>
          <w:numId w:val="61"/>
        </w:numPr>
        <w:tabs>
          <w:tab w:val="left" w:pos="993"/>
        </w:tabs>
        <w:ind w:left="0" w:firstLine="709"/>
        <w:jc w:val="both"/>
        <w:rPr>
          <w:sz w:val="26"/>
          <w:szCs w:val="26"/>
        </w:rPr>
      </w:pPr>
      <w:r>
        <w:rPr>
          <w:sz w:val="26"/>
          <w:szCs w:val="26"/>
        </w:rPr>
        <w:t>участие в управлении рисками в процедурах ликвидации и банкротства;</w:t>
      </w:r>
    </w:p>
    <w:p w14:paraId="425C12E0" w14:textId="77777777" w:rsidR="002449C2" w:rsidRDefault="00123961">
      <w:pPr>
        <w:pStyle w:val="afff6"/>
        <w:numPr>
          <w:ilvl w:val="0"/>
          <w:numId w:val="61"/>
        </w:numPr>
        <w:tabs>
          <w:tab w:val="left" w:pos="993"/>
        </w:tabs>
        <w:ind w:left="0" w:firstLine="709"/>
        <w:jc w:val="both"/>
        <w:rPr>
          <w:sz w:val="26"/>
          <w:szCs w:val="26"/>
        </w:rPr>
      </w:pPr>
      <w:r>
        <w:rPr>
          <w:sz w:val="26"/>
          <w:szCs w:val="26"/>
        </w:rPr>
        <w:t>прохождение обучения по квалификациям на основе профессионального стандарта «Специалист по внутреннему контролю (внутренний контролёр)».</w:t>
      </w:r>
    </w:p>
    <w:p w14:paraId="614CE8A0" w14:textId="77777777" w:rsidR="002449C2" w:rsidRDefault="002449C2">
      <w:pPr>
        <w:shd w:val="clear" w:color="auto" w:fill="FFFFFF"/>
        <w:spacing w:after="0" w:line="240" w:lineRule="auto"/>
        <w:rPr>
          <w:rFonts w:ascii="Times New Roman" w:hAnsi="Times New Roman"/>
          <w:sz w:val="26"/>
          <w:szCs w:val="26"/>
        </w:rPr>
      </w:pPr>
    </w:p>
    <w:p w14:paraId="5E852661" w14:textId="77777777" w:rsidR="002449C2" w:rsidRDefault="00123961">
      <w:pPr>
        <w:shd w:val="clear" w:color="auto" w:fill="FFFFFF"/>
        <w:tabs>
          <w:tab w:val="left" w:pos="993"/>
        </w:tabs>
        <w:spacing w:after="0" w:line="240" w:lineRule="auto"/>
        <w:ind w:firstLine="992"/>
        <w:contextualSpacing/>
        <w:jc w:val="both"/>
        <w:rPr>
          <w:rFonts w:ascii="Times New Roman" w:hAnsi="Times New Roman"/>
          <w:sz w:val="26"/>
          <w:szCs w:val="26"/>
          <w:lang w:eastAsia="en-US"/>
        </w:rPr>
      </w:pPr>
      <w:r>
        <w:rPr>
          <w:rFonts w:ascii="Times New Roman" w:hAnsi="Times New Roman"/>
          <w:sz w:val="26"/>
          <w:szCs w:val="26"/>
          <w:lang w:eastAsia="en-US"/>
        </w:rPr>
        <w:t>Перечень основных производственных и финансовых показателей, включаемых в Годовой отчет по итогам 2024 года, содержится в Приложении №7.</w:t>
      </w:r>
    </w:p>
    <w:p w14:paraId="351E326D" w14:textId="77777777" w:rsidR="002449C2" w:rsidRDefault="002449C2">
      <w:pPr>
        <w:shd w:val="clear" w:color="auto" w:fill="FFFFFF"/>
        <w:spacing w:line="240" w:lineRule="auto"/>
        <w:rPr>
          <w:rFonts w:ascii="Times New Roman" w:hAnsi="Times New Roman"/>
          <w:sz w:val="26"/>
          <w:szCs w:val="26"/>
        </w:rPr>
      </w:pPr>
    </w:p>
    <w:p w14:paraId="62815B9C" w14:textId="77777777" w:rsidR="002449C2" w:rsidRDefault="00123961">
      <w:pPr>
        <w:keepNext/>
        <w:keepLines/>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237" w:name="_Toc195174983"/>
      <w:bookmarkStart w:id="238" w:name="_Toc196143076"/>
      <w:r>
        <w:rPr>
          <w:rFonts w:ascii="Times New Roman" w:eastAsia="Times New Roman" w:hAnsi="Times New Roman"/>
          <w:color w:val="385623"/>
          <w:sz w:val="28"/>
          <w:szCs w:val="28"/>
          <w:lang w:eastAsia="en-US" w:bidi="en-US"/>
        </w:rPr>
        <w:t>Внутренний аудит</w:t>
      </w:r>
      <w:bookmarkEnd w:id="237"/>
      <w:bookmarkEnd w:id="238"/>
      <w:r>
        <w:rPr>
          <w:rFonts w:ascii="Times New Roman" w:eastAsia="Times New Roman" w:hAnsi="Times New Roman"/>
          <w:color w:val="385623"/>
          <w:sz w:val="28"/>
          <w:szCs w:val="28"/>
          <w:lang w:eastAsia="en-US" w:bidi="en-US"/>
        </w:rPr>
        <w:t xml:space="preserve"> </w:t>
      </w:r>
    </w:p>
    <w:p w14:paraId="17A44B9D" w14:textId="77777777" w:rsidR="002449C2" w:rsidRDefault="00123961">
      <w:pPr>
        <w:spacing w:after="0" w:line="240" w:lineRule="auto"/>
        <w:ind w:firstLine="567"/>
        <w:jc w:val="both"/>
        <w:rPr>
          <w:rFonts w:ascii="Times New Roman" w:hAnsi="Times New Roman"/>
          <w:sz w:val="26"/>
          <w:szCs w:val="26"/>
          <w:highlight w:val="white"/>
        </w:rPr>
      </w:pPr>
      <w:r>
        <w:rPr>
          <w:rFonts w:ascii="Times New Roman" w:eastAsia="Times New Roman" w:hAnsi="Times New Roman"/>
          <w:bCs/>
          <w:sz w:val="26"/>
          <w:szCs w:val="26"/>
          <w:highlight w:val="white"/>
        </w:rPr>
        <w:t xml:space="preserve">Формой </w:t>
      </w:r>
      <w:r>
        <w:rPr>
          <w:rFonts w:ascii="Times New Roman" w:hAnsi="Times New Roman"/>
          <w:sz w:val="26"/>
          <w:szCs w:val="26"/>
          <w:highlight w:val="white"/>
        </w:rPr>
        <w:t>реализации функции внутреннего аудита в Обществе является создание подразделения внутреннего аудита (отдельного структурного подразделения) или привлечение независимой внешней организации (аутсорсинг). Решение о наиболее оптимальной форме реализации функции внутреннего аудита принимает Совет директоров Общества.</w:t>
      </w:r>
    </w:p>
    <w:p w14:paraId="14F574A5" w14:textId="77777777" w:rsidR="002449C2" w:rsidRDefault="00123961">
      <w:pPr>
        <w:spacing w:after="0" w:line="240" w:lineRule="auto"/>
        <w:ind w:firstLine="567"/>
        <w:jc w:val="both"/>
        <w:rPr>
          <w:rFonts w:ascii="Times New Roman" w:hAnsi="Times New Roman"/>
          <w:sz w:val="26"/>
          <w:szCs w:val="26"/>
          <w:highlight w:val="white"/>
        </w:rPr>
      </w:pPr>
      <w:r>
        <w:rPr>
          <w:rFonts w:ascii="Times New Roman" w:hAnsi="Times New Roman"/>
          <w:sz w:val="26"/>
          <w:szCs w:val="26"/>
          <w:highlight w:val="white"/>
        </w:rPr>
        <w:t>П</w:t>
      </w:r>
      <w:r>
        <w:rPr>
          <w:rFonts w:ascii="Times New Roman" w:eastAsia="Times New Roman" w:hAnsi="Times New Roman"/>
          <w:color w:val="000000"/>
          <w:sz w:val="26"/>
          <w:szCs w:val="26"/>
          <w:highlight w:val="white"/>
        </w:rPr>
        <w:t xml:space="preserve">одразделением, отвечающим за реализацию функции внутреннего аудита в Обществе, является Департамент внутреннего аудита. </w:t>
      </w:r>
    </w:p>
    <w:p w14:paraId="278890AB" w14:textId="77777777" w:rsidR="002449C2" w:rsidRDefault="00123961">
      <w:pPr>
        <w:spacing w:after="0" w:line="240" w:lineRule="auto"/>
        <w:ind w:firstLine="567"/>
        <w:jc w:val="both"/>
        <w:rPr>
          <w:rFonts w:ascii="Times New Roman" w:eastAsia="Times New Roman" w:hAnsi="Times New Roman"/>
          <w:color w:val="000000"/>
          <w:sz w:val="26"/>
          <w:szCs w:val="26"/>
          <w:highlight w:val="yellow"/>
        </w:rPr>
      </w:pPr>
      <w:r>
        <w:rPr>
          <w:rFonts w:ascii="Times New Roman" w:eastAsia="Times New Roman" w:hAnsi="Times New Roman"/>
          <w:color w:val="000000"/>
          <w:sz w:val="26"/>
          <w:szCs w:val="26"/>
          <w:highlight w:val="white"/>
        </w:rPr>
        <w:t>Внутренний аудит функционально подотчетен Совету директоров Общества, что означает осуществление Советом директоров контроля и организации деятельности внутреннего аудита, в том числе одобрение положения о внутреннем аудите, согласование и утверждение плана деятельности внутреннего аудита, отчета о выполнении плана деятельности внутреннего аудита и бюджета подразделения внутреннего аудита, предварительное одобрение решения единоличного исполнительного органа о назначении, освобождении от должности руководителя внутреннего аудита, а также утверждение условий трудового договора и вознаграждения руководителя внутреннего аудита, рассмотрение результатов оценки качества функций подразделения внутреннего аудита.</w:t>
      </w:r>
    </w:p>
    <w:p w14:paraId="3D22C8D6" w14:textId="77777777" w:rsidR="002449C2" w:rsidRDefault="00123961">
      <w:pPr>
        <w:spacing w:after="0" w:line="240" w:lineRule="auto"/>
        <w:ind w:firstLine="567"/>
        <w:jc w:val="both"/>
        <w:rPr>
          <w:rFonts w:ascii="Times New Roman" w:eastAsia="Times New Roman" w:hAnsi="Times New Roman"/>
          <w:color w:val="000000"/>
          <w:sz w:val="26"/>
          <w:szCs w:val="26"/>
          <w:highlight w:val="white"/>
        </w:rPr>
      </w:pPr>
      <w:r>
        <w:rPr>
          <w:rFonts w:ascii="Times New Roman" w:eastAsia="Times New Roman" w:hAnsi="Times New Roman"/>
          <w:color w:val="000000"/>
          <w:sz w:val="26"/>
          <w:szCs w:val="26"/>
          <w:highlight w:val="white"/>
        </w:rPr>
        <w:t>Целью внутреннего аудита является содействие Совету директоров и исполнительным органам Общества в повышении эффективности управления Обществом, совершенствовании его финансово-хозяйственной деятельности, в том числе путем системного и последовательного подхода к анализу и оценке систем управления рисками, внутреннего контроля и корпоративного управления как инструментов обеспечения разумной уверенности в достижении поставленных перед Обществом целей.</w:t>
      </w:r>
    </w:p>
    <w:p w14:paraId="7A7F95FA" w14:textId="77777777" w:rsidR="002449C2" w:rsidRDefault="00123961">
      <w:pPr>
        <w:spacing w:after="0" w:line="240" w:lineRule="auto"/>
        <w:ind w:firstLine="567"/>
        <w:jc w:val="both"/>
        <w:rPr>
          <w:rFonts w:ascii="Times New Roman" w:eastAsia="Times New Roman" w:hAnsi="Times New Roman"/>
          <w:color w:val="000000"/>
          <w:sz w:val="26"/>
          <w:szCs w:val="26"/>
          <w:highlight w:val="white"/>
        </w:rPr>
      </w:pPr>
      <w:r>
        <w:rPr>
          <w:rFonts w:ascii="Times New Roman" w:eastAsia="Times New Roman" w:hAnsi="Times New Roman"/>
          <w:color w:val="000000"/>
          <w:sz w:val="26"/>
          <w:szCs w:val="26"/>
          <w:highlight w:val="white"/>
        </w:rPr>
        <w:t xml:space="preserve">Цели и задачи, основные принципы организации, функции и полномочия внутреннего аудита определены в Политике внутреннего аудита Общества (новая редакция), утвержденной решением Совета директоров (протокол от 09.06.2023 № 526/2023). </w:t>
      </w:r>
    </w:p>
    <w:p w14:paraId="0BA988AA" w14:textId="77777777" w:rsidR="002449C2" w:rsidRDefault="00123961">
      <w:pPr>
        <w:spacing w:after="0" w:line="240" w:lineRule="auto"/>
        <w:ind w:firstLine="567"/>
        <w:jc w:val="both"/>
        <w:rPr>
          <w:rFonts w:ascii="Times New Roman" w:eastAsia="Times New Roman" w:hAnsi="Times New Roman"/>
          <w:color w:val="000000"/>
          <w:sz w:val="26"/>
          <w:szCs w:val="26"/>
          <w:highlight w:val="yellow"/>
        </w:rPr>
      </w:pPr>
      <w:r>
        <w:rPr>
          <w:rFonts w:ascii="Times New Roman" w:eastAsia="Times New Roman" w:hAnsi="Times New Roman"/>
          <w:color w:val="000000"/>
          <w:sz w:val="26"/>
          <w:szCs w:val="26"/>
          <w:highlight w:val="white"/>
        </w:rPr>
        <w:t>В 2024 году численность работников, выполняющих функцию внутреннего аудита, составляла 6 человек.</w:t>
      </w:r>
    </w:p>
    <w:p w14:paraId="01ECAA84" w14:textId="77777777" w:rsidR="002449C2" w:rsidRDefault="00123961">
      <w:pPr>
        <w:tabs>
          <w:tab w:val="left" w:pos="426"/>
          <w:tab w:val="left" w:pos="1276"/>
        </w:tabs>
        <w:spacing w:after="0" w:line="240" w:lineRule="auto"/>
        <w:ind w:firstLine="567"/>
        <w:jc w:val="both"/>
        <w:rPr>
          <w:rFonts w:ascii="Times New Roman" w:eastAsia="Times New Roman" w:hAnsi="Times New Roman"/>
          <w:color w:val="000000"/>
          <w:sz w:val="26"/>
          <w:szCs w:val="26"/>
          <w:highlight w:val="white"/>
        </w:rPr>
      </w:pPr>
      <w:r>
        <w:rPr>
          <w:rFonts w:ascii="Times New Roman" w:eastAsia="Times New Roman" w:hAnsi="Times New Roman"/>
          <w:color w:val="000000"/>
          <w:sz w:val="26"/>
          <w:szCs w:val="26"/>
          <w:highlight w:val="white"/>
        </w:rPr>
        <w:t xml:space="preserve">В Обществе утверждены следующие основные документы, регламентирующие функцию внутреннего аудита: </w:t>
      </w:r>
    </w:p>
    <w:p w14:paraId="6F564BBD" w14:textId="77777777" w:rsidR="002449C2" w:rsidRDefault="00123961">
      <w:pPr>
        <w:tabs>
          <w:tab w:val="left" w:pos="426"/>
          <w:tab w:val="left" w:pos="1276"/>
        </w:tabs>
        <w:spacing w:after="0" w:line="240" w:lineRule="auto"/>
        <w:ind w:firstLine="567"/>
        <w:jc w:val="both"/>
        <w:rPr>
          <w:rFonts w:ascii="Times New Roman" w:eastAsia="Times New Roman" w:hAnsi="Times New Roman"/>
          <w:color w:val="000000"/>
          <w:sz w:val="26"/>
          <w:szCs w:val="26"/>
          <w:highlight w:val="white"/>
        </w:rPr>
      </w:pPr>
      <w:r>
        <w:rPr>
          <w:rFonts w:ascii="Times New Roman" w:eastAsia="Times New Roman" w:hAnsi="Times New Roman"/>
          <w:color w:val="000000"/>
          <w:sz w:val="26"/>
          <w:szCs w:val="26"/>
          <w:highlight w:val="white"/>
        </w:rPr>
        <w:t>- Политика внутреннего аудита Общества и Кодекс этики внутренних аудиторов, утв</w:t>
      </w:r>
      <w:r>
        <w:rPr>
          <w:rFonts w:ascii="Times New Roman" w:eastAsia="Times New Roman" w:hAnsi="Times New Roman"/>
          <w:color w:val="000000"/>
          <w:sz w:val="26"/>
          <w:szCs w:val="26"/>
        </w:rPr>
        <w:t>ержденные решением Совета директоров 08.06.2023 (про</w:t>
      </w:r>
      <w:r>
        <w:rPr>
          <w:rFonts w:ascii="Times New Roman" w:eastAsia="Times New Roman" w:hAnsi="Times New Roman"/>
          <w:color w:val="000000"/>
          <w:sz w:val="26"/>
          <w:szCs w:val="26"/>
          <w:highlight w:val="white"/>
        </w:rPr>
        <w:t>токол 09.06.2023 №526/2023).</w:t>
      </w:r>
    </w:p>
    <w:p w14:paraId="5CA47DEF" w14:textId="77777777" w:rsidR="002449C2" w:rsidRDefault="00123961">
      <w:pPr>
        <w:tabs>
          <w:tab w:val="left" w:pos="426"/>
          <w:tab w:val="left" w:pos="1276"/>
        </w:tabs>
        <w:spacing w:after="0" w:line="240" w:lineRule="auto"/>
        <w:ind w:firstLine="567"/>
        <w:jc w:val="both"/>
        <w:rPr>
          <w:rFonts w:ascii="Times New Roman" w:eastAsia="Times New Roman" w:hAnsi="Times New Roman"/>
          <w:color w:val="000000"/>
          <w:sz w:val="26"/>
          <w:szCs w:val="26"/>
        </w:rPr>
      </w:pPr>
      <w:r>
        <w:rPr>
          <w:rFonts w:ascii="Times New Roman" w:eastAsia="Times New Roman" w:hAnsi="Times New Roman"/>
          <w:color w:val="000000"/>
          <w:sz w:val="26"/>
          <w:szCs w:val="26"/>
          <w:highlight w:val="white"/>
        </w:rPr>
        <w:t>- Положение о Департаменте внутреннего аудита, согласованное решением Комитета по аудиту Совета директоров Общества 28.02.2024 (протокол от 28.02.2024 №169), одобренное решением Совета директоров Общества 07.03.2024 (протокол от 07.03.2024 №564/2024</w:t>
      </w:r>
      <w:r>
        <w:rPr>
          <w:rFonts w:ascii="Times New Roman" w:eastAsia="Times New Roman" w:hAnsi="Times New Roman"/>
          <w:color w:val="000000"/>
          <w:sz w:val="26"/>
          <w:szCs w:val="26"/>
        </w:rPr>
        <w:t>) и утвержденное Генеральным директором Общества 18.03.2024.</w:t>
      </w:r>
    </w:p>
    <w:p w14:paraId="2D80165D" w14:textId="77777777" w:rsidR="002449C2" w:rsidRDefault="00123961">
      <w:pPr>
        <w:tabs>
          <w:tab w:val="left" w:pos="426"/>
          <w:tab w:val="left" w:pos="1276"/>
        </w:tabs>
        <w:spacing w:after="0" w:line="240" w:lineRule="auto"/>
        <w:ind w:firstLine="567"/>
        <w:jc w:val="both"/>
        <w:rPr>
          <w:rFonts w:ascii="Times New Roman" w:eastAsia="Times New Roman" w:hAnsi="Times New Roman"/>
          <w:color w:val="000000"/>
          <w:sz w:val="26"/>
          <w:szCs w:val="26"/>
          <w:highlight w:val="yellow"/>
        </w:rPr>
      </w:pPr>
      <w:r>
        <w:rPr>
          <w:rFonts w:ascii="Times New Roman" w:eastAsia="Times New Roman" w:hAnsi="Times New Roman"/>
          <w:color w:val="000000"/>
          <w:sz w:val="26"/>
          <w:szCs w:val="26"/>
          <w:highlight w:val="white"/>
        </w:rPr>
        <w:t>- Программа гарантии и повышения качества внутреннего аудита, утверждена решением Совета директоров 28.02.2022 (протокол от 03.03.2022 №468/2022).</w:t>
      </w:r>
    </w:p>
    <w:p w14:paraId="25E6ADC7" w14:textId="77777777" w:rsidR="002449C2" w:rsidRDefault="00123961">
      <w:pPr>
        <w:tabs>
          <w:tab w:val="left" w:pos="426"/>
          <w:tab w:val="left" w:pos="1276"/>
        </w:tabs>
        <w:spacing w:after="0" w:line="240" w:lineRule="auto"/>
        <w:ind w:firstLine="567"/>
        <w:jc w:val="both"/>
        <w:rPr>
          <w:rFonts w:ascii="Times New Roman" w:eastAsia="Times New Roman" w:hAnsi="Times New Roman"/>
          <w:color w:val="000000"/>
          <w:sz w:val="26"/>
          <w:szCs w:val="26"/>
          <w:highlight w:val="white"/>
        </w:rPr>
      </w:pPr>
      <w:r>
        <w:rPr>
          <w:rFonts w:ascii="Times New Roman" w:eastAsia="Times New Roman" w:hAnsi="Times New Roman"/>
          <w:color w:val="000000"/>
          <w:sz w:val="26"/>
          <w:szCs w:val="26"/>
          <w:highlight w:val="white"/>
        </w:rPr>
        <w:t>- Внутренние стандарты деятельности внутреннего аудита и стандарты практического применения, разработанные в соответствии с Международными профессиональными стандартами внутреннего аудита</w:t>
      </w:r>
      <w:r w:rsidR="00576ED0">
        <w:rPr>
          <w:rStyle w:val="af"/>
          <w:rFonts w:ascii="Times New Roman" w:eastAsia="Times New Roman" w:hAnsi="Times New Roman"/>
          <w:color w:val="000000"/>
          <w:sz w:val="26"/>
          <w:szCs w:val="26"/>
          <w:highlight w:val="white"/>
        </w:rPr>
        <w:footnoteReference w:id="30"/>
      </w:r>
      <w:r>
        <w:rPr>
          <w:rFonts w:ascii="Times New Roman" w:eastAsia="Times New Roman" w:hAnsi="Times New Roman"/>
          <w:color w:val="000000"/>
          <w:sz w:val="26"/>
          <w:szCs w:val="26"/>
          <w:highlight w:val="white"/>
        </w:rPr>
        <w:t>.</w:t>
      </w:r>
    </w:p>
    <w:p w14:paraId="1DA5636B" w14:textId="77777777" w:rsidR="002449C2" w:rsidRDefault="00123961">
      <w:pPr>
        <w:tabs>
          <w:tab w:val="left" w:pos="426"/>
          <w:tab w:val="left" w:pos="1276"/>
        </w:tabs>
        <w:spacing w:after="0" w:line="240" w:lineRule="auto"/>
        <w:ind w:firstLine="567"/>
        <w:jc w:val="both"/>
        <w:rPr>
          <w:rFonts w:ascii="Times New Roman" w:eastAsia="Times New Roman" w:hAnsi="Times New Roman"/>
          <w:color w:val="000000"/>
          <w:sz w:val="26"/>
          <w:szCs w:val="26"/>
          <w:highlight w:val="yellow"/>
        </w:rPr>
      </w:pPr>
      <w:r>
        <w:rPr>
          <w:rFonts w:ascii="Times New Roman" w:eastAsia="Times New Roman" w:hAnsi="Times New Roman"/>
          <w:sz w:val="26"/>
          <w:szCs w:val="26"/>
          <w:highlight w:val="white"/>
        </w:rPr>
        <w:t xml:space="preserve">Получение обратной связи от Комитета по аудиту осуществляется руководителем внутреннего аудита в различных формах в ходе взаимодействия с Комитетом по аудиту, включая анализ решений/рекомендаций Комитета по аудиту по вопросам, относящимся к компетенции внутреннего аудита, а также посредством анкетирования членов Комитета по аудиту. </w:t>
      </w:r>
    </w:p>
    <w:p w14:paraId="6CE3B538" w14:textId="5FD55403" w:rsidR="002449C2" w:rsidRDefault="00123961">
      <w:pPr>
        <w:tabs>
          <w:tab w:val="left" w:pos="426"/>
        </w:tabs>
        <w:spacing w:after="0" w:line="240" w:lineRule="auto"/>
        <w:ind w:firstLine="567"/>
        <w:jc w:val="both"/>
        <w:rPr>
          <w:rFonts w:ascii="Times New Roman" w:hAnsi="Times New Roman"/>
          <w:sz w:val="26"/>
          <w:szCs w:val="26"/>
        </w:rPr>
      </w:pPr>
      <w:r>
        <w:rPr>
          <w:rFonts w:ascii="Times New Roman" w:eastAsia="Times New Roman" w:hAnsi="Times New Roman"/>
          <w:sz w:val="26"/>
          <w:szCs w:val="26"/>
          <w:highlight w:val="white"/>
        </w:rPr>
        <w:t xml:space="preserve">Показатель удовлетворенности Комитета по аудиту Совета директоров Общества результатами работы </w:t>
      </w:r>
      <w:r w:rsidR="00167DBF">
        <w:rPr>
          <w:rFonts w:ascii="Times New Roman" w:eastAsia="Times New Roman" w:hAnsi="Times New Roman"/>
          <w:sz w:val="26"/>
          <w:szCs w:val="26"/>
          <w:highlight w:val="white"/>
        </w:rPr>
        <w:t xml:space="preserve">Департамента </w:t>
      </w:r>
      <w:r>
        <w:rPr>
          <w:rFonts w:ascii="Times New Roman" w:eastAsia="Times New Roman" w:hAnsi="Times New Roman"/>
          <w:sz w:val="26"/>
          <w:szCs w:val="26"/>
          <w:highlight w:val="white"/>
        </w:rPr>
        <w:t xml:space="preserve">внутреннего аудита (средневзвешенная сумма баллов по анкетам проголосовавших членов Комитета по аудиту к количеству проголосовавших членов Комитета) по итогам 2024 года соответствует оценке «полностью соответствует» согласно </w:t>
      </w:r>
      <w:r>
        <w:rPr>
          <w:rFonts w:ascii="Times New Roman" w:hAnsi="Times New Roman"/>
          <w:sz w:val="26"/>
          <w:szCs w:val="26"/>
          <w:highlight w:val="white"/>
        </w:rPr>
        <w:t xml:space="preserve">Программе </w:t>
      </w:r>
      <w:r>
        <w:rPr>
          <w:rFonts w:ascii="Times New Roman" w:eastAsia="Times New Roman" w:hAnsi="Times New Roman"/>
          <w:sz w:val="26"/>
          <w:szCs w:val="26"/>
          <w:highlight w:val="white"/>
        </w:rPr>
        <w:t>гарантии</w:t>
      </w:r>
      <w:r>
        <w:rPr>
          <w:rFonts w:ascii="Times New Roman" w:hAnsi="Times New Roman"/>
          <w:sz w:val="26"/>
          <w:szCs w:val="26"/>
          <w:highlight w:val="white"/>
        </w:rPr>
        <w:t xml:space="preserve"> и повышения качества внутреннего аудита Общества, утвержденной Советом директоров </w:t>
      </w:r>
      <w:r>
        <w:rPr>
          <w:rFonts w:ascii="Times New Roman" w:eastAsia="Times New Roman" w:hAnsi="Times New Roman"/>
          <w:color w:val="000000"/>
          <w:sz w:val="26"/>
          <w:szCs w:val="26"/>
          <w:highlight w:val="white"/>
        </w:rPr>
        <w:t>28.02.2022 (протокол от 03.03.2022 №468/2022).</w:t>
      </w:r>
    </w:p>
    <w:p w14:paraId="76AC0BC5" w14:textId="77777777" w:rsidR="002449C2" w:rsidRDefault="00123961">
      <w:pPr>
        <w:tabs>
          <w:tab w:val="left" w:pos="426"/>
        </w:tabs>
        <w:spacing w:after="0" w:line="240" w:lineRule="auto"/>
        <w:ind w:firstLine="567"/>
        <w:jc w:val="both"/>
        <w:rPr>
          <w:rFonts w:ascii="Times New Roman" w:hAnsi="Times New Roman"/>
          <w:sz w:val="26"/>
          <w:szCs w:val="26"/>
          <w:highlight w:val="white"/>
        </w:rPr>
      </w:pPr>
      <w:r>
        <w:rPr>
          <w:rFonts w:ascii="Times New Roman" w:hAnsi="Times New Roman"/>
          <w:sz w:val="26"/>
          <w:szCs w:val="26"/>
        </w:rPr>
        <w:t>В 2024 году ООО «Б1-КОНСАЛТ» проведена внешняя независимая оценка деятельности внутреннего аудита Общества. По итогам указанной оценки получено заключение ООО «Б1-КОНСАЛТ», в соответствии с которым деятельность внутреннего аудита в целом соответствует требованиям Международных профессиональных стандартов внутреннего аудита и Кодексу этики Общества.</w:t>
      </w:r>
    </w:p>
    <w:p w14:paraId="2B8EF95B" w14:textId="77777777" w:rsidR="002449C2" w:rsidRDefault="002449C2">
      <w:pPr>
        <w:shd w:val="clear" w:color="auto" w:fill="FFFFFF"/>
        <w:rPr>
          <w:rFonts w:ascii="Times New Roman" w:hAnsi="Times New Roman"/>
          <w:sz w:val="26"/>
          <w:szCs w:val="26"/>
        </w:rPr>
      </w:pPr>
    </w:p>
    <w:p w14:paraId="2700DB59" w14:textId="77777777" w:rsidR="002449C2" w:rsidRDefault="00123961">
      <w:pPr>
        <w:keepNext/>
        <w:pBdr>
          <w:bottom w:val="single" w:sz="4" w:space="1" w:color="622423"/>
        </w:pBdr>
        <w:shd w:val="clear" w:color="auto" w:fill="FFFFFF"/>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239" w:name="_Toc195174984"/>
      <w:bookmarkStart w:id="240" w:name="_Toc196143077"/>
      <w:r>
        <w:rPr>
          <w:rFonts w:ascii="Times New Roman" w:eastAsia="Times New Roman" w:hAnsi="Times New Roman"/>
          <w:caps/>
          <w:color w:val="632423"/>
          <w:spacing w:val="15"/>
          <w:sz w:val="24"/>
          <w:szCs w:val="24"/>
          <w:lang w:eastAsia="en-US" w:bidi="en-US"/>
        </w:rPr>
        <w:t>Ревизионная комиссия</w:t>
      </w:r>
      <w:bookmarkEnd w:id="239"/>
      <w:bookmarkEnd w:id="240"/>
    </w:p>
    <w:p w14:paraId="66EB9D27" w14:textId="77777777" w:rsidR="002449C2" w:rsidRDefault="00123961">
      <w:pPr>
        <w:shd w:val="clear" w:color="auto" w:fill="FFFFFF"/>
        <w:spacing w:after="0" w:line="240" w:lineRule="auto"/>
        <w:ind w:firstLine="709"/>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Информация о роли Ревизионной комиссии в обеспечении прозрачности и полного раскрытия информации</w:t>
      </w:r>
    </w:p>
    <w:p w14:paraId="77F8C75E" w14:textId="77777777" w:rsidR="002449C2" w:rsidRDefault="002449C2">
      <w:pPr>
        <w:shd w:val="clear" w:color="auto" w:fill="FFFFFF"/>
        <w:spacing w:after="0" w:line="240" w:lineRule="auto"/>
        <w:ind w:firstLine="709"/>
        <w:jc w:val="both"/>
        <w:rPr>
          <w:rFonts w:ascii="Times New Roman" w:eastAsia="Times New Roman" w:hAnsi="Times New Roman"/>
          <w:b/>
          <w:i/>
          <w:color w:val="0070C0"/>
          <w:sz w:val="26"/>
          <w:szCs w:val="26"/>
          <w:lang w:eastAsia="ru-RU"/>
        </w:rPr>
      </w:pPr>
    </w:p>
    <w:p w14:paraId="1E055810" w14:textId="77777777" w:rsidR="002449C2" w:rsidRDefault="00123961">
      <w:pPr>
        <w:shd w:val="clear" w:color="auto" w:fill="FFFFFF"/>
        <w:spacing w:after="0" w:line="240" w:lineRule="auto"/>
        <w:ind w:firstLine="709"/>
        <w:jc w:val="both"/>
        <w:rPr>
          <w:rFonts w:ascii="Times New Roman" w:eastAsia="Times New Roman" w:hAnsi="Times New Roman"/>
          <w:sz w:val="26"/>
          <w:szCs w:val="26"/>
        </w:rPr>
      </w:pPr>
      <w:r>
        <w:rPr>
          <w:rFonts w:ascii="Times New Roman" w:eastAsia="Times New Roman" w:hAnsi="Times New Roman"/>
          <w:sz w:val="26"/>
          <w:szCs w:val="26"/>
          <w:lang w:eastAsia="en-US"/>
        </w:rPr>
        <w:t>Ревизионная комиссия Общества является постоянно действующим органом внутреннего контроля. Ревизионная комиссия ежегодно избирается Общим собранием акционеров и несет ответственность за достоверность и объективность результатов проведенных проверок.</w:t>
      </w:r>
    </w:p>
    <w:p w14:paraId="4E101B7A" w14:textId="77777777" w:rsidR="002449C2" w:rsidRDefault="00123961">
      <w:pPr>
        <w:shd w:val="clear" w:color="auto" w:fill="FFFFFF"/>
        <w:spacing w:after="0" w:line="240" w:lineRule="auto"/>
        <w:ind w:firstLine="709"/>
        <w:jc w:val="both"/>
        <w:rPr>
          <w:rFonts w:ascii="Times New Roman" w:eastAsia="Times New Roman" w:hAnsi="Times New Roman"/>
          <w:sz w:val="26"/>
          <w:szCs w:val="26"/>
        </w:rPr>
      </w:pPr>
      <w:r>
        <w:rPr>
          <w:rFonts w:ascii="Times New Roman" w:eastAsia="Times New Roman" w:hAnsi="Times New Roman"/>
          <w:sz w:val="26"/>
          <w:szCs w:val="26"/>
          <w:lang w:eastAsia="en-US"/>
        </w:rPr>
        <w:t xml:space="preserve">Деятельность Ревизионной комиссии регулируется законодательством Российской Федерации, Уставом и </w:t>
      </w:r>
      <w:hyperlink r:id="rId180" w:tooltip="file:///\\filenet2\Папка%20департамента\Деп%20внутреннего%20аудита\Гладкина%20Е.М\Downloads\%25D0%259F%25D0%25BE%25D0%25BB%25D0%25BE%25D0%25B6%25D0%25B5%25D0%25BD%25D0%25B8%25D0%25B5_%25D0%25A0%25D0%259A_2017(3).pdf">
        <w:r>
          <w:rPr>
            <w:rStyle w:val="ab"/>
            <w:rFonts w:ascii="Times New Roman" w:eastAsia="Times New Roman" w:hAnsi="Times New Roman"/>
            <w:sz w:val="26"/>
            <w:szCs w:val="26"/>
            <w:lang w:eastAsia="en-US"/>
          </w:rPr>
          <w:t>Положением о Ревизионной комиссии</w:t>
        </w:r>
      </w:hyperlink>
      <w:r>
        <w:rPr>
          <w:rFonts w:ascii="Times New Roman" w:eastAsia="Times New Roman" w:hAnsi="Times New Roman"/>
          <w:color w:val="0000FF"/>
          <w:sz w:val="26"/>
          <w:szCs w:val="26"/>
          <w:u w:val="single"/>
          <w:lang w:eastAsia="en-US"/>
        </w:rPr>
        <w:t xml:space="preserve"> ПАО «Россети Юг»</w:t>
      </w:r>
      <w:r w:rsidR="00C71686">
        <w:rPr>
          <w:rStyle w:val="af"/>
          <w:rFonts w:ascii="Times New Roman" w:eastAsia="Times New Roman" w:hAnsi="Times New Roman"/>
          <w:color w:val="0000FF"/>
          <w:sz w:val="26"/>
          <w:szCs w:val="26"/>
          <w:u w:val="single"/>
          <w:lang w:eastAsia="en-US"/>
        </w:rPr>
        <w:footnoteReference w:id="31"/>
      </w:r>
    </w:p>
    <w:p w14:paraId="5AFB03F7" w14:textId="77777777" w:rsidR="002449C2" w:rsidRDefault="00123961">
      <w:pPr>
        <w:shd w:val="clear" w:color="auto" w:fill="FFFFFF"/>
        <w:spacing w:after="0" w:line="240" w:lineRule="auto"/>
        <w:ind w:firstLine="709"/>
        <w:jc w:val="both"/>
        <w:rPr>
          <w:rFonts w:ascii="Times New Roman" w:eastAsia="Times New Roman" w:hAnsi="Times New Roman"/>
          <w:sz w:val="26"/>
          <w:szCs w:val="26"/>
          <w:lang w:eastAsia="en-US"/>
        </w:rPr>
      </w:pPr>
      <w:r>
        <w:rPr>
          <w:rFonts w:ascii="Times New Roman" w:eastAsia="Times New Roman" w:hAnsi="Times New Roman"/>
          <w:sz w:val="26"/>
          <w:szCs w:val="26"/>
          <w:lang w:eastAsia="en-US"/>
        </w:rPr>
        <w:t>Компетенция Ревизионной комиссии определена Федеральным законом от 26.12.1995 № 208-ФЗ «Об акционерных обществах», а также Уставом Общества.</w:t>
      </w:r>
    </w:p>
    <w:p w14:paraId="6AD4031A" w14:textId="77777777" w:rsidR="002449C2" w:rsidRDefault="00123961">
      <w:pPr>
        <w:shd w:val="clear" w:color="auto" w:fill="FFFFFF"/>
        <w:tabs>
          <w:tab w:val="left" w:pos="1134"/>
        </w:tabs>
        <w:spacing w:after="0" w:line="240" w:lineRule="auto"/>
        <w:ind w:firstLine="709"/>
        <w:jc w:val="both"/>
        <w:rPr>
          <w:rFonts w:ascii="Times New Roman" w:eastAsia="Times New Roman" w:hAnsi="Times New Roman"/>
          <w:sz w:val="26"/>
          <w:szCs w:val="26"/>
        </w:rPr>
      </w:pPr>
      <w:r>
        <w:rPr>
          <w:rFonts w:ascii="Times New Roman" w:eastAsia="Times New Roman" w:hAnsi="Times New Roman"/>
          <w:sz w:val="26"/>
          <w:szCs w:val="26"/>
          <w:lang w:eastAsia="en-US"/>
        </w:rPr>
        <w:t>К основным функциям Ревизионной комиссии Общества относятся:</w:t>
      </w:r>
    </w:p>
    <w:p w14:paraId="6287FD9F" w14:textId="77777777" w:rsidR="002449C2" w:rsidRDefault="00123961">
      <w:pPr>
        <w:numPr>
          <w:ilvl w:val="0"/>
          <w:numId w:val="48"/>
        </w:numPr>
        <w:shd w:val="clear" w:color="auto" w:fill="FFFFFF"/>
        <w:spacing w:after="0" w:line="240" w:lineRule="auto"/>
        <w:jc w:val="both"/>
        <w:rPr>
          <w:rFonts w:ascii="Times New Roman" w:eastAsia="MS Mincho" w:hAnsi="Times New Roman"/>
          <w:sz w:val="26"/>
          <w:szCs w:val="26"/>
        </w:rPr>
      </w:pPr>
      <w:r>
        <w:rPr>
          <w:rFonts w:ascii="Times New Roman" w:eastAsia="Times New Roman" w:hAnsi="Times New Roman"/>
          <w:sz w:val="26"/>
          <w:szCs w:val="26"/>
          <w:lang w:eastAsia="en-US"/>
        </w:rPr>
        <w:t>организация и осуществление проверок (ревизий) финансово-хозяйственной деятельности Компании, на предмет ее соответствия законодательству Российской Федерации, Уставу, внутренним и иным документам Общества;</w:t>
      </w:r>
    </w:p>
    <w:p w14:paraId="16199C4C" w14:textId="77777777" w:rsidR="002449C2" w:rsidRDefault="00123961">
      <w:pPr>
        <w:numPr>
          <w:ilvl w:val="0"/>
          <w:numId w:val="48"/>
        </w:numPr>
        <w:shd w:val="clear" w:color="auto" w:fill="FFFFFF"/>
        <w:spacing w:after="0" w:line="240" w:lineRule="auto"/>
        <w:jc w:val="both"/>
        <w:rPr>
          <w:rFonts w:ascii="Times New Roman" w:eastAsia="Times New Roman" w:hAnsi="Times New Roman"/>
          <w:sz w:val="26"/>
          <w:szCs w:val="26"/>
        </w:rPr>
      </w:pPr>
      <w:r>
        <w:rPr>
          <w:rFonts w:ascii="Times New Roman" w:eastAsia="Times New Roman" w:hAnsi="Times New Roman"/>
          <w:sz w:val="26"/>
          <w:szCs w:val="26"/>
          <w:lang w:eastAsia="en-US"/>
        </w:rPr>
        <w:t xml:space="preserve">анализ финансового состояния Компании, ее платежеспособности, контроль за формированием и использованием материальных, трудовых и финансовых ресурсов Общества; </w:t>
      </w:r>
    </w:p>
    <w:p w14:paraId="6F8DD9C9" w14:textId="77777777" w:rsidR="002449C2" w:rsidRDefault="00123961">
      <w:pPr>
        <w:numPr>
          <w:ilvl w:val="0"/>
          <w:numId w:val="48"/>
        </w:numPr>
        <w:shd w:val="clear" w:color="auto" w:fill="FFFFFF"/>
        <w:spacing w:after="0" w:line="240" w:lineRule="auto"/>
        <w:jc w:val="both"/>
        <w:rPr>
          <w:rFonts w:ascii="Times New Roman" w:eastAsia="MS Mincho" w:hAnsi="Times New Roman"/>
          <w:sz w:val="26"/>
          <w:szCs w:val="26"/>
        </w:rPr>
      </w:pPr>
      <w:r>
        <w:rPr>
          <w:rFonts w:ascii="Times New Roman" w:eastAsia="Times New Roman" w:hAnsi="Times New Roman"/>
          <w:sz w:val="26"/>
          <w:szCs w:val="26"/>
          <w:lang w:eastAsia="en-US"/>
        </w:rPr>
        <w:t>проверка (ревизия) кассы и имущества Общества, эффективности использования активов и иных ресурсов Общества, выявление причин непроизводственных потерь и расходов, выявление резервов улучшения финансового состояния Общества;</w:t>
      </w:r>
    </w:p>
    <w:p w14:paraId="2FE8ED7B" w14:textId="77777777" w:rsidR="002449C2" w:rsidRDefault="00123961">
      <w:pPr>
        <w:numPr>
          <w:ilvl w:val="0"/>
          <w:numId w:val="48"/>
        </w:numPr>
        <w:shd w:val="clear" w:color="auto" w:fill="FFFFFF"/>
        <w:spacing w:after="0" w:line="240" w:lineRule="auto"/>
        <w:jc w:val="both"/>
        <w:rPr>
          <w:rFonts w:ascii="Times New Roman" w:eastAsia="Times New Roman" w:hAnsi="Times New Roman"/>
          <w:sz w:val="26"/>
          <w:szCs w:val="26"/>
        </w:rPr>
      </w:pPr>
      <w:r>
        <w:rPr>
          <w:rFonts w:ascii="Times New Roman" w:eastAsia="Times New Roman" w:hAnsi="Times New Roman"/>
          <w:sz w:val="26"/>
          <w:szCs w:val="26"/>
          <w:lang w:eastAsia="en-US"/>
        </w:rPr>
        <w:t xml:space="preserve">подтверждение достоверности данных, содержащихся в годовом отчете, годовой бухгалтерской (финансовой) отчетности Компании, отчете о заключенных сделках, в совершении которых имеется заинтересованность; </w:t>
      </w:r>
    </w:p>
    <w:p w14:paraId="15EB4C19" w14:textId="77777777" w:rsidR="002449C2" w:rsidRDefault="00123961">
      <w:pPr>
        <w:numPr>
          <w:ilvl w:val="0"/>
          <w:numId w:val="48"/>
        </w:numPr>
        <w:shd w:val="clear" w:color="auto" w:fill="FFFFFF"/>
        <w:spacing w:after="0" w:line="240" w:lineRule="auto"/>
        <w:jc w:val="both"/>
        <w:rPr>
          <w:rFonts w:ascii="Times New Roman" w:eastAsia="MS Mincho" w:hAnsi="Times New Roman"/>
          <w:sz w:val="26"/>
          <w:szCs w:val="26"/>
        </w:rPr>
      </w:pPr>
      <w:r>
        <w:rPr>
          <w:rFonts w:ascii="Times New Roman" w:eastAsia="Times New Roman" w:hAnsi="Times New Roman"/>
          <w:sz w:val="26"/>
          <w:szCs w:val="26"/>
          <w:lang w:eastAsia="en-US"/>
        </w:rPr>
        <w:t>выработка рекомендаций для органов управления Общества;</w:t>
      </w:r>
    </w:p>
    <w:p w14:paraId="7ED30856" w14:textId="77777777" w:rsidR="002449C2" w:rsidRDefault="00123961">
      <w:pPr>
        <w:numPr>
          <w:ilvl w:val="0"/>
          <w:numId w:val="48"/>
        </w:numPr>
        <w:shd w:val="clear" w:color="auto" w:fill="FFFFFF"/>
        <w:spacing w:after="0" w:line="240" w:lineRule="auto"/>
        <w:jc w:val="both"/>
        <w:rPr>
          <w:rFonts w:ascii="Times New Roman" w:eastAsia="MS Mincho" w:hAnsi="Times New Roman"/>
          <w:sz w:val="26"/>
          <w:szCs w:val="26"/>
        </w:rPr>
      </w:pPr>
      <w:r>
        <w:rPr>
          <w:rFonts w:ascii="Times New Roman" w:eastAsia="Times New Roman" w:hAnsi="Times New Roman"/>
          <w:sz w:val="26"/>
          <w:szCs w:val="26"/>
          <w:lang w:eastAsia="en-US"/>
        </w:rPr>
        <w:t>осуществление иных действий (мероприятий), связанных с проверкой финансово-хозяйственной деятельности Общества.</w:t>
      </w:r>
    </w:p>
    <w:p w14:paraId="00F3C05C" w14:textId="77777777" w:rsidR="002449C2" w:rsidRDefault="002449C2">
      <w:pPr>
        <w:shd w:val="clear" w:color="auto" w:fill="FFFFFF"/>
        <w:spacing w:after="0" w:line="240" w:lineRule="auto"/>
        <w:ind w:firstLine="709"/>
        <w:jc w:val="both"/>
        <w:rPr>
          <w:rFonts w:ascii="Times New Roman" w:eastAsia="Times New Roman" w:hAnsi="Times New Roman"/>
          <w:sz w:val="26"/>
          <w:szCs w:val="26"/>
          <w:lang w:eastAsia="en-US"/>
        </w:rPr>
      </w:pPr>
    </w:p>
    <w:p w14:paraId="2227394E" w14:textId="77777777" w:rsidR="002449C2" w:rsidRDefault="00123961">
      <w:pPr>
        <w:shd w:val="clear" w:color="auto" w:fill="FFFFFF"/>
        <w:spacing w:after="0" w:line="240" w:lineRule="auto"/>
        <w:ind w:firstLine="709"/>
        <w:jc w:val="both"/>
        <w:rPr>
          <w:rFonts w:ascii="Times New Roman" w:hAnsi="Times New Roman"/>
          <w:bCs/>
          <w:iCs/>
          <w:spacing w:val="-2"/>
          <w:sz w:val="26"/>
          <w:szCs w:val="26"/>
        </w:rPr>
      </w:pPr>
      <w:r>
        <w:rPr>
          <w:rFonts w:ascii="Times New Roman" w:hAnsi="Times New Roman"/>
          <w:bCs/>
          <w:iCs/>
          <w:spacing w:val="-2"/>
          <w:sz w:val="26"/>
          <w:szCs w:val="26"/>
        </w:rPr>
        <w:t xml:space="preserve">В соответствии с Уставом Общества состав Ревизионной комиссии определен в количестве 5 человек. </w:t>
      </w:r>
    </w:p>
    <w:p w14:paraId="55CE1B6F" w14:textId="77777777" w:rsidR="002449C2" w:rsidRDefault="002449C2">
      <w:pPr>
        <w:shd w:val="clear" w:color="auto" w:fill="FFFFFF"/>
        <w:spacing w:after="0" w:line="240" w:lineRule="auto"/>
        <w:ind w:firstLine="709"/>
        <w:jc w:val="both"/>
        <w:rPr>
          <w:rFonts w:ascii="Times New Roman" w:hAnsi="Times New Roman"/>
          <w:bCs/>
          <w:iCs/>
          <w:spacing w:val="-2"/>
          <w:sz w:val="26"/>
          <w:szCs w:val="26"/>
        </w:rPr>
      </w:pPr>
    </w:p>
    <w:p w14:paraId="5EFF5C35" w14:textId="77777777" w:rsidR="002449C2" w:rsidRDefault="00123961">
      <w:pPr>
        <w:shd w:val="clear" w:color="auto" w:fill="FFFFFF"/>
        <w:spacing w:after="0" w:line="240" w:lineRule="auto"/>
        <w:ind w:firstLine="709"/>
        <w:jc w:val="both"/>
        <w:rPr>
          <w:rFonts w:ascii="Times New Roman" w:hAnsi="Times New Roman"/>
          <w:bCs/>
          <w:iCs/>
          <w:spacing w:val="-2"/>
          <w:sz w:val="26"/>
          <w:szCs w:val="26"/>
        </w:rPr>
      </w:pPr>
      <w:r>
        <w:rPr>
          <w:rFonts w:ascii="Times New Roman" w:hAnsi="Times New Roman"/>
          <w:bCs/>
          <w:iCs/>
          <w:spacing w:val="-2"/>
          <w:sz w:val="26"/>
          <w:szCs w:val="26"/>
        </w:rPr>
        <w:t xml:space="preserve">В 2024 году в Обществе действовало два состава Ревизионной комиссии с 09.06.2023 до 19.06.2024 и с 19.06.2024 по 31.12.2024. Проведено 7 заседаний Ревизионной комиссии. </w:t>
      </w:r>
    </w:p>
    <w:p w14:paraId="05814E8D" w14:textId="77777777" w:rsidR="002449C2" w:rsidRDefault="002449C2">
      <w:pPr>
        <w:shd w:val="clear" w:color="auto" w:fill="FFFFFF"/>
        <w:spacing w:after="0" w:line="240" w:lineRule="auto"/>
        <w:ind w:firstLine="709"/>
        <w:jc w:val="both"/>
        <w:rPr>
          <w:rFonts w:ascii="Cambria" w:eastAsia="MS Mincho" w:hAnsi="Cambria"/>
          <w:b/>
          <w:color w:val="0070C0"/>
          <w:sz w:val="26"/>
          <w:szCs w:val="26"/>
          <w:lang w:eastAsia="ja-JP"/>
        </w:rPr>
      </w:pPr>
    </w:p>
    <w:p w14:paraId="4CAF1CE9" w14:textId="77777777" w:rsidR="002449C2" w:rsidRDefault="00123961">
      <w:pPr>
        <w:shd w:val="clear" w:color="auto" w:fill="FFFFFF"/>
        <w:spacing w:after="0" w:line="240" w:lineRule="auto"/>
        <w:jc w:val="center"/>
        <w:rPr>
          <w:rFonts w:ascii="Times New Roman" w:eastAsia="MS Mincho" w:hAnsi="Times New Roman"/>
          <w:color w:val="0070C0"/>
          <w:sz w:val="26"/>
          <w:szCs w:val="26"/>
          <w:lang w:eastAsia="ja-JP"/>
        </w:rPr>
      </w:pPr>
      <w:r>
        <w:rPr>
          <w:rFonts w:ascii="Times New Roman" w:eastAsia="MS Mincho" w:hAnsi="Times New Roman"/>
          <w:color w:val="0070C0"/>
          <w:sz w:val="26"/>
          <w:szCs w:val="26"/>
          <w:lang w:eastAsia="ja-JP"/>
        </w:rPr>
        <w:t>Состав Ревизионной комиссии, действующий с 19.06.2024</w:t>
      </w:r>
      <w:r w:rsidR="00C71686">
        <w:rPr>
          <w:rStyle w:val="af"/>
          <w:rFonts w:ascii="Times New Roman" w:eastAsia="MS Mincho" w:hAnsi="Times New Roman"/>
          <w:color w:val="0070C0"/>
          <w:sz w:val="26"/>
          <w:szCs w:val="26"/>
          <w:lang w:eastAsia="ja-JP"/>
        </w:rPr>
        <w:footnoteReference w:id="32"/>
      </w:r>
    </w:p>
    <w:p w14:paraId="74F4FE7E" w14:textId="77777777" w:rsidR="002449C2" w:rsidRDefault="002449C2">
      <w:pPr>
        <w:shd w:val="clear" w:color="auto" w:fill="FFFFFF"/>
        <w:spacing w:after="0" w:line="240" w:lineRule="auto"/>
        <w:ind w:firstLine="709"/>
        <w:jc w:val="both"/>
        <w:rPr>
          <w:rFonts w:ascii="Cambria" w:eastAsia="MS Mincho" w:hAnsi="Cambria"/>
          <w:b/>
          <w:color w:val="0070C0"/>
          <w:sz w:val="26"/>
          <w:szCs w:val="26"/>
          <w:lang w:eastAsia="ja-JP"/>
        </w:rPr>
      </w:pPr>
    </w:p>
    <w:tbl>
      <w:tblPr>
        <w:tblW w:w="9627" w:type="dxa"/>
        <w:tblLayout w:type="fixed"/>
        <w:tblLook w:val="04A0" w:firstRow="1" w:lastRow="0" w:firstColumn="1" w:lastColumn="0" w:noHBand="0" w:noVBand="1"/>
      </w:tblPr>
      <w:tblGrid>
        <w:gridCol w:w="645"/>
        <w:gridCol w:w="2531"/>
        <w:gridCol w:w="6451"/>
      </w:tblGrid>
      <w:tr w:rsidR="002449C2" w14:paraId="5C5523B2" w14:textId="77777777">
        <w:tc>
          <w:tcPr>
            <w:tcW w:w="645" w:type="dxa"/>
            <w:tcBorders>
              <w:top w:val="single" w:sz="4" w:space="0" w:color="000000"/>
              <w:left w:val="single" w:sz="4" w:space="0" w:color="000000"/>
              <w:bottom w:val="single" w:sz="4" w:space="0" w:color="000000"/>
              <w:right w:val="single" w:sz="4" w:space="0" w:color="000000"/>
            </w:tcBorders>
          </w:tcPr>
          <w:p w14:paraId="75D41E88" w14:textId="77777777" w:rsidR="002449C2" w:rsidRDefault="00123961">
            <w:pPr>
              <w:shd w:val="clear" w:color="auto" w:fill="FFFFFF"/>
              <w:spacing w:before="120" w:after="120" w:line="240" w:lineRule="auto"/>
              <w:jc w:val="both"/>
              <w:rPr>
                <w:rFonts w:ascii="Times New Roman" w:eastAsia="MS Mincho" w:hAnsi="Times New Roman"/>
                <w:b/>
                <w:sz w:val="20"/>
                <w:szCs w:val="20"/>
                <w:lang w:eastAsia="ja-JP"/>
              </w:rPr>
            </w:pPr>
            <w:r>
              <w:rPr>
                <w:rFonts w:ascii="Times New Roman" w:eastAsia="MS Mincho" w:hAnsi="Times New Roman"/>
                <w:b/>
                <w:sz w:val="20"/>
                <w:szCs w:val="20"/>
                <w:lang w:eastAsia="ja-JP"/>
              </w:rPr>
              <w:t>№</w:t>
            </w:r>
          </w:p>
        </w:tc>
        <w:tc>
          <w:tcPr>
            <w:tcW w:w="2531" w:type="dxa"/>
            <w:tcBorders>
              <w:top w:val="single" w:sz="4" w:space="0" w:color="000000"/>
              <w:left w:val="single" w:sz="4" w:space="0" w:color="000000"/>
              <w:bottom w:val="single" w:sz="4" w:space="0" w:color="000000"/>
              <w:right w:val="single" w:sz="4" w:space="0" w:color="000000"/>
            </w:tcBorders>
          </w:tcPr>
          <w:p w14:paraId="65A443DC" w14:textId="77777777" w:rsidR="002449C2" w:rsidRDefault="00123961">
            <w:pPr>
              <w:shd w:val="clear" w:color="auto" w:fill="FFFFFF"/>
              <w:spacing w:before="120" w:after="120" w:line="240" w:lineRule="auto"/>
              <w:jc w:val="both"/>
              <w:rPr>
                <w:rFonts w:ascii="Times New Roman" w:eastAsia="MS Mincho" w:hAnsi="Times New Roman"/>
                <w:b/>
                <w:sz w:val="20"/>
                <w:szCs w:val="20"/>
                <w:lang w:eastAsia="ja-JP"/>
              </w:rPr>
            </w:pPr>
            <w:r>
              <w:rPr>
                <w:rFonts w:ascii="Times New Roman" w:eastAsia="MS Mincho" w:hAnsi="Times New Roman"/>
                <w:b/>
                <w:sz w:val="20"/>
                <w:szCs w:val="20"/>
                <w:lang w:eastAsia="ja-JP"/>
              </w:rPr>
              <w:t>ФИО</w:t>
            </w:r>
          </w:p>
        </w:tc>
        <w:tc>
          <w:tcPr>
            <w:tcW w:w="6451" w:type="dxa"/>
            <w:tcBorders>
              <w:top w:val="single" w:sz="4" w:space="0" w:color="000000"/>
              <w:left w:val="single" w:sz="4" w:space="0" w:color="000000"/>
              <w:bottom w:val="single" w:sz="4" w:space="0" w:color="000000"/>
              <w:right w:val="single" w:sz="4" w:space="0" w:color="000000"/>
            </w:tcBorders>
          </w:tcPr>
          <w:p w14:paraId="69CC43E2" w14:textId="77777777" w:rsidR="002449C2" w:rsidRDefault="00123961">
            <w:pPr>
              <w:shd w:val="clear" w:color="auto" w:fill="FFFFFF"/>
              <w:spacing w:before="120" w:after="120" w:line="240" w:lineRule="auto"/>
              <w:jc w:val="both"/>
              <w:rPr>
                <w:rFonts w:ascii="Times New Roman" w:eastAsia="MS Mincho" w:hAnsi="Times New Roman"/>
                <w:b/>
                <w:sz w:val="20"/>
                <w:szCs w:val="20"/>
                <w:lang w:eastAsia="ja-JP"/>
              </w:rPr>
            </w:pPr>
            <w:r>
              <w:rPr>
                <w:rFonts w:ascii="Times New Roman" w:eastAsia="MS Mincho" w:hAnsi="Times New Roman"/>
                <w:b/>
                <w:sz w:val="20"/>
                <w:szCs w:val="20"/>
                <w:lang w:eastAsia="ja-JP"/>
              </w:rPr>
              <w:t>Информация о членах Ревизионной комиссии</w:t>
            </w:r>
          </w:p>
        </w:tc>
      </w:tr>
      <w:tr w:rsidR="002449C2" w14:paraId="5A0C1547" w14:textId="77777777">
        <w:trPr>
          <w:trHeight w:val="698"/>
        </w:trPr>
        <w:tc>
          <w:tcPr>
            <w:tcW w:w="645" w:type="dxa"/>
            <w:tcBorders>
              <w:top w:val="single" w:sz="4" w:space="0" w:color="000000"/>
              <w:left w:val="single" w:sz="4" w:space="0" w:color="000000"/>
              <w:bottom w:val="single" w:sz="4" w:space="0" w:color="000000"/>
              <w:right w:val="single" w:sz="4" w:space="0" w:color="000000"/>
            </w:tcBorders>
          </w:tcPr>
          <w:p w14:paraId="49474166" w14:textId="77777777" w:rsidR="002449C2" w:rsidRDefault="00123961">
            <w:pPr>
              <w:shd w:val="clear" w:color="auto" w:fill="FFFFFF"/>
              <w:spacing w:after="0" w:line="240" w:lineRule="auto"/>
              <w:jc w:val="center"/>
              <w:rPr>
                <w:rFonts w:ascii="Times New Roman" w:eastAsia="MS Mincho" w:hAnsi="Times New Roman"/>
                <w:sz w:val="20"/>
                <w:szCs w:val="20"/>
                <w:lang w:eastAsia="ja-JP"/>
              </w:rPr>
            </w:pPr>
            <w:r>
              <w:rPr>
                <w:rFonts w:ascii="Times New Roman" w:eastAsia="MS Mincho" w:hAnsi="Times New Roman"/>
                <w:sz w:val="20"/>
                <w:szCs w:val="20"/>
                <w:lang w:eastAsia="ja-JP"/>
              </w:rPr>
              <w:t>1</w:t>
            </w:r>
          </w:p>
        </w:tc>
        <w:tc>
          <w:tcPr>
            <w:tcW w:w="2531" w:type="dxa"/>
            <w:tcBorders>
              <w:top w:val="single" w:sz="4" w:space="0" w:color="000000"/>
              <w:left w:val="single" w:sz="4" w:space="0" w:color="000000"/>
              <w:bottom w:val="single" w:sz="4" w:space="0" w:color="000000"/>
              <w:right w:val="single" w:sz="4" w:space="0" w:color="000000"/>
            </w:tcBorders>
          </w:tcPr>
          <w:p w14:paraId="4DA4C8CF" w14:textId="77777777" w:rsidR="002449C2" w:rsidRDefault="002449C2">
            <w:pPr>
              <w:shd w:val="clear" w:color="auto" w:fill="FFFFFF"/>
              <w:spacing w:after="0" w:line="240" w:lineRule="auto"/>
              <w:jc w:val="both"/>
              <w:rPr>
                <w:rFonts w:ascii="Times New Roman" w:hAnsi="Times New Roman"/>
                <w:b/>
                <w:sz w:val="20"/>
                <w:szCs w:val="20"/>
              </w:rPr>
            </w:pPr>
          </w:p>
          <w:p w14:paraId="45B89679" w14:textId="77777777" w:rsidR="002449C2" w:rsidRDefault="00123961">
            <w:pPr>
              <w:shd w:val="clear" w:color="auto" w:fill="FFFFFF"/>
              <w:spacing w:after="0" w:line="240" w:lineRule="auto"/>
              <w:jc w:val="both"/>
              <w:rPr>
                <w:rFonts w:ascii="Times New Roman" w:hAnsi="Times New Roman"/>
                <w:b/>
                <w:sz w:val="20"/>
                <w:szCs w:val="20"/>
              </w:rPr>
            </w:pPr>
            <w:r>
              <w:rPr>
                <w:rFonts w:ascii="Times New Roman" w:hAnsi="Times New Roman"/>
                <w:b/>
                <w:sz w:val="20"/>
                <w:szCs w:val="20"/>
              </w:rPr>
              <w:t>УЛЬЯНОВ</w:t>
            </w:r>
          </w:p>
          <w:p w14:paraId="557181AA" w14:textId="77777777" w:rsidR="002449C2" w:rsidRDefault="00123961">
            <w:pPr>
              <w:shd w:val="clear" w:color="auto" w:fill="FFFFFF"/>
              <w:spacing w:after="0" w:line="240" w:lineRule="auto"/>
              <w:jc w:val="both"/>
              <w:rPr>
                <w:rFonts w:ascii="Times New Roman" w:hAnsi="Times New Roman"/>
                <w:b/>
                <w:sz w:val="20"/>
                <w:szCs w:val="20"/>
              </w:rPr>
            </w:pPr>
            <w:r>
              <w:rPr>
                <w:rFonts w:ascii="Times New Roman" w:hAnsi="Times New Roman"/>
                <w:b/>
                <w:sz w:val="20"/>
                <w:szCs w:val="20"/>
              </w:rPr>
              <w:t>Антон Сергеевич,</w:t>
            </w:r>
          </w:p>
          <w:p w14:paraId="7E882B33" w14:textId="77777777" w:rsidR="002449C2" w:rsidRDefault="002449C2">
            <w:pPr>
              <w:shd w:val="clear" w:color="auto" w:fill="FFFFFF"/>
              <w:spacing w:after="0" w:line="240" w:lineRule="auto"/>
              <w:jc w:val="both"/>
              <w:rPr>
                <w:rFonts w:ascii="Times New Roman" w:hAnsi="Times New Roman"/>
                <w:b/>
                <w:sz w:val="20"/>
                <w:szCs w:val="20"/>
              </w:rPr>
            </w:pPr>
          </w:p>
          <w:p w14:paraId="48EE3891"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Председатель</w:t>
            </w:r>
          </w:p>
          <w:p w14:paraId="75FCE206" w14:textId="77777777" w:rsidR="002449C2" w:rsidRDefault="002449C2">
            <w:pPr>
              <w:shd w:val="clear" w:color="auto" w:fill="FFFFFF"/>
              <w:spacing w:after="0" w:line="240" w:lineRule="auto"/>
              <w:jc w:val="both"/>
              <w:rPr>
                <w:rFonts w:ascii="Times New Roman" w:eastAsia="MS Mincho" w:hAnsi="Times New Roman"/>
                <w:b/>
                <w:sz w:val="20"/>
                <w:szCs w:val="20"/>
                <w:lang w:eastAsia="ja-JP"/>
              </w:rPr>
            </w:pPr>
          </w:p>
        </w:tc>
        <w:tc>
          <w:tcPr>
            <w:tcW w:w="6451" w:type="dxa"/>
            <w:tcBorders>
              <w:top w:val="single" w:sz="4" w:space="0" w:color="000000"/>
              <w:left w:val="single" w:sz="4" w:space="0" w:color="000000"/>
              <w:bottom w:val="single" w:sz="4" w:space="0" w:color="000000"/>
              <w:right w:val="single" w:sz="4" w:space="0" w:color="000000"/>
            </w:tcBorders>
          </w:tcPr>
          <w:p w14:paraId="0177E7BC"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Родился в 1979 году.</w:t>
            </w:r>
          </w:p>
          <w:p w14:paraId="7001CBF8"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Образование: высшее</w:t>
            </w:r>
          </w:p>
          <w:p w14:paraId="0FFADD89"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ГОУВПО «Московская государственная юридическая академия», квалификация - юрист, год окончания – 2004.</w:t>
            </w:r>
          </w:p>
          <w:p w14:paraId="26119A20"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Ассоциация «Институт внутренних аудиторов», профессиональная переподготовка, Главный аудитор, год окончания – 2024.</w:t>
            </w:r>
          </w:p>
          <w:p w14:paraId="0C5290CD"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ООО Учебный центр «ИВА», профессиональная переподготовка, «Внутренний аудитор», Уровень «Профессионал», год окончания – 2021.</w:t>
            </w:r>
          </w:p>
          <w:p w14:paraId="5689AD69" w14:textId="77777777" w:rsidR="002449C2" w:rsidRDefault="00123961">
            <w:pPr>
              <w:shd w:val="clear" w:color="auto" w:fill="FFFFFF"/>
              <w:spacing w:line="240" w:lineRule="auto"/>
              <w:jc w:val="both"/>
              <w:rPr>
                <w:rFonts w:ascii="Times New Roman" w:hAnsi="Times New Roman"/>
                <w:sz w:val="20"/>
                <w:szCs w:val="20"/>
              </w:rPr>
            </w:pPr>
            <w:r>
              <w:rPr>
                <w:rFonts w:ascii="Times New Roman" w:hAnsi="Times New Roman"/>
                <w:sz w:val="20"/>
                <w:szCs w:val="20"/>
              </w:rPr>
              <w:t>ООО «КУМЦ АПР», профессиональная переподготовка, Руководитель самостоятельного подразделения внутреннего контроля. Профстандарт «Специалист по внутреннему контролю (внутренний контролер). Уровень 7», год окончания – 2021.</w:t>
            </w:r>
          </w:p>
          <w:p w14:paraId="7ACE8409" w14:textId="77777777" w:rsidR="002449C2" w:rsidRDefault="00123961">
            <w:pPr>
              <w:shd w:val="clear" w:color="auto" w:fill="FFFFFF"/>
              <w:spacing w:after="0" w:line="240" w:lineRule="auto"/>
              <w:jc w:val="both"/>
              <w:rPr>
                <w:rFonts w:ascii="Times New Roman" w:eastAsia="Times New Roman" w:hAnsi="Times New Roman"/>
                <w:b/>
                <w:sz w:val="20"/>
                <w:szCs w:val="20"/>
                <w:u w:val="single"/>
                <w:lang w:eastAsia="ru-RU"/>
              </w:rPr>
            </w:pPr>
            <w:r>
              <w:rPr>
                <w:rFonts w:ascii="Times New Roman" w:eastAsia="Times New Roman" w:hAnsi="Times New Roman"/>
                <w:b/>
                <w:sz w:val="20"/>
                <w:szCs w:val="20"/>
                <w:u w:val="single"/>
                <w:lang w:eastAsia="ru-RU"/>
              </w:rPr>
              <w:t>Должность и место работы</w:t>
            </w:r>
          </w:p>
          <w:p w14:paraId="5FAC46E0"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2021 – 2022 – Публичное акционерное общество «Российские сети» - Директор по внутреннему контролю и управлению рисками – начальник Департамента внутреннего контроля и управления рисками (по совместительству);</w:t>
            </w:r>
          </w:p>
          <w:p w14:paraId="6F27F815"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2021 – н/вр – Публичное акционерное общество «Федеральная сетевая компания – Россети» (до 12.10.2022 - Публичное акционерное общество «Федеральная сетевая компания Единой энергетической системы») - Директор по внутреннему контролю и управлению рисками – начальник Департамента внутреннего контроля и управления рисками; с 12.2022 - Директор по внутреннему аудиту – начальник Департамента внутреннего аудита.</w:t>
            </w:r>
          </w:p>
          <w:p w14:paraId="6B652F5E" w14:textId="77777777" w:rsidR="002449C2" w:rsidRDefault="002449C2">
            <w:pPr>
              <w:shd w:val="clear" w:color="auto" w:fill="FFFFFF"/>
              <w:spacing w:after="0" w:line="240" w:lineRule="auto"/>
              <w:jc w:val="both"/>
              <w:rPr>
                <w:rFonts w:ascii="Times New Roman" w:eastAsia="Times New Roman" w:hAnsi="Times New Roman"/>
                <w:sz w:val="20"/>
                <w:szCs w:val="20"/>
                <w:lang w:eastAsia="ru-RU"/>
              </w:rPr>
            </w:pPr>
          </w:p>
          <w:p w14:paraId="23D71F2A" w14:textId="77777777" w:rsidR="002449C2" w:rsidRDefault="00123961">
            <w:pPr>
              <w:shd w:val="clear" w:color="auto" w:fill="FFFFFF"/>
              <w:spacing w:after="0" w:line="240" w:lineRule="auto"/>
              <w:jc w:val="both"/>
              <w:rPr>
                <w:rFonts w:ascii="Times New Roman" w:eastAsia="Times New Roman" w:hAnsi="Times New Roman"/>
                <w:b/>
                <w:sz w:val="20"/>
                <w:szCs w:val="20"/>
                <w:u w:val="single"/>
                <w:lang w:eastAsia="ru-RU"/>
              </w:rPr>
            </w:pPr>
            <w:r>
              <w:rPr>
                <w:rFonts w:ascii="Times New Roman" w:eastAsia="Times New Roman" w:hAnsi="Times New Roman"/>
                <w:b/>
                <w:sz w:val="20"/>
                <w:szCs w:val="20"/>
                <w:u w:val="single"/>
                <w:lang w:eastAsia="ru-RU"/>
              </w:rPr>
              <w:t>Должности, которые член ревизионной комиссии занимал или занимает в ПАО «Россети Юг» и в органах управления других организаций за последние три года:</w:t>
            </w:r>
          </w:p>
          <w:p w14:paraId="0ED34509"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2022 – 2023 гг. - ПАО «Россети Центр и Приволжье», ПАО «Россети Сибирь», ПАО «Россети Волга», ПАО «Россети Северный Кавказ», АО «Россети Мобильные ГТЭС», Член Совета директоров.</w:t>
            </w:r>
          </w:p>
        </w:tc>
      </w:tr>
      <w:tr w:rsidR="002449C2" w14:paraId="6A6D64F9" w14:textId="77777777">
        <w:trPr>
          <w:trHeight w:val="4947"/>
        </w:trPr>
        <w:tc>
          <w:tcPr>
            <w:tcW w:w="645" w:type="dxa"/>
            <w:tcBorders>
              <w:top w:val="single" w:sz="4" w:space="0" w:color="000000"/>
              <w:left w:val="single" w:sz="4" w:space="0" w:color="000000"/>
              <w:bottom w:val="single" w:sz="4" w:space="0" w:color="000000"/>
              <w:right w:val="single" w:sz="4" w:space="0" w:color="000000"/>
            </w:tcBorders>
          </w:tcPr>
          <w:p w14:paraId="1C9928AD" w14:textId="77777777" w:rsidR="002449C2" w:rsidRDefault="00123961">
            <w:pPr>
              <w:shd w:val="clear" w:color="auto" w:fill="FFFFFF"/>
              <w:spacing w:after="0" w:line="240" w:lineRule="auto"/>
              <w:jc w:val="center"/>
              <w:rPr>
                <w:rFonts w:ascii="Times New Roman" w:eastAsia="MS Mincho" w:hAnsi="Times New Roman"/>
                <w:sz w:val="20"/>
                <w:szCs w:val="20"/>
                <w:lang w:eastAsia="ja-JP"/>
              </w:rPr>
            </w:pPr>
            <w:r>
              <w:rPr>
                <w:rFonts w:ascii="Times New Roman" w:eastAsia="MS Mincho" w:hAnsi="Times New Roman"/>
                <w:sz w:val="20"/>
                <w:szCs w:val="20"/>
                <w:lang w:eastAsia="ja-JP"/>
              </w:rPr>
              <w:t>2</w:t>
            </w:r>
          </w:p>
        </w:tc>
        <w:tc>
          <w:tcPr>
            <w:tcW w:w="2531" w:type="dxa"/>
            <w:tcBorders>
              <w:top w:val="single" w:sz="4" w:space="0" w:color="000000"/>
              <w:left w:val="single" w:sz="4" w:space="0" w:color="000000"/>
              <w:bottom w:val="single" w:sz="4" w:space="0" w:color="000000"/>
              <w:right w:val="single" w:sz="4" w:space="0" w:color="000000"/>
            </w:tcBorders>
          </w:tcPr>
          <w:p w14:paraId="3ABA2D32" w14:textId="77777777" w:rsidR="002449C2" w:rsidRDefault="002449C2">
            <w:pPr>
              <w:shd w:val="clear" w:color="auto" w:fill="FFFFFF"/>
              <w:spacing w:after="0" w:line="240" w:lineRule="auto"/>
              <w:jc w:val="both"/>
              <w:rPr>
                <w:rFonts w:ascii="Times New Roman" w:eastAsia="MS Mincho" w:hAnsi="Times New Roman"/>
                <w:b/>
                <w:sz w:val="20"/>
                <w:szCs w:val="20"/>
                <w:lang w:eastAsia="ja-JP"/>
              </w:rPr>
            </w:pPr>
          </w:p>
          <w:p w14:paraId="1364A16C" w14:textId="77777777" w:rsidR="002449C2" w:rsidRDefault="00123961">
            <w:pPr>
              <w:shd w:val="clear" w:color="auto" w:fill="FFFFFF"/>
              <w:spacing w:after="0" w:line="240" w:lineRule="auto"/>
              <w:jc w:val="both"/>
              <w:rPr>
                <w:rFonts w:ascii="Times New Roman" w:eastAsia="MS Mincho" w:hAnsi="Times New Roman"/>
                <w:b/>
                <w:sz w:val="20"/>
                <w:szCs w:val="20"/>
                <w:lang w:eastAsia="ja-JP"/>
              </w:rPr>
            </w:pPr>
            <w:r>
              <w:rPr>
                <w:rFonts w:ascii="Times New Roman" w:eastAsia="MS Mincho" w:hAnsi="Times New Roman"/>
                <w:b/>
                <w:sz w:val="20"/>
                <w:szCs w:val="20"/>
                <w:lang w:eastAsia="ja-JP"/>
              </w:rPr>
              <w:t>ЦАРЬКОВ</w:t>
            </w:r>
          </w:p>
          <w:p w14:paraId="16915FF0" w14:textId="77777777" w:rsidR="002449C2" w:rsidRDefault="00123961">
            <w:pPr>
              <w:shd w:val="clear" w:color="auto" w:fill="FFFFFF"/>
              <w:spacing w:after="0" w:line="240" w:lineRule="auto"/>
              <w:jc w:val="both"/>
              <w:rPr>
                <w:rFonts w:ascii="Times New Roman" w:eastAsia="MS Mincho" w:hAnsi="Times New Roman"/>
                <w:b/>
                <w:sz w:val="20"/>
                <w:szCs w:val="20"/>
                <w:lang w:eastAsia="ja-JP"/>
              </w:rPr>
            </w:pPr>
            <w:r>
              <w:rPr>
                <w:rFonts w:ascii="Times New Roman" w:eastAsia="MS Mincho" w:hAnsi="Times New Roman"/>
                <w:b/>
                <w:sz w:val="20"/>
                <w:szCs w:val="20"/>
                <w:lang w:eastAsia="ja-JP"/>
              </w:rPr>
              <w:t>Виктор Владимирович,</w:t>
            </w:r>
          </w:p>
          <w:p w14:paraId="621A3A66" w14:textId="77777777" w:rsidR="002449C2" w:rsidRDefault="002449C2">
            <w:pPr>
              <w:shd w:val="clear" w:color="auto" w:fill="FFFFFF"/>
              <w:spacing w:after="0" w:line="240" w:lineRule="auto"/>
              <w:jc w:val="both"/>
              <w:rPr>
                <w:rFonts w:ascii="Times New Roman" w:eastAsia="MS Mincho" w:hAnsi="Times New Roman"/>
                <w:b/>
                <w:sz w:val="20"/>
                <w:szCs w:val="20"/>
                <w:lang w:eastAsia="ja-JP"/>
              </w:rPr>
            </w:pPr>
          </w:p>
          <w:p w14:paraId="233F4E72" w14:textId="77777777" w:rsidR="002449C2" w:rsidRDefault="00123961">
            <w:pPr>
              <w:shd w:val="clear" w:color="auto" w:fill="FFFFFF"/>
              <w:spacing w:after="0" w:line="240" w:lineRule="auto"/>
              <w:jc w:val="both"/>
              <w:rPr>
                <w:rFonts w:ascii="Times New Roman" w:eastAsia="MS Mincho" w:hAnsi="Times New Roman"/>
                <w:sz w:val="20"/>
                <w:szCs w:val="20"/>
                <w:lang w:eastAsia="ja-JP"/>
              </w:rPr>
            </w:pPr>
            <w:r>
              <w:rPr>
                <w:rFonts w:ascii="Times New Roman" w:eastAsia="MS Mincho" w:hAnsi="Times New Roman"/>
                <w:sz w:val="20"/>
                <w:szCs w:val="20"/>
                <w:lang w:eastAsia="ja-JP"/>
              </w:rPr>
              <w:t>Заместитель Председателя</w:t>
            </w:r>
          </w:p>
        </w:tc>
        <w:tc>
          <w:tcPr>
            <w:tcW w:w="6451" w:type="dxa"/>
            <w:tcBorders>
              <w:top w:val="single" w:sz="4" w:space="0" w:color="000000"/>
              <w:left w:val="single" w:sz="4" w:space="0" w:color="000000"/>
              <w:bottom w:val="single" w:sz="4" w:space="0" w:color="000000"/>
              <w:right w:val="single" w:sz="4" w:space="0" w:color="000000"/>
            </w:tcBorders>
          </w:tcPr>
          <w:p w14:paraId="4EB13AC3"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Родился в 1977 году.</w:t>
            </w:r>
          </w:p>
          <w:p w14:paraId="00283265"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Образование: высшее</w:t>
            </w:r>
          </w:p>
          <w:p w14:paraId="21220138"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Московский институт экономики, менеджмента и права, квалификация «Экономист», специальность «Финансы и кредит», год окончания – 2005.</w:t>
            </w:r>
          </w:p>
          <w:p w14:paraId="3095817C"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Российская Академия Государственной службы при Президенте Российской Федерации, квалификация «Менеджер», специальность «Государственное и муниципальное управление», год окончания – 2007.</w:t>
            </w:r>
          </w:p>
          <w:p w14:paraId="7295467D"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Саморегулируемая организация аудиторов «Российский союз аудиторов» (Ассоциация), «Учебно-методический центр Российского союза аудиторов «Интрекон-интеллект», квалификация – «Профессиональный внутренний аудитор», год окончания – 2017</w:t>
            </w:r>
          </w:p>
          <w:p w14:paraId="63BE1E72"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Ассоциация «Институт внутренних аудиторов», квалификация - Главный аудитор (7 уровень квалификации), дата выдачи – 23.11.2023.</w:t>
            </w:r>
          </w:p>
          <w:p w14:paraId="0FA2F121" w14:textId="77777777" w:rsidR="002449C2" w:rsidRDefault="002449C2">
            <w:pPr>
              <w:shd w:val="clear" w:color="auto" w:fill="FFFFFF"/>
              <w:spacing w:after="0" w:line="240" w:lineRule="auto"/>
              <w:jc w:val="both"/>
              <w:rPr>
                <w:rFonts w:ascii="Times New Roman" w:eastAsia="Times New Roman" w:hAnsi="Times New Roman"/>
                <w:sz w:val="20"/>
                <w:szCs w:val="20"/>
                <w:lang w:eastAsia="ru-RU"/>
              </w:rPr>
            </w:pPr>
          </w:p>
          <w:p w14:paraId="7909402C" w14:textId="77777777" w:rsidR="002449C2" w:rsidRDefault="00123961">
            <w:pPr>
              <w:shd w:val="clear" w:color="auto" w:fill="FFFFFF"/>
              <w:spacing w:after="0" w:line="240" w:lineRule="auto"/>
              <w:jc w:val="both"/>
              <w:rPr>
                <w:rFonts w:ascii="Times New Roman" w:eastAsia="Times New Roman" w:hAnsi="Times New Roman"/>
                <w:b/>
                <w:sz w:val="20"/>
                <w:szCs w:val="20"/>
                <w:u w:val="single"/>
                <w:lang w:eastAsia="ru-RU"/>
              </w:rPr>
            </w:pPr>
            <w:r>
              <w:rPr>
                <w:rFonts w:ascii="Times New Roman" w:eastAsia="Times New Roman" w:hAnsi="Times New Roman"/>
                <w:b/>
                <w:sz w:val="20"/>
                <w:szCs w:val="20"/>
                <w:u w:val="single"/>
                <w:lang w:eastAsia="ru-RU"/>
              </w:rPr>
              <w:t>Должность и место работы</w:t>
            </w:r>
          </w:p>
          <w:p w14:paraId="72EFD93C"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2017 – н/вр - Публичное акционерное Общество «Федеральная сетевая компания – Россети» (до 12.10.2022 - Публичное акционерное общество «Федеральная сетевая компания Единой энергетической системы») - Первый заместитель начальника Департамента внутреннего аудита;</w:t>
            </w:r>
          </w:p>
          <w:p w14:paraId="766DB95F"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2020 – 2022 – Публичное акционерное общество «Российские сети» - Первый заместитель начальника Департамента внутреннего аудита </w:t>
            </w:r>
            <w:r>
              <w:rPr>
                <w:rFonts w:ascii="Times New Roman" w:hAnsi="Times New Roman"/>
                <w:sz w:val="20"/>
                <w:szCs w:val="20"/>
              </w:rPr>
              <w:t>(по совместительству)</w:t>
            </w:r>
            <w:r>
              <w:rPr>
                <w:rFonts w:ascii="Times New Roman" w:eastAsia="Times New Roman" w:hAnsi="Times New Roman"/>
                <w:sz w:val="20"/>
                <w:szCs w:val="20"/>
                <w:lang w:eastAsia="ru-RU"/>
              </w:rPr>
              <w:t>.</w:t>
            </w:r>
          </w:p>
        </w:tc>
      </w:tr>
      <w:tr w:rsidR="002449C2" w14:paraId="5FE45A73" w14:textId="77777777">
        <w:trPr>
          <w:trHeight w:val="70"/>
        </w:trPr>
        <w:tc>
          <w:tcPr>
            <w:tcW w:w="645" w:type="dxa"/>
            <w:tcBorders>
              <w:top w:val="single" w:sz="4" w:space="0" w:color="000000"/>
              <w:left w:val="single" w:sz="4" w:space="0" w:color="000000"/>
              <w:bottom w:val="single" w:sz="4" w:space="0" w:color="000000"/>
              <w:right w:val="single" w:sz="4" w:space="0" w:color="000000"/>
            </w:tcBorders>
          </w:tcPr>
          <w:p w14:paraId="01C7A137" w14:textId="77777777" w:rsidR="002449C2" w:rsidRDefault="00123961">
            <w:pPr>
              <w:shd w:val="clear" w:color="auto" w:fill="FFFFFF"/>
              <w:spacing w:after="0" w:line="240" w:lineRule="auto"/>
              <w:jc w:val="center"/>
              <w:rPr>
                <w:rFonts w:ascii="Times New Roman" w:eastAsia="MS Mincho" w:hAnsi="Times New Roman"/>
                <w:sz w:val="20"/>
                <w:szCs w:val="20"/>
                <w:lang w:eastAsia="ja-JP"/>
              </w:rPr>
            </w:pPr>
            <w:r>
              <w:rPr>
                <w:rFonts w:ascii="Times New Roman" w:eastAsia="MS Mincho" w:hAnsi="Times New Roman"/>
                <w:sz w:val="20"/>
                <w:szCs w:val="20"/>
                <w:lang w:eastAsia="ja-JP"/>
              </w:rPr>
              <w:t>3</w:t>
            </w:r>
          </w:p>
        </w:tc>
        <w:tc>
          <w:tcPr>
            <w:tcW w:w="2531" w:type="dxa"/>
            <w:tcBorders>
              <w:top w:val="single" w:sz="4" w:space="0" w:color="000000"/>
              <w:left w:val="single" w:sz="4" w:space="0" w:color="000000"/>
              <w:bottom w:val="single" w:sz="4" w:space="0" w:color="000000"/>
              <w:right w:val="single" w:sz="4" w:space="0" w:color="000000"/>
            </w:tcBorders>
          </w:tcPr>
          <w:p w14:paraId="62807F03" w14:textId="77777777" w:rsidR="002449C2" w:rsidRDefault="002449C2">
            <w:pPr>
              <w:shd w:val="clear" w:color="auto" w:fill="FFFFFF"/>
              <w:spacing w:after="0" w:line="240" w:lineRule="auto"/>
              <w:jc w:val="both"/>
              <w:rPr>
                <w:rFonts w:ascii="Times New Roman" w:eastAsia="MS Mincho" w:hAnsi="Times New Roman"/>
                <w:b/>
                <w:sz w:val="20"/>
                <w:szCs w:val="20"/>
                <w:lang w:eastAsia="ja-JP"/>
              </w:rPr>
            </w:pPr>
          </w:p>
          <w:p w14:paraId="76959398" w14:textId="77777777" w:rsidR="002449C2" w:rsidRDefault="00123961">
            <w:pPr>
              <w:shd w:val="clear" w:color="auto" w:fill="FFFFFF"/>
              <w:spacing w:after="0" w:line="240" w:lineRule="auto"/>
              <w:jc w:val="both"/>
              <w:rPr>
                <w:rFonts w:ascii="Times New Roman" w:eastAsia="MS Mincho" w:hAnsi="Times New Roman"/>
                <w:b/>
                <w:sz w:val="20"/>
                <w:szCs w:val="20"/>
                <w:lang w:eastAsia="ja-JP"/>
              </w:rPr>
            </w:pPr>
            <w:r>
              <w:rPr>
                <w:rFonts w:ascii="Times New Roman" w:eastAsia="MS Mincho" w:hAnsi="Times New Roman"/>
                <w:b/>
                <w:sz w:val="20"/>
                <w:szCs w:val="20"/>
                <w:lang w:eastAsia="ja-JP"/>
              </w:rPr>
              <w:t>ТРИШИНА</w:t>
            </w:r>
          </w:p>
          <w:p w14:paraId="634C2893" w14:textId="77777777" w:rsidR="002449C2" w:rsidRDefault="00123961">
            <w:pPr>
              <w:shd w:val="clear" w:color="auto" w:fill="FFFFFF"/>
              <w:spacing w:after="0" w:line="240" w:lineRule="auto"/>
              <w:jc w:val="both"/>
              <w:rPr>
                <w:rFonts w:ascii="Times New Roman" w:eastAsia="MS Mincho" w:hAnsi="Times New Roman"/>
                <w:b/>
                <w:sz w:val="20"/>
                <w:szCs w:val="20"/>
                <w:lang w:eastAsia="ja-JP"/>
              </w:rPr>
            </w:pPr>
            <w:r>
              <w:rPr>
                <w:rFonts w:ascii="Times New Roman" w:eastAsia="MS Mincho" w:hAnsi="Times New Roman"/>
                <w:b/>
                <w:sz w:val="20"/>
                <w:szCs w:val="20"/>
                <w:lang w:eastAsia="ja-JP"/>
              </w:rPr>
              <w:t>Светлана Михайловна</w:t>
            </w:r>
          </w:p>
          <w:p w14:paraId="7BBD8111" w14:textId="77777777" w:rsidR="002449C2" w:rsidRDefault="002449C2">
            <w:pPr>
              <w:shd w:val="clear" w:color="auto" w:fill="FFFFFF"/>
              <w:spacing w:after="0" w:line="240" w:lineRule="auto"/>
              <w:jc w:val="both"/>
              <w:rPr>
                <w:rFonts w:ascii="Times New Roman" w:eastAsia="MS Mincho" w:hAnsi="Times New Roman"/>
                <w:b/>
                <w:sz w:val="20"/>
                <w:szCs w:val="20"/>
                <w:lang w:eastAsia="ja-JP"/>
              </w:rPr>
            </w:pPr>
          </w:p>
          <w:p w14:paraId="300D5812" w14:textId="77777777" w:rsidR="002449C2" w:rsidRDefault="00123961">
            <w:pPr>
              <w:shd w:val="clear" w:color="auto" w:fill="FFFFFF"/>
              <w:spacing w:after="0" w:line="240" w:lineRule="auto"/>
              <w:jc w:val="both"/>
              <w:rPr>
                <w:rFonts w:ascii="Times New Roman" w:eastAsia="MS Mincho" w:hAnsi="Times New Roman"/>
                <w:sz w:val="20"/>
                <w:szCs w:val="20"/>
                <w:lang w:eastAsia="ja-JP"/>
              </w:rPr>
            </w:pPr>
            <w:r>
              <w:rPr>
                <w:rFonts w:ascii="Times New Roman" w:eastAsia="MS Mincho" w:hAnsi="Times New Roman"/>
                <w:sz w:val="20"/>
                <w:szCs w:val="20"/>
                <w:lang w:eastAsia="ja-JP"/>
              </w:rPr>
              <w:t>Секретарь</w:t>
            </w:r>
          </w:p>
        </w:tc>
        <w:tc>
          <w:tcPr>
            <w:tcW w:w="6451" w:type="dxa"/>
            <w:tcBorders>
              <w:top w:val="single" w:sz="4" w:space="0" w:color="000000"/>
              <w:left w:val="single" w:sz="4" w:space="0" w:color="000000"/>
              <w:bottom w:val="single" w:sz="4" w:space="0" w:color="000000"/>
              <w:right w:val="single" w:sz="4" w:space="0" w:color="000000"/>
            </w:tcBorders>
          </w:tcPr>
          <w:p w14:paraId="0AF87DCA"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Родилась 1979 году.</w:t>
            </w:r>
          </w:p>
          <w:p w14:paraId="79FE5A4A"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Образование: высшее</w:t>
            </w:r>
          </w:p>
          <w:p w14:paraId="2DDAB3A8"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Амурский государственный университет, квалификация «Экономист по финансовой работе, банковской работник», специальность «Финансы и кредит», год окончания – 2001.</w:t>
            </w:r>
          </w:p>
          <w:p w14:paraId="3A2B07BA"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Международная академия экспертизы и оценки:</w:t>
            </w:r>
          </w:p>
          <w:p w14:paraId="1FD4404A"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 профессиональная переподготовка по специальности «Внутренний аудит и контроль в коммерческих организациях», год окончания – 2018,</w:t>
            </w:r>
          </w:p>
          <w:p w14:paraId="2CB328EE"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 повышение квалификации по специальности «Внутренний аудит», год окончания – 2021.</w:t>
            </w:r>
          </w:p>
          <w:p w14:paraId="70360853"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ООО «Центр реформ предприятий», квалификационный сертификат (Приказ Минтруда № 398н). Код Е квалификация 7 «Управление (руководство) службой внутреннего аудита», дата выдачи 18.10.2024.</w:t>
            </w:r>
          </w:p>
          <w:p w14:paraId="63EA5E7F" w14:textId="77777777" w:rsidR="002449C2" w:rsidRDefault="002449C2">
            <w:pPr>
              <w:shd w:val="clear" w:color="auto" w:fill="FFFFFF"/>
              <w:spacing w:after="0" w:line="240" w:lineRule="auto"/>
              <w:jc w:val="both"/>
              <w:rPr>
                <w:rFonts w:ascii="Times New Roman" w:eastAsia="Times New Roman" w:hAnsi="Times New Roman"/>
                <w:sz w:val="20"/>
                <w:szCs w:val="20"/>
                <w:lang w:eastAsia="ru-RU"/>
              </w:rPr>
            </w:pPr>
          </w:p>
          <w:p w14:paraId="31382234"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Должность и место работы</w:t>
            </w:r>
          </w:p>
          <w:p w14:paraId="5184E63A"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2017 – н/вр – Публичное акционерное общество «Федеральная сетевая компания - Россети» (до 12.10.2022 - Публичное акционерное общество «Федеральная сетевая компания Единой энергетической системы») - начальник Отдела финансового аудита; начальник Отдела финансового аудита, методологии и отчетности; начальник Отдела корпоративного аудита и контроля ДО; заместитель начальника Департамента внутреннего аудита – начальник Управления корпоративного аудита и контроля ДО Департамента внутреннего аудита;</w:t>
            </w:r>
          </w:p>
          <w:p w14:paraId="728127E4"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2020 – 2022 - Публичное акционерное общество «Российские сети» - заместитель начальника Департамента внутреннего аудита – начальник Управления корпоративного аудита и контроля ДО Департамента внутреннего аудита (по совместительству).</w:t>
            </w:r>
          </w:p>
        </w:tc>
      </w:tr>
      <w:tr w:rsidR="002449C2" w14:paraId="091CB27B" w14:textId="77777777">
        <w:tc>
          <w:tcPr>
            <w:tcW w:w="645" w:type="dxa"/>
            <w:tcBorders>
              <w:top w:val="single" w:sz="4" w:space="0" w:color="000000"/>
              <w:left w:val="single" w:sz="4" w:space="0" w:color="000000"/>
              <w:bottom w:val="single" w:sz="4" w:space="0" w:color="000000"/>
              <w:right w:val="single" w:sz="4" w:space="0" w:color="000000"/>
            </w:tcBorders>
          </w:tcPr>
          <w:p w14:paraId="566EDB19" w14:textId="77777777" w:rsidR="002449C2" w:rsidRDefault="00123961">
            <w:pPr>
              <w:shd w:val="clear" w:color="auto" w:fill="FFFFFF"/>
              <w:spacing w:after="0" w:line="240" w:lineRule="auto"/>
              <w:jc w:val="center"/>
              <w:rPr>
                <w:rFonts w:ascii="Times New Roman" w:eastAsia="MS Mincho" w:hAnsi="Times New Roman"/>
                <w:sz w:val="20"/>
                <w:szCs w:val="20"/>
                <w:lang w:eastAsia="ja-JP"/>
              </w:rPr>
            </w:pPr>
            <w:r>
              <w:rPr>
                <w:rFonts w:ascii="Times New Roman" w:eastAsia="MS Mincho" w:hAnsi="Times New Roman"/>
                <w:sz w:val="20"/>
                <w:szCs w:val="20"/>
                <w:lang w:eastAsia="ja-JP"/>
              </w:rPr>
              <w:t>4</w:t>
            </w:r>
          </w:p>
        </w:tc>
        <w:tc>
          <w:tcPr>
            <w:tcW w:w="2531" w:type="dxa"/>
            <w:tcBorders>
              <w:top w:val="single" w:sz="4" w:space="0" w:color="000000"/>
              <w:left w:val="single" w:sz="4" w:space="0" w:color="000000"/>
              <w:bottom w:val="single" w:sz="4" w:space="0" w:color="000000"/>
              <w:right w:val="single" w:sz="4" w:space="0" w:color="000000"/>
            </w:tcBorders>
          </w:tcPr>
          <w:p w14:paraId="75D82871" w14:textId="77777777" w:rsidR="002449C2" w:rsidRDefault="002449C2">
            <w:pPr>
              <w:shd w:val="clear" w:color="auto" w:fill="FFFFFF"/>
              <w:spacing w:after="0" w:line="240" w:lineRule="auto"/>
              <w:jc w:val="both"/>
              <w:rPr>
                <w:rFonts w:ascii="Times New Roman" w:eastAsia="MS Mincho" w:hAnsi="Times New Roman"/>
                <w:b/>
                <w:sz w:val="20"/>
                <w:szCs w:val="20"/>
                <w:lang w:eastAsia="ja-JP"/>
              </w:rPr>
            </w:pPr>
          </w:p>
          <w:p w14:paraId="00947981" w14:textId="77777777" w:rsidR="002449C2" w:rsidRDefault="00123961">
            <w:pPr>
              <w:shd w:val="clear" w:color="auto" w:fill="FFFFFF"/>
              <w:spacing w:after="0" w:line="240" w:lineRule="auto"/>
              <w:jc w:val="both"/>
              <w:rPr>
                <w:rFonts w:ascii="Times New Roman" w:eastAsia="MS Mincho" w:hAnsi="Times New Roman"/>
                <w:b/>
                <w:sz w:val="20"/>
                <w:szCs w:val="20"/>
                <w:lang w:eastAsia="ja-JP"/>
              </w:rPr>
            </w:pPr>
            <w:r>
              <w:rPr>
                <w:rFonts w:ascii="Times New Roman" w:eastAsia="MS Mincho" w:hAnsi="Times New Roman"/>
                <w:b/>
                <w:sz w:val="20"/>
                <w:szCs w:val="20"/>
                <w:lang w:eastAsia="ja-JP"/>
              </w:rPr>
              <w:t>РОПТАНОВА</w:t>
            </w:r>
          </w:p>
          <w:p w14:paraId="5B06067B" w14:textId="77777777" w:rsidR="002449C2" w:rsidRDefault="00123961">
            <w:pPr>
              <w:shd w:val="clear" w:color="auto" w:fill="FFFFFF"/>
              <w:spacing w:after="0" w:line="240" w:lineRule="auto"/>
              <w:jc w:val="both"/>
              <w:rPr>
                <w:rFonts w:ascii="Times New Roman" w:eastAsia="MS Mincho" w:hAnsi="Times New Roman"/>
                <w:sz w:val="20"/>
                <w:szCs w:val="20"/>
                <w:lang w:eastAsia="ja-JP"/>
              </w:rPr>
            </w:pPr>
            <w:r>
              <w:rPr>
                <w:rFonts w:ascii="Times New Roman" w:eastAsia="MS Mincho" w:hAnsi="Times New Roman"/>
                <w:b/>
                <w:sz w:val="20"/>
                <w:szCs w:val="20"/>
                <w:lang w:eastAsia="ja-JP"/>
              </w:rPr>
              <w:t>Елена Михайловна</w:t>
            </w:r>
          </w:p>
        </w:tc>
        <w:tc>
          <w:tcPr>
            <w:tcW w:w="6451" w:type="dxa"/>
            <w:tcBorders>
              <w:top w:val="single" w:sz="4" w:space="0" w:color="000000"/>
              <w:left w:val="single" w:sz="4" w:space="0" w:color="000000"/>
              <w:bottom w:val="single" w:sz="4" w:space="0" w:color="000000"/>
              <w:right w:val="single" w:sz="4" w:space="0" w:color="000000"/>
            </w:tcBorders>
          </w:tcPr>
          <w:p w14:paraId="11337481"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Родилась в 1974 году.</w:t>
            </w:r>
          </w:p>
          <w:p w14:paraId="7E09334E"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Образование: высшее</w:t>
            </w:r>
          </w:p>
          <w:p w14:paraId="42022B40"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Самарская государственная экономическая академия, специальность «Экономика и управление на предприятиях», квалификация «Экономист-менеджер», год окончания – 1996.</w:t>
            </w:r>
          </w:p>
          <w:p w14:paraId="68421016" w14:textId="77777777" w:rsidR="002449C2" w:rsidRDefault="002449C2">
            <w:pPr>
              <w:shd w:val="clear" w:color="auto" w:fill="FFFFFF"/>
              <w:spacing w:after="0" w:line="240" w:lineRule="auto"/>
              <w:jc w:val="both"/>
              <w:rPr>
                <w:rFonts w:ascii="Times New Roman" w:eastAsia="Times New Roman" w:hAnsi="Times New Roman"/>
                <w:sz w:val="20"/>
                <w:szCs w:val="20"/>
                <w:lang w:eastAsia="ru-RU"/>
              </w:rPr>
            </w:pPr>
          </w:p>
          <w:p w14:paraId="49701407"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Должность и место работы</w:t>
            </w:r>
          </w:p>
          <w:p w14:paraId="6BBD29EE"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2020 – н/вр – Публичное акционерное общество «Федеральная сетевая компания - Россети» (до 12.10.2022 - Публичное акционерное общество «Федеральная сетевая компания Единой энергетической системы») - Главный эксперт Управления корпоративного аудита и контроля ДО Департамента внутреннего аудита;</w:t>
            </w:r>
          </w:p>
          <w:p w14:paraId="52FE840C"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2020-2022 - Публичное акционерное общество «Российские сети» - Главный эксперт Управления корпоративного аудита и контроля ДО Департамента внутреннего аудита (по совместительству).</w:t>
            </w:r>
          </w:p>
        </w:tc>
      </w:tr>
      <w:tr w:rsidR="002449C2" w14:paraId="1513CC96" w14:textId="77777777">
        <w:trPr>
          <w:trHeight w:val="5092"/>
        </w:trPr>
        <w:tc>
          <w:tcPr>
            <w:tcW w:w="645" w:type="dxa"/>
            <w:tcBorders>
              <w:top w:val="single" w:sz="4" w:space="0" w:color="000000"/>
              <w:left w:val="single" w:sz="4" w:space="0" w:color="000000"/>
              <w:bottom w:val="single" w:sz="4" w:space="0" w:color="000000"/>
              <w:right w:val="single" w:sz="4" w:space="0" w:color="000000"/>
            </w:tcBorders>
          </w:tcPr>
          <w:p w14:paraId="2CF7BE4D" w14:textId="77777777" w:rsidR="002449C2" w:rsidRDefault="00123961">
            <w:pPr>
              <w:shd w:val="clear" w:color="auto" w:fill="FFFFFF"/>
              <w:spacing w:after="0" w:line="240" w:lineRule="auto"/>
              <w:jc w:val="both"/>
              <w:rPr>
                <w:rFonts w:ascii="Times New Roman" w:eastAsia="MS Mincho" w:hAnsi="Times New Roman"/>
                <w:sz w:val="20"/>
                <w:szCs w:val="20"/>
                <w:lang w:eastAsia="ja-JP"/>
              </w:rPr>
            </w:pPr>
            <w:r>
              <w:rPr>
                <w:rFonts w:ascii="Times New Roman" w:eastAsia="MS Mincho" w:hAnsi="Times New Roman"/>
                <w:sz w:val="20"/>
                <w:szCs w:val="20"/>
                <w:lang w:eastAsia="ja-JP"/>
              </w:rPr>
              <w:t>5</w:t>
            </w:r>
          </w:p>
        </w:tc>
        <w:tc>
          <w:tcPr>
            <w:tcW w:w="2531" w:type="dxa"/>
            <w:tcBorders>
              <w:top w:val="single" w:sz="4" w:space="0" w:color="000000"/>
              <w:left w:val="single" w:sz="4" w:space="0" w:color="000000"/>
              <w:bottom w:val="single" w:sz="4" w:space="0" w:color="000000"/>
              <w:right w:val="single" w:sz="4" w:space="0" w:color="000000"/>
            </w:tcBorders>
          </w:tcPr>
          <w:p w14:paraId="374C4A7E" w14:textId="77777777" w:rsidR="002449C2" w:rsidRDefault="002449C2">
            <w:pPr>
              <w:shd w:val="clear" w:color="auto" w:fill="FFFFFF"/>
              <w:spacing w:after="0" w:line="240" w:lineRule="auto"/>
              <w:jc w:val="both"/>
              <w:rPr>
                <w:rFonts w:ascii="Times New Roman" w:hAnsi="Times New Roman"/>
                <w:sz w:val="20"/>
                <w:szCs w:val="20"/>
              </w:rPr>
            </w:pPr>
          </w:p>
          <w:p w14:paraId="04D2984C" w14:textId="77777777" w:rsidR="002449C2" w:rsidRDefault="00123961">
            <w:pPr>
              <w:shd w:val="clear" w:color="auto" w:fill="FFFFFF"/>
              <w:spacing w:after="0" w:line="240" w:lineRule="auto"/>
              <w:jc w:val="both"/>
              <w:rPr>
                <w:rFonts w:ascii="Times New Roman" w:hAnsi="Times New Roman"/>
                <w:b/>
                <w:sz w:val="20"/>
                <w:szCs w:val="20"/>
              </w:rPr>
            </w:pPr>
            <w:r>
              <w:rPr>
                <w:rFonts w:ascii="Times New Roman" w:hAnsi="Times New Roman"/>
                <w:b/>
                <w:sz w:val="20"/>
                <w:szCs w:val="20"/>
              </w:rPr>
              <w:t>АНДРИАСОВА</w:t>
            </w:r>
          </w:p>
          <w:p w14:paraId="1E294AE4" w14:textId="77777777" w:rsidR="002449C2" w:rsidRDefault="00123961">
            <w:pPr>
              <w:shd w:val="clear" w:color="auto" w:fill="FFFFFF"/>
              <w:spacing w:after="0" w:line="240" w:lineRule="auto"/>
              <w:jc w:val="both"/>
              <w:rPr>
                <w:rFonts w:ascii="Times New Roman" w:eastAsia="MS Mincho" w:hAnsi="Times New Roman"/>
                <w:sz w:val="20"/>
                <w:szCs w:val="20"/>
                <w:lang w:eastAsia="ja-JP"/>
              </w:rPr>
            </w:pPr>
            <w:r>
              <w:rPr>
                <w:rFonts w:ascii="Times New Roman" w:hAnsi="Times New Roman"/>
                <w:b/>
                <w:sz w:val="20"/>
                <w:szCs w:val="20"/>
              </w:rPr>
              <w:t>Гаянэ Робертовна</w:t>
            </w:r>
          </w:p>
        </w:tc>
        <w:tc>
          <w:tcPr>
            <w:tcW w:w="6451" w:type="dxa"/>
            <w:tcBorders>
              <w:top w:val="single" w:sz="4" w:space="0" w:color="000000"/>
              <w:left w:val="single" w:sz="4" w:space="0" w:color="000000"/>
              <w:bottom w:val="single" w:sz="4" w:space="0" w:color="000000"/>
              <w:right w:val="single" w:sz="4" w:space="0" w:color="000000"/>
            </w:tcBorders>
          </w:tcPr>
          <w:p w14:paraId="312AD7E8"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Родилась в 1977 году.</w:t>
            </w:r>
          </w:p>
          <w:p w14:paraId="53A9B945"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Образование: высшее</w:t>
            </w:r>
          </w:p>
          <w:p w14:paraId="31356BAD"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Ростовская государственная экономическая академия, специальность «Маркетинг», квалификация «Экономист», год окончания – 1997</w:t>
            </w:r>
          </w:p>
          <w:p w14:paraId="69709CFE" w14:textId="77777777" w:rsidR="002449C2" w:rsidRDefault="002449C2">
            <w:pPr>
              <w:shd w:val="clear" w:color="auto" w:fill="FFFFFF"/>
              <w:spacing w:after="0" w:line="240" w:lineRule="auto"/>
              <w:jc w:val="both"/>
              <w:rPr>
                <w:rFonts w:ascii="Times New Roman" w:hAnsi="Times New Roman"/>
                <w:sz w:val="20"/>
                <w:szCs w:val="20"/>
              </w:rPr>
            </w:pPr>
          </w:p>
          <w:p w14:paraId="2043B19D" w14:textId="77777777" w:rsidR="002449C2" w:rsidRDefault="00123961">
            <w:pPr>
              <w:shd w:val="clear" w:color="auto" w:fill="FFFFFF"/>
              <w:spacing w:after="0" w:line="240" w:lineRule="auto"/>
              <w:jc w:val="both"/>
              <w:rPr>
                <w:rFonts w:ascii="Times New Roman" w:hAnsi="Times New Roman"/>
                <w:b/>
                <w:sz w:val="20"/>
                <w:szCs w:val="20"/>
                <w:u w:val="single"/>
              </w:rPr>
            </w:pPr>
            <w:r>
              <w:rPr>
                <w:rFonts w:ascii="Times New Roman" w:hAnsi="Times New Roman"/>
                <w:b/>
                <w:sz w:val="20"/>
                <w:szCs w:val="20"/>
                <w:u w:val="single"/>
              </w:rPr>
              <w:t>Должность и место работы</w:t>
            </w:r>
          </w:p>
          <w:p w14:paraId="600198BE"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2020 – н/вр - Публичное акционерное общество «Федеральная сетевая компания - Россети» (до 12.10.2022 - Публичное акционерное общество «Федеральная сетевая компания Единой энергетической системы») - заместитель начальника Управления корпоративного аудита и контроля ДО Департамента внутреннего аудита;</w:t>
            </w:r>
          </w:p>
          <w:p w14:paraId="384DA084"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2020 – 2022 - Публичное акционерное общество «Российские сети» - заместитель начальника Управления корпоративного аудита и контроля ДО Департамента внутреннего аудита (по совместительству).</w:t>
            </w:r>
          </w:p>
        </w:tc>
      </w:tr>
    </w:tbl>
    <w:p w14:paraId="339C47CC" w14:textId="77777777" w:rsidR="002449C2" w:rsidRDefault="002449C2">
      <w:pPr>
        <w:shd w:val="clear" w:color="auto" w:fill="FFFFFF"/>
        <w:spacing w:after="0" w:line="240" w:lineRule="auto"/>
        <w:jc w:val="center"/>
        <w:rPr>
          <w:rFonts w:ascii="Times New Roman" w:eastAsia="MS Mincho" w:hAnsi="Times New Roman"/>
          <w:color w:val="0070C0"/>
          <w:sz w:val="26"/>
          <w:szCs w:val="26"/>
          <w:lang w:eastAsia="ja-JP"/>
        </w:rPr>
      </w:pPr>
    </w:p>
    <w:p w14:paraId="0D7B2485" w14:textId="77777777" w:rsidR="002449C2" w:rsidRDefault="00123961">
      <w:pPr>
        <w:shd w:val="clear" w:color="auto" w:fill="FFFFFF"/>
        <w:spacing w:after="0" w:line="240" w:lineRule="auto"/>
        <w:jc w:val="center"/>
        <w:rPr>
          <w:rFonts w:ascii="Times New Roman" w:eastAsia="MS Mincho" w:hAnsi="Times New Roman"/>
          <w:color w:val="0070C0"/>
          <w:sz w:val="26"/>
          <w:szCs w:val="26"/>
          <w:lang w:eastAsia="ja-JP"/>
        </w:rPr>
      </w:pPr>
      <w:r>
        <w:rPr>
          <w:rFonts w:ascii="Times New Roman" w:eastAsia="MS Mincho" w:hAnsi="Times New Roman"/>
          <w:color w:val="0070C0"/>
          <w:sz w:val="26"/>
          <w:szCs w:val="26"/>
          <w:lang w:eastAsia="ja-JP"/>
        </w:rPr>
        <w:t xml:space="preserve">Состав Ревизионной комиссии, действовавший в период до 19.06.2024 </w:t>
      </w:r>
      <w:r>
        <w:rPr>
          <w:rStyle w:val="af"/>
          <w:rFonts w:ascii="Times New Roman" w:eastAsia="Times New Roman" w:hAnsi="Times New Roman"/>
          <w:color w:val="0000FF"/>
          <w:sz w:val="26"/>
          <w:szCs w:val="26"/>
          <w:u w:val="single"/>
          <w:lang w:eastAsia="en-US"/>
        </w:rPr>
        <w:footnoteReference w:id="33"/>
      </w:r>
    </w:p>
    <w:p w14:paraId="4834B9C3" w14:textId="77777777" w:rsidR="002449C2" w:rsidRDefault="002449C2">
      <w:pPr>
        <w:shd w:val="clear" w:color="auto" w:fill="FFFFFF"/>
        <w:spacing w:after="0" w:line="240" w:lineRule="auto"/>
        <w:jc w:val="center"/>
        <w:rPr>
          <w:rFonts w:ascii="Cambria" w:eastAsia="MS Mincho" w:hAnsi="Cambria"/>
          <w:b/>
          <w:color w:val="0070C0"/>
          <w:sz w:val="26"/>
          <w:szCs w:val="26"/>
          <w:lang w:eastAsia="ja-JP"/>
        </w:rPr>
      </w:pPr>
    </w:p>
    <w:tbl>
      <w:tblPr>
        <w:tblW w:w="9627" w:type="dxa"/>
        <w:tblLayout w:type="fixed"/>
        <w:tblLook w:val="04A0" w:firstRow="1" w:lastRow="0" w:firstColumn="1" w:lastColumn="0" w:noHBand="0" w:noVBand="1"/>
      </w:tblPr>
      <w:tblGrid>
        <w:gridCol w:w="645"/>
        <w:gridCol w:w="2532"/>
        <w:gridCol w:w="6450"/>
      </w:tblGrid>
      <w:tr w:rsidR="002449C2" w14:paraId="4EADFCFC" w14:textId="77777777">
        <w:tc>
          <w:tcPr>
            <w:tcW w:w="645" w:type="dxa"/>
            <w:tcBorders>
              <w:top w:val="single" w:sz="4" w:space="0" w:color="000000"/>
              <w:left w:val="single" w:sz="4" w:space="0" w:color="000000"/>
              <w:bottom w:val="single" w:sz="4" w:space="0" w:color="000000"/>
              <w:right w:val="single" w:sz="4" w:space="0" w:color="000000"/>
            </w:tcBorders>
          </w:tcPr>
          <w:p w14:paraId="29C75791" w14:textId="77777777" w:rsidR="002449C2" w:rsidRDefault="00123961">
            <w:pPr>
              <w:shd w:val="clear" w:color="auto" w:fill="FFFFFF"/>
              <w:spacing w:before="120" w:after="120" w:line="240" w:lineRule="auto"/>
              <w:jc w:val="both"/>
              <w:rPr>
                <w:rFonts w:ascii="Times New Roman" w:eastAsia="MS Mincho" w:hAnsi="Times New Roman"/>
                <w:b/>
                <w:sz w:val="20"/>
                <w:szCs w:val="20"/>
                <w:lang w:eastAsia="ja-JP"/>
              </w:rPr>
            </w:pPr>
            <w:r>
              <w:rPr>
                <w:rFonts w:ascii="Times New Roman" w:eastAsia="MS Mincho" w:hAnsi="Times New Roman"/>
                <w:b/>
                <w:sz w:val="20"/>
                <w:szCs w:val="20"/>
                <w:lang w:eastAsia="ja-JP"/>
              </w:rPr>
              <w:t>№</w:t>
            </w:r>
          </w:p>
        </w:tc>
        <w:tc>
          <w:tcPr>
            <w:tcW w:w="2532" w:type="dxa"/>
            <w:tcBorders>
              <w:top w:val="single" w:sz="4" w:space="0" w:color="000000"/>
              <w:left w:val="single" w:sz="4" w:space="0" w:color="000000"/>
              <w:bottom w:val="single" w:sz="4" w:space="0" w:color="000000"/>
              <w:right w:val="single" w:sz="4" w:space="0" w:color="000000"/>
            </w:tcBorders>
          </w:tcPr>
          <w:p w14:paraId="5F771477" w14:textId="77777777" w:rsidR="002449C2" w:rsidRDefault="00123961">
            <w:pPr>
              <w:shd w:val="clear" w:color="auto" w:fill="FFFFFF"/>
              <w:spacing w:before="120" w:after="120" w:line="240" w:lineRule="auto"/>
              <w:jc w:val="both"/>
              <w:rPr>
                <w:rFonts w:ascii="Times New Roman" w:eastAsia="MS Mincho" w:hAnsi="Times New Roman"/>
                <w:b/>
                <w:sz w:val="20"/>
                <w:szCs w:val="20"/>
                <w:lang w:eastAsia="ja-JP"/>
              </w:rPr>
            </w:pPr>
            <w:r>
              <w:rPr>
                <w:rFonts w:ascii="Times New Roman" w:eastAsia="MS Mincho" w:hAnsi="Times New Roman"/>
                <w:b/>
                <w:sz w:val="20"/>
                <w:szCs w:val="20"/>
                <w:lang w:eastAsia="ja-JP"/>
              </w:rPr>
              <w:t>ФИО</w:t>
            </w:r>
          </w:p>
        </w:tc>
        <w:tc>
          <w:tcPr>
            <w:tcW w:w="6450" w:type="dxa"/>
            <w:tcBorders>
              <w:top w:val="single" w:sz="4" w:space="0" w:color="000000"/>
              <w:left w:val="single" w:sz="4" w:space="0" w:color="000000"/>
              <w:bottom w:val="single" w:sz="4" w:space="0" w:color="000000"/>
              <w:right w:val="single" w:sz="4" w:space="0" w:color="000000"/>
            </w:tcBorders>
          </w:tcPr>
          <w:p w14:paraId="7658FB4F" w14:textId="77777777" w:rsidR="002449C2" w:rsidRDefault="00123961">
            <w:pPr>
              <w:shd w:val="clear" w:color="auto" w:fill="FFFFFF"/>
              <w:spacing w:before="120" w:after="120" w:line="240" w:lineRule="auto"/>
              <w:jc w:val="both"/>
              <w:rPr>
                <w:rFonts w:ascii="Times New Roman" w:eastAsia="MS Mincho" w:hAnsi="Times New Roman"/>
                <w:b/>
                <w:sz w:val="20"/>
                <w:szCs w:val="20"/>
                <w:lang w:eastAsia="ja-JP"/>
              </w:rPr>
            </w:pPr>
            <w:r>
              <w:rPr>
                <w:rFonts w:ascii="Times New Roman" w:eastAsia="MS Mincho" w:hAnsi="Times New Roman"/>
                <w:b/>
                <w:sz w:val="20"/>
                <w:szCs w:val="20"/>
                <w:lang w:eastAsia="ja-JP"/>
              </w:rPr>
              <w:t>Информация о членах Ревизионной комиссии</w:t>
            </w:r>
          </w:p>
        </w:tc>
      </w:tr>
      <w:tr w:rsidR="002449C2" w14:paraId="08723856" w14:textId="77777777">
        <w:trPr>
          <w:trHeight w:val="698"/>
        </w:trPr>
        <w:tc>
          <w:tcPr>
            <w:tcW w:w="645" w:type="dxa"/>
            <w:tcBorders>
              <w:top w:val="single" w:sz="4" w:space="0" w:color="000000"/>
              <w:left w:val="single" w:sz="4" w:space="0" w:color="000000"/>
              <w:bottom w:val="single" w:sz="4" w:space="0" w:color="000000"/>
              <w:right w:val="single" w:sz="4" w:space="0" w:color="000000"/>
            </w:tcBorders>
          </w:tcPr>
          <w:p w14:paraId="03CF2FFC" w14:textId="77777777" w:rsidR="002449C2" w:rsidRDefault="00123961">
            <w:pPr>
              <w:shd w:val="clear" w:color="auto" w:fill="FFFFFF"/>
              <w:spacing w:after="0" w:line="240" w:lineRule="auto"/>
              <w:jc w:val="center"/>
              <w:rPr>
                <w:rFonts w:ascii="Times New Roman" w:eastAsia="MS Mincho" w:hAnsi="Times New Roman"/>
                <w:sz w:val="20"/>
                <w:szCs w:val="20"/>
                <w:lang w:eastAsia="ja-JP"/>
              </w:rPr>
            </w:pPr>
            <w:r>
              <w:rPr>
                <w:rFonts w:ascii="Times New Roman" w:eastAsia="MS Mincho" w:hAnsi="Times New Roman"/>
                <w:sz w:val="20"/>
                <w:szCs w:val="20"/>
                <w:lang w:eastAsia="ja-JP"/>
              </w:rPr>
              <w:t>1</w:t>
            </w:r>
          </w:p>
        </w:tc>
        <w:tc>
          <w:tcPr>
            <w:tcW w:w="2532" w:type="dxa"/>
            <w:tcBorders>
              <w:top w:val="single" w:sz="4" w:space="0" w:color="000000"/>
              <w:left w:val="single" w:sz="4" w:space="0" w:color="000000"/>
              <w:bottom w:val="single" w:sz="4" w:space="0" w:color="000000"/>
              <w:right w:val="single" w:sz="4" w:space="0" w:color="000000"/>
            </w:tcBorders>
          </w:tcPr>
          <w:p w14:paraId="3E708142" w14:textId="77777777" w:rsidR="002449C2" w:rsidRDefault="002449C2">
            <w:pPr>
              <w:shd w:val="clear" w:color="auto" w:fill="FFFFFF"/>
              <w:spacing w:after="0" w:line="240" w:lineRule="auto"/>
              <w:jc w:val="both"/>
              <w:rPr>
                <w:rFonts w:ascii="Times New Roman" w:hAnsi="Times New Roman"/>
                <w:b/>
                <w:sz w:val="20"/>
                <w:szCs w:val="20"/>
              </w:rPr>
            </w:pPr>
          </w:p>
          <w:p w14:paraId="7D1B88FB" w14:textId="77777777" w:rsidR="002449C2" w:rsidRDefault="00123961">
            <w:pPr>
              <w:shd w:val="clear" w:color="auto" w:fill="FFFFFF"/>
              <w:spacing w:after="0" w:line="240" w:lineRule="auto"/>
              <w:jc w:val="both"/>
              <w:rPr>
                <w:rFonts w:ascii="Times New Roman" w:hAnsi="Times New Roman"/>
                <w:b/>
                <w:sz w:val="20"/>
                <w:szCs w:val="20"/>
              </w:rPr>
            </w:pPr>
            <w:r>
              <w:rPr>
                <w:rFonts w:ascii="Times New Roman" w:hAnsi="Times New Roman"/>
                <w:b/>
                <w:sz w:val="20"/>
                <w:szCs w:val="20"/>
              </w:rPr>
              <w:t>УЛЬЯНОВ</w:t>
            </w:r>
          </w:p>
          <w:p w14:paraId="2462F461" w14:textId="77777777" w:rsidR="002449C2" w:rsidRDefault="00123961">
            <w:pPr>
              <w:shd w:val="clear" w:color="auto" w:fill="FFFFFF"/>
              <w:spacing w:after="0" w:line="240" w:lineRule="auto"/>
              <w:jc w:val="both"/>
              <w:rPr>
                <w:rFonts w:ascii="Times New Roman" w:hAnsi="Times New Roman"/>
                <w:b/>
                <w:sz w:val="20"/>
                <w:szCs w:val="20"/>
              </w:rPr>
            </w:pPr>
            <w:r>
              <w:rPr>
                <w:rFonts w:ascii="Times New Roman" w:hAnsi="Times New Roman"/>
                <w:b/>
                <w:sz w:val="20"/>
                <w:szCs w:val="20"/>
              </w:rPr>
              <w:t>Антон Сергеевич,</w:t>
            </w:r>
          </w:p>
          <w:p w14:paraId="0345F5FF" w14:textId="77777777" w:rsidR="002449C2" w:rsidRDefault="002449C2">
            <w:pPr>
              <w:shd w:val="clear" w:color="auto" w:fill="FFFFFF"/>
              <w:spacing w:after="0" w:line="240" w:lineRule="auto"/>
              <w:jc w:val="both"/>
              <w:rPr>
                <w:rFonts w:ascii="Times New Roman" w:hAnsi="Times New Roman"/>
                <w:b/>
                <w:sz w:val="20"/>
                <w:szCs w:val="20"/>
              </w:rPr>
            </w:pPr>
          </w:p>
          <w:p w14:paraId="2DFAF96D"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Председатель</w:t>
            </w:r>
          </w:p>
          <w:p w14:paraId="103F9083" w14:textId="77777777" w:rsidR="002449C2" w:rsidRDefault="002449C2">
            <w:pPr>
              <w:shd w:val="clear" w:color="auto" w:fill="FFFFFF"/>
              <w:spacing w:after="0" w:line="240" w:lineRule="auto"/>
              <w:jc w:val="both"/>
              <w:rPr>
                <w:rFonts w:ascii="Times New Roman" w:eastAsia="MS Mincho" w:hAnsi="Times New Roman"/>
                <w:b/>
                <w:sz w:val="20"/>
                <w:szCs w:val="20"/>
                <w:lang w:eastAsia="ja-JP"/>
              </w:rPr>
            </w:pPr>
          </w:p>
        </w:tc>
        <w:tc>
          <w:tcPr>
            <w:tcW w:w="6450" w:type="dxa"/>
            <w:tcBorders>
              <w:top w:val="single" w:sz="4" w:space="0" w:color="000000"/>
              <w:left w:val="single" w:sz="4" w:space="0" w:color="000000"/>
              <w:bottom w:val="single" w:sz="4" w:space="0" w:color="000000"/>
              <w:right w:val="single" w:sz="4" w:space="0" w:color="000000"/>
            </w:tcBorders>
          </w:tcPr>
          <w:p w14:paraId="7197A7C3"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Родился в 1979 году.</w:t>
            </w:r>
          </w:p>
          <w:p w14:paraId="620BCA31"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Образование: высшее</w:t>
            </w:r>
          </w:p>
          <w:p w14:paraId="7958986F"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ГОУВПО «Московская государственная юридическая академия», квалификация - юрист, год окончания – 2004.</w:t>
            </w:r>
          </w:p>
          <w:p w14:paraId="56DCC3F9"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Ассоциация «Институт внутренних аудиторов», профессиональная переподготовка, Аудитор-консультант, год окончания – 2021.</w:t>
            </w:r>
          </w:p>
          <w:p w14:paraId="6E5705CA"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ООО Учебный центр «ИВА», профессиональная переподготовка, «Внутренний аудитор», Уровень «Профессионал», год окончания – 2021.</w:t>
            </w:r>
          </w:p>
          <w:p w14:paraId="1B860A86" w14:textId="77777777" w:rsidR="002449C2" w:rsidRDefault="00123961">
            <w:pPr>
              <w:shd w:val="clear" w:color="auto" w:fill="FFFFFF"/>
              <w:spacing w:line="240" w:lineRule="auto"/>
              <w:jc w:val="both"/>
              <w:rPr>
                <w:rFonts w:ascii="Times New Roman" w:hAnsi="Times New Roman"/>
                <w:sz w:val="20"/>
                <w:szCs w:val="20"/>
              </w:rPr>
            </w:pPr>
            <w:r>
              <w:rPr>
                <w:rFonts w:ascii="Times New Roman" w:hAnsi="Times New Roman"/>
                <w:sz w:val="20"/>
                <w:szCs w:val="20"/>
              </w:rPr>
              <w:t>ООО «КУМЦ АПР», профессиональная переподготовка, Руководитель самостоятельного подразделения внутреннего контроля. Профстандарт «Специалист по внутреннему контролю (внутренний контролер). Уровень 7», год окончания – 2021.</w:t>
            </w:r>
          </w:p>
          <w:p w14:paraId="004E7F24" w14:textId="77777777" w:rsidR="002449C2" w:rsidRDefault="00123961">
            <w:pPr>
              <w:shd w:val="clear" w:color="auto" w:fill="FFFFFF"/>
              <w:spacing w:after="0" w:line="240" w:lineRule="auto"/>
              <w:jc w:val="both"/>
              <w:rPr>
                <w:rFonts w:ascii="Times New Roman" w:eastAsia="Times New Roman" w:hAnsi="Times New Roman"/>
                <w:b/>
                <w:sz w:val="20"/>
                <w:szCs w:val="20"/>
                <w:u w:val="single"/>
                <w:lang w:eastAsia="ru-RU"/>
              </w:rPr>
            </w:pPr>
            <w:r>
              <w:rPr>
                <w:rFonts w:ascii="Times New Roman" w:eastAsia="Times New Roman" w:hAnsi="Times New Roman"/>
                <w:b/>
                <w:sz w:val="20"/>
                <w:szCs w:val="20"/>
                <w:u w:val="single"/>
                <w:lang w:eastAsia="ru-RU"/>
              </w:rPr>
              <w:t>Должность и место работы</w:t>
            </w:r>
          </w:p>
          <w:p w14:paraId="5E702DFE"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2021 – 2022 – Публичное акционерное общество «Российские сети» - Директор по внутреннему контролю и управлению рисками – начальник Департамента внутреннего контроля и управления рисками (по совместительству);</w:t>
            </w:r>
          </w:p>
          <w:p w14:paraId="10A13FAC"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2021 – н/вр – Публичное акционерное общество «Федеральная сетевая компания – Россети» (до 12.10.2022 - Публичное акционерное общество «Федеральная сетевая компания Единой энергетической системы») - Директор по внутреннему контролю и управлению рисками – начальник Департамента внутреннего контроля и управления рисками; с 12.2022 - Директор по внутреннему аудиту – начальник Департамента внутреннего аудита.</w:t>
            </w:r>
          </w:p>
          <w:p w14:paraId="1514558C" w14:textId="77777777" w:rsidR="002449C2" w:rsidRDefault="002449C2">
            <w:pPr>
              <w:shd w:val="clear" w:color="auto" w:fill="FFFFFF"/>
              <w:spacing w:after="0" w:line="240" w:lineRule="auto"/>
              <w:jc w:val="both"/>
              <w:rPr>
                <w:rFonts w:ascii="Times New Roman" w:hAnsi="Times New Roman"/>
                <w:sz w:val="20"/>
                <w:szCs w:val="20"/>
              </w:rPr>
            </w:pPr>
          </w:p>
          <w:p w14:paraId="482287D8" w14:textId="77777777" w:rsidR="002449C2" w:rsidRDefault="00123961">
            <w:pPr>
              <w:shd w:val="clear" w:color="auto" w:fill="FFFFFF"/>
              <w:spacing w:after="0" w:line="240" w:lineRule="auto"/>
              <w:jc w:val="both"/>
              <w:rPr>
                <w:rFonts w:ascii="Times New Roman" w:eastAsia="Times New Roman" w:hAnsi="Times New Roman"/>
                <w:b/>
                <w:sz w:val="20"/>
                <w:szCs w:val="20"/>
                <w:u w:val="single"/>
                <w:lang w:eastAsia="ru-RU"/>
              </w:rPr>
            </w:pPr>
            <w:r>
              <w:rPr>
                <w:rFonts w:ascii="Times New Roman" w:eastAsia="Times New Roman" w:hAnsi="Times New Roman"/>
                <w:b/>
                <w:sz w:val="20"/>
                <w:szCs w:val="20"/>
                <w:u w:val="single"/>
                <w:lang w:eastAsia="ru-RU"/>
              </w:rPr>
              <w:t>Должности, которые член ревизионной комиссии занимал или занимает в ПАО «Россети Юг» и в органах управления других организаций за последние три года:</w:t>
            </w:r>
          </w:p>
          <w:p w14:paraId="6FC234D8"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2022 – 2023 гг. - ПАО «Россети Центр и Приволжье», ПАО «Россети Сибирь», ПАО «Россети Волга», ПАО «Россети Северный Кавказ», АО «Россети Мобильные ГТЭС», Член Совета директоров.</w:t>
            </w:r>
          </w:p>
        </w:tc>
      </w:tr>
      <w:tr w:rsidR="002449C2" w14:paraId="54342B0D" w14:textId="77777777">
        <w:trPr>
          <w:trHeight w:val="4947"/>
        </w:trPr>
        <w:tc>
          <w:tcPr>
            <w:tcW w:w="645" w:type="dxa"/>
            <w:tcBorders>
              <w:top w:val="single" w:sz="4" w:space="0" w:color="000000"/>
              <w:left w:val="single" w:sz="4" w:space="0" w:color="000000"/>
              <w:bottom w:val="single" w:sz="4" w:space="0" w:color="000000"/>
              <w:right w:val="single" w:sz="4" w:space="0" w:color="000000"/>
            </w:tcBorders>
          </w:tcPr>
          <w:p w14:paraId="20E7E415" w14:textId="77777777" w:rsidR="002449C2" w:rsidRDefault="00123961">
            <w:pPr>
              <w:shd w:val="clear" w:color="auto" w:fill="FFFFFF"/>
              <w:spacing w:after="0" w:line="240" w:lineRule="auto"/>
              <w:jc w:val="center"/>
              <w:rPr>
                <w:rFonts w:ascii="Times New Roman" w:eastAsia="MS Mincho" w:hAnsi="Times New Roman"/>
                <w:sz w:val="20"/>
                <w:szCs w:val="20"/>
                <w:lang w:eastAsia="ja-JP"/>
              </w:rPr>
            </w:pPr>
            <w:r>
              <w:rPr>
                <w:rFonts w:ascii="Times New Roman" w:eastAsia="MS Mincho" w:hAnsi="Times New Roman"/>
                <w:sz w:val="20"/>
                <w:szCs w:val="20"/>
                <w:lang w:eastAsia="ja-JP"/>
              </w:rPr>
              <w:t>2</w:t>
            </w:r>
          </w:p>
        </w:tc>
        <w:tc>
          <w:tcPr>
            <w:tcW w:w="2532" w:type="dxa"/>
            <w:tcBorders>
              <w:top w:val="single" w:sz="4" w:space="0" w:color="000000"/>
              <w:left w:val="single" w:sz="4" w:space="0" w:color="000000"/>
              <w:bottom w:val="single" w:sz="4" w:space="0" w:color="000000"/>
              <w:right w:val="single" w:sz="4" w:space="0" w:color="000000"/>
            </w:tcBorders>
          </w:tcPr>
          <w:p w14:paraId="7B25ACE0" w14:textId="77777777" w:rsidR="002449C2" w:rsidRDefault="002449C2">
            <w:pPr>
              <w:shd w:val="clear" w:color="auto" w:fill="FFFFFF"/>
              <w:spacing w:after="0" w:line="240" w:lineRule="auto"/>
              <w:jc w:val="both"/>
              <w:rPr>
                <w:rFonts w:ascii="Times New Roman" w:eastAsia="MS Mincho" w:hAnsi="Times New Roman"/>
                <w:b/>
                <w:sz w:val="20"/>
                <w:szCs w:val="20"/>
                <w:lang w:eastAsia="ja-JP"/>
              </w:rPr>
            </w:pPr>
          </w:p>
          <w:p w14:paraId="6F6616DE" w14:textId="77777777" w:rsidR="002449C2" w:rsidRDefault="00123961">
            <w:pPr>
              <w:shd w:val="clear" w:color="auto" w:fill="FFFFFF"/>
              <w:spacing w:after="0" w:line="240" w:lineRule="auto"/>
              <w:jc w:val="both"/>
              <w:rPr>
                <w:rFonts w:ascii="Times New Roman" w:eastAsia="MS Mincho" w:hAnsi="Times New Roman"/>
                <w:b/>
                <w:sz w:val="20"/>
                <w:szCs w:val="20"/>
                <w:lang w:eastAsia="ja-JP"/>
              </w:rPr>
            </w:pPr>
            <w:r>
              <w:rPr>
                <w:rFonts w:ascii="Times New Roman" w:eastAsia="MS Mincho" w:hAnsi="Times New Roman"/>
                <w:b/>
                <w:sz w:val="20"/>
                <w:szCs w:val="20"/>
                <w:lang w:eastAsia="ja-JP"/>
              </w:rPr>
              <w:t>ЦАРЬКОВ</w:t>
            </w:r>
          </w:p>
          <w:p w14:paraId="3A88287A" w14:textId="77777777" w:rsidR="002449C2" w:rsidRDefault="00123961">
            <w:pPr>
              <w:shd w:val="clear" w:color="auto" w:fill="FFFFFF"/>
              <w:spacing w:after="0" w:line="240" w:lineRule="auto"/>
              <w:jc w:val="both"/>
              <w:rPr>
                <w:rFonts w:ascii="Times New Roman" w:eastAsia="MS Mincho" w:hAnsi="Times New Roman"/>
                <w:b/>
                <w:sz w:val="20"/>
                <w:szCs w:val="20"/>
                <w:lang w:eastAsia="ja-JP"/>
              </w:rPr>
            </w:pPr>
            <w:r>
              <w:rPr>
                <w:rFonts w:ascii="Times New Roman" w:eastAsia="MS Mincho" w:hAnsi="Times New Roman"/>
                <w:b/>
                <w:sz w:val="20"/>
                <w:szCs w:val="20"/>
                <w:lang w:eastAsia="ja-JP"/>
              </w:rPr>
              <w:t>Виктор Владимирович,</w:t>
            </w:r>
          </w:p>
          <w:p w14:paraId="1485A478" w14:textId="77777777" w:rsidR="002449C2" w:rsidRDefault="002449C2">
            <w:pPr>
              <w:shd w:val="clear" w:color="auto" w:fill="FFFFFF"/>
              <w:spacing w:after="0" w:line="240" w:lineRule="auto"/>
              <w:jc w:val="both"/>
              <w:rPr>
                <w:rFonts w:ascii="Times New Roman" w:eastAsia="MS Mincho" w:hAnsi="Times New Roman"/>
                <w:b/>
                <w:sz w:val="20"/>
                <w:szCs w:val="20"/>
                <w:lang w:eastAsia="ja-JP"/>
              </w:rPr>
            </w:pPr>
          </w:p>
          <w:p w14:paraId="66034265" w14:textId="77777777" w:rsidR="002449C2" w:rsidRDefault="00123961">
            <w:pPr>
              <w:shd w:val="clear" w:color="auto" w:fill="FFFFFF"/>
              <w:spacing w:after="0" w:line="240" w:lineRule="auto"/>
              <w:jc w:val="both"/>
              <w:rPr>
                <w:rFonts w:ascii="Times New Roman" w:eastAsia="MS Mincho" w:hAnsi="Times New Roman"/>
                <w:sz w:val="20"/>
                <w:szCs w:val="20"/>
                <w:lang w:eastAsia="ja-JP"/>
              </w:rPr>
            </w:pPr>
            <w:r>
              <w:rPr>
                <w:rFonts w:ascii="Times New Roman" w:eastAsia="MS Mincho" w:hAnsi="Times New Roman"/>
                <w:sz w:val="20"/>
                <w:szCs w:val="20"/>
                <w:lang w:eastAsia="ja-JP"/>
              </w:rPr>
              <w:t>Заместитель Председателя</w:t>
            </w:r>
          </w:p>
        </w:tc>
        <w:tc>
          <w:tcPr>
            <w:tcW w:w="6450" w:type="dxa"/>
            <w:tcBorders>
              <w:top w:val="single" w:sz="4" w:space="0" w:color="000000"/>
              <w:left w:val="single" w:sz="4" w:space="0" w:color="000000"/>
              <w:bottom w:val="single" w:sz="4" w:space="0" w:color="000000"/>
              <w:right w:val="single" w:sz="4" w:space="0" w:color="000000"/>
            </w:tcBorders>
          </w:tcPr>
          <w:p w14:paraId="2616FC60"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Родился в 1977 году.</w:t>
            </w:r>
          </w:p>
          <w:p w14:paraId="5ADCC6FD"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Образование: высшее</w:t>
            </w:r>
          </w:p>
          <w:p w14:paraId="62CAC920"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Московский институт экономики, менеджмента и права, квалификация «Экономист», специальность «Финансы и кредит», год окончания – 2005.</w:t>
            </w:r>
          </w:p>
          <w:p w14:paraId="1892BC13"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Российская Академия Государственной службы при Президенте Российской Федерации, квалификация «Менеджер», специальность «Государственное и муниципальное управление», год окончания – 2007.</w:t>
            </w:r>
          </w:p>
          <w:p w14:paraId="5045EA83"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Саморегулируемая организация аудиторов «Российский союз аудиторов» (Ассоциация), «Учебно-методический центр Российского союза аудиторов «Интрекон-интеллект», квалификация – «Профессиональный внутренний аудитор», год окончания – 2017.</w:t>
            </w:r>
          </w:p>
          <w:p w14:paraId="2542739D"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Ассоциация «Институт внутренних аудиторов», квалификация - Главный аудитор (7 уровень квалификации), дата выдачи – 23.11.2023.</w:t>
            </w:r>
          </w:p>
          <w:p w14:paraId="015A2794" w14:textId="77777777" w:rsidR="002449C2" w:rsidRDefault="002449C2">
            <w:pPr>
              <w:shd w:val="clear" w:color="auto" w:fill="FFFFFF"/>
              <w:spacing w:after="0" w:line="240" w:lineRule="auto"/>
              <w:jc w:val="both"/>
              <w:rPr>
                <w:rFonts w:ascii="Times New Roman" w:eastAsia="Times New Roman" w:hAnsi="Times New Roman"/>
                <w:sz w:val="20"/>
                <w:szCs w:val="20"/>
                <w:lang w:eastAsia="ru-RU"/>
              </w:rPr>
            </w:pPr>
          </w:p>
          <w:p w14:paraId="7AAD0E90" w14:textId="77777777" w:rsidR="002449C2" w:rsidRDefault="00123961">
            <w:pPr>
              <w:shd w:val="clear" w:color="auto" w:fill="FFFFFF"/>
              <w:spacing w:after="0" w:line="240" w:lineRule="auto"/>
              <w:jc w:val="both"/>
              <w:rPr>
                <w:rFonts w:ascii="Times New Roman" w:eastAsia="Times New Roman" w:hAnsi="Times New Roman"/>
                <w:b/>
                <w:sz w:val="20"/>
                <w:szCs w:val="20"/>
                <w:u w:val="single"/>
                <w:lang w:eastAsia="ru-RU"/>
              </w:rPr>
            </w:pPr>
            <w:r>
              <w:rPr>
                <w:rFonts w:ascii="Times New Roman" w:eastAsia="Times New Roman" w:hAnsi="Times New Roman"/>
                <w:b/>
                <w:sz w:val="20"/>
                <w:szCs w:val="20"/>
                <w:u w:val="single"/>
                <w:lang w:eastAsia="ru-RU"/>
              </w:rPr>
              <w:t>Должность и место работы</w:t>
            </w:r>
          </w:p>
          <w:p w14:paraId="5C149430"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2017 – н/вр - Публичное акционерное Общество «Федеральная сетевая компания – Россети» (до 12.10.2022 - Публичное акционерное общество «Федеральная сетевая компания Единой энергетической системы») - Первый заместитель начальника Департамента внутреннего аудита;</w:t>
            </w:r>
          </w:p>
          <w:p w14:paraId="1C85CDC8"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2020 – 2022 – Публичное акционерное общество «Российские сети» - Первый заместитель начальника Департамента внутреннего аудита </w:t>
            </w:r>
            <w:r>
              <w:rPr>
                <w:rFonts w:ascii="Times New Roman" w:hAnsi="Times New Roman"/>
                <w:sz w:val="20"/>
                <w:szCs w:val="20"/>
              </w:rPr>
              <w:t>(по совместительству)</w:t>
            </w:r>
            <w:r>
              <w:rPr>
                <w:rFonts w:ascii="Times New Roman" w:eastAsia="Times New Roman" w:hAnsi="Times New Roman"/>
                <w:sz w:val="20"/>
                <w:szCs w:val="20"/>
                <w:lang w:eastAsia="ru-RU"/>
              </w:rPr>
              <w:t>.</w:t>
            </w:r>
          </w:p>
        </w:tc>
      </w:tr>
      <w:tr w:rsidR="002449C2" w14:paraId="2F0CF9F3" w14:textId="77777777">
        <w:trPr>
          <w:trHeight w:val="70"/>
        </w:trPr>
        <w:tc>
          <w:tcPr>
            <w:tcW w:w="645" w:type="dxa"/>
            <w:tcBorders>
              <w:top w:val="single" w:sz="4" w:space="0" w:color="000000"/>
              <w:left w:val="single" w:sz="4" w:space="0" w:color="000000"/>
              <w:bottom w:val="single" w:sz="4" w:space="0" w:color="000000"/>
              <w:right w:val="single" w:sz="4" w:space="0" w:color="000000"/>
            </w:tcBorders>
          </w:tcPr>
          <w:p w14:paraId="706470CE" w14:textId="77777777" w:rsidR="002449C2" w:rsidRDefault="00123961">
            <w:pPr>
              <w:shd w:val="clear" w:color="auto" w:fill="FFFFFF"/>
              <w:spacing w:after="0" w:line="240" w:lineRule="auto"/>
              <w:jc w:val="center"/>
              <w:rPr>
                <w:rFonts w:ascii="Times New Roman" w:eastAsia="MS Mincho" w:hAnsi="Times New Roman"/>
                <w:sz w:val="20"/>
                <w:szCs w:val="20"/>
                <w:lang w:eastAsia="ja-JP"/>
              </w:rPr>
            </w:pPr>
            <w:r>
              <w:rPr>
                <w:rFonts w:ascii="Times New Roman" w:eastAsia="MS Mincho" w:hAnsi="Times New Roman"/>
                <w:sz w:val="20"/>
                <w:szCs w:val="20"/>
                <w:lang w:eastAsia="ja-JP"/>
              </w:rPr>
              <w:t>3</w:t>
            </w:r>
          </w:p>
        </w:tc>
        <w:tc>
          <w:tcPr>
            <w:tcW w:w="2532" w:type="dxa"/>
            <w:tcBorders>
              <w:top w:val="single" w:sz="4" w:space="0" w:color="000000"/>
              <w:left w:val="single" w:sz="4" w:space="0" w:color="000000"/>
              <w:bottom w:val="single" w:sz="4" w:space="0" w:color="000000"/>
              <w:right w:val="single" w:sz="4" w:space="0" w:color="000000"/>
            </w:tcBorders>
          </w:tcPr>
          <w:p w14:paraId="58487BEE" w14:textId="77777777" w:rsidR="002449C2" w:rsidRDefault="002449C2">
            <w:pPr>
              <w:shd w:val="clear" w:color="auto" w:fill="FFFFFF"/>
              <w:spacing w:after="0" w:line="240" w:lineRule="auto"/>
              <w:jc w:val="both"/>
              <w:rPr>
                <w:rFonts w:ascii="Times New Roman" w:eastAsia="MS Mincho" w:hAnsi="Times New Roman"/>
                <w:b/>
                <w:sz w:val="20"/>
                <w:szCs w:val="20"/>
                <w:lang w:eastAsia="ja-JP"/>
              </w:rPr>
            </w:pPr>
          </w:p>
          <w:p w14:paraId="6FC74548" w14:textId="77777777" w:rsidR="002449C2" w:rsidRDefault="00123961">
            <w:pPr>
              <w:shd w:val="clear" w:color="auto" w:fill="FFFFFF"/>
              <w:spacing w:after="0" w:line="240" w:lineRule="auto"/>
              <w:jc w:val="both"/>
              <w:rPr>
                <w:rFonts w:ascii="Times New Roman" w:eastAsia="MS Mincho" w:hAnsi="Times New Roman"/>
                <w:b/>
                <w:sz w:val="20"/>
                <w:szCs w:val="20"/>
                <w:lang w:eastAsia="ja-JP"/>
              </w:rPr>
            </w:pPr>
            <w:r>
              <w:rPr>
                <w:rFonts w:ascii="Times New Roman" w:eastAsia="MS Mincho" w:hAnsi="Times New Roman"/>
                <w:b/>
                <w:sz w:val="20"/>
                <w:szCs w:val="20"/>
                <w:lang w:eastAsia="ja-JP"/>
              </w:rPr>
              <w:t>ТРИШИНА</w:t>
            </w:r>
          </w:p>
          <w:p w14:paraId="4AB9C39B" w14:textId="77777777" w:rsidR="002449C2" w:rsidRDefault="00123961">
            <w:pPr>
              <w:shd w:val="clear" w:color="auto" w:fill="FFFFFF"/>
              <w:spacing w:after="0" w:line="240" w:lineRule="auto"/>
              <w:jc w:val="both"/>
              <w:rPr>
                <w:rFonts w:ascii="Times New Roman" w:eastAsia="MS Mincho" w:hAnsi="Times New Roman"/>
                <w:b/>
                <w:sz w:val="20"/>
                <w:szCs w:val="20"/>
                <w:lang w:eastAsia="ja-JP"/>
              </w:rPr>
            </w:pPr>
            <w:r>
              <w:rPr>
                <w:rFonts w:ascii="Times New Roman" w:eastAsia="MS Mincho" w:hAnsi="Times New Roman"/>
                <w:b/>
                <w:sz w:val="20"/>
                <w:szCs w:val="20"/>
                <w:lang w:eastAsia="ja-JP"/>
              </w:rPr>
              <w:t>Светлана Михайловна</w:t>
            </w:r>
          </w:p>
          <w:p w14:paraId="5391F33D" w14:textId="77777777" w:rsidR="002449C2" w:rsidRDefault="002449C2">
            <w:pPr>
              <w:shd w:val="clear" w:color="auto" w:fill="FFFFFF"/>
              <w:spacing w:after="0" w:line="240" w:lineRule="auto"/>
              <w:jc w:val="both"/>
              <w:rPr>
                <w:rFonts w:ascii="Times New Roman" w:eastAsia="MS Mincho" w:hAnsi="Times New Roman"/>
                <w:b/>
                <w:sz w:val="20"/>
                <w:szCs w:val="20"/>
                <w:lang w:eastAsia="ja-JP"/>
              </w:rPr>
            </w:pPr>
          </w:p>
          <w:p w14:paraId="212D5483" w14:textId="77777777" w:rsidR="002449C2" w:rsidRDefault="00123961">
            <w:pPr>
              <w:shd w:val="clear" w:color="auto" w:fill="FFFFFF"/>
              <w:spacing w:after="0" w:line="240" w:lineRule="auto"/>
              <w:jc w:val="both"/>
              <w:rPr>
                <w:rFonts w:ascii="Times New Roman" w:eastAsia="MS Mincho" w:hAnsi="Times New Roman"/>
                <w:sz w:val="20"/>
                <w:szCs w:val="20"/>
                <w:lang w:eastAsia="ja-JP"/>
              </w:rPr>
            </w:pPr>
            <w:r>
              <w:rPr>
                <w:rFonts w:ascii="Times New Roman" w:eastAsia="MS Mincho" w:hAnsi="Times New Roman"/>
                <w:sz w:val="20"/>
                <w:szCs w:val="20"/>
                <w:lang w:eastAsia="ja-JP"/>
              </w:rPr>
              <w:t>Секретарь</w:t>
            </w:r>
          </w:p>
        </w:tc>
        <w:tc>
          <w:tcPr>
            <w:tcW w:w="6450" w:type="dxa"/>
            <w:tcBorders>
              <w:top w:val="single" w:sz="4" w:space="0" w:color="000000"/>
              <w:left w:val="single" w:sz="4" w:space="0" w:color="000000"/>
              <w:bottom w:val="single" w:sz="4" w:space="0" w:color="000000"/>
              <w:right w:val="single" w:sz="4" w:space="0" w:color="000000"/>
            </w:tcBorders>
          </w:tcPr>
          <w:p w14:paraId="630FE7E6"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Родилась 1979 году.</w:t>
            </w:r>
          </w:p>
          <w:p w14:paraId="7440593D"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Образование: высшее</w:t>
            </w:r>
          </w:p>
          <w:p w14:paraId="63AC6E92"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Амурский государственный университет, квалификация «Экономист по финансовой работе, банковской работник», специальность «Финансы и кредит», год окончания – 2001.</w:t>
            </w:r>
          </w:p>
          <w:p w14:paraId="691AC927"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Международная академия экспертизы и оценки, профессиональная переподготовка по специальности «Внутренний аудит и контроль в коммерческих организациях», год окончания – 2018.</w:t>
            </w:r>
          </w:p>
          <w:p w14:paraId="43A3CF82"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Международная академия экспертизы и оценки, повышение квалификации по специальности «Внутренний аудит», год окончания – 2021.</w:t>
            </w:r>
          </w:p>
          <w:p w14:paraId="7E5C8F1B"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ООО «Центр реформ предприятий», квалификационный сертификат (Приказ Минтруда № 398н). Код Е квалификация 7 «управление (руководство) службой внутреннего аудита», дата выдачи 01.12.2021.</w:t>
            </w:r>
          </w:p>
          <w:p w14:paraId="3FEAF9B1" w14:textId="77777777" w:rsidR="002449C2" w:rsidRDefault="002449C2">
            <w:pPr>
              <w:shd w:val="clear" w:color="auto" w:fill="FFFFFF"/>
              <w:spacing w:after="0" w:line="240" w:lineRule="auto"/>
              <w:jc w:val="both"/>
              <w:rPr>
                <w:rFonts w:ascii="Times New Roman" w:eastAsia="Times New Roman" w:hAnsi="Times New Roman"/>
                <w:sz w:val="20"/>
                <w:szCs w:val="20"/>
                <w:lang w:eastAsia="ru-RU"/>
              </w:rPr>
            </w:pPr>
          </w:p>
          <w:p w14:paraId="3479D0F2" w14:textId="77777777" w:rsidR="002449C2" w:rsidRDefault="00123961">
            <w:pPr>
              <w:shd w:val="clear" w:color="auto" w:fill="FFFFFF"/>
              <w:spacing w:after="0" w:line="240" w:lineRule="auto"/>
              <w:jc w:val="both"/>
              <w:rPr>
                <w:rFonts w:ascii="Times New Roman" w:eastAsia="Times New Roman" w:hAnsi="Times New Roman"/>
                <w:b/>
                <w:sz w:val="20"/>
                <w:szCs w:val="20"/>
                <w:u w:val="single"/>
                <w:lang w:eastAsia="ru-RU"/>
              </w:rPr>
            </w:pPr>
            <w:r>
              <w:rPr>
                <w:rFonts w:ascii="Times New Roman" w:eastAsia="Times New Roman" w:hAnsi="Times New Roman"/>
                <w:b/>
                <w:sz w:val="20"/>
                <w:szCs w:val="20"/>
                <w:u w:val="single"/>
                <w:lang w:eastAsia="ru-RU"/>
              </w:rPr>
              <w:t>Должность и место работы</w:t>
            </w:r>
          </w:p>
          <w:p w14:paraId="40519EFE"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2017 – н/вр – Публичное акционерное общество «Федеральная сетевая компания - Россети» (до 12.10.2022 - Публичное акционерное общество «Федеральная сетевая компания Единой энергетической системы») - начальник Отдела финансового аудита; начальник Отдела финансового аудита, методологии и отчетности; начальник Отдела корпоративного аудита и контроля ДО; заместитель начальника Департамента внутреннего аудита – начальник Управления корпоративного аудита и контроля ДО Департамента внутреннего аудита;</w:t>
            </w:r>
          </w:p>
          <w:p w14:paraId="164D5044"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2020 – 2022 - Публичное акционерное общество «Российские сети» - заместитель начальника Департамента внутреннего аудита – начальник Управления корпоративного аудита и контроля ДО Департамента внутреннего аудита (по совместительству).</w:t>
            </w:r>
          </w:p>
        </w:tc>
      </w:tr>
      <w:tr w:rsidR="002449C2" w14:paraId="610D7C79" w14:textId="77777777">
        <w:tc>
          <w:tcPr>
            <w:tcW w:w="645" w:type="dxa"/>
            <w:tcBorders>
              <w:top w:val="single" w:sz="4" w:space="0" w:color="000000"/>
              <w:left w:val="single" w:sz="4" w:space="0" w:color="000000"/>
              <w:bottom w:val="single" w:sz="4" w:space="0" w:color="000000"/>
              <w:right w:val="single" w:sz="4" w:space="0" w:color="000000"/>
            </w:tcBorders>
          </w:tcPr>
          <w:p w14:paraId="1FDDB06D" w14:textId="77777777" w:rsidR="002449C2" w:rsidRDefault="00123961">
            <w:pPr>
              <w:shd w:val="clear" w:color="auto" w:fill="FFFFFF"/>
              <w:spacing w:after="0" w:line="240" w:lineRule="auto"/>
              <w:jc w:val="center"/>
              <w:rPr>
                <w:rFonts w:ascii="Times New Roman" w:eastAsia="MS Mincho" w:hAnsi="Times New Roman"/>
                <w:sz w:val="20"/>
                <w:szCs w:val="20"/>
                <w:lang w:eastAsia="ja-JP"/>
              </w:rPr>
            </w:pPr>
            <w:r>
              <w:rPr>
                <w:rFonts w:ascii="Times New Roman" w:eastAsia="MS Mincho" w:hAnsi="Times New Roman"/>
                <w:sz w:val="20"/>
                <w:szCs w:val="20"/>
                <w:lang w:eastAsia="ja-JP"/>
              </w:rPr>
              <w:t>4</w:t>
            </w:r>
          </w:p>
        </w:tc>
        <w:tc>
          <w:tcPr>
            <w:tcW w:w="2532" w:type="dxa"/>
            <w:tcBorders>
              <w:top w:val="single" w:sz="4" w:space="0" w:color="000000"/>
              <w:left w:val="single" w:sz="4" w:space="0" w:color="000000"/>
              <w:bottom w:val="single" w:sz="4" w:space="0" w:color="000000"/>
              <w:right w:val="single" w:sz="4" w:space="0" w:color="000000"/>
            </w:tcBorders>
          </w:tcPr>
          <w:p w14:paraId="16C61493" w14:textId="77777777" w:rsidR="002449C2" w:rsidRDefault="002449C2">
            <w:pPr>
              <w:shd w:val="clear" w:color="auto" w:fill="FFFFFF"/>
              <w:spacing w:after="0" w:line="240" w:lineRule="auto"/>
              <w:jc w:val="both"/>
              <w:rPr>
                <w:rFonts w:ascii="Times New Roman" w:eastAsia="MS Mincho" w:hAnsi="Times New Roman"/>
                <w:b/>
                <w:sz w:val="20"/>
                <w:szCs w:val="20"/>
                <w:lang w:eastAsia="ja-JP"/>
              </w:rPr>
            </w:pPr>
          </w:p>
          <w:p w14:paraId="4810101D" w14:textId="77777777" w:rsidR="002449C2" w:rsidRDefault="00123961">
            <w:pPr>
              <w:shd w:val="clear" w:color="auto" w:fill="FFFFFF"/>
              <w:spacing w:after="0" w:line="240" w:lineRule="auto"/>
              <w:jc w:val="both"/>
              <w:rPr>
                <w:rFonts w:ascii="Times New Roman" w:eastAsia="MS Mincho" w:hAnsi="Times New Roman"/>
                <w:b/>
                <w:sz w:val="20"/>
                <w:szCs w:val="20"/>
                <w:lang w:eastAsia="ja-JP"/>
              </w:rPr>
            </w:pPr>
            <w:r>
              <w:rPr>
                <w:rFonts w:ascii="Times New Roman" w:eastAsia="MS Mincho" w:hAnsi="Times New Roman"/>
                <w:b/>
                <w:sz w:val="20"/>
                <w:szCs w:val="20"/>
                <w:lang w:eastAsia="ja-JP"/>
              </w:rPr>
              <w:t>КОРМИЛЬЦЕВ</w:t>
            </w:r>
          </w:p>
          <w:p w14:paraId="2B46F1AB" w14:textId="77777777" w:rsidR="002449C2" w:rsidRDefault="00123961">
            <w:pPr>
              <w:shd w:val="clear" w:color="auto" w:fill="FFFFFF"/>
              <w:spacing w:after="0" w:line="240" w:lineRule="auto"/>
              <w:jc w:val="both"/>
              <w:rPr>
                <w:rFonts w:ascii="Times New Roman" w:eastAsia="MS Mincho" w:hAnsi="Times New Roman"/>
                <w:sz w:val="20"/>
                <w:szCs w:val="20"/>
                <w:lang w:eastAsia="ja-JP"/>
              </w:rPr>
            </w:pPr>
            <w:r>
              <w:rPr>
                <w:rFonts w:ascii="Times New Roman" w:eastAsia="MS Mincho" w:hAnsi="Times New Roman"/>
                <w:b/>
                <w:sz w:val="20"/>
                <w:szCs w:val="20"/>
                <w:lang w:eastAsia="ja-JP"/>
              </w:rPr>
              <w:t>Максим Геннадьевич</w:t>
            </w:r>
          </w:p>
        </w:tc>
        <w:tc>
          <w:tcPr>
            <w:tcW w:w="6450" w:type="dxa"/>
            <w:tcBorders>
              <w:top w:val="single" w:sz="4" w:space="0" w:color="000000"/>
              <w:left w:val="single" w:sz="4" w:space="0" w:color="000000"/>
              <w:bottom w:val="single" w:sz="4" w:space="0" w:color="000000"/>
              <w:right w:val="single" w:sz="4" w:space="0" w:color="000000"/>
            </w:tcBorders>
          </w:tcPr>
          <w:p w14:paraId="5BB1EB63"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Родился в 1988 году.</w:t>
            </w:r>
          </w:p>
          <w:p w14:paraId="53A00CA1"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Образование: высшее</w:t>
            </w:r>
          </w:p>
          <w:p w14:paraId="3E116A42"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Московский государственный индустриальный университет, квалификация «Юрист», специальность «Юриспруденция», год окончания – 2010.</w:t>
            </w:r>
          </w:p>
          <w:p w14:paraId="3D2643CA" w14:textId="77777777" w:rsidR="002449C2" w:rsidRDefault="00123961">
            <w:pPr>
              <w:shd w:val="clear" w:color="auto" w:fill="FFFFFF"/>
              <w:spacing w:after="0" w:line="240" w:lineRule="auto"/>
              <w:jc w:val="both"/>
              <w:rPr>
                <w:rFonts w:ascii="Times New Roman" w:eastAsia="Times New Roman" w:hAnsi="Times New Roman"/>
                <w:sz w:val="20"/>
                <w:szCs w:val="20"/>
                <w:lang w:val="en-US" w:eastAsia="ru-RU"/>
              </w:rPr>
            </w:pPr>
            <w:r>
              <w:rPr>
                <w:rFonts w:ascii="Times New Roman" w:eastAsia="Times New Roman" w:hAnsi="Times New Roman"/>
                <w:sz w:val="20"/>
                <w:szCs w:val="20"/>
                <w:lang w:val="en-US" w:eastAsia="ru-RU"/>
              </w:rPr>
              <w:t xml:space="preserve">The Institute of Professional Financial Managers, </w:t>
            </w:r>
            <w:r>
              <w:rPr>
                <w:rFonts w:ascii="Times New Roman" w:eastAsia="Times New Roman" w:hAnsi="Times New Roman"/>
                <w:sz w:val="20"/>
                <w:szCs w:val="20"/>
                <w:lang w:eastAsia="ru-RU"/>
              </w:rPr>
              <w:t>квалификация</w:t>
            </w:r>
            <w:r>
              <w:rPr>
                <w:rFonts w:ascii="Times New Roman" w:eastAsia="Times New Roman" w:hAnsi="Times New Roman"/>
                <w:sz w:val="20"/>
                <w:szCs w:val="20"/>
                <w:lang w:val="en-US" w:eastAsia="ru-RU"/>
              </w:rPr>
              <w:t xml:space="preserve"> – Internal Auditor (</w:t>
            </w:r>
            <w:r>
              <w:rPr>
                <w:rFonts w:ascii="Times New Roman" w:eastAsia="Times New Roman" w:hAnsi="Times New Roman"/>
                <w:sz w:val="20"/>
                <w:szCs w:val="20"/>
                <w:lang w:eastAsia="ru-RU"/>
              </w:rPr>
              <w:t>внутренний</w:t>
            </w:r>
            <w:r>
              <w:rPr>
                <w:rFonts w:ascii="Times New Roman" w:eastAsia="Times New Roman" w:hAnsi="Times New Roman"/>
                <w:sz w:val="20"/>
                <w:szCs w:val="20"/>
                <w:lang w:val="en-US" w:eastAsia="ru-RU"/>
              </w:rPr>
              <w:t xml:space="preserve"> </w:t>
            </w:r>
            <w:r>
              <w:rPr>
                <w:rFonts w:ascii="Times New Roman" w:eastAsia="Times New Roman" w:hAnsi="Times New Roman"/>
                <w:sz w:val="20"/>
                <w:szCs w:val="20"/>
                <w:lang w:eastAsia="ru-RU"/>
              </w:rPr>
              <w:t>аудитор</w:t>
            </w:r>
            <w:r>
              <w:rPr>
                <w:rFonts w:ascii="Times New Roman" w:eastAsia="Times New Roman" w:hAnsi="Times New Roman"/>
                <w:sz w:val="20"/>
                <w:szCs w:val="20"/>
                <w:lang w:val="en-US" w:eastAsia="ru-RU"/>
              </w:rPr>
              <w:t xml:space="preserve">), </w:t>
            </w:r>
            <w:r>
              <w:rPr>
                <w:rFonts w:ascii="Times New Roman" w:eastAsia="Times New Roman" w:hAnsi="Times New Roman"/>
                <w:sz w:val="20"/>
                <w:szCs w:val="20"/>
                <w:lang w:eastAsia="ru-RU"/>
              </w:rPr>
              <w:t>дата</w:t>
            </w:r>
            <w:r>
              <w:rPr>
                <w:rFonts w:ascii="Times New Roman" w:eastAsia="Times New Roman" w:hAnsi="Times New Roman"/>
                <w:sz w:val="20"/>
                <w:szCs w:val="20"/>
                <w:lang w:val="en-US" w:eastAsia="ru-RU"/>
              </w:rPr>
              <w:t xml:space="preserve"> </w:t>
            </w:r>
            <w:r>
              <w:rPr>
                <w:rFonts w:ascii="Times New Roman" w:eastAsia="Times New Roman" w:hAnsi="Times New Roman"/>
                <w:sz w:val="20"/>
                <w:szCs w:val="20"/>
                <w:lang w:eastAsia="ru-RU"/>
              </w:rPr>
              <w:t>выдачи</w:t>
            </w:r>
            <w:r>
              <w:rPr>
                <w:rFonts w:ascii="Times New Roman" w:eastAsia="Times New Roman" w:hAnsi="Times New Roman"/>
                <w:sz w:val="20"/>
                <w:szCs w:val="20"/>
                <w:lang w:val="en-US" w:eastAsia="ru-RU"/>
              </w:rPr>
              <w:t xml:space="preserve"> – 07.10.2019.</w:t>
            </w:r>
          </w:p>
          <w:p w14:paraId="00035FBF"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Ассоциация «Институт внутренних аудиторов», квалификация – Главный аудитор (7 уровень квалификации), дата выдачи – 10.10.2022.</w:t>
            </w:r>
          </w:p>
          <w:p w14:paraId="1C7CE12E" w14:textId="77777777" w:rsidR="002449C2" w:rsidRDefault="002449C2">
            <w:pPr>
              <w:shd w:val="clear" w:color="auto" w:fill="FFFFFF"/>
              <w:spacing w:after="0" w:line="240" w:lineRule="auto"/>
              <w:jc w:val="both"/>
              <w:rPr>
                <w:rFonts w:ascii="Times New Roman" w:eastAsia="Times New Roman" w:hAnsi="Times New Roman"/>
                <w:sz w:val="20"/>
                <w:szCs w:val="20"/>
                <w:lang w:eastAsia="ru-RU"/>
              </w:rPr>
            </w:pPr>
          </w:p>
          <w:p w14:paraId="7DD75D6D"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Должность и место работы</w:t>
            </w:r>
          </w:p>
          <w:p w14:paraId="4A2823B5"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2016 – н/вр – Публичное акционерное общество «Федеральная сетевая компания - Россети» (до 12.10.2022 - Публичное акционерное общество «Федеральная сетевая компания Единой энергетической системы») - Главный эксперт Управления корпоративного аудита и контроля ДО Департамента внутреннего аудита;</w:t>
            </w:r>
          </w:p>
          <w:p w14:paraId="00EEB7CA"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2020 – 2022 - Публичное акционерное общество «Российские сети» - Главный эксперт Управления корпоративного аудита и контроля ДО Департамента внутреннего аудита (по совместительству).</w:t>
            </w:r>
          </w:p>
        </w:tc>
      </w:tr>
      <w:tr w:rsidR="002449C2" w14:paraId="468B0058" w14:textId="77777777">
        <w:trPr>
          <w:trHeight w:val="5092"/>
        </w:trPr>
        <w:tc>
          <w:tcPr>
            <w:tcW w:w="645" w:type="dxa"/>
            <w:tcBorders>
              <w:top w:val="single" w:sz="4" w:space="0" w:color="000000"/>
              <w:left w:val="single" w:sz="4" w:space="0" w:color="000000"/>
              <w:bottom w:val="single" w:sz="4" w:space="0" w:color="000000"/>
              <w:right w:val="single" w:sz="4" w:space="0" w:color="000000"/>
            </w:tcBorders>
          </w:tcPr>
          <w:p w14:paraId="5D6D21B9" w14:textId="77777777" w:rsidR="002449C2" w:rsidRDefault="00123961">
            <w:pPr>
              <w:shd w:val="clear" w:color="auto" w:fill="FFFFFF"/>
              <w:spacing w:after="0" w:line="240" w:lineRule="auto"/>
              <w:jc w:val="both"/>
              <w:rPr>
                <w:rFonts w:ascii="Times New Roman" w:eastAsia="MS Mincho" w:hAnsi="Times New Roman"/>
                <w:sz w:val="20"/>
                <w:szCs w:val="20"/>
                <w:lang w:eastAsia="ja-JP"/>
              </w:rPr>
            </w:pPr>
            <w:r>
              <w:rPr>
                <w:rFonts w:ascii="Times New Roman" w:eastAsia="MS Mincho" w:hAnsi="Times New Roman"/>
                <w:sz w:val="20"/>
                <w:szCs w:val="20"/>
                <w:lang w:eastAsia="ja-JP"/>
              </w:rPr>
              <w:t>5</w:t>
            </w:r>
          </w:p>
        </w:tc>
        <w:tc>
          <w:tcPr>
            <w:tcW w:w="2532" w:type="dxa"/>
            <w:tcBorders>
              <w:top w:val="single" w:sz="4" w:space="0" w:color="000000"/>
              <w:left w:val="single" w:sz="4" w:space="0" w:color="000000"/>
              <w:bottom w:val="single" w:sz="4" w:space="0" w:color="000000"/>
              <w:right w:val="single" w:sz="4" w:space="0" w:color="000000"/>
            </w:tcBorders>
          </w:tcPr>
          <w:p w14:paraId="3EB38D80" w14:textId="77777777" w:rsidR="002449C2" w:rsidRDefault="002449C2">
            <w:pPr>
              <w:shd w:val="clear" w:color="auto" w:fill="FFFFFF"/>
              <w:spacing w:after="0" w:line="240" w:lineRule="auto"/>
              <w:jc w:val="both"/>
              <w:rPr>
                <w:rFonts w:ascii="Times New Roman" w:hAnsi="Times New Roman"/>
                <w:sz w:val="20"/>
                <w:szCs w:val="20"/>
              </w:rPr>
            </w:pPr>
          </w:p>
          <w:p w14:paraId="0948326F" w14:textId="77777777" w:rsidR="002449C2" w:rsidRDefault="00123961">
            <w:pPr>
              <w:shd w:val="clear" w:color="auto" w:fill="FFFFFF"/>
              <w:spacing w:after="0" w:line="240" w:lineRule="auto"/>
              <w:jc w:val="both"/>
              <w:rPr>
                <w:rFonts w:ascii="Times New Roman" w:hAnsi="Times New Roman"/>
                <w:b/>
                <w:sz w:val="20"/>
                <w:szCs w:val="20"/>
              </w:rPr>
            </w:pPr>
            <w:r>
              <w:rPr>
                <w:rFonts w:ascii="Times New Roman" w:hAnsi="Times New Roman"/>
                <w:b/>
                <w:sz w:val="20"/>
                <w:szCs w:val="20"/>
              </w:rPr>
              <w:t>РОГАЧЕВ</w:t>
            </w:r>
          </w:p>
          <w:p w14:paraId="31C37204" w14:textId="77777777" w:rsidR="002449C2" w:rsidRDefault="00123961">
            <w:pPr>
              <w:shd w:val="clear" w:color="auto" w:fill="FFFFFF"/>
              <w:spacing w:after="0" w:line="240" w:lineRule="auto"/>
              <w:jc w:val="both"/>
              <w:rPr>
                <w:rFonts w:ascii="Times New Roman" w:eastAsia="MS Mincho" w:hAnsi="Times New Roman"/>
                <w:sz w:val="20"/>
                <w:szCs w:val="20"/>
                <w:lang w:eastAsia="ja-JP"/>
              </w:rPr>
            </w:pPr>
            <w:r>
              <w:rPr>
                <w:rFonts w:ascii="Times New Roman" w:hAnsi="Times New Roman"/>
                <w:b/>
                <w:sz w:val="20"/>
                <w:szCs w:val="20"/>
              </w:rPr>
              <w:t>Кирилл Евгеньевич</w:t>
            </w:r>
          </w:p>
        </w:tc>
        <w:tc>
          <w:tcPr>
            <w:tcW w:w="6450" w:type="dxa"/>
            <w:tcBorders>
              <w:top w:val="single" w:sz="4" w:space="0" w:color="000000"/>
              <w:left w:val="single" w:sz="4" w:space="0" w:color="000000"/>
              <w:bottom w:val="single" w:sz="4" w:space="0" w:color="000000"/>
              <w:right w:val="single" w:sz="4" w:space="0" w:color="000000"/>
            </w:tcBorders>
          </w:tcPr>
          <w:p w14:paraId="31F9C4F1"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Родился в 1984 году.</w:t>
            </w:r>
          </w:p>
          <w:p w14:paraId="560521F3"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Образование: высшее</w:t>
            </w:r>
          </w:p>
          <w:p w14:paraId="1DF43D4C"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МАТИ - Российский государственный технологический университет им. К.Э. Циолковского, специальность «Экономика и управление предприятием», квалификация «Экономист-менеджер», год окончания - 2006.</w:t>
            </w:r>
          </w:p>
          <w:p w14:paraId="3DE0542B"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Московский пограничный институт Федеральной службы безопасности Российской Федерации, специализация «Юриспруденция. Государственно-правовая)», квалификация «Юрист», год окончания – 2011.</w:t>
            </w:r>
          </w:p>
          <w:p w14:paraId="6209BB01"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ООДПО «Международная академия экспертизы и оценки», повышение квалификации «Внутренний аудит», год окончания – 2021.</w:t>
            </w:r>
          </w:p>
          <w:p w14:paraId="2A57F6D9"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ООО «Центр реформ предприятий», квалификационный сертификат (приказ Минтруда № 398н). Код Е квалификация – «Управление (руководство) службой внутреннего аудита», дата выдачи – 01.12.2021.</w:t>
            </w:r>
          </w:p>
          <w:p w14:paraId="0BA5A260" w14:textId="77777777" w:rsidR="002449C2" w:rsidRDefault="002449C2">
            <w:pPr>
              <w:shd w:val="clear" w:color="auto" w:fill="FFFFFF"/>
              <w:spacing w:after="0" w:line="240" w:lineRule="auto"/>
              <w:jc w:val="both"/>
              <w:rPr>
                <w:rFonts w:ascii="Times New Roman" w:hAnsi="Times New Roman"/>
                <w:sz w:val="20"/>
                <w:szCs w:val="20"/>
              </w:rPr>
            </w:pPr>
          </w:p>
          <w:p w14:paraId="6C52F18C" w14:textId="77777777" w:rsidR="002449C2" w:rsidRDefault="00123961">
            <w:pPr>
              <w:shd w:val="clear" w:color="auto" w:fill="FFFFFF"/>
              <w:spacing w:after="0" w:line="240" w:lineRule="auto"/>
              <w:jc w:val="both"/>
              <w:rPr>
                <w:rFonts w:ascii="Times New Roman" w:hAnsi="Times New Roman"/>
                <w:b/>
                <w:sz w:val="20"/>
                <w:szCs w:val="20"/>
                <w:u w:val="single"/>
              </w:rPr>
            </w:pPr>
            <w:r>
              <w:rPr>
                <w:rFonts w:ascii="Times New Roman" w:hAnsi="Times New Roman"/>
                <w:b/>
                <w:sz w:val="20"/>
                <w:szCs w:val="20"/>
                <w:u w:val="single"/>
              </w:rPr>
              <w:t>Должность и место работы</w:t>
            </w:r>
          </w:p>
          <w:p w14:paraId="45097C4C"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2020 – 2024 – Публичное акционерное общество «Федеральная сетевая компания - Россети» (до 12.10.2022 - Публичное акционерное общество «Федеральная сетевая компания Единой энергетической системы») - Главный эксперт Управления операционного аудита Департамента внутреннего аудита, Начальник Управления операционного аудита Департамента внутреннего аудита;</w:t>
            </w:r>
          </w:p>
          <w:p w14:paraId="17F253F1" w14:textId="77777777" w:rsidR="002449C2" w:rsidRDefault="00123961">
            <w:pPr>
              <w:shd w:val="clear" w:color="auto" w:fill="FFFFFF"/>
              <w:spacing w:after="0" w:line="240" w:lineRule="auto"/>
              <w:jc w:val="both"/>
              <w:rPr>
                <w:rFonts w:ascii="Times New Roman" w:hAnsi="Times New Roman"/>
                <w:sz w:val="20"/>
                <w:szCs w:val="20"/>
              </w:rPr>
            </w:pPr>
            <w:r>
              <w:rPr>
                <w:rFonts w:ascii="Times New Roman" w:hAnsi="Times New Roman"/>
                <w:sz w:val="20"/>
                <w:szCs w:val="20"/>
              </w:rPr>
              <w:t>2020 – 2022 – Публичное акционерное общество «Российские сети» - Главный эксперт Управления операционного аудита Департамента внутреннего аудита; Начальник Управления операционного аудита Департамента внутреннего аудита (по совместительству).</w:t>
            </w:r>
          </w:p>
        </w:tc>
      </w:tr>
    </w:tbl>
    <w:p w14:paraId="5D9907DC" w14:textId="77777777" w:rsidR="002449C2" w:rsidRDefault="002449C2">
      <w:pPr>
        <w:shd w:val="clear" w:color="auto" w:fill="FFFFFF"/>
        <w:spacing w:after="0" w:line="240" w:lineRule="auto"/>
        <w:jc w:val="center"/>
        <w:rPr>
          <w:rFonts w:ascii="Cambria" w:eastAsia="MS Mincho" w:hAnsi="Cambria"/>
          <w:b/>
          <w:color w:val="0070C0"/>
          <w:sz w:val="26"/>
          <w:szCs w:val="26"/>
          <w:lang w:eastAsia="ja-JP"/>
        </w:rPr>
      </w:pPr>
    </w:p>
    <w:p w14:paraId="52CF5F3C" w14:textId="77777777" w:rsidR="002449C2" w:rsidRDefault="00123961">
      <w:pPr>
        <w:shd w:val="clear" w:color="auto" w:fill="FFFFFF"/>
        <w:spacing w:before="120" w:after="0" w:line="240" w:lineRule="auto"/>
        <w:ind w:firstLine="567"/>
        <w:jc w:val="both"/>
        <w:rPr>
          <w:rFonts w:ascii="Times New Roman" w:eastAsia="Times New Roman" w:hAnsi="Times New Roman"/>
          <w:sz w:val="26"/>
          <w:szCs w:val="26"/>
          <w:u w:val="single"/>
          <w:lang w:eastAsia="ru-RU"/>
        </w:rPr>
      </w:pPr>
      <w:r>
        <w:rPr>
          <w:rFonts w:ascii="Times New Roman" w:eastAsia="Times New Roman" w:hAnsi="Times New Roman"/>
          <w:sz w:val="26"/>
          <w:szCs w:val="26"/>
          <w:lang w:eastAsia="ru-RU"/>
        </w:rPr>
        <w:t xml:space="preserve">Сведения о Ревизионной комиссии приведены на сайте Общества: </w:t>
      </w:r>
      <w:hyperlink r:id="rId181" w:tooltip="https://rosseti-yug.ru/korporativnoe-upravlenie/revizionnaya-komissiya/">
        <w:r>
          <w:rPr>
            <w:rStyle w:val="ab"/>
            <w:rFonts w:ascii="Times New Roman" w:eastAsia="Times New Roman" w:hAnsi="Times New Roman"/>
            <w:sz w:val="26"/>
            <w:szCs w:val="26"/>
            <w:lang w:eastAsia="ru-RU"/>
          </w:rPr>
          <w:t>https://rosseti-yug.ru/korporativnoe-upravlenie/revizionnaya-komissiya/</w:t>
        </w:r>
      </w:hyperlink>
    </w:p>
    <w:p w14:paraId="7885523E" w14:textId="77777777" w:rsidR="002449C2" w:rsidRDefault="00123961">
      <w:pPr>
        <w:shd w:val="clear" w:color="auto" w:fill="FFFFFF"/>
        <w:spacing w:before="120"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Никто из лиц, занимавших должности членов Ревизионной комиссии в отчетном периоде, не получал займов от Компании и его подконтрольных компаний. Никто из лиц, занимавших должности членов Ревизионной комиссии в отчетном периоде, не имел акций/ ценных бумаг Компании и его подконтрольных компаний, и не совершал сделок с ними.</w:t>
      </w:r>
    </w:p>
    <w:p w14:paraId="2DB0FF5F"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На основании предоставленных анкет членами Ревизионной комиссии Компания считает:</w:t>
      </w:r>
    </w:p>
    <w:p w14:paraId="7A41BA3F" w14:textId="77777777" w:rsidR="002449C2" w:rsidRDefault="00123961">
      <w:pPr>
        <w:numPr>
          <w:ilvl w:val="0"/>
          <w:numId w:val="19"/>
        </w:numPr>
        <w:shd w:val="clear" w:color="auto" w:fill="FFFFFF"/>
        <w:tabs>
          <w:tab w:val="left" w:pos="851"/>
        </w:tabs>
        <w:spacing w:before="100" w:after="0" w:line="240" w:lineRule="auto"/>
        <w:ind w:left="0"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члены Ревизионной комиссии не имеют родственных связей (супруги, родители, дети, усыновители, усыновленные, родные братья и сестры, дедушки, бабушки, внуки) с членами Совета директоров, членами коллегиального исполнительного органа, лицом, занимающим должность (осуществляющим функции) единоличного исполнительного органа ПАО «Россети Юг»;</w:t>
      </w:r>
    </w:p>
    <w:p w14:paraId="469301D1" w14:textId="77777777" w:rsidR="002449C2" w:rsidRDefault="00123961">
      <w:pPr>
        <w:numPr>
          <w:ilvl w:val="0"/>
          <w:numId w:val="19"/>
        </w:numPr>
        <w:shd w:val="clear" w:color="auto" w:fill="FFFFFF"/>
        <w:tabs>
          <w:tab w:val="left" w:pos="851"/>
        </w:tabs>
        <w:spacing w:before="100" w:after="0" w:line="240" w:lineRule="auto"/>
        <w:ind w:left="0"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члены Ревизионной комиссии не привлекались к административной ответственности за правонарушения в области финансов, налогов и сборов, страхования, рынка ценных бумаг или к уголовной ответственности (о наличии судимости) за преступления в сфере экономики и (или) за преступления против государственной власти;</w:t>
      </w:r>
    </w:p>
    <w:p w14:paraId="10B97D61" w14:textId="77777777" w:rsidR="002449C2" w:rsidRDefault="00123961">
      <w:pPr>
        <w:numPr>
          <w:ilvl w:val="0"/>
          <w:numId w:val="19"/>
        </w:numPr>
        <w:shd w:val="clear" w:color="auto" w:fill="FFFFFF"/>
        <w:tabs>
          <w:tab w:val="left" w:pos="851"/>
        </w:tabs>
        <w:spacing w:before="100" w:after="0" w:line="240" w:lineRule="auto"/>
        <w:ind w:left="0"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члены Ревизионной комиссии не занимали должности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статьей 27 Федерального закона «О несостоятельности (банкротстве)».</w:t>
      </w:r>
    </w:p>
    <w:p w14:paraId="370BAC89" w14:textId="77777777" w:rsidR="002449C2" w:rsidRDefault="00123961">
      <w:pPr>
        <w:shd w:val="clear" w:color="auto" w:fill="FFFFFF"/>
        <w:spacing w:before="120" w:after="120" w:line="240" w:lineRule="auto"/>
        <w:jc w:val="center"/>
        <w:rPr>
          <w:rFonts w:ascii="Times New Roman" w:eastAsia="MS Mincho" w:hAnsi="Times New Roman"/>
          <w:color w:val="0070C0"/>
          <w:sz w:val="26"/>
          <w:szCs w:val="26"/>
          <w:lang w:eastAsia="ja-JP"/>
        </w:rPr>
      </w:pPr>
      <w:r>
        <w:rPr>
          <w:rFonts w:ascii="Times New Roman" w:eastAsia="MS Mincho" w:hAnsi="Times New Roman"/>
          <w:color w:val="0070C0"/>
          <w:sz w:val="26"/>
          <w:szCs w:val="26"/>
          <w:lang w:eastAsia="ja-JP"/>
        </w:rPr>
        <w:t>Итоги работы Ревизионной комиссии.</w:t>
      </w:r>
    </w:p>
    <w:p w14:paraId="55E6C362" w14:textId="77777777" w:rsidR="002449C2" w:rsidRDefault="00123961">
      <w:pPr>
        <w:pStyle w:val="Default"/>
        <w:shd w:val="clear" w:color="auto" w:fill="FFFFFF"/>
        <w:spacing w:before="120" w:after="120"/>
        <w:ind w:firstLine="709"/>
        <w:jc w:val="both"/>
        <w:rPr>
          <w:rFonts w:ascii="Times New Roman" w:eastAsia="Calibri" w:hAnsi="Times New Roman"/>
          <w:sz w:val="26"/>
          <w:szCs w:val="26"/>
          <w:lang w:eastAsia="en-US"/>
        </w:rPr>
      </w:pPr>
      <w:r>
        <w:rPr>
          <w:rFonts w:ascii="Times New Roman" w:eastAsia="Calibri" w:hAnsi="Times New Roman"/>
          <w:sz w:val="26"/>
          <w:szCs w:val="26"/>
          <w:lang w:eastAsia="en-US"/>
        </w:rPr>
        <w:t>Задачи Ревизионной комиссии определены Положением о Ревизионной комиссии Публичного акционерного общества «Россети Юг», утвержденным решением годового Общего собрания акционеров 16.06.2022 (протокол от 16.06.2022 № 25), и включают:</w:t>
      </w:r>
    </w:p>
    <w:p w14:paraId="10E2689C" w14:textId="77777777" w:rsidR="002449C2" w:rsidRDefault="00123961">
      <w:pPr>
        <w:pStyle w:val="Default"/>
        <w:shd w:val="clear" w:color="auto" w:fill="FFFFFF"/>
        <w:spacing w:before="120" w:after="120"/>
        <w:ind w:firstLine="709"/>
        <w:rPr>
          <w:rFonts w:ascii="Times New Roman" w:eastAsia="Calibri" w:hAnsi="Times New Roman"/>
          <w:sz w:val="26"/>
          <w:szCs w:val="26"/>
          <w:lang w:eastAsia="en-US"/>
        </w:rPr>
      </w:pPr>
      <w:r>
        <w:rPr>
          <w:rFonts w:ascii="Times New Roman" w:eastAsia="Calibri" w:hAnsi="Times New Roman"/>
          <w:sz w:val="26"/>
          <w:szCs w:val="26"/>
          <w:lang w:eastAsia="en-US"/>
        </w:rPr>
        <w:t xml:space="preserve">1) осуществление контроля за финансово-хозяйственной деятельностью Общества; </w:t>
      </w:r>
    </w:p>
    <w:p w14:paraId="58D3F2A0" w14:textId="77777777" w:rsidR="002449C2" w:rsidRDefault="00123961">
      <w:pPr>
        <w:pStyle w:val="Default"/>
        <w:shd w:val="clear" w:color="auto" w:fill="FFFFFF"/>
        <w:spacing w:before="120" w:after="120"/>
        <w:ind w:firstLine="709"/>
        <w:rPr>
          <w:rFonts w:ascii="Times New Roman" w:eastAsia="Calibri" w:hAnsi="Times New Roman"/>
          <w:sz w:val="26"/>
          <w:szCs w:val="26"/>
          <w:lang w:eastAsia="en-US"/>
        </w:rPr>
      </w:pPr>
      <w:r>
        <w:rPr>
          <w:rFonts w:ascii="Times New Roman" w:eastAsia="Calibri" w:hAnsi="Times New Roman"/>
          <w:sz w:val="26"/>
          <w:szCs w:val="26"/>
          <w:lang w:eastAsia="en-US"/>
        </w:rPr>
        <w:t xml:space="preserve">2) осуществление независимой оценки достоверности данных, содержащихся в годовом отчете Общества, годовой бухгалтерской (финансовой) отчетности Общества; </w:t>
      </w:r>
    </w:p>
    <w:p w14:paraId="560FC8AE" w14:textId="77777777" w:rsidR="002449C2" w:rsidRDefault="00123961">
      <w:pPr>
        <w:pStyle w:val="Default"/>
        <w:shd w:val="clear" w:color="auto" w:fill="FFFFFF"/>
        <w:spacing w:before="120" w:after="120"/>
        <w:ind w:firstLine="709"/>
        <w:rPr>
          <w:rFonts w:ascii="Times New Roman" w:eastAsia="Calibri" w:hAnsi="Times New Roman"/>
          <w:sz w:val="26"/>
          <w:szCs w:val="26"/>
          <w:lang w:eastAsia="en-US"/>
        </w:rPr>
      </w:pPr>
      <w:r>
        <w:rPr>
          <w:rFonts w:ascii="Times New Roman" w:eastAsia="Calibri" w:hAnsi="Times New Roman"/>
          <w:sz w:val="26"/>
          <w:szCs w:val="26"/>
          <w:lang w:eastAsia="en-US"/>
        </w:rPr>
        <w:t>3) подтверждение достоверности данных, содержащихся в отчете Общества о сделках, в совершении которых имеется заинтересованность.</w:t>
      </w:r>
    </w:p>
    <w:p w14:paraId="36928BE9" w14:textId="77777777" w:rsidR="002449C2" w:rsidRDefault="00123961">
      <w:pPr>
        <w:pStyle w:val="Default"/>
        <w:shd w:val="clear" w:color="auto" w:fill="FFFFFF"/>
        <w:spacing w:before="120" w:after="120"/>
        <w:ind w:firstLine="709"/>
        <w:rPr>
          <w:rFonts w:ascii="Times New Roman" w:hAnsi="Times New Roman"/>
          <w:sz w:val="26"/>
          <w:szCs w:val="26"/>
          <w:lang w:eastAsia="en-US"/>
        </w:rPr>
      </w:pPr>
      <w:r>
        <w:rPr>
          <w:rFonts w:ascii="Times New Roman" w:hAnsi="Times New Roman"/>
          <w:sz w:val="26"/>
          <w:szCs w:val="26"/>
          <w:lang w:eastAsia="en-US"/>
        </w:rPr>
        <w:t>В 2024 году проведена ревизионная проверка финансово-хозяйственной деятельности Общества за 2023 год.</w:t>
      </w:r>
    </w:p>
    <w:p w14:paraId="2F0E352C" w14:textId="77777777" w:rsidR="002449C2" w:rsidRDefault="00123961">
      <w:pPr>
        <w:pStyle w:val="Default"/>
        <w:shd w:val="clear" w:color="auto" w:fill="FFFFFF"/>
        <w:spacing w:before="120" w:after="120"/>
        <w:jc w:val="center"/>
        <w:rPr>
          <w:rFonts w:ascii="Times New Roman" w:hAnsi="Times New Roman" w:cs="Times New Roman"/>
          <w:b/>
          <w:bCs/>
          <w:sz w:val="26"/>
          <w:szCs w:val="26"/>
        </w:rPr>
      </w:pPr>
      <w:r>
        <w:rPr>
          <w:rFonts w:ascii="Times New Roman" w:hAnsi="Times New Roman" w:cs="Times New Roman"/>
          <w:b/>
          <w:bCs/>
          <w:sz w:val="26"/>
          <w:szCs w:val="26"/>
        </w:rPr>
        <w:t>Ключевые вопросы, рассмотренные Ревизионной комиссией:</w:t>
      </w:r>
    </w:p>
    <w:tbl>
      <w:tblPr>
        <w:tblW w:w="9627" w:type="dxa"/>
        <w:tblLayout w:type="fixed"/>
        <w:tblLook w:val="04A0" w:firstRow="1" w:lastRow="0" w:firstColumn="1" w:lastColumn="0" w:noHBand="0" w:noVBand="1"/>
      </w:tblPr>
      <w:tblGrid>
        <w:gridCol w:w="3200"/>
        <w:gridCol w:w="3221"/>
        <w:gridCol w:w="3206"/>
      </w:tblGrid>
      <w:tr w:rsidR="002449C2" w14:paraId="239F9B75" w14:textId="77777777">
        <w:tc>
          <w:tcPr>
            <w:tcW w:w="3200" w:type="dxa"/>
            <w:tcBorders>
              <w:top w:val="single" w:sz="4" w:space="0" w:color="000000"/>
              <w:left w:val="single" w:sz="4" w:space="0" w:color="000000"/>
              <w:bottom w:val="single" w:sz="4" w:space="0" w:color="000000"/>
              <w:right w:val="single" w:sz="4" w:space="0" w:color="000000"/>
            </w:tcBorders>
          </w:tcPr>
          <w:p w14:paraId="4F1AB66B" w14:textId="77777777" w:rsidR="002449C2" w:rsidRDefault="00123961">
            <w:pPr>
              <w:shd w:val="clear" w:color="auto" w:fill="FFFFFF"/>
              <w:spacing w:after="0" w:line="240" w:lineRule="auto"/>
              <w:jc w:val="center"/>
              <w:rPr>
                <w:rFonts w:ascii="Times New Roman" w:hAnsi="Times New Roman"/>
                <w:b/>
                <w:bCs/>
                <w:iCs/>
                <w:spacing w:val="-2"/>
                <w:sz w:val="20"/>
                <w:szCs w:val="20"/>
              </w:rPr>
            </w:pPr>
            <w:r>
              <w:rPr>
                <w:rFonts w:ascii="Times New Roman" w:hAnsi="Times New Roman"/>
                <w:b/>
                <w:bCs/>
                <w:iCs/>
                <w:spacing w:val="-2"/>
                <w:sz w:val="20"/>
                <w:szCs w:val="20"/>
              </w:rPr>
              <w:t>Зона ответственности</w:t>
            </w:r>
          </w:p>
        </w:tc>
        <w:tc>
          <w:tcPr>
            <w:tcW w:w="3221" w:type="dxa"/>
            <w:tcBorders>
              <w:top w:val="single" w:sz="4" w:space="0" w:color="000000"/>
              <w:left w:val="single" w:sz="4" w:space="0" w:color="000000"/>
              <w:bottom w:val="single" w:sz="4" w:space="0" w:color="000000"/>
              <w:right w:val="single" w:sz="4" w:space="0" w:color="000000"/>
            </w:tcBorders>
          </w:tcPr>
          <w:p w14:paraId="4ED5141E" w14:textId="77777777" w:rsidR="002449C2" w:rsidRDefault="00123961">
            <w:pPr>
              <w:shd w:val="clear" w:color="auto" w:fill="FFFFFF"/>
              <w:spacing w:after="0" w:line="240" w:lineRule="auto"/>
              <w:jc w:val="center"/>
              <w:rPr>
                <w:rFonts w:ascii="Times New Roman" w:hAnsi="Times New Roman"/>
                <w:b/>
                <w:bCs/>
                <w:iCs/>
                <w:spacing w:val="-2"/>
                <w:sz w:val="20"/>
                <w:szCs w:val="20"/>
              </w:rPr>
            </w:pPr>
            <w:r>
              <w:rPr>
                <w:rFonts w:ascii="Times New Roman" w:hAnsi="Times New Roman"/>
                <w:b/>
                <w:bCs/>
                <w:iCs/>
                <w:spacing w:val="-2"/>
                <w:sz w:val="20"/>
                <w:szCs w:val="20"/>
              </w:rPr>
              <w:t>Проведенные мероприятия</w:t>
            </w:r>
          </w:p>
        </w:tc>
        <w:tc>
          <w:tcPr>
            <w:tcW w:w="3206" w:type="dxa"/>
            <w:tcBorders>
              <w:top w:val="single" w:sz="4" w:space="0" w:color="000000"/>
              <w:left w:val="single" w:sz="4" w:space="0" w:color="000000"/>
              <w:bottom w:val="single" w:sz="4" w:space="0" w:color="000000"/>
              <w:right w:val="single" w:sz="4" w:space="0" w:color="000000"/>
            </w:tcBorders>
          </w:tcPr>
          <w:p w14:paraId="5F71964B" w14:textId="77777777" w:rsidR="002449C2" w:rsidRDefault="00123961">
            <w:pPr>
              <w:shd w:val="clear" w:color="auto" w:fill="FFFFFF"/>
              <w:spacing w:after="0" w:line="240" w:lineRule="auto"/>
              <w:jc w:val="center"/>
              <w:rPr>
                <w:rFonts w:ascii="Times New Roman" w:hAnsi="Times New Roman"/>
                <w:b/>
                <w:bCs/>
                <w:iCs/>
                <w:spacing w:val="-2"/>
                <w:sz w:val="20"/>
                <w:szCs w:val="20"/>
              </w:rPr>
            </w:pPr>
            <w:r>
              <w:rPr>
                <w:rFonts w:ascii="Times New Roman" w:hAnsi="Times New Roman"/>
                <w:b/>
                <w:bCs/>
                <w:iCs/>
                <w:spacing w:val="-2"/>
                <w:sz w:val="20"/>
                <w:szCs w:val="20"/>
              </w:rPr>
              <w:t>Результат</w:t>
            </w:r>
          </w:p>
        </w:tc>
      </w:tr>
      <w:tr w:rsidR="002449C2" w14:paraId="5BC06206" w14:textId="77777777">
        <w:tc>
          <w:tcPr>
            <w:tcW w:w="3200" w:type="dxa"/>
            <w:tcBorders>
              <w:top w:val="single" w:sz="4" w:space="0" w:color="000000"/>
              <w:left w:val="single" w:sz="4" w:space="0" w:color="000000"/>
              <w:bottom w:val="single" w:sz="4" w:space="0" w:color="000000"/>
              <w:right w:val="single" w:sz="4" w:space="0" w:color="000000"/>
            </w:tcBorders>
          </w:tcPr>
          <w:p w14:paraId="3D1B93AC"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Контроль за финансово-хозяйственной деятельностью, устранением выявленных недостатков по итогам проверок.</w:t>
            </w:r>
          </w:p>
        </w:tc>
        <w:tc>
          <w:tcPr>
            <w:tcW w:w="3221" w:type="dxa"/>
            <w:tcBorders>
              <w:top w:val="single" w:sz="4" w:space="0" w:color="000000"/>
              <w:left w:val="single" w:sz="4" w:space="0" w:color="000000"/>
              <w:bottom w:val="single" w:sz="4" w:space="0" w:color="000000"/>
              <w:right w:val="single" w:sz="4" w:space="0" w:color="000000"/>
            </w:tcBorders>
          </w:tcPr>
          <w:p w14:paraId="65FD01DA" w14:textId="77777777" w:rsidR="002449C2" w:rsidRDefault="00123961">
            <w:pPr>
              <w:shd w:val="clear" w:color="auto" w:fill="FFFFFF"/>
              <w:spacing w:after="0" w:line="240" w:lineRule="auto"/>
              <w:jc w:val="both"/>
              <w:rPr>
                <w:rFonts w:ascii="Times New Roman" w:eastAsia="Times New Roman" w:hAnsi="Times New Roman"/>
                <w:sz w:val="20"/>
                <w:szCs w:val="20"/>
              </w:rPr>
            </w:pPr>
            <w:r>
              <w:rPr>
                <w:rFonts w:ascii="Times New Roman" w:eastAsia="Times New Roman" w:hAnsi="Times New Roman"/>
                <w:sz w:val="20"/>
                <w:szCs w:val="20"/>
                <w:lang w:eastAsia="ru-RU"/>
              </w:rPr>
              <w:t>Проведена проверка финансово-хозяйственной деятельности за 2023 год.</w:t>
            </w:r>
          </w:p>
        </w:tc>
        <w:tc>
          <w:tcPr>
            <w:tcW w:w="3206" w:type="dxa"/>
            <w:tcBorders>
              <w:top w:val="single" w:sz="4" w:space="0" w:color="000000"/>
              <w:left w:val="single" w:sz="4" w:space="0" w:color="000000"/>
              <w:bottom w:val="single" w:sz="4" w:space="0" w:color="000000"/>
              <w:right w:val="single" w:sz="4" w:space="0" w:color="000000"/>
            </w:tcBorders>
          </w:tcPr>
          <w:p w14:paraId="363CF644" w14:textId="77777777" w:rsidR="002449C2" w:rsidRDefault="00123961">
            <w:pPr>
              <w:shd w:val="clear" w:color="auto" w:fill="FFFFFF"/>
              <w:spacing w:after="0" w:line="240" w:lineRule="auto"/>
              <w:jc w:val="both"/>
              <w:rPr>
                <w:rFonts w:ascii="Times New Roman" w:eastAsia="Times New Roman" w:hAnsi="Times New Roman"/>
                <w:sz w:val="20"/>
                <w:szCs w:val="20"/>
              </w:rPr>
            </w:pPr>
            <w:r>
              <w:rPr>
                <w:rFonts w:ascii="Times New Roman" w:eastAsia="Times New Roman" w:hAnsi="Times New Roman"/>
                <w:sz w:val="20"/>
                <w:szCs w:val="20"/>
                <w:lang w:eastAsia="ru-RU"/>
              </w:rPr>
              <w:t>Факты существенных нарушений не выявлены.</w:t>
            </w:r>
          </w:p>
        </w:tc>
      </w:tr>
      <w:tr w:rsidR="002449C2" w14:paraId="10B623D2" w14:textId="77777777">
        <w:tc>
          <w:tcPr>
            <w:tcW w:w="3200" w:type="dxa"/>
            <w:tcBorders>
              <w:top w:val="single" w:sz="4" w:space="0" w:color="000000"/>
              <w:left w:val="single" w:sz="4" w:space="0" w:color="000000"/>
              <w:bottom w:val="single" w:sz="4" w:space="0" w:color="000000"/>
              <w:right w:val="single" w:sz="4" w:space="0" w:color="000000"/>
            </w:tcBorders>
          </w:tcPr>
          <w:p w14:paraId="7E7D596A"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Оценка достоверности данных, содержащихся в Годовом отчете и годовой бухгалтерской (финансовой) отчетности.</w:t>
            </w:r>
          </w:p>
        </w:tc>
        <w:tc>
          <w:tcPr>
            <w:tcW w:w="3221" w:type="dxa"/>
            <w:tcBorders>
              <w:top w:val="single" w:sz="4" w:space="0" w:color="000000"/>
              <w:left w:val="single" w:sz="4" w:space="0" w:color="000000"/>
              <w:bottom w:val="single" w:sz="4" w:space="0" w:color="000000"/>
              <w:right w:val="single" w:sz="4" w:space="0" w:color="000000"/>
            </w:tcBorders>
          </w:tcPr>
          <w:p w14:paraId="29DC4486" w14:textId="77777777" w:rsidR="002449C2" w:rsidRDefault="00123961">
            <w:pPr>
              <w:shd w:val="clear" w:color="auto" w:fill="FFFFFF"/>
              <w:spacing w:after="0" w:line="240" w:lineRule="auto"/>
              <w:jc w:val="both"/>
              <w:rPr>
                <w:rFonts w:ascii="Times New Roman" w:eastAsia="Times New Roman" w:hAnsi="Times New Roman"/>
                <w:sz w:val="20"/>
                <w:szCs w:val="20"/>
              </w:rPr>
            </w:pPr>
            <w:r>
              <w:rPr>
                <w:rFonts w:ascii="Times New Roman" w:eastAsia="Times New Roman" w:hAnsi="Times New Roman"/>
                <w:sz w:val="20"/>
                <w:szCs w:val="20"/>
                <w:lang w:eastAsia="ru-RU"/>
              </w:rPr>
              <w:t>Рассмотрены Годовой отчет за 2023 год, годовая бухгалтерская (финансовая) отчетность за 2023 год.</w:t>
            </w:r>
          </w:p>
        </w:tc>
        <w:tc>
          <w:tcPr>
            <w:tcW w:w="3206" w:type="dxa"/>
            <w:tcBorders>
              <w:top w:val="single" w:sz="4" w:space="0" w:color="000000"/>
              <w:left w:val="single" w:sz="4" w:space="0" w:color="000000"/>
              <w:bottom w:val="single" w:sz="4" w:space="0" w:color="000000"/>
              <w:right w:val="single" w:sz="4" w:space="0" w:color="000000"/>
            </w:tcBorders>
          </w:tcPr>
          <w:p w14:paraId="023D9CD4" w14:textId="77777777" w:rsidR="002449C2" w:rsidRDefault="00123961">
            <w:pPr>
              <w:shd w:val="clear" w:color="auto" w:fill="FFFFFF"/>
              <w:spacing w:after="0" w:line="240" w:lineRule="auto"/>
              <w:jc w:val="both"/>
              <w:rPr>
                <w:rFonts w:ascii="Times New Roman" w:eastAsia="Times New Roman" w:hAnsi="Times New Roman"/>
                <w:sz w:val="20"/>
                <w:szCs w:val="20"/>
              </w:rPr>
            </w:pPr>
            <w:r>
              <w:rPr>
                <w:rFonts w:ascii="Times New Roman" w:eastAsia="Times New Roman" w:hAnsi="Times New Roman"/>
                <w:sz w:val="20"/>
                <w:szCs w:val="20"/>
                <w:lang w:eastAsia="ru-RU"/>
              </w:rPr>
              <w:t>Искажения данных, способных существенно повлиять на указанную отчетность, не выявлены.</w:t>
            </w:r>
          </w:p>
        </w:tc>
      </w:tr>
      <w:tr w:rsidR="002449C2" w14:paraId="2F4035AE" w14:textId="77777777">
        <w:tc>
          <w:tcPr>
            <w:tcW w:w="3200" w:type="dxa"/>
            <w:tcBorders>
              <w:top w:val="single" w:sz="4" w:space="0" w:color="000000"/>
              <w:left w:val="single" w:sz="4" w:space="0" w:color="000000"/>
              <w:bottom w:val="single" w:sz="4" w:space="0" w:color="000000"/>
              <w:right w:val="single" w:sz="4" w:space="0" w:color="000000"/>
            </w:tcBorders>
          </w:tcPr>
          <w:p w14:paraId="3688E89D"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Информирование о фактах нарушений порядка ведения бухгалтерской отчетности, представления финансовой отчетности, порядка осуществления финансово-хозяйственной деятельности.</w:t>
            </w:r>
          </w:p>
        </w:tc>
        <w:tc>
          <w:tcPr>
            <w:tcW w:w="3221" w:type="dxa"/>
            <w:tcBorders>
              <w:top w:val="single" w:sz="4" w:space="0" w:color="000000"/>
              <w:left w:val="single" w:sz="4" w:space="0" w:color="000000"/>
              <w:bottom w:val="single" w:sz="4" w:space="0" w:color="000000"/>
              <w:right w:val="single" w:sz="4" w:space="0" w:color="000000"/>
            </w:tcBorders>
          </w:tcPr>
          <w:p w14:paraId="3D5097CB" w14:textId="77777777" w:rsidR="002449C2" w:rsidRDefault="00123961">
            <w:pPr>
              <w:shd w:val="clear" w:color="auto" w:fill="FFFFFF"/>
              <w:spacing w:after="0" w:line="240" w:lineRule="auto"/>
              <w:jc w:val="both"/>
              <w:rPr>
                <w:rFonts w:ascii="Times New Roman" w:eastAsia="Times New Roman" w:hAnsi="Times New Roman"/>
                <w:sz w:val="20"/>
                <w:szCs w:val="20"/>
              </w:rPr>
            </w:pPr>
            <w:r>
              <w:rPr>
                <w:rFonts w:ascii="Times New Roman" w:eastAsia="Times New Roman" w:hAnsi="Times New Roman"/>
                <w:sz w:val="20"/>
                <w:szCs w:val="20"/>
                <w:lang w:eastAsia="ru-RU"/>
              </w:rPr>
              <w:t>Рассмотрены вопросы организации и ведения бухгалтерского учета, составления бухгалтерской (финансовой) отчетности.</w:t>
            </w:r>
          </w:p>
        </w:tc>
        <w:tc>
          <w:tcPr>
            <w:tcW w:w="3206" w:type="dxa"/>
            <w:tcBorders>
              <w:top w:val="single" w:sz="4" w:space="0" w:color="000000"/>
              <w:left w:val="single" w:sz="4" w:space="0" w:color="000000"/>
              <w:bottom w:val="single" w:sz="4" w:space="0" w:color="000000"/>
              <w:right w:val="single" w:sz="4" w:space="0" w:color="000000"/>
            </w:tcBorders>
          </w:tcPr>
          <w:p w14:paraId="57DC0888" w14:textId="77777777" w:rsidR="002449C2" w:rsidRDefault="00123961">
            <w:pPr>
              <w:shd w:val="clear" w:color="auto" w:fill="FFFFFF"/>
              <w:spacing w:after="0" w:line="240" w:lineRule="auto"/>
              <w:jc w:val="both"/>
              <w:rPr>
                <w:rFonts w:ascii="Times New Roman" w:eastAsia="Times New Roman" w:hAnsi="Times New Roman"/>
                <w:sz w:val="20"/>
                <w:szCs w:val="20"/>
              </w:rPr>
            </w:pPr>
            <w:r>
              <w:rPr>
                <w:rFonts w:ascii="Times New Roman" w:eastAsia="Times New Roman" w:hAnsi="Times New Roman"/>
                <w:sz w:val="20"/>
                <w:szCs w:val="20"/>
                <w:lang w:eastAsia="ru-RU"/>
              </w:rPr>
              <w:t>Ошибки и искажения, которые оказали существенное влияние на достоверность бухгалтерской (финансовой) отчетности, сформированной по состоянию на 31.12.2023, не установлены.</w:t>
            </w:r>
          </w:p>
        </w:tc>
      </w:tr>
      <w:tr w:rsidR="002449C2" w14:paraId="4FCE62E7" w14:textId="77777777">
        <w:tc>
          <w:tcPr>
            <w:tcW w:w="3200" w:type="dxa"/>
            <w:tcBorders>
              <w:top w:val="single" w:sz="4" w:space="0" w:color="000000"/>
              <w:left w:val="single" w:sz="4" w:space="0" w:color="000000"/>
              <w:bottom w:val="single" w:sz="4" w:space="0" w:color="000000"/>
              <w:right w:val="single" w:sz="4" w:space="0" w:color="000000"/>
            </w:tcBorders>
          </w:tcPr>
          <w:p w14:paraId="4D5819BE" w14:textId="77777777" w:rsidR="002449C2" w:rsidRDefault="00123961">
            <w:pPr>
              <w:shd w:val="clear" w:color="auto" w:fill="FFFFFF"/>
              <w:spacing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Контроль правомерности совершаемых финансово-хозяйственных операций</w:t>
            </w:r>
          </w:p>
        </w:tc>
        <w:tc>
          <w:tcPr>
            <w:tcW w:w="3221" w:type="dxa"/>
            <w:tcBorders>
              <w:top w:val="single" w:sz="4" w:space="0" w:color="000000"/>
              <w:left w:val="single" w:sz="4" w:space="0" w:color="000000"/>
              <w:bottom w:val="single" w:sz="4" w:space="0" w:color="000000"/>
              <w:right w:val="single" w:sz="4" w:space="0" w:color="000000"/>
            </w:tcBorders>
          </w:tcPr>
          <w:p w14:paraId="47E07D71" w14:textId="77777777" w:rsidR="002449C2" w:rsidRDefault="00123961">
            <w:pPr>
              <w:shd w:val="clear" w:color="auto" w:fill="FFFFFF"/>
              <w:spacing w:after="0" w:line="240" w:lineRule="auto"/>
              <w:jc w:val="both"/>
              <w:rPr>
                <w:rFonts w:ascii="Times New Roman" w:eastAsia="Times New Roman" w:hAnsi="Times New Roman"/>
                <w:sz w:val="20"/>
                <w:szCs w:val="20"/>
              </w:rPr>
            </w:pPr>
            <w:r>
              <w:rPr>
                <w:rFonts w:ascii="Times New Roman" w:eastAsia="Times New Roman" w:hAnsi="Times New Roman"/>
                <w:sz w:val="20"/>
                <w:szCs w:val="20"/>
                <w:lang w:eastAsia="ru-RU"/>
              </w:rPr>
              <w:t>Рассмотрен отчет о заключенных в 2023 году сделках, в совершении которых имеется заинтересованность</w:t>
            </w:r>
          </w:p>
        </w:tc>
        <w:tc>
          <w:tcPr>
            <w:tcW w:w="3206" w:type="dxa"/>
            <w:tcBorders>
              <w:top w:val="single" w:sz="4" w:space="0" w:color="000000"/>
              <w:left w:val="single" w:sz="4" w:space="0" w:color="000000"/>
              <w:bottom w:val="single" w:sz="4" w:space="0" w:color="000000"/>
              <w:right w:val="single" w:sz="4" w:space="0" w:color="000000"/>
            </w:tcBorders>
          </w:tcPr>
          <w:p w14:paraId="0A3935B7" w14:textId="77777777" w:rsidR="002449C2" w:rsidRDefault="00123961">
            <w:pPr>
              <w:shd w:val="clear" w:color="auto" w:fill="FFFFFF"/>
              <w:spacing w:after="0" w:line="240" w:lineRule="auto"/>
              <w:jc w:val="both"/>
              <w:rPr>
                <w:rFonts w:ascii="Times New Roman" w:eastAsia="Times New Roman" w:hAnsi="Times New Roman"/>
                <w:sz w:val="20"/>
                <w:szCs w:val="20"/>
              </w:rPr>
            </w:pPr>
            <w:r>
              <w:rPr>
                <w:rFonts w:ascii="Times New Roman" w:eastAsia="Times New Roman" w:hAnsi="Times New Roman"/>
                <w:sz w:val="20"/>
                <w:szCs w:val="20"/>
                <w:lang w:eastAsia="ru-RU"/>
              </w:rPr>
              <w:t>Факты нарушения законодательства не выявлены.</w:t>
            </w:r>
          </w:p>
        </w:tc>
      </w:tr>
    </w:tbl>
    <w:p w14:paraId="3BB52550" w14:textId="77777777" w:rsidR="002449C2" w:rsidRDefault="002449C2">
      <w:pPr>
        <w:shd w:val="clear" w:color="auto" w:fill="FFFFFF"/>
        <w:tabs>
          <w:tab w:val="left" w:pos="993"/>
        </w:tabs>
        <w:spacing w:after="0" w:line="240" w:lineRule="auto"/>
        <w:ind w:right="-143" w:firstLine="709"/>
        <w:contextualSpacing/>
        <w:jc w:val="both"/>
        <w:rPr>
          <w:rFonts w:ascii="Times New Roman" w:hAnsi="Times New Roman"/>
          <w:sz w:val="26"/>
          <w:szCs w:val="26"/>
          <w:lang w:eastAsia="en-US"/>
        </w:rPr>
      </w:pPr>
    </w:p>
    <w:p w14:paraId="2F654F65" w14:textId="77777777" w:rsidR="002449C2" w:rsidRDefault="00123961">
      <w:pPr>
        <w:shd w:val="clear" w:color="auto" w:fill="FFFFFF"/>
        <w:tabs>
          <w:tab w:val="left" w:pos="993"/>
        </w:tabs>
        <w:spacing w:after="0" w:line="240" w:lineRule="auto"/>
        <w:ind w:right="-143" w:firstLine="709"/>
        <w:contextualSpacing/>
        <w:jc w:val="both"/>
        <w:rPr>
          <w:rFonts w:ascii="Times New Roman" w:hAnsi="Times New Roman"/>
          <w:sz w:val="26"/>
          <w:szCs w:val="26"/>
          <w:lang w:eastAsia="en-US"/>
        </w:rPr>
      </w:pPr>
      <w:r>
        <w:rPr>
          <w:rFonts w:ascii="Times New Roman" w:hAnsi="Times New Roman"/>
          <w:sz w:val="26"/>
          <w:szCs w:val="26"/>
          <w:lang w:eastAsia="en-US"/>
        </w:rPr>
        <w:t xml:space="preserve">Ревизионной комиссией утверждено заключение (протокол от 02.05.2024 №4), согласно которому выражено мнение о выражено мнение о достоверности данных во всех существенных отношениях, содержащихся в годовом отчете за 2023 год, в годовой бухгалтерской (финансовой) отчетности Общества за 2023 год. Фактов искажения информации, содержащейся в отчете о заключенных в 2023 году сделках, в совершении которых имеется заинтересованность, не выявлено. </w:t>
      </w:r>
    </w:p>
    <w:p w14:paraId="5CA3ADA8" w14:textId="77777777" w:rsidR="002449C2" w:rsidRDefault="00123961">
      <w:pPr>
        <w:shd w:val="clear" w:color="auto" w:fill="FFFFFF"/>
        <w:tabs>
          <w:tab w:val="left" w:pos="993"/>
        </w:tabs>
        <w:spacing w:after="0" w:line="240" w:lineRule="auto"/>
        <w:ind w:right="-143" w:firstLine="709"/>
        <w:contextualSpacing/>
        <w:jc w:val="both"/>
        <w:rPr>
          <w:rFonts w:ascii="Times New Roman" w:hAnsi="Times New Roman"/>
          <w:sz w:val="26"/>
          <w:szCs w:val="26"/>
          <w:lang w:eastAsia="en-US"/>
        </w:rPr>
      </w:pPr>
      <w:r>
        <w:rPr>
          <w:rFonts w:ascii="Times New Roman" w:hAnsi="Times New Roman"/>
          <w:sz w:val="26"/>
          <w:szCs w:val="26"/>
          <w:lang w:eastAsia="en-US"/>
        </w:rPr>
        <w:t>Указанное Заключение было включено в состав материалов, предоставленных акционерам Общества при подготовке к проведению годового Общего собрания акционеров Общества в 2024 году.</w:t>
      </w:r>
    </w:p>
    <w:p w14:paraId="0E49E951" w14:textId="77777777" w:rsidR="002449C2" w:rsidRDefault="00123961">
      <w:pPr>
        <w:shd w:val="clear" w:color="auto" w:fill="FFFFFF"/>
        <w:ind w:firstLine="709"/>
        <w:jc w:val="both"/>
        <w:rPr>
          <w:rFonts w:ascii="Times New Roman" w:hAnsi="Times New Roman"/>
          <w:sz w:val="26"/>
          <w:szCs w:val="26"/>
          <w:lang w:eastAsia="en-US"/>
        </w:rPr>
      </w:pPr>
      <w:r>
        <w:rPr>
          <w:rFonts w:ascii="Times New Roman" w:hAnsi="Times New Roman"/>
          <w:sz w:val="26"/>
          <w:szCs w:val="26"/>
          <w:lang w:eastAsia="en-US"/>
        </w:rPr>
        <w:t>Членами нового состава Ревизионной комиссии, действующего с 19.06.2024</w:t>
      </w:r>
      <w:r w:rsidR="00B310A4">
        <w:rPr>
          <w:rFonts w:ascii="Times New Roman" w:hAnsi="Times New Roman"/>
          <w:sz w:val="26"/>
          <w:szCs w:val="26"/>
          <w:lang w:eastAsia="en-US"/>
        </w:rPr>
        <w:t>,</w:t>
      </w:r>
      <w:r>
        <w:rPr>
          <w:rFonts w:ascii="Times New Roman" w:hAnsi="Times New Roman"/>
          <w:sz w:val="26"/>
          <w:szCs w:val="26"/>
          <w:lang w:eastAsia="en-US"/>
        </w:rPr>
        <w:t xml:space="preserve"> избран Председатель, заместитель Председателя, Секретарь комиссии, а также утверждены План работы на 2024–2025 корпоративный год и Программа проверки финансово-хозяйственной деятельности ПАО «Россети Юг» за 2024 год. </w:t>
      </w:r>
    </w:p>
    <w:p w14:paraId="41261430"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241" w:name="_Toc195174985"/>
      <w:bookmarkStart w:id="242" w:name="_Toc196143078"/>
      <w:r>
        <w:rPr>
          <w:rFonts w:ascii="Times New Roman" w:eastAsia="Times New Roman" w:hAnsi="Times New Roman"/>
          <w:caps/>
          <w:color w:val="632423"/>
          <w:spacing w:val="15"/>
          <w:sz w:val="24"/>
          <w:szCs w:val="24"/>
          <w:lang w:eastAsia="en-US" w:bidi="en-US"/>
        </w:rPr>
        <w:t>Аудиторская организация</w:t>
      </w:r>
      <w:bookmarkEnd w:id="241"/>
      <w:bookmarkEnd w:id="242"/>
    </w:p>
    <w:p w14:paraId="6CE14C80" w14:textId="77777777" w:rsidR="002449C2" w:rsidRDefault="00123961">
      <w:pPr>
        <w:shd w:val="clear" w:color="auto" w:fill="FFFFFF"/>
        <w:spacing w:after="0" w:line="240" w:lineRule="auto"/>
        <w:ind w:firstLine="709"/>
        <w:jc w:val="both"/>
        <w:rPr>
          <w:rFonts w:ascii="Times New Roman" w:eastAsia="Times New Roman" w:hAnsi="Times New Roman"/>
          <w:color w:val="000000"/>
          <w:sz w:val="26"/>
          <w:szCs w:val="26"/>
        </w:rPr>
      </w:pPr>
      <w:r>
        <w:rPr>
          <w:rFonts w:ascii="Times New Roman" w:eastAsia="Times New Roman" w:hAnsi="Times New Roman"/>
          <w:color w:val="000000"/>
          <w:sz w:val="26"/>
          <w:szCs w:val="26"/>
        </w:rPr>
        <w:t>Для независимой оценки достоверности бухгалтерской (финансовой) отчетности, подготовленной по российским и международным стандартам, Общество на основании конкурсных процедур, привлекает внешнего аудитора.</w:t>
      </w:r>
    </w:p>
    <w:p w14:paraId="1A40CD41" w14:textId="77777777" w:rsidR="002449C2" w:rsidRDefault="00123961">
      <w:pPr>
        <w:shd w:val="clear" w:color="auto" w:fill="FFFFFF"/>
        <w:spacing w:after="0" w:line="240" w:lineRule="auto"/>
        <w:ind w:firstLine="709"/>
        <w:jc w:val="both"/>
        <w:rPr>
          <w:rFonts w:ascii="Times New Roman" w:eastAsia="Times New Roman" w:hAnsi="Times New Roman"/>
          <w:color w:val="000000"/>
          <w:sz w:val="26"/>
          <w:szCs w:val="26"/>
        </w:rPr>
      </w:pPr>
      <w:r>
        <w:rPr>
          <w:rFonts w:ascii="Times New Roman" w:eastAsia="Times New Roman" w:hAnsi="Times New Roman"/>
          <w:color w:val="000000"/>
          <w:sz w:val="26"/>
          <w:szCs w:val="26"/>
        </w:rPr>
        <w:t>Для проверки и подтверждения годовой финансовой отчетности Общества за 2024 год Общее собрание акционеров назначило Аудиторскую организацию Общества.</w:t>
      </w:r>
    </w:p>
    <w:p w14:paraId="430EE8BE" w14:textId="77777777" w:rsidR="002449C2" w:rsidRDefault="00123961">
      <w:pPr>
        <w:pStyle w:val="Default"/>
        <w:shd w:val="clear" w:color="auto" w:fill="FFFFFF"/>
        <w:spacing w:before="120" w:after="120"/>
        <w:ind w:firstLine="709"/>
        <w:jc w:val="both"/>
        <w:rPr>
          <w:rFonts w:ascii="Times New Roman" w:hAnsi="Times New Roman" w:cs="Times New Roman"/>
          <w:b/>
          <w:bCs/>
          <w:sz w:val="26"/>
          <w:szCs w:val="26"/>
        </w:rPr>
      </w:pPr>
      <w:r>
        <w:rPr>
          <w:rFonts w:ascii="Times New Roman" w:hAnsi="Times New Roman" w:cs="Times New Roman"/>
          <w:b/>
          <w:bCs/>
          <w:sz w:val="26"/>
          <w:szCs w:val="26"/>
        </w:rPr>
        <w:t>Принципы отбора аудиторской организации</w:t>
      </w:r>
    </w:p>
    <w:p w14:paraId="2E03885B" w14:textId="21AC49AE" w:rsidR="002449C2" w:rsidRDefault="00123961">
      <w:pPr>
        <w:spacing w:before="120" w:after="120" w:line="240" w:lineRule="auto"/>
        <w:ind w:firstLine="709"/>
        <w:jc w:val="both"/>
        <w:rPr>
          <w:rFonts w:ascii="Times New Roman" w:eastAsia="Times New Roman" w:hAnsi="Times New Roman"/>
          <w:color w:val="000000"/>
          <w:sz w:val="26"/>
          <w:szCs w:val="26"/>
        </w:rPr>
      </w:pPr>
      <w:r>
        <w:rPr>
          <w:rFonts w:ascii="Times New Roman" w:eastAsia="Times New Roman" w:hAnsi="Times New Roman"/>
          <w:color w:val="000000"/>
          <w:sz w:val="26"/>
          <w:szCs w:val="26"/>
        </w:rPr>
        <w:t xml:space="preserve">Кандидатура Аудиторской организации для назначения </w:t>
      </w:r>
      <w:r w:rsidR="00B310A4">
        <w:rPr>
          <w:rFonts w:ascii="Times New Roman" w:eastAsia="Times New Roman" w:hAnsi="Times New Roman"/>
          <w:color w:val="000000"/>
          <w:sz w:val="26"/>
          <w:szCs w:val="26"/>
        </w:rPr>
        <w:t xml:space="preserve">Общим собранием </w:t>
      </w:r>
      <w:r>
        <w:rPr>
          <w:rFonts w:ascii="Times New Roman" w:eastAsia="Times New Roman" w:hAnsi="Times New Roman"/>
          <w:color w:val="000000"/>
          <w:sz w:val="26"/>
          <w:szCs w:val="26"/>
        </w:rPr>
        <w:t>акционеров определена Советом директоров Общества в рамках решения вопросов подготовки и проведения годового Общего собрания акционеров.</w:t>
      </w:r>
    </w:p>
    <w:p w14:paraId="5892E1E6" w14:textId="77777777" w:rsidR="002449C2" w:rsidRDefault="00123961">
      <w:pPr>
        <w:spacing w:before="120" w:after="120" w:line="240" w:lineRule="auto"/>
        <w:ind w:firstLine="709"/>
        <w:jc w:val="both"/>
        <w:rPr>
          <w:rFonts w:ascii="Times New Roman" w:eastAsia="Times New Roman" w:hAnsi="Times New Roman"/>
          <w:color w:val="000000"/>
          <w:sz w:val="26"/>
          <w:szCs w:val="26"/>
        </w:rPr>
      </w:pPr>
      <w:r>
        <w:rPr>
          <w:rFonts w:ascii="Times New Roman" w:eastAsia="Times New Roman" w:hAnsi="Times New Roman"/>
          <w:color w:val="000000"/>
          <w:sz w:val="26"/>
          <w:szCs w:val="26"/>
        </w:rPr>
        <w:t>Выбор Аудиторской организации Общества производился по результатам конкурса в электронной форме, проведенного уполномоченной Обществом организацией в соответствии с Единым стандартом закупок Общества (Положением о закупке).</w:t>
      </w:r>
    </w:p>
    <w:p w14:paraId="15F12267" w14:textId="77777777" w:rsidR="002449C2" w:rsidRDefault="00123961">
      <w:pPr>
        <w:spacing w:before="120" w:after="120" w:line="240" w:lineRule="auto"/>
        <w:ind w:firstLine="709"/>
        <w:jc w:val="both"/>
        <w:rPr>
          <w:rFonts w:ascii="Times New Roman" w:eastAsia="Times New Roman" w:hAnsi="Times New Roman"/>
          <w:color w:val="000000"/>
          <w:sz w:val="26"/>
          <w:szCs w:val="26"/>
        </w:rPr>
      </w:pPr>
      <w:r>
        <w:rPr>
          <w:rFonts w:ascii="Times New Roman" w:eastAsia="Times New Roman" w:hAnsi="Times New Roman"/>
          <w:color w:val="000000"/>
          <w:sz w:val="26"/>
          <w:szCs w:val="26"/>
        </w:rPr>
        <w:t xml:space="preserve">В целях обеспечения независимости и объективности внешнего аудитора, выбор Аудиторской организации Общества осуществлялся путем конкурса в электронной форме, проводимого в Единой информационной системе Российской Федерации в сфере закупок </w:t>
      </w:r>
      <w:hyperlink r:id="rId182">
        <w:r>
          <w:rPr>
            <w:rFonts w:ascii="Times New Roman" w:eastAsia="Times New Roman" w:hAnsi="Times New Roman"/>
            <w:color w:val="0000FF"/>
            <w:sz w:val="26"/>
            <w:szCs w:val="26"/>
            <w:u w:val="single"/>
            <w:lang w:val="en-US"/>
          </w:rPr>
          <w:t>www</w:t>
        </w:r>
        <w:r>
          <w:rPr>
            <w:rFonts w:ascii="Times New Roman" w:eastAsia="Times New Roman" w:hAnsi="Times New Roman"/>
            <w:color w:val="0000FF"/>
            <w:sz w:val="26"/>
            <w:szCs w:val="26"/>
            <w:u w:val="single"/>
          </w:rPr>
          <w:t>.</w:t>
        </w:r>
        <w:r>
          <w:rPr>
            <w:rFonts w:ascii="Times New Roman" w:eastAsia="Times New Roman" w:hAnsi="Times New Roman"/>
            <w:color w:val="0000FF"/>
            <w:sz w:val="26"/>
            <w:szCs w:val="26"/>
            <w:u w:val="single"/>
            <w:lang w:val="en-US"/>
          </w:rPr>
          <w:t>zakupki</w:t>
        </w:r>
        <w:r>
          <w:rPr>
            <w:rFonts w:ascii="Times New Roman" w:eastAsia="Times New Roman" w:hAnsi="Times New Roman"/>
            <w:color w:val="0000FF"/>
            <w:sz w:val="26"/>
            <w:szCs w:val="26"/>
            <w:u w:val="single"/>
          </w:rPr>
          <w:t>.</w:t>
        </w:r>
        <w:r>
          <w:rPr>
            <w:rFonts w:ascii="Times New Roman" w:eastAsia="Times New Roman" w:hAnsi="Times New Roman"/>
            <w:color w:val="0000FF"/>
            <w:sz w:val="26"/>
            <w:szCs w:val="26"/>
            <w:u w:val="single"/>
            <w:lang w:val="en-US"/>
          </w:rPr>
          <w:t>gov</w:t>
        </w:r>
        <w:r>
          <w:rPr>
            <w:rFonts w:ascii="Times New Roman" w:eastAsia="Times New Roman" w:hAnsi="Times New Roman"/>
            <w:color w:val="0000FF"/>
            <w:sz w:val="26"/>
            <w:szCs w:val="26"/>
            <w:u w:val="single"/>
          </w:rPr>
          <w:t>.</w:t>
        </w:r>
        <w:r>
          <w:rPr>
            <w:rFonts w:ascii="Times New Roman" w:eastAsia="Times New Roman" w:hAnsi="Times New Roman"/>
            <w:color w:val="0000FF"/>
            <w:sz w:val="26"/>
            <w:szCs w:val="26"/>
            <w:u w:val="single"/>
            <w:lang w:val="en-US"/>
          </w:rPr>
          <w:t>ru</w:t>
        </w:r>
      </w:hyperlink>
      <w:r>
        <w:rPr>
          <w:rFonts w:ascii="Times New Roman" w:eastAsia="Times New Roman" w:hAnsi="Times New Roman"/>
          <w:color w:val="0000FF"/>
          <w:sz w:val="26"/>
          <w:szCs w:val="26"/>
          <w:u w:val="single"/>
        </w:rPr>
        <w:t xml:space="preserve">, </w:t>
      </w:r>
      <w:r>
        <w:rPr>
          <w:rFonts w:ascii="Times New Roman" w:eastAsia="Times New Roman" w:hAnsi="Times New Roman"/>
          <w:sz w:val="26"/>
          <w:szCs w:val="26"/>
          <w:u w:val="single"/>
        </w:rPr>
        <w:t xml:space="preserve">с использованием электронной торговой площадки ПАО «Россети» </w:t>
      </w:r>
      <w:r>
        <w:rPr>
          <w:rFonts w:ascii="Times New Roman" w:eastAsia="Times New Roman" w:hAnsi="Times New Roman"/>
          <w:color w:val="0000FF"/>
          <w:sz w:val="26"/>
          <w:szCs w:val="26"/>
          <w:u w:val="single"/>
        </w:rPr>
        <w:t>(http</w:t>
      </w:r>
      <w:r>
        <w:rPr>
          <w:rFonts w:ascii="Times New Roman" w:eastAsia="Times New Roman" w:hAnsi="Times New Roman"/>
          <w:color w:val="0000FF"/>
          <w:sz w:val="26"/>
          <w:szCs w:val="26"/>
          <w:u w:val="single"/>
          <w:lang w:val="en-US"/>
        </w:rPr>
        <w:t>s</w:t>
      </w:r>
      <w:r>
        <w:rPr>
          <w:rFonts w:ascii="Times New Roman" w:eastAsia="Times New Roman" w:hAnsi="Times New Roman"/>
          <w:color w:val="0000FF"/>
          <w:sz w:val="26"/>
          <w:szCs w:val="26"/>
          <w:u w:val="single"/>
        </w:rPr>
        <w:t>://rosseti.</w:t>
      </w:r>
      <w:r>
        <w:rPr>
          <w:rFonts w:ascii="Times New Roman" w:eastAsia="Times New Roman" w:hAnsi="Times New Roman"/>
          <w:color w:val="0000FF"/>
          <w:sz w:val="26"/>
          <w:szCs w:val="26"/>
          <w:u w:val="single"/>
          <w:lang w:val="en-US"/>
        </w:rPr>
        <w:t>roseltorg</w:t>
      </w:r>
      <w:r>
        <w:rPr>
          <w:rFonts w:ascii="Times New Roman" w:eastAsia="Times New Roman" w:hAnsi="Times New Roman"/>
          <w:color w:val="0000FF"/>
          <w:sz w:val="26"/>
          <w:szCs w:val="26"/>
          <w:u w:val="single"/>
        </w:rPr>
        <w:t>.ru)</w:t>
      </w:r>
      <w:r>
        <w:rPr>
          <w:rFonts w:ascii="Times New Roman" w:eastAsia="Times New Roman" w:hAnsi="Times New Roman"/>
          <w:color w:val="000000"/>
          <w:sz w:val="26"/>
          <w:szCs w:val="26"/>
        </w:rPr>
        <w:t>.</w:t>
      </w:r>
    </w:p>
    <w:p w14:paraId="5EC187D5" w14:textId="77777777" w:rsidR="002449C2" w:rsidRDefault="00123961">
      <w:pPr>
        <w:spacing w:before="120" w:after="120" w:line="240" w:lineRule="auto"/>
        <w:ind w:firstLine="709"/>
        <w:jc w:val="both"/>
        <w:rPr>
          <w:rFonts w:ascii="Times New Roman" w:eastAsia="Times New Roman" w:hAnsi="Times New Roman" w:cs="HeliosCompressed"/>
          <w:bCs/>
          <w:color w:val="000000"/>
          <w:sz w:val="26"/>
          <w:szCs w:val="26"/>
          <w:lang w:eastAsia="ru-RU"/>
        </w:rPr>
      </w:pPr>
      <w:r>
        <w:rPr>
          <w:rFonts w:ascii="Times New Roman" w:eastAsia="Times New Roman" w:hAnsi="Times New Roman"/>
          <w:color w:val="000000"/>
          <w:sz w:val="26"/>
          <w:szCs w:val="26"/>
        </w:rPr>
        <w:t xml:space="preserve">Информация о проведении конкурса на право заключения договора о предоставлении аудиторских услуг за 2024 год была размещена на сайте </w:t>
      </w:r>
      <w:hyperlink r:id="rId183">
        <w:r>
          <w:rPr>
            <w:rFonts w:ascii="Times New Roman" w:eastAsia="Times New Roman" w:hAnsi="Times New Roman"/>
            <w:color w:val="0000FF"/>
            <w:sz w:val="26"/>
            <w:szCs w:val="26"/>
            <w:u w:val="single"/>
            <w:lang w:val="en-US"/>
          </w:rPr>
          <w:t>www</w:t>
        </w:r>
        <w:r>
          <w:rPr>
            <w:rFonts w:ascii="Times New Roman" w:eastAsia="Times New Roman" w:hAnsi="Times New Roman"/>
            <w:color w:val="0000FF"/>
            <w:sz w:val="26"/>
            <w:szCs w:val="26"/>
            <w:u w:val="single"/>
          </w:rPr>
          <w:t>.</w:t>
        </w:r>
        <w:r>
          <w:rPr>
            <w:rFonts w:ascii="Times New Roman" w:eastAsia="Times New Roman" w:hAnsi="Times New Roman"/>
            <w:color w:val="0000FF"/>
            <w:sz w:val="26"/>
            <w:szCs w:val="26"/>
            <w:u w:val="single"/>
            <w:lang w:val="en-US"/>
          </w:rPr>
          <w:t>zakupki</w:t>
        </w:r>
        <w:r>
          <w:rPr>
            <w:rFonts w:ascii="Times New Roman" w:eastAsia="Times New Roman" w:hAnsi="Times New Roman"/>
            <w:color w:val="0000FF"/>
            <w:sz w:val="26"/>
            <w:szCs w:val="26"/>
            <w:u w:val="single"/>
          </w:rPr>
          <w:t>.</w:t>
        </w:r>
        <w:r>
          <w:rPr>
            <w:rFonts w:ascii="Times New Roman" w:eastAsia="Times New Roman" w:hAnsi="Times New Roman"/>
            <w:color w:val="0000FF"/>
            <w:sz w:val="26"/>
            <w:szCs w:val="26"/>
            <w:u w:val="single"/>
            <w:lang w:val="en-US"/>
          </w:rPr>
          <w:t>gov</w:t>
        </w:r>
        <w:r>
          <w:rPr>
            <w:rFonts w:ascii="Times New Roman" w:eastAsia="Times New Roman" w:hAnsi="Times New Roman"/>
            <w:color w:val="0000FF"/>
            <w:sz w:val="26"/>
            <w:szCs w:val="26"/>
            <w:u w:val="single"/>
          </w:rPr>
          <w:t>.</w:t>
        </w:r>
        <w:r>
          <w:rPr>
            <w:rFonts w:ascii="Times New Roman" w:eastAsia="Times New Roman" w:hAnsi="Times New Roman"/>
            <w:color w:val="0000FF"/>
            <w:sz w:val="26"/>
            <w:szCs w:val="26"/>
            <w:u w:val="single"/>
            <w:lang w:val="en-US"/>
          </w:rPr>
          <w:t>ru</w:t>
        </w:r>
      </w:hyperlink>
      <w:r>
        <w:rPr>
          <w:rFonts w:ascii="Times New Roman" w:eastAsia="Times New Roman" w:hAnsi="Times New Roman"/>
          <w:color w:val="000000"/>
          <w:sz w:val="26"/>
          <w:szCs w:val="26"/>
        </w:rPr>
        <w:t xml:space="preserve">. По результатам конкурса победителем признан </w:t>
      </w:r>
      <w:r>
        <w:rPr>
          <w:rFonts w:ascii="Times New Roman" w:eastAsia="Times New Roman" w:hAnsi="Times New Roman" w:cs="HeliosCompressed"/>
          <w:color w:val="000000"/>
          <w:sz w:val="26"/>
          <w:szCs w:val="26"/>
          <w:lang w:eastAsia="ru-RU"/>
        </w:rPr>
        <w:t xml:space="preserve">коллективный участник в составе: </w:t>
      </w:r>
      <w:r>
        <w:rPr>
          <w:rFonts w:ascii="Times New Roman" w:eastAsia="Times New Roman" w:hAnsi="Times New Roman" w:cs="HeliosCompressed"/>
          <w:bCs/>
          <w:color w:val="000000"/>
          <w:sz w:val="26"/>
          <w:szCs w:val="26"/>
          <w:lang w:eastAsia="ru-RU"/>
        </w:rPr>
        <w:t>ООО «ЦАТР – аудиторские услуги» (лидер коллективного участника) и ООО «Интерком-Аудит» (член коллективного участника).</w:t>
      </w:r>
    </w:p>
    <w:p w14:paraId="4184DBFB" w14:textId="77777777" w:rsidR="002449C2" w:rsidRDefault="00123961">
      <w:pPr>
        <w:spacing w:before="120" w:after="120" w:line="240" w:lineRule="auto"/>
        <w:ind w:firstLine="709"/>
        <w:jc w:val="both"/>
        <w:rPr>
          <w:rFonts w:ascii="Times New Roman" w:eastAsia="Times New Roman" w:hAnsi="Times New Roman"/>
          <w:color w:val="000000"/>
          <w:sz w:val="26"/>
          <w:szCs w:val="26"/>
        </w:rPr>
      </w:pPr>
      <w:r>
        <w:rPr>
          <w:rFonts w:ascii="Times New Roman" w:eastAsia="Times New Roman" w:hAnsi="Times New Roman"/>
          <w:color w:val="000000"/>
          <w:sz w:val="26"/>
          <w:szCs w:val="26"/>
        </w:rPr>
        <w:t>Оценка участников конкурса проводилась по заранее установленным и заявленным в условиях конкурса критериям.</w:t>
      </w:r>
    </w:p>
    <w:p w14:paraId="20F811B7" w14:textId="77777777" w:rsidR="002449C2" w:rsidRDefault="00123961">
      <w:pPr>
        <w:spacing w:before="120" w:after="120" w:line="240" w:lineRule="auto"/>
        <w:ind w:firstLine="709"/>
        <w:jc w:val="both"/>
        <w:rPr>
          <w:rFonts w:ascii="Times New Roman" w:eastAsia="Times New Roman" w:hAnsi="Times New Roman"/>
          <w:color w:val="000000"/>
          <w:sz w:val="26"/>
          <w:szCs w:val="26"/>
        </w:rPr>
      </w:pPr>
      <w:r>
        <w:rPr>
          <w:rFonts w:ascii="Times New Roman" w:eastAsia="Times New Roman" w:hAnsi="Times New Roman"/>
          <w:color w:val="000000"/>
          <w:sz w:val="26"/>
          <w:szCs w:val="26"/>
        </w:rPr>
        <w:t>Внешний аудитор осуществляет аудит отчетности в соответствии с требованиями законодательства Российской Федерации на основании заключаемого с ним договора.</w:t>
      </w:r>
    </w:p>
    <w:p w14:paraId="67CC51AD" w14:textId="77777777" w:rsidR="002449C2" w:rsidRDefault="00123961">
      <w:pPr>
        <w:spacing w:before="120" w:after="120" w:line="240" w:lineRule="auto"/>
        <w:ind w:firstLine="709"/>
        <w:jc w:val="both"/>
        <w:rPr>
          <w:rFonts w:ascii="Times New Roman" w:eastAsia="Times New Roman" w:hAnsi="Times New Roman"/>
          <w:bCs/>
          <w:color w:val="000000"/>
          <w:sz w:val="26"/>
          <w:szCs w:val="26"/>
        </w:rPr>
      </w:pPr>
      <w:r>
        <w:rPr>
          <w:rFonts w:ascii="Times New Roman" w:eastAsia="Times New Roman" w:hAnsi="Times New Roman"/>
          <w:color w:val="000000"/>
          <w:sz w:val="26"/>
          <w:szCs w:val="26"/>
        </w:rPr>
        <w:t xml:space="preserve">Для осуществления обязательного аудита бухгалтерской отчетности по РСБУ и консолидированной финансовой отчетности по международным стандартам финансовой отчетности Группы за 2024 Советом директоров Общества был рекомендован 16.05.2024 (протокол от 16.05.2024 №572/2024) и назначен решением годового Общего собрания акционеров Общества 19.06.2024 (протокол от 19.06.2024 №27) Аудиторской организацией Общества коллективный участник в составе: ООО «ЦАТР-аудиторские услуги» (лидер коллективного участника) и </w:t>
      </w:r>
      <w:r>
        <w:rPr>
          <w:rFonts w:ascii="Times New Roman" w:eastAsia="Times New Roman" w:hAnsi="Times New Roman"/>
          <w:bCs/>
          <w:color w:val="000000"/>
          <w:sz w:val="26"/>
          <w:szCs w:val="26"/>
        </w:rPr>
        <w:t>ООО «Интерком-Аудит» (член коллективного участника).</w:t>
      </w:r>
    </w:p>
    <w:p w14:paraId="24663C88" w14:textId="77777777" w:rsidR="002449C2" w:rsidRDefault="00123961">
      <w:pPr>
        <w:spacing w:before="120" w:after="120" w:line="240" w:lineRule="auto"/>
        <w:ind w:firstLine="709"/>
        <w:jc w:val="both"/>
        <w:rPr>
          <w:rFonts w:ascii="Times New Roman" w:eastAsia="Times New Roman" w:hAnsi="Times New Roman"/>
          <w:color w:val="000000"/>
          <w:sz w:val="26"/>
          <w:szCs w:val="26"/>
        </w:rPr>
      </w:pPr>
      <w:r>
        <w:rPr>
          <w:rFonts w:ascii="Times New Roman" w:eastAsia="Times New Roman" w:hAnsi="Times New Roman"/>
          <w:color w:val="000000"/>
          <w:sz w:val="26"/>
          <w:szCs w:val="26"/>
        </w:rPr>
        <w:t>Лидер коллективного участника ООО «ЦАТР – Аудиторские услуги» является членом Саморегулируемой организации аудиторов Ассоциация «Содружество», имеетнеобходимый опыт работы и располагает достаточным количеством квалифицированного персонала. Вторым членом коллективного участника является ООО «Интерком-аудит», которая является членом Саморегулируемой организации аудиторов Ассоциация «Содружество».</w:t>
      </w:r>
    </w:p>
    <w:p w14:paraId="012CE95A" w14:textId="77777777" w:rsidR="002449C2" w:rsidRDefault="00123961">
      <w:pPr>
        <w:spacing w:before="120" w:after="120" w:line="240" w:lineRule="auto"/>
        <w:ind w:firstLine="709"/>
        <w:jc w:val="both"/>
        <w:rPr>
          <w:rFonts w:ascii="Times New Roman" w:eastAsia="Times New Roman" w:hAnsi="Times New Roman"/>
          <w:color w:val="000000"/>
          <w:sz w:val="26"/>
          <w:szCs w:val="26"/>
        </w:rPr>
      </w:pPr>
      <w:r>
        <w:rPr>
          <w:rFonts w:ascii="Times New Roman" w:eastAsia="Times New Roman" w:hAnsi="Times New Roman"/>
          <w:color w:val="000000"/>
          <w:sz w:val="26"/>
          <w:szCs w:val="26"/>
        </w:rPr>
        <w:t>Размер оплаты услуг Аудиторской организации в соответствии с п. 24.12 ст. 24 Устава ПАО «Россети Юг» определен Советом директоров Общества.</w:t>
      </w:r>
    </w:p>
    <w:p w14:paraId="3300E129" w14:textId="77777777" w:rsidR="002449C2" w:rsidRDefault="00123961">
      <w:pPr>
        <w:shd w:val="clear" w:color="auto" w:fill="FFFFFF" w:themeFill="background1"/>
        <w:suppressAutoHyphens w:val="0"/>
        <w:spacing w:before="120" w:after="120" w:line="240" w:lineRule="auto"/>
        <w:ind w:firstLine="709"/>
        <w:jc w:val="both"/>
        <w:rPr>
          <w:rFonts w:ascii="Times New Roman" w:eastAsia="Times New Roman" w:hAnsi="Times New Roman"/>
          <w:color w:val="000000"/>
          <w:sz w:val="24"/>
          <w:szCs w:val="24"/>
        </w:rPr>
      </w:pPr>
      <w:r>
        <w:rPr>
          <w:rFonts w:ascii="Times New Roman" w:eastAsia="Times New Roman" w:hAnsi="Times New Roman"/>
          <w:color w:val="000000"/>
          <w:sz w:val="26"/>
          <w:szCs w:val="26"/>
        </w:rPr>
        <w:t xml:space="preserve">Стоимость услуг и порядок оплаты услуг Аудиторской организации указываются в договоре, заключаемом между Обществом и аудитором. Решением Совета директоров Общества 14.05.2024 (протокол №572/2024 от 16.05.2024) определен размер оплаты услуг Общества по аудиту бухгалтерской (финансовой) отчетности за 2024 год, подготовленной по РСБУ, и по аудиту консолидированной финансовой отчетности за 2024 год, подготовленной по МСФО в сумме </w:t>
      </w:r>
      <w:r>
        <w:rPr>
          <w:rFonts w:ascii="Times New Roman" w:eastAsia="Times New Roman" w:hAnsi="Times New Roman"/>
          <w:bCs/>
          <w:color w:val="000000"/>
          <w:sz w:val="26"/>
          <w:szCs w:val="26"/>
        </w:rPr>
        <w:t xml:space="preserve">2 888 321,13 (два миллиона восемьсот восемьдесят восемь тысяч триста двадцать один) рубль 13 копеек, в том числе НДС (20%) 481 386,85 (Четыреста восемьдесят одна тысяча триста восемьдесят шесть) рублей 85 копеек. Стоимость </w:t>
      </w:r>
      <w:r>
        <w:rPr>
          <w:rFonts w:ascii="Times New Roman" w:eastAsia="Times New Roman" w:hAnsi="Times New Roman"/>
          <w:color w:val="000000"/>
          <w:sz w:val="26"/>
          <w:szCs w:val="26"/>
        </w:rPr>
        <w:t>услуг неаудиторского характера в отчетном году составила 1 009 764,82 (один миллион девять тысяч семьсот шестьдесят четыре) рубля 82 копейки, в том числе НДС (20%) 168 294,14 (сто шестьдесят восемь тысяч двести девяносто четыре) рубля 14 копеек</w:t>
      </w:r>
      <w:r>
        <w:rPr>
          <w:rFonts w:ascii="Times New Roman" w:eastAsia="Times New Roman" w:hAnsi="Times New Roman"/>
          <w:sz w:val="26"/>
          <w:szCs w:val="26"/>
        </w:rPr>
        <w:t>.</w:t>
      </w:r>
    </w:p>
    <w:p w14:paraId="43CAB5F7" w14:textId="77777777" w:rsidR="002449C2" w:rsidRDefault="00123961">
      <w:pPr>
        <w:pStyle w:val="Default"/>
        <w:shd w:val="clear" w:color="auto" w:fill="FFFFFF"/>
        <w:spacing w:before="120" w:after="120"/>
        <w:ind w:firstLine="709"/>
        <w:jc w:val="both"/>
        <w:rPr>
          <w:rFonts w:ascii="Times New Roman" w:hAnsi="Times New Roman" w:cs="Times New Roman"/>
          <w:sz w:val="26"/>
          <w:szCs w:val="26"/>
        </w:rPr>
      </w:pPr>
      <w:r>
        <w:rPr>
          <w:rFonts w:ascii="Times New Roman" w:hAnsi="Times New Roman" w:cs="Times New Roman"/>
          <w:sz w:val="26"/>
          <w:szCs w:val="26"/>
        </w:rPr>
        <w:t>Аффилированность аудитора с сотрудниками и менеджментом Общества отсутствует. Деловые взаимоотношения (участие в продвижении продукции (услуг), участие в совместной предпринимательской деятельности и т.д.), а также родственные связи с должностными лицами Лидера коллективного участника ООО «ЦАТР-аудиторские услуги» у Общества отсутствуют.</w:t>
      </w:r>
    </w:p>
    <w:p w14:paraId="506B2216" w14:textId="77777777" w:rsidR="002449C2" w:rsidRDefault="00123961">
      <w:pPr>
        <w:shd w:val="clear" w:color="auto" w:fill="FFFFFF"/>
        <w:spacing w:before="120" w:after="120" w:line="240" w:lineRule="auto"/>
        <w:jc w:val="center"/>
        <w:rPr>
          <w:rFonts w:ascii="Times New Roman" w:eastAsia="MS Mincho" w:hAnsi="Times New Roman"/>
          <w:b/>
          <w:color w:val="0070C0"/>
          <w:sz w:val="26"/>
          <w:szCs w:val="26"/>
          <w:lang w:eastAsia="ja-JP"/>
        </w:rPr>
      </w:pPr>
      <w:r>
        <w:rPr>
          <w:rFonts w:ascii="Times New Roman" w:eastAsia="MS Mincho" w:hAnsi="Times New Roman"/>
          <w:b/>
          <w:color w:val="0070C0"/>
          <w:sz w:val="26"/>
          <w:szCs w:val="26"/>
          <w:lang w:eastAsia="ja-JP"/>
        </w:rPr>
        <w:t>Оценка эффективности внешнего аудита</w:t>
      </w:r>
    </w:p>
    <w:p w14:paraId="390794D0" w14:textId="77777777" w:rsidR="002449C2" w:rsidRDefault="00123961">
      <w:pPr>
        <w:shd w:val="clear" w:color="auto" w:fill="FFFFFF"/>
        <w:spacing w:after="0" w:line="240" w:lineRule="auto"/>
        <w:ind w:firstLine="708"/>
        <w:jc w:val="both"/>
        <w:rPr>
          <w:rFonts w:ascii="Times New Roman" w:eastAsia="MS Mincho" w:hAnsi="Times New Roman"/>
          <w:sz w:val="26"/>
          <w:szCs w:val="26"/>
        </w:rPr>
      </w:pPr>
      <w:r>
        <w:rPr>
          <w:rFonts w:ascii="Times New Roman" w:eastAsia="MS Mincho" w:hAnsi="Times New Roman"/>
          <w:sz w:val="26"/>
          <w:szCs w:val="26"/>
          <w:lang w:eastAsia="ja-JP"/>
        </w:rPr>
        <w:t>В соответствии с заключением внутреннего аудита Общества об оценке качества выполнения аудиторской проверки, заключений аудиторов и эффективности процесса проведения внешнего аудита бухгалтерской (финансовой) отчетности ПАО «Россети Юг» за 2023 год:</w:t>
      </w:r>
    </w:p>
    <w:p w14:paraId="72E4BBD6" w14:textId="77777777" w:rsidR="002449C2" w:rsidRDefault="00123961">
      <w:pPr>
        <w:numPr>
          <w:ilvl w:val="0"/>
          <w:numId w:val="47"/>
        </w:numPr>
        <w:shd w:val="clear" w:color="auto" w:fill="FFFFFF"/>
        <w:spacing w:after="0" w:line="240" w:lineRule="auto"/>
        <w:ind w:left="709" w:hanging="425"/>
        <w:contextualSpacing/>
        <w:jc w:val="both"/>
        <w:rPr>
          <w:rFonts w:ascii="Times New Roman" w:eastAsia="MS Mincho" w:hAnsi="Times New Roman"/>
          <w:sz w:val="26"/>
          <w:szCs w:val="26"/>
        </w:rPr>
      </w:pPr>
      <w:r>
        <w:rPr>
          <w:rFonts w:ascii="Times New Roman" w:eastAsia="MS Mincho" w:hAnsi="Times New Roman"/>
          <w:sz w:val="26"/>
          <w:szCs w:val="26"/>
          <w:lang w:eastAsia="ja-JP"/>
        </w:rPr>
        <w:t>процедуры, проведенные ООО «ЦАТР-аудиторские услуги» в ходе внешнего аудита бухгалтерской (финансовой) отчетности Общества за 2023 год, подготовленной в соответствии с РСБУ, соответствуют условиям Договора и требованию Федерального закона от 30.12.2008 № 307-Ф3 «Об аудиторской деятельности»;</w:t>
      </w:r>
    </w:p>
    <w:p w14:paraId="4C06FD7F" w14:textId="6A6B428B" w:rsidR="002449C2" w:rsidRDefault="00123961">
      <w:pPr>
        <w:numPr>
          <w:ilvl w:val="0"/>
          <w:numId w:val="47"/>
        </w:numPr>
        <w:shd w:val="clear" w:color="auto" w:fill="FFFFFF"/>
        <w:spacing w:after="0" w:line="240" w:lineRule="auto"/>
        <w:ind w:left="709" w:hanging="425"/>
        <w:contextualSpacing/>
        <w:jc w:val="both"/>
        <w:rPr>
          <w:rFonts w:ascii="Times New Roman" w:eastAsia="MS Mincho" w:hAnsi="Times New Roman"/>
          <w:sz w:val="26"/>
          <w:szCs w:val="26"/>
        </w:rPr>
      </w:pPr>
      <w:r>
        <w:rPr>
          <w:rFonts w:ascii="Times New Roman" w:eastAsia="MS Mincho" w:hAnsi="Times New Roman"/>
          <w:sz w:val="26"/>
          <w:szCs w:val="26"/>
          <w:lang w:eastAsia="ja-JP"/>
        </w:rPr>
        <w:t>аудиторское заключение независимого аудитора о бухгалтерской (финансовой) отчетности Общества за 2023 год подготовлено в соответствии с Федеральным законом от 30.12.2008 №307-ФЗ «Об аудиторской деятельности», международными стандартами аудита и содержит выраженное в установленной форме мнение о достоверности отчетности аудируемого лица (ПАО «Россети Юг»).</w:t>
      </w:r>
    </w:p>
    <w:p w14:paraId="50F0CDC8" w14:textId="77777777" w:rsidR="002449C2" w:rsidRDefault="00123961">
      <w:pPr>
        <w:shd w:val="clear" w:color="auto" w:fill="FFFFFF"/>
        <w:spacing w:after="0" w:line="240" w:lineRule="auto"/>
        <w:ind w:left="709"/>
        <w:contextualSpacing/>
        <w:jc w:val="both"/>
        <w:rPr>
          <w:rFonts w:ascii="Cambria" w:eastAsia="MS Mincho" w:hAnsi="Cambria"/>
          <w:sz w:val="26"/>
          <w:szCs w:val="26"/>
          <w:lang w:eastAsia="ja-JP"/>
        </w:rPr>
      </w:pPr>
      <w:r>
        <w:br w:type="page"/>
      </w:r>
    </w:p>
    <w:p w14:paraId="411350E4" w14:textId="77777777" w:rsidR="002449C2" w:rsidRDefault="00123961">
      <w:pPr>
        <w:keepNext/>
        <w:keepLines/>
        <w:spacing w:after="120" w:line="240" w:lineRule="auto"/>
        <w:ind w:left="360"/>
        <w:outlineLvl w:val="0"/>
        <w:rPr>
          <w:rFonts w:ascii="Times New Roman" w:eastAsia="Times New Roman" w:hAnsi="Times New Roman"/>
          <w:bCs/>
          <w:color w:val="0066CC"/>
          <w:sz w:val="36"/>
          <w:szCs w:val="28"/>
          <w:lang w:eastAsia="ru-RU"/>
        </w:rPr>
      </w:pPr>
      <w:bookmarkStart w:id="243" w:name="_Toc195174986"/>
      <w:bookmarkStart w:id="244" w:name="_Toc196143079"/>
      <w:r>
        <w:rPr>
          <w:rFonts w:ascii="Times New Roman" w:eastAsia="Times New Roman" w:hAnsi="Times New Roman"/>
          <w:bCs/>
          <w:color w:val="0066CC"/>
          <w:sz w:val="36"/>
          <w:szCs w:val="28"/>
          <w:lang w:eastAsia="ru-RU"/>
        </w:rPr>
        <w:t>АКЦИОНЕРНЫЙ КАПИТАЛ, обращение ценных бумаг</w:t>
      </w:r>
      <w:bookmarkEnd w:id="243"/>
      <w:bookmarkEnd w:id="244"/>
    </w:p>
    <w:p w14:paraId="1D130F80" w14:textId="77777777" w:rsidR="002449C2" w:rsidRDefault="00123961">
      <w:pPr>
        <w:keepNext/>
        <w:pBdr>
          <w:bottom w:val="single" w:sz="4" w:space="1" w:color="622423"/>
        </w:pBdr>
        <w:spacing w:before="400" w:line="252" w:lineRule="auto"/>
        <w:jc w:val="center"/>
        <w:outlineLvl w:val="1"/>
        <w:rPr>
          <w:rFonts w:ascii="Times New Roman" w:eastAsia="Times New Roman" w:hAnsi="Times New Roman"/>
          <w:caps/>
          <w:color w:val="632423"/>
          <w:spacing w:val="15"/>
          <w:sz w:val="24"/>
          <w:szCs w:val="24"/>
          <w:lang w:eastAsia="en-US" w:bidi="en-US"/>
        </w:rPr>
      </w:pPr>
      <w:bookmarkStart w:id="245" w:name="_Toc195174987"/>
      <w:bookmarkStart w:id="246" w:name="_Toc196143080"/>
      <w:r>
        <w:rPr>
          <w:rFonts w:ascii="Times New Roman" w:eastAsia="Times New Roman" w:hAnsi="Times New Roman"/>
          <w:caps/>
          <w:color w:val="632423"/>
          <w:spacing w:val="15"/>
          <w:sz w:val="24"/>
          <w:szCs w:val="24"/>
          <w:lang w:eastAsia="en-US" w:bidi="en-US"/>
        </w:rPr>
        <w:t>Структура акционерного капитала</w:t>
      </w:r>
      <w:bookmarkEnd w:id="245"/>
      <w:bookmarkEnd w:id="246"/>
    </w:p>
    <w:p w14:paraId="7F465EB6" w14:textId="77777777" w:rsidR="002449C2" w:rsidRDefault="00123961">
      <w:pPr>
        <w:widowControl w:val="0"/>
        <w:tabs>
          <w:tab w:val="left" w:pos="142"/>
        </w:tabs>
        <w:spacing w:after="0" w:line="240" w:lineRule="auto"/>
        <w:ind w:firstLine="567"/>
        <w:jc w:val="both"/>
        <w:rPr>
          <w:rFonts w:ascii="Times New Roman" w:eastAsia="Times New Roman" w:hAnsi="Times New Roman"/>
          <w:b/>
          <w:bCs/>
          <w:iCs/>
          <w:sz w:val="26"/>
          <w:szCs w:val="26"/>
          <w:lang w:eastAsia="ru-RU"/>
        </w:rPr>
      </w:pPr>
      <w:r>
        <w:rPr>
          <w:rFonts w:ascii="Times New Roman" w:eastAsia="Times New Roman" w:hAnsi="Times New Roman"/>
          <w:sz w:val="26"/>
          <w:szCs w:val="26"/>
          <w:lang w:eastAsia="ru-RU"/>
        </w:rPr>
        <w:t xml:space="preserve">Уставный капитал по состоянию на 31.12.2024: </w:t>
      </w:r>
      <w:r>
        <w:rPr>
          <w:rFonts w:ascii="Times New Roman" w:eastAsia="Times New Roman" w:hAnsi="Times New Roman"/>
          <w:b/>
          <w:bCs/>
          <w:iCs/>
          <w:sz w:val="26"/>
          <w:szCs w:val="26"/>
          <w:lang w:eastAsia="ru-RU"/>
        </w:rPr>
        <w:t xml:space="preserve">15 164 142 635, 43 руб. </w:t>
      </w:r>
    </w:p>
    <w:p w14:paraId="49AC7BAE" w14:textId="77777777" w:rsidR="002449C2" w:rsidRDefault="00123961">
      <w:pPr>
        <w:widowControl w:val="0"/>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bCs/>
          <w:iCs/>
          <w:sz w:val="26"/>
          <w:szCs w:val="26"/>
          <w:lang w:eastAsia="ru-RU"/>
        </w:rPr>
        <w:t xml:space="preserve">Обыкновенные акции: </w:t>
      </w:r>
      <w:r>
        <w:rPr>
          <w:rFonts w:ascii="Times New Roman" w:eastAsia="Times New Roman" w:hAnsi="Times New Roman"/>
          <w:b/>
          <w:bCs/>
          <w:iCs/>
          <w:sz w:val="26"/>
          <w:szCs w:val="26"/>
          <w:lang w:eastAsia="ru-RU"/>
        </w:rPr>
        <w:t>151 641 426 354,30 шт.</w:t>
      </w:r>
    </w:p>
    <w:p w14:paraId="79119CF2" w14:textId="77777777" w:rsidR="002449C2" w:rsidRDefault="00123961">
      <w:pPr>
        <w:widowControl w:val="0"/>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Номинальная стоимость акций: </w:t>
      </w:r>
      <w:r>
        <w:rPr>
          <w:rFonts w:ascii="Times New Roman" w:eastAsia="Times New Roman" w:hAnsi="Times New Roman"/>
          <w:b/>
          <w:bCs/>
          <w:iCs/>
          <w:sz w:val="26"/>
          <w:szCs w:val="26"/>
          <w:lang w:eastAsia="ru-RU"/>
        </w:rPr>
        <w:t>10 копеек каждая.</w:t>
      </w:r>
      <w:r>
        <w:rPr>
          <w:rFonts w:ascii="Times New Roman" w:eastAsia="Times New Roman" w:hAnsi="Times New Roman"/>
          <w:bCs/>
          <w:iCs/>
          <w:sz w:val="26"/>
          <w:szCs w:val="26"/>
          <w:lang w:eastAsia="ru-RU"/>
        </w:rPr>
        <w:t xml:space="preserve"> </w:t>
      </w:r>
    </w:p>
    <w:p w14:paraId="33BEEED8" w14:textId="77777777" w:rsidR="002449C2" w:rsidRDefault="00123961">
      <w:pPr>
        <w:widowControl w:val="0"/>
        <w:tabs>
          <w:tab w:val="left" w:pos="142"/>
        </w:tabs>
        <w:spacing w:after="0" w:line="240" w:lineRule="auto"/>
        <w:ind w:firstLine="567"/>
        <w:jc w:val="both"/>
        <w:rPr>
          <w:rFonts w:ascii="Times New Roman" w:eastAsia="Times New Roman" w:hAnsi="Times New Roman"/>
          <w:iCs/>
          <w:sz w:val="26"/>
          <w:szCs w:val="26"/>
          <w:lang w:eastAsia="ru-RU"/>
        </w:rPr>
      </w:pPr>
      <w:r>
        <w:rPr>
          <w:rFonts w:ascii="Times New Roman" w:eastAsia="Times New Roman" w:hAnsi="Times New Roman"/>
          <w:bCs/>
          <w:iCs/>
          <w:sz w:val="26"/>
          <w:szCs w:val="26"/>
          <w:lang w:eastAsia="ru-RU"/>
        </w:rPr>
        <w:t>Привилегированные акции: не размещались.</w:t>
      </w:r>
    </w:p>
    <w:p w14:paraId="3EDDA2EB" w14:textId="77777777" w:rsidR="002449C2" w:rsidRDefault="00123961">
      <w:pPr>
        <w:widowControl w:val="0"/>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bCs/>
          <w:iCs/>
          <w:sz w:val="26"/>
          <w:szCs w:val="26"/>
          <w:lang w:eastAsia="ru-RU"/>
        </w:rPr>
        <w:t xml:space="preserve">Объявленные акции: </w:t>
      </w:r>
      <w:r>
        <w:rPr>
          <w:rFonts w:ascii="Times New Roman" w:eastAsia="Times New Roman" w:hAnsi="Times New Roman"/>
          <w:sz w:val="26"/>
          <w:szCs w:val="26"/>
          <w:lang w:eastAsia="ru-RU"/>
        </w:rPr>
        <w:t>28 918 182 335 штук обыкновенных акций номинальной стоимостью 10 копеек каждая на общую сумму по номинальной стоимости 2 891 818 233,50 руб.</w:t>
      </w:r>
    </w:p>
    <w:p w14:paraId="57BFF207" w14:textId="77777777" w:rsidR="002449C2" w:rsidRDefault="00123961">
      <w:pPr>
        <w:widowControl w:val="0"/>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Акции в перекрестном владении: нет</w:t>
      </w:r>
      <w:r w:rsidR="00B310A4">
        <w:rPr>
          <w:rFonts w:ascii="Times New Roman" w:eastAsia="Times New Roman" w:hAnsi="Times New Roman"/>
          <w:sz w:val="26"/>
          <w:szCs w:val="26"/>
          <w:lang w:eastAsia="ru-RU"/>
        </w:rPr>
        <w:t>.</w:t>
      </w:r>
    </w:p>
    <w:p w14:paraId="79B4DC84" w14:textId="77777777" w:rsidR="002449C2" w:rsidRDefault="00123961">
      <w:pPr>
        <w:widowControl w:val="0"/>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Казначейские акции (владение собственными акциями): нет</w:t>
      </w:r>
      <w:r w:rsidR="00B310A4">
        <w:rPr>
          <w:rFonts w:ascii="Times New Roman" w:eastAsia="Times New Roman" w:hAnsi="Times New Roman"/>
          <w:sz w:val="26"/>
          <w:szCs w:val="26"/>
          <w:lang w:eastAsia="ru-RU"/>
        </w:rPr>
        <w:t>.</w:t>
      </w:r>
    </w:p>
    <w:p w14:paraId="2A7CBC53" w14:textId="77777777" w:rsidR="002449C2" w:rsidRDefault="00123961">
      <w:pPr>
        <w:widowControl w:val="0"/>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Квазиказначейские акции (владение собственными акциями через дочерние компании): нет</w:t>
      </w:r>
      <w:r w:rsidR="00B310A4">
        <w:rPr>
          <w:rFonts w:ascii="Times New Roman" w:eastAsia="Times New Roman" w:hAnsi="Times New Roman"/>
          <w:sz w:val="26"/>
          <w:szCs w:val="26"/>
          <w:lang w:eastAsia="ru-RU"/>
        </w:rPr>
        <w:t>.</w:t>
      </w:r>
    </w:p>
    <w:p w14:paraId="0E51861C" w14:textId="77777777" w:rsidR="002449C2" w:rsidRDefault="00123961">
      <w:pPr>
        <w:widowControl w:val="0"/>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Акционеры:17 539 лиц на 31.12.2024</w:t>
      </w:r>
      <w:r w:rsidR="00B310A4">
        <w:rPr>
          <w:rFonts w:ascii="Times New Roman" w:eastAsia="Times New Roman" w:hAnsi="Times New Roman"/>
          <w:sz w:val="26"/>
          <w:szCs w:val="26"/>
          <w:lang w:eastAsia="ru-RU"/>
        </w:rPr>
        <w:t>.</w:t>
      </w:r>
    </w:p>
    <w:p w14:paraId="68929E5C" w14:textId="77777777" w:rsidR="002449C2" w:rsidRDefault="00123961">
      <w:pPr>
        <w:widowControl w:val="0"/>
        <w:tabs>
          <w:tab w:val="left" w:pos="142"/>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Контролирующий акционер: ПАО «Россети» (84,16% акций). Российской Федерации в лице Росимущества принадлежит 76,9936% размещенных акций ПАО «Россети».    </w:t>
      </w:r>
    </w:p>
    <w:p w14:paraId="5BD2267B" w14:textId="77777777" w:rsidR="002449C2" w:rsidRDefault="00123961">
      <w:pPr>
        <w:shd w:val="clear" w:color="auto" w:fill="FFFFFF"/>
        <w:tabs>
          <w:tab w:val="left" w:pos="142"/>
        </w:tabs>
        <w:spacing w:before="120" w:after="120" w:line="240" w:lineRule="auto"/>
        <w:ind w:firstLine="567"/>
        <w:jc w:val="center"/>
        <w:rPr>
          <w:rFonts w:ascii="Times New Roman" w:eastAsia="Arial" w:hAnsi="Times New Roman"/>
          <w:b/>
          <w:sz w:val="24"/>
          <w:szCs w:val="24"/>
          <w:lang w:eastAsia="en-US"/>
        </w:rPr>
      </w:pPr>
      <w:r>
        <w:rPr>
          <w:rFonts w:ascii="Times New Roman" w:eastAsia="Arial" w:hAnsi="Times New Roman"/>
          <w:b/>
          <w:sz w:val="24"/>
          <w:szCs w:val="24"/>
          <w:lang w:eastAsia="en-US"/>
        </w:rPr>
        <w:t xml:space="preserve">Сведения о лицах, зарегистрированных в реестре акционеров Общества </w:t>
      </w:r>
      <w:r>
        <w:rPr>
          <w:rFonts w:ascii="Times New Roman" w:eastAsia="Arial" w:hAnsi="Times New Roman"/>
          <w:b/>
          <w:sz w:val="24"/>
          <w:szCs w:val="24"/>
          <w:lang w:eastAsia="en-US"/>
        </w:rPr>
        <w:br w:type="textWrapping" w:clear="all"/>
        <w:t>на 31.12.2024:</w:t>
      </w:r>
    </w:p>
    <w:tbl>
      <w:tblPr>
        <w:tblW w:w="9634" w:type="dxa"/>
        <w:tblLayout w:type="fixed"/>
        <w:tblCellMar>
          <w:top w:w="25" w:type="dxa"/>
          <w:left w:w="57" w:type="dxa"/>
          <w:bottom w:w="25" w:type="dxa"/>
          <w:right w:w="57" w:type="dxa"/>
        </w:tblCellMar>
        <w:tblLook w:val="0600" w:firstRow="0" w:lastRow="0" w:firstColumn="0" w:lastColumn="0" w:noHBand="1" w:noVBand="1"/>
      </w:tblPr>
      <w:tblGrid>
        <w:gridCol w:w="2405"/>
        <w:gridCol w:w="2273"/>
        <w:gridCol w:w="2546"/>
        <w:gridCol w:w="2410"/>
      </w:tblGrid>
      <w:tr w:rsidR="002449C2" w14:paraId="37EFA98B" w14:textId="77777777">
        <w:trPr>
          <w:trHeight w:val="907"/>
        </w:trPr>
        <w:tc>
          <w:tcPr>
            <w:tcW w:w="2404"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281B2E94"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b/>
                <w:bCs/>
                <w:sz w:val="20"/>
                <w:szCs w:val="20"/>
                <w:lang w:eastAsia="ru-RU"/>
              </w:rPr>
              <w:t>Тип держателя акций</w:t>
            </w:r>
          </w:p>
        </w:tc>
        <w:tc>
          <w:tcPr>
            <w:tcW w:w="2273"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5D69AD7"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b/>
                <w:bCs/>
                <w:sz w:val="20"/>
                <w:szCs w:val="20"/>
                <w:lang w:eastAsia="ru-RU"/>
              </w:rPr>
              <w:t>Количество счетов зарегистрированных лиц</w:t>
            </w:r>
          </w:p>
        </w:tc>
        <w:tc>
          <w:tcPr>
            <w:tcW w:w="2546"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4FEF0FE"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b/>
                <w:bCs/>
                <w:sz w:val="20"/>
                <w:szCs w:val="20"/>
                <w:lang w:eastAsia="ru-RU"/>
              </w:rPr>
              <w:t xml:space="preserve">Количество акций Общества, принадлежащих </w:t>
            </w:r>
            <w:r>
              <w:rPr>
                <w:rFonts w:ascii="Times New Roman" w:eastAsia="Times New Roman" w:hAnsi="Times New Roman"/>
                <w:b/>
                <w:bCs/>
                <w:sz w:val="20"/>
                <w:szCs w:val="20"/>
                <w:lang w:eastAsia="ru-RU"/>
              </w:rPr>
              <w:br w:type="textWrapping" w:clear="all"/>
              <w:t>зарегистрированным лицам, шт.</w:t>
            </w:r>
          </w:p>
        </w:tc>
        <w:tc>
          <w:tcPr>
            <w:tcW w:w="2410"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 w:type="dxa"/>
              <w:bottom w:w="0" w:type="dxa"/>
              <w:right w:w="5" w:type="dxa"/>
            </w:tcMar>
            <w:vAlign w:val="center"/>
          </w:tcPr>
          <w:p w14:paraId="436FED4E"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b/>
                <w:bCs/>
                <w:sz w:val="20"/>
                <w:szCs w:val="20"/>
                <w:lang w:eastAsia="ru-RU"/>
              </w:rPr>
              <w:t xml:space="preserve">Доля от величины уставного капитала Общества, принадлежащая </w:t>
            </w:r>
            <w:r>
              <w:rPr>
                <w:rFonts w:ascii="Times New Roman" w:eastAsia="Times New Roman" w:hAnsi="Times New Roman"/>
                <w:b/>
                <w:bCs/>
                <w:sz w:val="20"/>
                <w:szCs w:val="20"/>
                <w:lang w:eastAsia="ru-RU"/>
              </w:rPr>
              <w:br w:type="textWrapping" w:clear="all"/>
              <w:t>зарегистрированным лицам, %</w:t>
            </w:r>
          </w:p>
        </w:tc>
      </w:tr>
      <w:tr w:rsidR="002449C2" w14:paraId="03BD2FE3" w14:textId="77777777">
        <w:trPr>
          <w:trHeight w:val="365"/>
        </w:trPr>
        <w:tc>
          <w:tcPr>
            <w:tcW w:w="2404"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85" w:type="dxa"/>
              <w:bottom w:w="0" w:type="dxa"/>
              <w:right w:w="85" w:type="dxa"/>
            </w:tcMar>
            <w:vAlign w:val="center"/>
          </w:tcPr>
          <w:p w14:paraId="00481C08" w14:textId="77777777" w:rsidR="002449C2" w:rsidRDefault="00123961">
            <w:pPr>
              <w:shd w:val="clear" w:color="auto" w:fill="FFFFFF"/>
              <w:spacing w:after="0" w:line="240" w:lineRule="auto"/>
              <w:rPr>
                <w:rFonts w:ascii="Times New Roman" w:eastAsia="Arial" w:hAnsi="Times New Roman"/>
                <w:lang w:eastAsia="en-US"/>
              </w:rPr>
            </w:pPr>
            <w:r>
              <w:rPr>
                <w:rFonts w:ascii="Times New Roman" w:eastAsia="Times New Roman" w:hAnsi="Times New Roman"/>
                <w:lang w:eastAsia="ru-RU"/>
              </w:rPr>
              <w:t>Владельцы - физические лица</w:t>
            </w:r>
          </w:p>
        </w:tc>
        <w:tc>
          <w:tcPr>
            <w:tcW w:w="2273"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69680CE9" w14:textId="77777777" w:rsidR="002449C2" w:rsidRDefault="00123961">
            <w:pPr>
              <w:jc w:val="center"/>
              <w:rPr>
                <w:rFonts w:ascii="Times New Roman" w:eastAsia="Arial" w:hAnsi="Times New Roman"/>
                <w:lang w:eastAsia="en-US"/>
              </w:rPr>
            </w:pPr>
            <w:r>
              <w:rPr>
                <w:rFonts w:ascii="Times New Roman" w:eastAsia="Times New Roman" w:hAnsi="Times New Roman"/>
                <w:lang w:eastAsia="en-US"/>
              </w:rPr>
              <w:t>17 336</w:t>
            </w:r>
          </w:p>
        </w:tc>
        <w:tc>
          <w:tcPr>
            <w:tcW w:w="2546"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15" w:type="dxa"/>
              <w:bottom w:w="15" w:type="dxa"/>
              <w:right w:w="15" w:type="dxa"/>
            </w:tcMar>
            <w:vAlign w:val="center"/>
          </w:tcPr>
          <w:p w14:paraId="57C434B7" w14:textId="77777777" w:rsidR="002449C2" w:rsidRDefault="00123961">
            <w:pPr>
              <w:shd w:val="clear" w:color="auto" w:fill="FFFFFF"/>
              <w:spacing w:after="0" w:line="240" w:lineRule="auto"/>
              <w:jc w:val="center"/>
              <w:rPr>
                <w:rFonts w:ascii="Times New Roman" w:eastAsia="Arial" w:hAnsi="Times New Roman"/>
                <w:lang w:eastAsia="en-US"/>
              </w:rPr>
            </w:pPr>
            <w:r>
              <w:rPr>
                <w:rFonts w:ascii="Times New Roman" w:eastAsia="Times New Roman" w:hAnsi="Times New Roman"/>
                <w:lang w:val="en-US" w:eastAsia="ru-RU"/>
              </w:rPr>
              <w:t>8 174 135 355</w:t>
            </w:r>
          </w:p>
        </w:tc>
        <w:tc>
          <w:tcPr>
            <w:tcW w:w="2410"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 w:type="dxa"/>
              <w:bottom w:w="0" w:type="dxa"/>
              <w:right w:w="5" w:type="dxa"/>
            </w:tcMar>
            <w:vAlign w:val="center"/>
          </w:tcPr>
          <w:p w14:paraId="1D273230" w14:textId="77777777" w:rsidR="002449C2" w:rsidRDefault="00123961">
            <w:pPr>
              <w:shd w:val="clear" w:color="auto" w:fill="FFFFFF"/>
              <w:spacing w:after="0" w:line="240" w:lineRule="auto"/>
              <w:jc w:val="center"/>
              <w:rPr>
                <w:rFonts w:ascii="Times New Roman" w:eastAsia="Arial" w:hAnsi="Times New Roman"/>
                <w:lang w:eastAsia="en-US"/>
              </w:rPr>
            </w:pPr>
            <w:r>
              <w:rPr>
                <w:rFonts w:ascii="Times New Roman" w:eastAsia="Times New Roman" w:hAnsi="Times New Roman"/>
                <w:lang w:eastAsia="ru-RU"/>
              </w:rPr>
              <w:t>5,39</w:t>
            </w:r>
          </w:p>
        </w:tc>
      </w:tr>
      <w:tr w:rsidR="002449C2" w14:paraId="27259A79" w14:textId="77777777">
        <w:trPr>
          <w:trHeight w:val="248"/>
        </w:trPr>
        <w:tc>
          <w:tcPr>
            <w:tcW w:w="2404"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85" w:type="dxa"/>
              <w:bottom w:w="0" w:type="dxa"/>
              <w:right w:w="85" w:type="dxa"/>
            </w:tcMar>
            <w:vAlign w:val="center"/>
          </w:tcPr>
          <w:p w14:paraId="0BE2BFC8" w14:textId="77777777" w:rsidR="002449C2" w:rsidRDefault="00123961">
            <w:pPr>
              <w:shd w:val="clear" w:color="auto" w:fill="FFFFFF"/>
              <w:spacing w:after="0" w:line="240" w:lineRule="auto"/>
              <w:rPr>
                <w:rFonts w:ascii="Times New Roman" w:eastAsia="Arial" w:hAnsi="Times New Roman"/>
                <w:lang w:eastAsia="en-US"/>
              </w:rPr>
            </w:pPr>
            <w:r>
              <w:rPr>
                <w:rFonts w:ascii="Times New Roman" w:eastAsia="Times New Roman" w:hAnsi="Times New Roman"/>
                <w:lang w:eastAsia="ru-RU"/>
              </w:rPr>
              <w:t>Владельцы – юридические лица</w:t>
            </w:r>
          </w:p>
        </w:tc>
        <w:tc>
          <w:tcPr>
            <w:tcW w:w="2273" w:type="dxa"/>
            <w:tcBorders>
              <w:top w:val="single" w:sz="4" w:space="0" w:color="000000"/>
              <w:left w:val="single" w:sz="4" w:space="0" w:color="000000"/>
              <w:bottom w:val="single" w:sz="4" w:space="0" w:color="000000"/>
              <w:right w:val="single" w:sz="4" w:space="0" w:color="000000"/>
            </w:tcBorders>
            <w:shd w:val="clear" w:color="FFFFFF" w:fill="FFFFFF"/>
          </w:tcPr>
          <w:p w14:paraId="14E4047F" w14:textId="77777777" w:rsidR="002449C2" w:rsidRDefault="00123961">
            <w:pPr>
              <w:jc w:val="center"/>
              <w:rPr>
                <w:rFonts w:ascii="Times New Roman" w:eastAsia="Arial" w:hAnsi="Times New Roman"/>
                <w:lang w:eastAsia="en-US"/>
              </w:rPr>
            </w:pPr>
            <w:r>
              <w:rPr>
                <w:rFonts w:ascii="Times New Roman" w:eastAsia="Times New Roman" w:hAnsi="Times New Roman"/>
                <w:lang w:eastAsia="en-US"/>
              </w:rPr>
              <w:t>138</w:t>
            </w:r>
          </w:p>
        </w:tc>
        <w:tc>
          <w:tcPr>
            <w:tcW w:w="2546"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15" w:type="dxa"/>
              <w:bottom w:w="15" w:type="dxa"/>
              <w:right w:w="15" w:type="dxa"/>
            </w:tcMar>
            <w:vAlign w:val="center"/>
          </w:tcPr>
          <w:p w14:paraId="0A8D2F64" w14:textId="77777777" w:rsidR="002449C2" w:rsidRDefault="00123961">
            <w:pPr>
              <w:shd w:val="clear" w:color="auto" w:fill="FFFFFF"/>
              <w:spacing w:after="0" w:line="240" w:lineRule="auto"/>
              <w:jc w:val="center"/>
              <w:rPr>
                <w:rFonts w:ascii="Times New Roman" w:eastAsia="Arial" w:hAnsi="Times New Roman"/>
                <w:lang w:eastAsia="en-US"/>
              </w:rPr>
            </w:pPr>
            <w:r>
              <w:rPr>
                <w:rFonts w:ascii="Times New Roman" w:eastAsia="Times New Roman" w:hAnsi="Times New Roman"/>
                <w:lang w:val="en-US" w:eastAsia="ru-RU"/>
              </w:rPr>
              <w:t>143 449 945 286 3/10</w:t>
            </w:r>
          </w:p>
        </w:tc>
        <w:tc>
          <w:tcPr>
            <w:tcW w:w="2410"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 w:type="dxa"/>
              <w:bottom w:w="0" w:type="dxa"/>
              <w:right w:w="5" w:type="dxa"/>
            </w:tcMar>
            <w:vAlign w:val="center"/>
          </w:tcPr>
          <w:p w14:paraId="655FCC18" w14:textId="77777777" w:rsidR="002449C2" w:rsidRDefault="00123961">
            <w:pPr>
              <w:shd w:val="clear" w:color="auto" w:fill="FFFFFF"/>
              <w:spacing w:after="0" w:line="240" w:lineRule="auto"/>
              <w:jc w:val="center"/>
              <w:rPr>
                <w:rFonts w:ascii="Times New Roman" w:eastAsia="Arial" w:hAnsi="Times New Roman"/>
                <w:lang w:eastAsia="en-US"/>
              </w:rPr>
            </w:pPr>
            <w:r>
              <w:rPr>
                <w:rFonts w:ascii="Times New Roman" w:eastAsia="Times New Roman" w:hAnsi="Times New Roman"/>
                <w:lang w:eastAsia="ru-RU"/>
              </w:rPr>
              <w:t>94,6</w:t>
            </w:r>
          </w:p>
        </w:tc>
      </w:tr>
      <w:tr w:rsidR="002449C2" w14:paraId="5B8A6162" w14:textId="77777777">
        <w:trPr>
          <w:trHeight w:val="297"/>
        </w:trPr>
        <w:tc>
          <w:tcPr>
            <w:tcW w:w="2404"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85" w:type="dxa"/>
              <w:bottom w:w="0" w:type="dxa"/>
              <w:right w:w="85" w:type="dxa"/>
            </w:tcMar>
            <w:vAlign w:val="center"/>
          </w:tcPr>
          <w:p w14:paraId="68A3E10E" w14:textId="77777777" w:rsidR="002449C2" w:rsidRDefault="00123961">
            <w:pPr>
              <w:shd w:val="clear" w:color="auto" w:fill="FFFFFF"/>
              <w:spacing w:after="0" w:line="240" w:lineRule="auto"/>
              <w:rPr>
                <w:rFonts w:ascii="Times New Roman" w:eastAsia="Arial" w:hAnsi="Times New Roman"/>
                <w:iCs/>
                <w:lang w:eastAsia="en-US"/>
              </w:rPr>
            </w:pPr>
            <w:r>
              <w:rPr>
                <w:rFonts w:ascii="Times New Roman" w:eastAsia="Times New Roman" w:hAnsi="Times New Roman"/>
                <w:lang w:eastAsia="ru-RU"/>
              </w:rPr>
              <w:t>Счета совладения</w:t>
            </w:r>
          </w:p>
        </w:tc>
        <w:tc>
          <w:tcPr>
            <w:tcW w:w="2273"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1FDD2C4" w14:textId="77777777" w:rsidR="002449C2" w:rsidRDefault="00123961">
            <w:pPr>
              <w:shd w:val="clear" w:color="auto" w:fill="FFFFFF"/>
              <w:spacing w:after="0" w:line="240" w:lineRule="auto"/>
              <w:jc w:val="center"/>
              <w:rPr>
                <w:rFonts w:ascii="Times New Roman" w:eastAsia="Arial" w:hAnsi="Times New Roman"/>
                <w:lang w:eastAsia="en-US"/>
              </w:rPr>
            </w:pPr>
            <w:r>
              <w:rPr>
                <w:rFonts w:ascii="Times New Roman" w:eastAsia="Times New Roman" w:hAnsi="Times New Roman"/>
                <w:lang w:eastAsia="ru-RU"/>
              </w:rPr>
              <w:t>65</w:t>
            </w:r>
          </w:p>
        </w:tc>
        <w:tc>
          <w:tcPr>
            <w:tcW w:w="2546"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15" w:type="dxa"/>
              <w:bottom w:w="15" w:type="dxa"/>
              <w:right w:w="15" w:type="dxa"/>
            </w:tcMar>
            <w:vAlign w:val="center"/>
          </w:tcPr>
          <w:p w14:paraId="318B8CA2" w14:textId="77777777" w:rsidR="002449C2" w:rsidRDefault="00123961">
            <w:pPr>
              <w:shd w:val="clear" w:color="auto" w:fill="FFFFFF"/>
              <w:spacing w:after="0" w:line="240" w:lineRule="auto"/>
              <w:jc w:val="center"/>
              <w:rPr>
                <w:rFonts w:ascii="Times New Roman" w:eastAsia="Arial" w:hAnsi="Times New Roman"/>
                <w:lang w:eastAsia="en-US"/>
              </w:rPr>
            </w:pPr>
            <w:r>
              <w:rPr>
                <w:rFonts w:ascii="Times New Roman" w:eastAsia="Times New Roman" w:hAnsi="Times New Roman"/>
                <w:lang w:eastAsia="ru-RU"/>
              </w:rPr>
              <w:t>17 345 713</w:t>
            </w:r>
          </w:p>
        </w:tc>
        <w:tc>
          <w:tcPr>
            <w:tcW w:w="2410"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 w:type="dxa"/>
              <w:bottom w:w="0" w:type="dxa"/>
              <w:right w:w="5" w:type="dxa"/>
            </w:tcMar>
            <w:vAlign w:val="center"/>
          </w:tcPr>
          <w:p w14:paraId="519EFE30" w14:textId="77777777" w:rsidR="002449C2" w:rsidRDefault="00123961">
            <w:pPr>
              <w:shd w:val="clear" w:color="auto" w:fill="FFFFFF"/>
              <w:spacing w:after="0" w:line="240" w:lineRule="auto"/>
              <w:jc w:val="center"/>
              <w:rPr>
                <w:rFonts w:ascii="Times New Roman" w:eastAsia="Arial" w:hAnsi="Times New Roman"/>
                <w:lang w:eastAsia="en-US"/>
              </w:rPr>
            </w:pPr>
            <w:r>
              <w:rPr>
                <w:rFonts w:ascii="Times New Roman" w:eastAsia="Times New Roman" w:hAnsi="Times New Roman"/>
                <w:lang w:eastAsia="ru-RU"/>
              </w:rPr>
              <w:t>0,01</w:t>
            </w:r>
          </w:p>
        </w:tc>
      </w:tr>
      <w:tr w:rsidR="002449C2" w14:paraId="4340687E" w14:textId="77777777">
        <w:trPr>
          <w:trHeight w:val="168"/>
        </w:trPr>
        <w:tc>
          <w:tcPr>
            <w:tcW w:w="2404"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85" w:type="dxa"/>
              <w:bottom w:w="0" w:type="dxa"/>
              <w:right w:w="85" w:type="dxa"/>
            </w:tcMar>
            <w:vAlign w:val="center"/>
          </w:tcPr>
          <w:p w14:paraId="66C6E6A8" w14:textId="77777777" w:rsidR="002449C2" w:rsidRDefault="00123961">
            <w:pPr>
              <w:shd w:val="clear" w:color="auto" w:fill="FFFFFF"/>
              <w:spacing w:after="0" w:line="240" w:lineRule="auto"/>
              <w:rPr>
                <w:rFonts w:ascii="Times New Roman" w:eastAsia="Times New Roman" w:hAnsi="Times New Roman"/>
                <w:b/>
                <w:lang w:eastAsia="ru-RU"/>
              </w:rPr>
            </w:pPr>
            <w:r>
              <w:rPr>
                <w:rFonts w:ascii="Times New Roman" w:eastAsia="Times New Roman" w:hAnsi="Times New Roman"/>
                <w:b/>
                <w:lang w:eastAsia="ru-RU"/>
              </w:rPr>
              <w:t>ВСЕГО</w:t>
            </w:r>
          </w:p>
        </w:tc>
        <w:tc>
          <w:tcPr>
            <w:tcW w:w="2273"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78BB71C" w14:textId="77777777" w:rsidR="002449C2" w:rsidRDefault="00123961">
            <w:pPr>
              <w:jc w:val="center"/>
              <w:rPr>
                <w:rFonts w:ascii="Times New Roman" w:eastAsia="Arial" w:hAnsi="Times New Roman"/>
                <w:lang w:eastAsia="en-US"/>
              </w:rPr>
            </w:pPr>
            <w:r>
              <w:rPr>
                <w:rFonts w:ascii="Times New Roman" w:eastAsia="Times New Roman" w:hAnsi="Times New Roman"/>
                <w:b/>
                <w:bCs/>
                <w:lang w:eastAsia="en-US"/>
              </w:rPr>
              <w:t>17 539</w:t>
            </w:r>
          </w:p>
        </w:tc>
        <w:tc>
          <w:tcPr>
            <w:tcW w:w="2546"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15" w:type="dxa"/>
              <w:bottom w:w="15" w:type="dxa"/>
              <w:right w:w="15" w:type="dxa"/>
            </w:tcMar>
            <w:vAlign w:val="center"/>
          </w:tcPr>
          <w:p w14:paraId="45FCA595" w14:textId="77777777" w:rsidR="002449C2" w:rsidRDefault="00123961">
            <w:pPr>
              <w:shd w:val="clear" w:color="auto" w:fill="FFFFFF"/>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151 641 426 354 3/10</w:t>
            </w:r>
          </w:p>
        </w:tc>
        <w:tc>
          <w:tcPr>
            <w:tcW w:w="2410"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 w:type="dxa"/>
              <w:bottom w:w="0" w:type="dxa"/>
              <w:right w:w="5" w:type="dxa"/>
            </w:tcMar>
            <w:vAlign w:val="center"/>
          </w:tcPr>
          <w:p w14:paraId="08691B13" w14:textId="77777777" w:rsidR="002449C2" w:rsidRDefault="00123961">
            <w:pPr>
              <w:shd w:val="clear" w:color="auto" w:fill="FFFFFF"/>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100</w:t>
            </w:r>
          </w:p>
        </w:tc>
      </w:tr>
    </w:tbl>
    <w:p w14:paraId="18F57348" w14:textId="77777777" w:rsidR="002449C2" w:rsidRDefault="002449C2">
      <w:pPr>
        <w:widowControl w:val="0"/>
        <w:shd w:val="clear" w:color="auto" w:fill="FFFFFF"/>
        <w:tabs>
          <w:tab w:val="left" w:pos="142"/>
        </w:tabs>
        <w:spacing w:before="40" w:after="0" w:line="240" w:lineRule="auto"/>
        <w:ind w:firstLine="567"/>
        <w:jc w:val="center"/>
        <w:rPr>
          <w:rFonts w:ascii="Times New Roman" w:eastAsia="Times New Roman" w:hAnsi="Times New Roman"/>
          <w:b/>
          <w:sz w:val="24"/>
          <w:szCs w:val="24"/>
          <w:lang w:eastAsia="ru-RU"/>
        </w:rPr>
      </w:pPr>
    </w:p>
    <w:p w14:paraId="1B544BE7" w14:textId="77777777" w:rsidR="002449C2" w:rsidRDefault="00123961">
      <w:pPr>
        <w:widowControl w:val="0"/>
        <w:shd w:val="clear" w:color="auto" w:fill="FFFFFF"/>
        <w:tabs>
          <w:tab w:val="left" w:pos="142"/>
        </w:tabs>
        <w:spacing w:before="40" w:after="0" w:line="240" w:lineRule="auto"/>
        <w:ind w:firstLine="567"/>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Список лиц, на счетах которых учитывается более 5% </w:t>
      </w:r>
    </w:p>
    <w:p w14:paraId="0BF09FFB" w14:textId="77777777" w:rsidR="002449C2" w:rsidRDefault="00123961">
      <w:pPr>
        <w:widowControl w:val="0"/>
        <w:shd w:val="clear" w:color="auto" w:fill="FFFFFF"/>
        <w:tabs>
          <w:tab w:val="left" w:pos="142"/>
        </w:tabs>
        <w:spacing w:after="40" w:line="240" w:lineRule="auto"/>
        <w:ind w:firstLine="567"/>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размещенных акций Общества на 31.12.2024</w:t>
      </w:r>
    </w:p>
    <w:tbl>
      <w:tblPr>
        <w:tblW w:w="9635" w:type="dxa"/>
        <w:tblLayout w:type="fixed"/>
        <w:tblCellMar>
          <w:top w:w="25" w:type="dxa"/>
          <w:left w:w="57" w:type="dxa"/>
          <w:bottom w:w="25" w:type="dxa"/>
          <w:right w:w="57" w:type="dxa"/>
        </w:tblCellMar>
        <w:tblLook w:val="0600" w:firstRow="0" w:lastRow="0" w:firstColumn="0" w:lastColumn="0" w:noHBand="1" w:noVBand="1"/>
      </w:tblPr>
      <w:tblGrid>
        <w:gridCol w:w="3828"/>
        <w:gridCol w:w="987"/>
        <w:gridCol w:w="2552"/>
        <w:gridCol w:w="2268"/>
      </w:tblGrid>
      <w:tr w:rsidR="002449C2" w14:paraId="31D82B20" w14:textId="77777777">
        <w:trPr>
          <w:trHeight w:val="902"/>
        </w:trPr>
        <w:tc>
          <w:tcPr>
            <w:tcW w:w="382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29362977"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b/>
                <w:bCs/>
                <w:sz w:val="20"/>
                <w:szCs w:val="20"/>
                <w:lang w:eastAsia="ru-RU"/>
              </w:rPr>
              <w:t>Зарегистрированное лицо</w:t>
            </w:r>
          </w:p>
        </w:tc>
        <w:tc>
          <w:tcPr>
            <w:tcW w:w="987"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 w:type="dxa"/>
              <w:bottom w:w="0" w:type="dxa"/>
              <w:right w:w="5" w:type="dxa"/>
            </w:tcMar>
            <w:vAlign w:val="center"/>
          </w:tcPr>
          <w:p w14:paraId="1DE1866F" w14:textId="77777777" w:rsidR="002449C2" w:rsidRDefault="00123961">
            <w:pPr>
              <w:shd w:val="clear" w:color="auto" w:fill="FFFFFF"/>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bCs/>
                <w:sz w:val="20"/>
                <w:szCs w:val="20"/>
                <w:lang w:eastAsia="ru-RU"/>
              </w:rPr>
              <w:t>Тип держателя</w:t>
            </w:r>
          </w:p>
        </w:tc>
        <w:tc>
          <w:tcPr>
            <w:tcW w:w="2552"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6FEF1FBF" w14:textId="77777777" w:rsidR="002449C2" w:rsidRDefault="00123961">
            <w:pPr>
              <w:shd w:val="clear" w:color="auto" w:fill="FFFFFF"/>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Количество акций Общества на лицевых счетах зарегистрированных лиц, шт.</w:t>
            </w:r>
          </w:p>
        </w:tc>
        <w:tc>
          <w:tcPr>
            <w:tcW w:w="2268"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43A1D0E8" w14:textId="77777777" w:rsidR="002449C2" w:rsidRDefault="00123961">
            <w:pPr>
              <w:shd w:val="clear" w:color="auto" w:fill="FFFFFF"/>
              <w:spacing w:after="0" w:line="240" w:lineRule="auto"/>
              <w:jc w:val="center"/>
              <w:rPr>
                <w:rFonts w:ascii="Times New Roman" w:eastAsia="Times New Roman" w:hAnsi="Times New Roman"/>
                <w:sz w:val="20"/>
                <w:szCs w:val="20"/>
                <w:lang w:eastAsia="ru-RU"/>
              </w:rPr>
            </w:pPr>
            <w:r>
              <w:rPr>
                <w:rFonts w:ascii="Times New Roman" w:eastAsia="Times New Roman" w:hAnsi="Times New Roman"/>
                <w:b/>
                <w:bCs/>
                <w:sz w:val="20"/>
                <w:szCs w:val="20"/>
                <w:lang w:eastAsia="ru-RU"/>
              </w:rPr>
              <w:t xml:space="preserve">Доля от величины уставного капитала Общества, принадлежащая </w:t>
            </w:r>
            <w:r>
              <w:rPr>
                <w:rFonts w:ascii="Times New Roman" w:eastAsia="Times New Roman" w:hAnsi="Times New Roman"/>
                <w:b/>
                <w:bCs/>
                <w:sz w:val="20"/>
                <w:szCs w:val="20"/>
                <w:lang w:eastAsia="ru-RU"/>
              </w:rPr>
              <w:br w:type="textWrapping" w:clear="all"/>
              <w:t>зарегистрированному лицу, %</w:t>
            </w:r>
          </w:p>
        </w:tc>
      </w:tr>
      <w:tr w:rsidR="002449C2" w14:paraId="2C74F773" w14:textId="77777777">
        <w:trPr>
          <w:trHeight w:val="658"/>
        </w:trPr>
        <w:tc>
          <w:tcPr>
            <w:tcW w:w="3827"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85" w:type="dxa"/>
              <w:bottom w:w="0" w:type="dxa"/>
              <w:right w:w="85" w:type="dxa"/>
            </w:tcMar>
            <w:vAlign w:val="center"/>
          </w:tcPr>
          <w:p w14:paraId="4CFB321B" w14:textId="77777777" w:rsidR="002449C2" w:rsidRDefault="00123961">
            <w:pPr>
              <w:shd w:val="clear" w:color="auto" w:fill="FFFFFF"/>
              <w:spacing w:after="0" w:line="240" w:lineRule="auto"/>
              <w:rPr>
                <w:rFonts w:ascii="Times New Roman" w:eastAsia="Times New Roman" w:hAnsi="Times New Roman"/>
                <w:lang w:eastAsia="ru-RU"/>
              </w:rPr>
            </w:pPr>
            <w:r>
              <w:rPr>
                <w:rFonts w:ascii="Times New Roman" w:eastAsia="Times New Roman" w:hAnsi="Times New Roman"/>
                <w:lang w:eastAsia="ru-RU"/>
              </w:rPr>
              <w:t>Публичное акционерное общество «Федеральная сетевая компания - Россети»</w:t>
            </w:r>
          </w:p>
        </w:tc>
        <w:tc>
          <w:tcPr>
            <w:tcW w:w="987"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 w:type="dxa"/>
              <w:bottom w:w="0" w:type="dxa"/>
              <w:right w:w="5" w:type="dxa"/>
            </w:tcMar>
            <w:vAlign w:val="center"/>
          </w:tcPr>
          <w:p w14:paraId="5BBE1A96"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Вл</w:t>
            </w:r>
          </w:p>
        </w:tc>
        <w:tc>
          <w:tcPr>
            <w:tcW w:w="2552"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270ED219"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127 626 444 587</w:t>
            </w:r>
          </w:p>
        </w:tc>
        <w:tc>
          <w:tcPr>
            <w:tcW w:w="2268"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15" w:type="dxa"/>
              <w:bottom w:w="15" w:type="dxa"/>
              <w:right w:w="15" w:type="dxa"/>
            </w:tcMar>
            <w:vAlign w:val="center"/>
          </w:tcPr>
          <w:p w14:paraId="7E9EC83E"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84,16</w:t>
            </w:r>
          </w:p>
        </w:tc>
      </w:tr>
      <w:tr w:rsidR="002449C2" w14:paraId="7ABC48E9" w14:textId="77777777">
        <w:trPr>
          <w:trHeight w:val="309"/>
        </w:trPr>
        <w:tc>
          <w:tcPr>
            <w:tcW w:w="3827"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85" w:type="dxa"/>
              <w:bottom w:w="0" w:type="dxa"/>
              <w:right w:w="85" w:type="dxa"/>
            </w:tcMar>
            <w:vAlign w:val="center"/>
          </w:tcPr>
          <w:p w14:paraId="1E45B33F" w14:textId="77777777" w:rsidR="002449C2" w:rsidRDefault="00123961">
            <w:pPr>
              <w:shd w:val="clear" w:color="auto" w:fill="FFFFFF"/>
              <w:spacing w:after="0" w:line="240" w:lineRule="auto"/>
              <w:rPr>
                <w:rFonts w:ascii="Times New Roman" w:eastAsia="Times New Roman" w:hAnsi="Times New Roman"/>
                <w:lang w:val="en-US" w:eastAsia="ru-RU"/>
              </w:rPr>
            </w:pPr>
            <w:r>
              <w:rPr>
                <w:rFonts w:ascii="Times New Roman" w:eastAsia="Times New Roman" w:hAnsi="Times New Roman"/>
                <w:lang w:val="en-US" w:eastAsia="ru-RU"/>
              </w:rPr>
              <w:t>PICTET &amp; CIE (Europe) S.A.</w:t>
            </w:r>
          </w:p>
        </w:tc>
        <w:tc>
          <w:tcPr>
            <w:tcW w:w="987"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 w:type="dxa"/>
              <w:bottom w:w="0" w:type="dxa"/>
              <w:right w:w="5" w:type="dxa"/>
            </w:tcMar>
            <w:vAlign w:val="center"/>
          </w:tcPr>
          <w:p w14:paraId="72FA41C3"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ИНД</w:t>
            </w:r>
          </w:p>
        </w:tc>
        <w:tc>
          <w:tcPr>
            <w:tcW w:w="2552"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5B9D9CB"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9 778 262 850</w:t>
            </w:r>
          </w:p>
        </w:tc>
        <w:tc>
          <w:tcPr>
            <w:tcW w:w="2268"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15" w:type="dxa"/>
              <w:bottom w:w="15" w:type="dxa"/>
              <w:right w:w="15" w:type="dxa"/>
            </w:tcMar>
            <w:vAlign w:val="center"/>
          </w:tcPr>
          <w:p w14:paraId="45E4EF47" w14:textId="77777777" w:rsidR="002449C2" w:rsidRDefault="00123961">
            <w:pPr>
              <w:shd w:val="clear" w:color="auto" w:fill="FFFFFF"/>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6,45</w:t>
            </w:r>
          </w:p>
        </w:tc>
      </w:tr>
    </w:tbl>
    <w:p w14:paraId="244615D9" w14:textId="77777777" w:rsidR="002449C2" w:rsidRDefault="002449C2">
      <w:pPr>
        <w:widowControl w:val="0"/>
        <w:shd w:val="clear" w:color="auto" w:fill="FFFFFF"/>
        <w:tabs>
          <w:tab w:val="left" w:pos="142"/>
        </w:tabs>
        <w:spacing w:before="40" w:after="0" w:line="240" w:lineRule="auto"/>
        <w:ind w:firstLine="567"/>
        <w:rPr>
          <w:rFonts w:ascii="Times New Roman" w:eastAsia="Times New Roman" w:hAnsi="Times New Roman"/>
          <w:sz w:val="26"/>
          <w:szCs w:val="26"/>
          <w:lang w:eastAsia="ru-RU"/>
        </w:rPr>
      </w:pPr>
    </w:p>
    <w:p w14:paraId="2FC0DB68" w14:textId="77777777" w:rsidR="002449C2" w:rsidRDefault="002449C2">
      <w:pPr>
        <w:widowControl w:val="0"/>
        <w:shd w:val="clear" w:color="auto" w:fill="FFFFFF"/>
        <w:tabs>
          <w:tab w:val="left" w:pos="142"/>
        </w:tabs>
        <w:spacing w:before="40" w:after="0" w:line="240" w:lineRule="auto"/>
        <w:ind w:firstLine="567"/>
        <w:rPr>
          <w:rFonts w:ascii="Times New Roman" w:eastAsia="Times New Roman" w:hAnsi="Times New Roman"/>
          <w:sz w:val="26"/>
          <w:szCs w:val="26"/>
          <w:lang w:eastAsia="ru-RU"/>
        </w:rPr>
      </w:pPr>
    </w:p>
    <w:p w14:paraId="14ADF9C1" w14:textId="77777777" w:rsidR="002449C2" w:rsidRDefault="00123961">
      <w:pPr>
        <w:widowControl w:val="0"/>
        <w:shd w:val="clear" w:color="auto" w:fill="FFFFFF"/>
        <w:tabs>
          <w:tab w:val="left" w:pos="142"/>
        </w:tabs>
        <w:spacing w:before="40" w:after="0" w:line="240" w:lineRule="auto"/>
        <w:ind w:firstLine="567"/>
        <w:jc w:val="center"/>
        <w:rPr>
          <w:rFonts w:ascii="Times New Roman" w:eastAsia="Times New Roman" w:hAnsi="Times New Roman"/>
          <w:sz w:val="26"/>
          <w:szCs w:val="26"/>
          <w:lang w:eastAsia="ru-RU"/>
        </w:rPr>
      </w:pPr>
      <w:r>
        <w:rPr>
          <w:noProof/>
          <w:lang w:eastAsia="ru-RU"/>
        </w:rPr>
        <w:drawing>
          <wp:inline distT="0" distB="0" distL="0" distR="0" wp14:anchorId="2EE10B3D" wp14:editId="0A78FE0D">
            <wp:extent cx="4450715" cy="2609215"/>
            <wp:effectExtent l="0" t="0" r="0" b="0"/>
            <wp:docPr id="125" name="_x005F_x0000_i4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_x005F_x0000_i4504"/>
                    <pic:cNvPicPr>
                      <a:picLocks noChangeAspect="1" noChangeArrowheads="1"/>
                    </pic:cNvPicPr>
                  </pic:nvPicPr>
                  <pic:blipFill>
                    <a:blip r:embed="rId184"/>
                    <a:stretch>
                      <a:fillRect/>
                    </a:stretch>
                  </pic:blipFill>
                  <pic:spPr bwMode="auto">
                    <a:xfrm>
                      <a:off x="0" y="0"/>
                      <a:ext cx="4450715" cy="2609215"/>
                    </a:xfrm>
                    <a:prstGeom prst="rect">
                      <a:avLst/>
                    </a:prstGeom>
                    <a:noFill/>
                  </pic:spPr>
                </pic:pic>
              </a:graphicData>
            </a:graphic>
          </wp:inline>
        </w:drawing>
      </w:r>
    </w:p>
    <w:p w14:paraId="715313D6" w14:textId="77777777" w:rsidR="002449C2" w:rsidRDefault="002449C2">
      <w:pPr>
        <w:widowControl w:val="0"/>
        <w:shd w:val="clear" w:color="auto" w:fill="FFFFFF"/>
        <w:tabs>
          <w:tab w:val="left" w:pos="142"/>
        </w:tabs>
        <w:spacing w:before="40" w:after="0" w:line="240" w:lineRule="auto"/>
        <w:ind w:firstLine="567"/>
        <w:jc w:val="center"/>
        <w:rPr>
          <w:rFonts w:ascii="Times New Roman" w:eastAsia="Times New Roman" w:hAnsi="Times New Roman"/>
          <w:sz w:val="26"/>
          <w:szCs w:val="26"/>
          <w:lang w:eastAsia="ru-RU"/>
        </w:rPr>
      </w:pPr>
    </w:p>
    <w:p w14:paraId="1B2CF7D3" w14:textId="77777777" w:rsidR="002449C2" w:rsidRDefault="00123961">
      <w:pPr>
        <w:widowControl w:val="0"/>
        <w:shd w:val="clear" w:color="auto" w:fill="FFFFFF"/>
        <w:tabs>
          <w:tab w:val="left" w:pos="142"/>
        </w:tabs>
        <w:spacing w:before="40"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ПАО «Россети Юг» не владеет информацией:</w:t>
      </w:r>
    </w:p>
    <w:p w14:paraId="272C0F87" w14:textId="77777777" w:rsidR="002449C2" w:rsidRDefault="00123961">
      <w:pPr>
        <w:widowControl w:val="0"/>
        <w:numPr>
          <w:ilvl w:val="0"/>
          <w:numId w:val="57"/>
        </w:numPr>
        <w:shd w:val="clear" w:color="auto" w:fill="FFFFFF"/>
        <w:tabs>
          <w:tab w:val="left" w:pos="142"/>
        </w:tabs>
        <w:spacing w:before="40" w:after="0" w:line="240" w:lineRule="auto"/>
        <w:ind w:left="0" w:firstLine="567"/>
        <w:contextualSpacing/>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о существовании акционеров, владеющих более 5% от размещенных акций Общества, помимо указанных выше; </w:t>
      </w:r>
    </w:p>
    <w:p w14:paraId="605C7885" w14:textId="77777777" w:rsidR="002449C2" w:rsidRDefault="00123961">
      <w:pPr>
        <w:widowControl w:val="0"/>
        <w:numPr>
          <w:ilvl w:val="0"/>
          <w:numId w:val="57"/>
        </w:numPr>
        <w:shd w:val="clear" w:color="auto" w:fill="FFFFFF"/>
        <w:tabs>
          <w:tab w:val="left" w:pos="142"/>
        </w:tabs>
        <w:spacing w:before="40" w:after="0" w:line="240" w:lineRule="auto"/>
        <w:ind w:left="0" w:firstLine="567"/>
        <w:contextualSpacing/>
        <w:jc w:val="both"/>
        <w:rPr>
          <w:rFonts w:ascii="Arial" w:eastAsia="Arial" w:hAnsi="Arial"/>
          <w:lang w:eastAsia="en-US"/>
        </w:rPr>
      </w:pPr>
      <w:r>
        <w:rPr>
          <w:rFonts w:ascii="Times New Roman" w:eastAsia="Times New Roman" w:hAnsi="Times New Roman"/>
          <w:sz w:val="26"/>
          <w:szCs w:val="26"/>
          <w:lang w:eastAsia="ru-RU"/>
        </w:rPr>
        <w:t xml:space="preserve">возможности приобретения или о приобретении определенными акционерами степени контроля, несоразмерной их участию в уставном капитале Общества, в том числе на основании акционерных соглашений. </w:t>
      </w:r>
    </w:p>
    <w:p w14:paraId="56887549" w14:textId="77777777" w:rsidR="002449C2" w:rsidRDefault="00123961">
      <w:pPr>
        <w:widowControl w:val="0"/>
        <w:shd w:val="clear" w:color="auto" w:fill="FFFFFF"/>
        <w:tabs>
          <w:tab w:val="left" w:pos="142"/>
        </w:tabs>
        <w:spacing w:before="40"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Решение об использовании специального права на участие Российской Федерации в управлении Обществом («золотая акция») не принималось.</w:t>
      </w:r>
    </w:p>
    <w:p w14:paraId="4C084BBC" w14:textId="77777777" w:rsidR="002449C2" w:rsidRDefault="002449C2">
      <w:pPr>
        <w:widowControl w:val="0"/>
        <w:shd w:val="clear" w:color="auto" w:fill="FFFFFF"/>
        <w:tabs>
          <w:tab w:val="left" w:pos="142"/>
        </w:tabs>
        <w:spacing w:before="40" w:after="0" w:line="240" w:lineRule="auto"/>
        <w:ind w:firstLine="567"/>
        <w:jc w:val="both"/>
        <w:rPr>
          <w:rFonts w:ascii="Times New Roman" w:eastAsia="Times New Roman" w:hAnsi="Times New Roman"/>
          <w:sz w:val="26"/>
          <w:szCs w:val="26"/>
          <w:lang w:eastAsia="en-US"/>
        </w:rPr>
      </w:pPr>
    </w:p>
    <w:p w14:paraId="754E3972" w14:textId="77777777" w:rsidR="002449C2" w:rsidRDefault="00123961">
      <w:pPr>
        <w:widowControl w:val="0"/>
        <w:shd w:val="clear" w:color="auto" w:fill="FFFFFF"/>
        <w:tabs>
          <w:tab w:val="left" w:pos="142"/>
        </w:tabs>
        <w:spacing w:after="0" w:line="283" w:lineRule="atLeast"/>
        <w:ind w:firstLine="567"/>
        <w:contextualSpacing/>
        <w:jc w:val="center"/>
        <w:rPr>
          <w:rFonts w:ascii="Times New Roman" w:eastAsia="Times New Roman" w:hAnsi="Times New Roman"/>
          <w:color w:val="806000"/>
          <w:sz w:val="26"/>
          <w:szCs w:val="26"/>
          <w:lang w:eastAsia="en-US"/>
        </w:rPr>
      </w:pPr>
      <w:r>
        <w:rPr>
          <w:rFonts w:ascii="Times New Roman" w:eastAsia="Times New Roman" w:hAnsi="Times New Roman"/>
          <w:caps/>
          <w:color w:val="632423"/>
          <w:spacing w:val="15"/>
          <w:sz w:val="24"/>
          <w:szCs w:val="24"/>
          <w:lang w:eastAsia="en-US" w:bidi="en-US"/>
        </w:rPr>
        <w:t>ОБращение акций на бирже</w:t>
      </w:r>
    </w:p>
    <w:p w14:paraId="54FEB590" w14:textId="77777777" w:rsidR="002449C2" w:rsidRDefault="00123961">
      <w:pPr>
        <w:widowControl w:val="0"/>
        <w:shd w:val="clear" w:color="auto" w:fill="FFFFFF"/>
        <w:tabs>
          <w:tab w:val="left" w:pos="142"/>
        </w:tabs>
        <w:spacing w:before="40"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Обыкновенные акции «Россети Юг» обращаются на Московской бирже с 03.07.2008 и с 26.02.2018 переведены из раздела «Второй уровень» в раздел «Третий уровень» Списка ценных бумаг, допущенных к торгам в ПАО Московская Биржа.</w:t>
      </w:r>
    </w:p>
    <w:p w14:paraId="4A88258F" w14:textId="77777777" w:rsidR="002449C2" w:rsidRDefault="002449C2">
      <w:pPr>
        <w:widowControl w:val="0"/>
        <w:tabs>
          <w:tab w:val="left" w:pos="142"/>
          <w:tab w:val="left" w:pos="360"/>
        </w:tabs>
        <w:spacing w:before="120" w:after="120" w:line="240" w:lineRule="auto"/>
        <w:ind w:firstLine="567"/>
        <w:jc w:val="center"/>
        <w:rPr>
          <w:rFonts w:ascii="Times New Roman" w:eastAsia="Times New Roman" w:hAnsi="Times New Roman"/>
          <w:sz w:val="26"/>
          <w:szCs w:val="26"/>
          <w:lang w:eastAsia="ru-RU"/>
        </w:rPr>
      </w:pPr>
    </w:p>
    <w:tbl>
      <w:tblPr>
        <w:tblW w:w="8092" w:type="dxa"/>
        <w:jc w:val="center"/>
        <w:tblLayout w:type="fixed"/>
        <w:tblLook w:val="04A0" w:firstRow="1" w:lastRow="0" w:firstColumn="1" w:lastColumn="0" w:noHBand="0" w:noVBand="1"/>
      </w:tblPr>
      <w:tblGrid>
        <w:gridCol w:w="4815"/>
        <w:gridCol w:w="3277"/>
      </w:tblGrid>
      <w:tr w:rsidR="002449C2" w14:paraId="3AA98569" w14:textId="77777777">
        <w:trPr>
          <w:trHeight w:val="384"/>
          <w:jc w:val="center"/>
        </w:trPr>
        <w:tc>
          <w:tcPr>
            <w:tcW w:w="4814" w:type="dxa"/>
            <w:tcBorders>
              <w:top w:val="single" w:sz="4" w:space="0" w:color="000000"/>
              <w:left w:val="single" w:sz="4" w:space="0" w:color="000000"/>
              <w:bottom w:val="single" w:sz="4" w:space="0" w:color="000000"/>
              <w:right w:val="single" w:sz="4" w:space="0" w:color="000000"/>
            </w:tcBorders>
            <w:vAlign w:val="center"/>
          </w:tcPr>
          <w:p w14:paraId="6415CD64" w14:textId="77777777" w:rsidR="002449C2" w:rsidRDefault="00123961">
            <w:pPr>
              <w:spacing w:after="120" w:line="240" w:lineRule="auto"/>
              <w:rPr>
                <w:rFonts w:ascii="Times New Roman" w:eastAsia="Times New Roman" w:hAnsi="Times New Roman"/>
                <w:b/>
                <w:lang w:eastAsia="ru-RU"/>
              </w:rPr>
            </w:pPr>
            <w:r>
              <w:rPr>
                <w:rFonts w:ascii="Times New Roman" w:eastAsia="Times New Roman" w:hAnsi="Times New Roman"/>
                <w:b/>
                <w:lang w:eastAsia="ru-RU"/>
              </w:rPr>
              <w:t> Показатель</w:t>
            </w:r>
          </w:p>
        </w:tc>
        <w:tc>
          <w:tcPr>
            <w:tcW w:w="3277" w:type="dxa"/>
            <w:tcBorders>
              <w:top w:val="single" w:sz="4" w:space="0" w:color="000000"/>
              <w:bottom w:val="single" w:sz="4" w:space="0" w:color="000000"/>
              <w:right w:val="single" w:sz="4" w:space="0" w:color="000000"/>
            </w:tcBorders>
            <w:vAlign w:val="center"/>
          </w:tcPr>
          <w:p w14:paraId="33756B7E" w14:textId="77777777" w:rsidR="002449C2" w:rsidRDefault="00123961">
            <w:pPr>
              <w:spacing w:after="120" w:line="240" w:lineRule="auto"/>
              <w:jc w:val="center"/>
              <w:rPr>
                <w:rFonts w:ascii="Times New Roman" w:eastAsia="Times New Roman" w:hAnsi="Times New Roman"/>
                <w:b/>
                <w:lang w:eastAsia="ru-RU"/>
              </w:rPr>
            </w:pPr>
            <w:r>
              <w:rPr>
                <w:rFonts w:ascii="Times New Roman" w:eastAsia="Times New Roman" w:hAnsi="Times New Roman"/>
                <w:b/>
                <w:lang w:eastAsia="ru-RU"/>
              </w:rPr>
              <w:t>Обыкновенные акции</w:t>
            </w:r>
          </w:p>
        </w:tc>
      </w:tr>
      <w:tr w:rsidR="002449C2" w14:paraId="22523F49" w14:textId="77777777">
        <w:trPr>
          <w:trHeight w:val="384"/>
          <w:jc w:val="center"/>
        </w:trPr>
        <w:tc>
          <w:tcPr>
            <w:tcW w:w="4814" w:type="dxa"/>
            <w:tcBorders>
              <w:top w:val="single" w:sz="4" w:space="0" w:color="000000"/>
              <w:left w:val="single" w:sz="4" w:space="0" w:color="000000"/>
              <w:bottom w:val="single" w:sz="4" w:space="0" w:color="000000"/>
              <w:right w:val="single" w:sz="4" w:space="0" w:color="000000"/>
            </w:tcBorders>
            <w:vAlign w:val="center"/>
          </w:tcPr>
          <w:p w14:paraId="146FCF4F" w14:textId="77777777" w:rsidR="002449C2" w:rsidRDefault="00123961">
            <w:pPr>
              <w:spacing w:after="120" w:line="240" w:lineRule="auto"/>
              <w:ind w:firstLine="220"/>
              <w:rPr>
                <w:rFonts w:ascii="Times New Roman" w:eastAsia="Times New Roman" w:hAnsi="Times New Roman"/>
                <w:lang w:eastAsia="ru-RU"/>
              </w:rPr>
            </w:pPr>
            <w:r>
              <w:rPr>
                <w:rFonts w:ascii="Times New Roman" w:eastAsia="Times New Roman" w:hAnsi="Times New Roman"/>
                <w:lang w:eastAsia="ru-RU"/>
              </w:rPr>
              <w:t>Биржевой тикер</w:t>
            </w:r>
          </w:p>
        </w:tc>
        <w:tc>
          <w:tcPr>
            <w:tcW w:w="3277" w:type="dxa"/>
            <w:tcBorders>
              <w:top w:val="single" w:sz="4" w:space="0" w:color="000000"/>
              <w:bottom w:val="single" w:sz="4" w:space="0" w:color="000000"/>
              <w:right w:val="single" w:sz="4" w:space="0" w:color="000000"/>
            </w:tcBorders>
            <w:vAlign w:val="center"/>
          </w:tcPr>
          <w:p w14:paraId="2070CC17" w14:textId="77777777" w:rsidR="002449C2" w:rsidRDefault="00123961">
            <w:pPr>
              <w:spacing w:after="120" w:line="240" w:lineRule="auto"/>
              <w:jc w:val="center"/>
              <w:rPr>
                <w:rFonts w:ascii="Times New Roman" w:eastAsia="Times New Roman" w:hAnsi="Times New Roman"/>
                <w:lang w:eastAsia="ru-RU"/>
              </w:rPr>
            </w:pPr>
            <w:r>
              <w:rPr>
                <w:rFonts w:ascii="Times New Roman" w:eastAsia="Times New Roman" w:hAnsi="Times New Roman"/>
                <w:bCs/>
                <w:lang w:eastAsia="ru-RU"/>
              </w:rPr>
              <w:t>MRKY</w:t>
            </w:r>
          </w:p>
        </w:tc>
      </w:tr>
      <w:tr w:rsidR="002449C2" w14:paraId="13A345DF" w14:textId="77777777">
        <w:trPr>
          <w:trHeight w:val="384"/>
          <w:jc w:val="center"/>
        </w:trPr>
        <w:tc>
          <w:tcPr>
            <w:tcW w:w="4814" w:type="dxa"/>
            <w:tcBorders>
              <w:top w:val="single" w:sz="4" w:space="0" w:color="000000"/>
              <w:left w:val="single" w:sz="4" w:space="0" w:color="000000"/>
              <w:bottom w:val="single" w:sz="4" w:space="0" w:color="000000"/>
              <w:right w:val="single" w:sz="4" w:space="0" w:color="000000"/>
            </w:tcBorders>
            <w:vAlign w:val="center"/>
          </w:tcPr>
          <w:p w14:paraId="48529E73" w14:textId="77777777" w:rsidR="002449C2" w:rsidRDefault="00123961">
            <w:pPr>
              <w:spacing w:after="120" w:line="240" w:lineRule="auto"/>
              <w:ind w:firstLine="220"/>
              <w:rPr>
                <w:rFonts w:ascii="Times New Roman" w:eastAsia="Times New Roman" w:hAnsi="Times New Roman"/>
                <w:lang w:eastAsia="ru-RU"/>
              </w:rPr>
            </w:pPr>
            <w:r>
              <w:rPr>
                <w:rFonts w:ascii="Times New Roman" w:eastAsia="Times New Roman" w:hAnsi="Times New Roman"/>
                <w:lang w:eastAsia="ru-RU"/>
              </w:rPr>
              <w:t>Номинальная стоимость</w:t>
            </w:r>
          </w:p>
        </w:tc>
        <w:tc>
          <w:tcPr>
            <w:tcW w:w="3277" w:type="dxa"/>
            <w:tcBorders>
              <w:top w:val="single" w:sz="4" w:space="0" w:color="000000"/>
              <w:bottom w:val="single" w:sz="4" w:space="0" w:color="000000"/>
              <w:right w:val="single" w:sz="4" w:space="0" w:color="000000"/>
            </w:tcBorders>
            <w:vAlign w:val="center"/>
          </w:tcPr>
          <w:p w14:paraId="24956DD5" w14:textId="77777777" w:rsidR="002449C2" w:rsidRDefault="00123961">
            <w:pPr>
              <w:spacing w:after="120" w:line="240" w:lineRule="auto"/>
              <w:jc w:val="center"/>
              <w:rPr>
                <w:rFonts w:ascii="Times New Roman" w:eastAsia="Times New Roman" w:hAnsi="Times New Roman"/>
                <w:lang w:eastAsia="ru-RU"/>
              </w:rPr>
            </w:pPr>
            <w:r>
              <w:rPr>
                <w:rFonts w:ascii="Times New Roman" w:eastAsia="Times New Roman" w:hAnsi="Times New Roman"/>
                <w:lang w:eastAsia="ru-RU"/>
              </w:rPr>
              <w:t>0,1</w:t>
            </w:r>
          </w:p>
        </w:tc>
      </w:tr>
      <w:tr w:rsidR="002449C2" w14:paraId="724000CB" w14:textId="77777777">
        <w:trPr>
          <w:trHeight w:val="384"/>
          <w:jc w:val="center"/>
        </w:trPr>
        <w:tc>
          <w:tcPr>
            <w:tcW w:w="4814" w:type="dxa"/>
            <w:tcBorders>
              <w:top w:val="single" w:sz="4" w:space="0" w:color="000000"/>
              <w:left w:val="single" w:sz="4" w:space="0" w:color="000000"/>
              <w:bottom w:val="single" w:sz="4" w:space="0" w:color="000000"/>
              <w:right w:val="single" w:sz="4" w:space="0" w:color="000000"/>
            </w:tcBorders>
            <w:vAlign w:val="center"/>
          </w:tcPr>
          <w:p w14:paraId="79BC260B" w14:textId="77777777" w:rsidR="002449C2" w:rsidRDefault="00123961">
            <w:pPr>
              <w:spacing w:after="120" w:line="240" w:lineRule="auto"/>
              <w:ind w:firstLine="220"/>
              <w:rPr>
                <w:rFonts w:ascii="Times New Roman" w:eastAsia="Times New Roman" w:hAnsi="Times New Roman"/>
                <w:lang w:eastAsia="ru-RU"/>
              </w:rPr>
            </w:pPr>
            <w:r>
              <w:rPr>
                <w:rFonts w:ascii="Times New Roman" w:eastAsia="Times New Roman" w:hAnsi="Times New Roman"/>
                <w:lang w:eastAsia="ru-RU"/>
              </w:rPr>
              <w:t>Валюта номинала</w:t>
            </w:r>
          </w:p>
        </w:tc>
        <w:tc>
          <w:tcPr>
            <w:tcW w:w="3277" w:type="dxa"/>
            <w:tcBorders>
              <w:top w:val="single" w:sz="4" w:space="0" w:color="000000"/>
              <w:bottom w:val="single" w:sz="4" w:space="0" w:color="000000"/>
              <w:right w:val="single" w:sz="4" w:space="0" w:color="000000"/>
            </w:tcBorders>
            <w:vAlign w:val="center"/>
          </w:tcPr>
          <w:p w14:paraId="420C7061" w14:textId="77777777" w:rsidR="002449C2" w:rsidRDefault="00123961">
            <w:pPr>
              <w:spacing w:after="120" w:line="240" w:lineRule="auto"/>
              <w:jc w:val="center"/>
              <w:rPr>
                <w:rFonts w:ascii="Times New Roman" w:eastAsia="Times New Roman" w:hAnsi="Times New Roman"/>
                <w:lang w:eastAsia="ru-RU"/>
              </w:rPr>
            </w:pPr>
            <w:r>
              <w:rPr>
                <w:rFonts w:ascii="Times New Roman" w:eastAsia="Times New Roman" w:hAnsi="Times New Roman"/>
                <w:lang w:eastAsia="ru-RU"/>
              </w:rPr>
              <w:t>RUB</w:t>
            </w:r>
          </w:p>
        </w:tc>
      </w:tr>
      <w:tr w:rsidR="002449C2" w14:paraId="251A8942" w14:textId="77777777">
        <w:trPr>
          <w:trHeight w:val="384"/>
          <w:jc w:val="center"/>
        </w:trPr>
        <w:tc>
          <w:tcPr>
            <w:tcW w:w="4814" w:type="dxa"/>
            <w:tcBorders>
              <w:top w:val="single" w:sz="4" w:space="0" w:color="000000"/>
              <w:left w:val="single" w:sz="4" w:space="0" w:color="000000"/>
              <w:bottom w:val="single" w:sz="4" w:space="0" w:color="000000"/>
              <w:right w:val="single" w:sz="4" w:space="0" w:color="000000"/>
            </w:tcBorders>
            <w:vAlign w:val="center"/>
          </w:tcPr>
          <w:p w14:paraId="1C6B577F" w14:textId="77777777" w:rsidR="002449C2" w:rsidRDefault="00123961">
            <w:pPr>
              <w:spacing w:after="120" w:line="240" w:lineRule="auto"/>
              <w:ind w:firstLine="220"/>
              <w:rPr>
                <w:rFonts w:ascii="Times New Roman" w:eastAsia="Times New Roman" w:hAnsi="Times New Roman"/>
                <w:lang w:eastAsia="ru-RU"/>
              </w:rPr>
            </w:pPr>
            <w:r>
              <w:rPr>
                <w:rFonts w:ascii="Times New Roman" w:eastAsia="Times New Roman" w:hAnsi="Times New Roman"/>
                <w:lang w:eastAsia="ru-RU"/>
              </w:rPr>
              <w:t>Дата начала торгов</w:t>
            </w:r>
          </w:p>
        </w:tc>
        <w:tc>
          <w:tcPr>
            <w:tcW w:w="3277" w:type="dxa"/>
            <w:tcBorders>
              <w:top w:val="single" w:sz="4" w:space="0" w:color="000000"/>
              <w:bottom w:val="single" w:sz="4" w:space="0" w:color="000000"/>
              <w:right w:val="single" w:sz="4" w:space="0" w:color="000000"/>
            </w:tcBorders>
            <w:vAlign w:val="center"/>
          </w:tcPr>
          <w:p w14:paraId="5D085E67" w14:textId="77777777" w:rsidR="002449C2" w:rsidRDefault="00123961">
            <w:pPr>
              <w:spacing w:after="120" w:line="240" w:lineRule="auto"/>
              <w:jc w:val="center"/>
              <w:rPr>
                <w:rFonts w:ascii="Times New Roman" w:eastAsia="Times New Roman" w:hAnsi="Times New Roman"/>
                <w:lang w:eastAsia="ru-RU"/>
              </w:rPr>
            </w:pPr>
            <w:r>
              <w:rPr>
                <w:rFonts w:ascii="Times New Roman" w:eastAsia="Times New Roman" w:hAnsi="Times New Roman"/>
                <w:lang w:eastAsia="ru-RU"/>
              </w:rPr>
              <w:t>03.07.2008</w:t>
            </w:r>
          </w:p>
        </w:tc>
      </w:tr>
      <w:tr w:rsidR="002449C2" w14:paraId="7A73AE3F" w14:textId="77777777">
        <w:trPr>
          <w:trHeight w:val="384"/>
          <w:jc w:val="center"/>
        </w:trPr>
        <w:tc>
          <w:tcPr>
            <w:tcW w:w="4814" w:type="dxa"/>
            <w:tcBorders>
              <w:top w:val="single" w:sz="4" w:space="0" w:color="000000"/>
              <w:left w:val="single" w:sz="4" w:space="0" w:color="000000"/>
              <w:bottom w:val="single" w:sz="4" w:space="0" w:color="000000"/>
              <w:right w:val="single" w:sz="4" w:space="0" w:color="000000"/>
            </w:tcBorders>
            <w:vAlign w:val="center"/>
          </w:tcPr>
          <w:p w14:paraId="06107BC7" w14:textId="77777777" w:rsidR="002449C2" w:rsidRDefault="00123961">
            <w:pPr>
              <w:spacing w:after="120" w:line="240" w:lineRule="auto"/>
              <w:ind w:firstLine="220"/>
              <w:rPr>
                <w:rFonts w:ascii="Times New Roman" w:eastAsia="Times New Roman" w:hAnsi="Times New Roman"/>
                <w:lang w:eastAsia="ru-RU"/>
              </w:rPr>
            </w:pPr>
            <w:r>
              <w:rPr>
                <w:rFonts w:ascii="Times New Roman" w:eastAsia="Times New Roman" w:hAnsi="Times New Roman"/>
                <w:lang w:eastAsia="ru-RU"/>
              </w:rPr>
              <w:t>ISIN код</w:t>
            </w:r>
          </w:p>
        </w:tc>
        <w:tc>
          <w:tcPr>
            <w:tcW w:w="3277" w:type="dxa"/>
            <w:tcBorders>
              <w:top w:val="single" w:sz="4" w:space="0" w:color="000000"/>
              <w:bottom w:val="single" w:sz="4" w:space="0" w:color="000000"/>
              <w:right w:val="single" w:sz="4" w:space="0" w:color="000000"/>
            </w:tcBorders>
            <w:vAlign w:val="center"/>
          </w:tcPr>
          <w:p w14:paraId="416929C1" w14:textId="77777777" w:rsidR="002449C2" w:rsidRDefault="00123961">
            <w:pPr>
              <w:spacing w:after="120" w:line="240" w:lineRule="auto"/>
              <w:jc w:val="center"/>
              <w:rPr>
                <w:rFonts w:ascii="Times New Roman" w:eastAsia="Times New Roman" w:hAnsi="Times New Roman"/>
                <w:lang w:eastAsia="ru-RU"/>
              </w:rPr>
            </w:pPr>
            <w:r>
              <w:rPr>
                <w:rFonts w:ascii="Times New Roman" w:eastAsia="Times New Roman" w:hAnsi="Times New Roman"/>
                <w:lang w:eastAsia="ru-RU"/>
              </w:rPr>
              <w:t>RU000A0JPPG8</w:t>
            </w:r>
          </w:p>
        </w:tc>
      </w:tr>
      <w:tr w:rsidR="002449C2" w14:paraId="003DBB08" w14:textId="77777777">
        <w:trPr>
          <w:trHeight w:val="413"/>
          <w:jc w:val="center"/>
        </w:trPr>
        <w:tc>
          <w:tcPr>
            <w:tcW w:w="4814" w:type="dxa"/>
            <w:tcBorders>
              <w:top w:val="single" w:sz="4" w:space="0" w:color="000000"/>
              <w:left w:val="single" w:sz="4" w:space="0" w:color="000000"/>
              <w:bottom w:val="single" w:sz="4" w:space="0" w:color="000000"/>
              <w:right w:val="single" w:sz="4" w:space="0" w:color="000000"/>
            </w:tcBorders>
            <w:vAlign w:val="center"/>
          </w:tcPr>
          <w:p w14:paraId="42F09E9F" w14:textId="77777777" w:rsidR="002449C2" w:rsidRDefault="00123961">
            <w:pPr>
              <w:spacing w:after="120" w:line="240" w:lineRule="auto"/>
              <w:ind w:firstLine="220"/>
              <w:rPr>
                <w:rFonts w:ascii="Times New Roman" w:eastAsia="Times New Roman" w:hAnsi="Times New Roman"/>
                <w:lang w:eastAsia="ru-RU"/>
              </w:rPr>
            </w:pPr>
            <w:r>
              <w:rPr>
                <w:rFonts w:ascii="Times New Roman" w:eastAsia="Times New Roman" w:hAnsi="Times New Roman"/>
                <w:lang w:eastAsia="ru-RU"/>
              </w:rPr>
              <w:t>Номер государственной регистрации</w:t>
            </w:r>
          </w:p>
        </w:tc>
        <w:tc>
          <w:tcPr>
            <w:tcW w:w="3277" w:type="dxa"/>
            <w:tcBorders>
              <w:top w:val="single" w:sz="4" w:space="0" w:color="000000"/>
              <w:bottom w:val="single" w:sz="4" w:space="0" w:color="000000"/>
              <w:right w:val="single" w:sz="4" w:space="0" w:color="000000"/>
            </w:tcBorders>
            <w:vAlign w:val="center"/>
          </w:tcPr>
          <w:p w14:paraId="24021DCB" w14:textId="77777777" w:rsidR="002449C2" w:rsidRDefault="00123961">
            <w:pPr>
              <w:spacing w:after="120" w:line="240" w:lineRule="auto"/>
              <w:jc w:val="center"/>
              <w:rPr>
                <w:rFonts w:ascii="Times New Roman" w:eastAsia="Times New Roman" w:hAnsi="Times New Roman"/>
                <w:lang w:eastAsia="ru-RU"/>
              </w:rPr>
            </w:pPr>
            <w:r>
              <w:rPr>
                <w:rFonts w:ascii="Times New Roman" w:eastAsia="Times New Roman" w:hAnsi="Times New Roman"/>
                <w:lang w:eastAsia="ru-RU"/>
              </w:rPr>
              <w:t>1-01-34956-E</w:t>
            </w:r>
          </w:p>
        </w:tc>
      </w:tr>
    </w:tbl>
    <w:p w14:paraId="5B3CE3EB" w14:textId="77777777" w:rsidR="002449C2" w:rsidRDefault="002449C2">
      <w:pPr>
        <w:widowControl w:val="0"/>
        <w:shd w:val="clear" w:color="auto" w:fill="FFFFFF"/>
        <w:tabs>
          <w:tab w:val="left" w:pos="142"/>
          <w:tab w:val="left" w:pos="360"/>
        </w:tabs>
        <w:spacing w:after="0" w:line="240" w:lineRule="auto"/>
        <w:ind w:firstLine="567"/>
        <w:jc w:val="both"/>
        <w:rPr>
          <w:rFonts w:ascii="Times New Roman" w:eastAsia="Times New Roman" w:hAnsi="Times New Roman"/>
          <w:sz w:val="26"/>
          <w:szCs w:val="26"/>
          <w:lang w:eastAsia="ru-RU"/>
        </w:rPr>
      </w:pPr>
    </w:p>
    <w:p w14:paraId="4A00892F" w14:textId="77777777" w:rsidR="002449C2" w:rsidRDefault="00123961">
      <w:pPr>
        <w:widowControl w:val="0"/>
        <w:shd w:val="clear" w:color="auto" w:fill="FFFFFF"/>
        <w:tabs>
          <w:tab w:val="left" w:pos="142"/>
          <w:tab w:val="left" w:pos="360"/>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 итогам 2024 года рыночная цена акции ПАО «Россети Юг» на Московской бирже уменьшилась с 0,0666 руб. до 0,05845 руб. (на 12,24%).</w:t>
      </w:r>
    </w:p>
    <w:p w14:paraId="119BBDFF" w14:textId="77777777" w:rsidR="002449C2" w:rsidRDefault="00123961">
      <w:pPr>
        <w:widowControl w:val="0"/>
        <w:shd w:val="clear" w:color="auto" w:fill="FFFFFF"/>
        <w:tabs>
          <w:tab w:val="left" w:pos="142"/>
          <w:tab w:val="left" w:pos="360"/>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Рыночная капитализация Общества по состоянию на 30.12.2024 по данным ПАО Московская биржа составила 8 863 441 370,39 руб.</w:t>
      </w:r>
    </w:p>
    <w:p w14:paraId="1ED4A506" w14:textId="77777777" w:rsidR="002449C2" w:rsidRDefault="002449C2">
      <w:pPr>
        <w:widowControl w:val="0"/>
        <w:shd w:val="clear" w:color="auto" w:fill="FFFFFF"/>
        <w:tabs>
          <w:tab w:val="left" w:pos="142"/>
          <w:tab w:val="left" w:pos="360"/>
        </w:tabs>
        <w:spacing w:after="0" w:line="240" w:lineRule="auto"/>
        <w:ind w:firstLine="567"/>
        <w:jc w:val="both"/>
        <w:rPr>
          <w:rFonts w:ascii="Times New Roman" w:eastAsia="Times New Roman" w:hAnsi="Times New Roman"/>
          <w:sz w:val="26"/>
          <w:szCs w:val="26"/>
          <w:lang w:eastAsia="ru-RU"/>
        </w:rPr>
      </w:pPr>
    </w:p>
    <w:p w14:paraId="5ECB924C" w14:textId="77777777" w:rsidR="002449C2" w:rsidRDefault="002449C2">
      <w:pPr>
        <w:widowControl w:val="0"/>
        <w:shd w:val="clear" w:color="auto" w:fill="FFFFFF"/>
        <w:tabs>
          <w:tab w:val="left" w:pos="142"/>
          <w:tab w:val="left" w:pos="360"/>
        </w:tabs>
        <w:spacing w:after="0" w:line="240" w:lineRule="auto"/>
        <w:ind w:firstLine="567"/>
        <w:jc w:val="both"/>
        <w:rPr>
          <w:rFonts w:ascii="Times New Roman" w:eastAsia="Times New Roman" w:hAnsi="Times New Roman"/>
          <w:sz w:val="26"/>
          <w:szCs w:val="26"/>
          <w:lang w:eastAsia="ru-RU"/>
        </w:rPr>
      </w:pPr>
    </w:p>
    <w:p w14:paraId="42B85383" w14:textId="77777777" w:rsidR="002449C2" w:rsidRDefault="002449C2">
      <w:pPr>
        <w:widowControl w:val="0"/>
        <w:shd w:val="clear" w:color="auto" w:fill="FFFFFF"/>
        <w:tabs>
          <w:tab w:val="left" w:pos="142"/>
          <w:tab w:val="left" w:pos="360"/>
        </w:tabs>
        <w:spacing w:after="0" w:line="240" w:lineRule="auto"/>
        <w:ind w:firstLine="567"/>
        <w:jc w:val="both"/>
        <w:rPr>
          <w:rFonts w:ascii="Times New Roman" w:eastAsia="Times New Roman" w:hAnsi="Times New Roman"/>
          <w:sz w:val="26"/>
          <w:szCs w:val="26"/>
          <w:lang w:eastAsia="ru-RU"/>
        </w:rPr>
      </w:pPr>
    </w:p>
    <w:p w14:paraId="3468A3A1" w14:textId="77777777" w:rsidR="002449C2" w:rsidRDefault="002449C2">
      <w:pPr>
        <w:widowControl w:val="0"/>
        <w:shd w:val="clear" w:color="auto" w:fill="FFFFFF"/>
        <w:tabs>
          <w:tab w:val="left" w:pos="142"/>
          <w:tab w:val="left" w:pos="360"/>
        </w:tabs>
        <w:spacing w:after="0" w:line="240" w:lineRule="auto"/>
        <w:ind w:firstLine="567"/>
        <w:jc w:val="both"/>
        <w:rPr>
          <w:rFonts w:ascii="Times New Roman" w:eastAsia="Times New Roman" w:hAnsi="Times New Roman"/>
          <w:sz w:val="26"/>
          <w:szCs w:val="26"/>
          <w:lang w:eastAsia="ru-RU"/>
        </w:rPr>
      </w:pPr>
    </w:p>
    <w:tbl>
      <w:tblPr>
        <w:tblW w:w="9814" w:type="dxa"/>
        <w:tblLayout w:type="fixed"/>
        <w:tblLook w:val="04A0" w:firstRow="1" w:lastRow="0" w:firstColumn="1" w:lastColumn="0" w:noHBand="0" w:noVBand="1"/>
      </w:tblPr>
      <w:tblGrid>
        <w:gridCol w:w="4253"/>
        <w:gridCol w:w="2127"/>
        <w:gridCol w:w="1896"/>
        <w:gridCol w:w="1538"/>
      </w:tblGrid>
      <w:tr w:rsidR="002449C2" w14:paraId="14AB4B59" w14:textId="77777777">
        <w:tc>
          <w:tcPr>
            <w:tcW w:w="4252" w:type="dxa"/>
            <w:tcBorders>
              <w:top w:val="single" w:sz="4" w:space="0" w:color="5B9BD5"/>
              <w:left w:val="single" w:sz="4" w:space="0" w:color="5B9BD5"/>
              <w:bottom w:val="single" w:sz="4" w:space="0" w:color="5B9BD5"/>
            </w:tcBorders>
            <w:shd w:val="clear" w:color="FFFFFF" w:fill="5B9BD5"/>
            <w:vAlign w:val="center"/>
          </w:tcPr>
          <w:p w14:paraId="2D5A2591" w14:textId="77777777" w:rsidR="002449C2" w:rsidRDefault="002449C2">
            <w:pPr>
              <w:widowControl w:val="0"/>
              <w:tabs>
                <w:tab w:val="left" w:pos="142"/>
                <w:tab w:val="left" w:pos="360"/>
              </w:tabs>
              <w:spacing w:after="0" w:line="240" w:lineRule="auto"/>
              <w:jc w:val="center"/>
              <w:rPr>
                <w:rFonts w:ascii="Times New Roman" w:eastAsia="Times New Roman" w:hAnsi="Times New Roman"/>
                <w:b/>
                <w:bCs/>
                <w:color w:val="FFFFFF"/>
                <w:sz w:val="24"/>
                <w:szCs w:val="24"/>
                <w:lang w:eastAsia="ru-RU"/>
              </w:rPr>
            </w:pPr>
          </w:p>
        </w:tc>
        <w:tc>
          <w:tcPr>
            <w:tcW w:w="2127" w:type="dxa"/>
            <w:tcBorders>
              <w:top w:val="single" w:sz="4" w:space="0" w:color="5B9BD5"/>
              <w:bottom w:val="single" w:sz="4" w:space="0" w:color="5B9BD5"/>
            </w:tcBorders>
            <w:shd w:val="clear" w:color="FFFFFF" w:fill="5B9BD5"/>
            <w:vAlign w:val="center"/>
          </w:tcPr>
          <w:p w14:paraId="765FE97D" w14:textId="77777777" w:rsidR="002449C2" w:rsidRDefault="00123961">
            <w:pPr>
              <w:widowControl w:val="0"/>
              <w:tabs>
                <w:tab w:val="left" w:pos="142"/>
                <w:tab w:val="left" w:pos="360"/>
              </w:tabs>
              <w:spacing w:after="0" w:line="240" w:lineRule="auto"/>
              <w:jc w:val="center"/>
              <w:rPr>
                <w:rFonts w:ascii="Times New Roman" w:eastAsia="Times New Roman" w:hAnsi="Times New Roman"/>
                <w:b/>
                <w:bCs/>
                <w:color w:val="FFFFFF"/>
                <w:sz w:val="24"/>
                <w:szCs w:val="24"/>
                <w:lang w:eastAsia="ru-RU"/>
              </w:rPr>
            </w:pPr>
            <w:r>
              <w:rPr>
                <w:rFonts w:ascii="Times New Roman" w:eastAsia="Times New Roman" w:hAnsi="Times New Roman"/>
                <w:b/>
                <w:bCs/>
                <w:color w:val="FFFFFF"/>
                <w:sz w:val="24"/>
                <w:szCs w:val="24"/>
                <w:lang w:eastAsia="ru-RU"/>
              </w:rPr>
              <w:t>2023</w:t>
            </w:r>
          </w:p>
        </w:tc>
        <w:tc>
          <w:tcPr>
            <w:tcW w:w="1896" w:type="dxa"/>
            <w:tcBorders>
              <w:top w:val="single" w:sz="4" w:space="0" w:color="5B9BD5"/>
              <w:bottom w:val="single" w:sz="4" w:space="0" w:color="5B9BD5"/>
            </w:tcBorders>
            <w:shd w:val="clear" w:color="FFFFFF" w:fill="5B9BD5"/>
            <w:vAlign w:val="center"/>
          </w:tcPr>
          <w:p w14:paraId="588D5AFE" w14:textId="77777777" w:rsidR="002449C2" w:rsidRDefault="00123961">
            <w:pPr>
              <w:widowControl w:val="0"/>
              <w:tabs>
                <w:tab w:val="left" w:pos="142"/>
                <w:tab w:val="left" w:pos="360"/>
              </w:tabs>
              <w:spacing w:after="0" w:line="240" w:lineRule="auto"/>
              <w:jc w:val="center"/>
              <w:rPr>
                <w:rFonts w:ascii="Times New Roman" w:eastAsia="Times New Roman" w:hAnsi="Times New Roman"/>
                <w:b/>
                <w:bCs/>
                <w:color w:val="FFFFFF"/>
                <w:sz w:val="24"/>
                <w:szCs w:val="24"/>
                <w:lang w:eastAsia="ru-RU"/>
              </w:rPr>
            </w:pPr>
            <w:r>
              <w:rPr>
                <w:rFonts w:ascii="Times New Roman" w:eastAsia="Times New Roman" w:hAnsi="Times New Roman"/>
                <w:b/>
                <w:bCs/>
                <w:color w:val="FFFFFF"/>
                <w:sz w:val="24"/>
                <w:szCs w:val="24"/>
                <w:lang w:eastAsia="ru-RU"/>
              </w:rPr>
              <w:t>2024</w:t>
            </w:r>
          </w:p>
        </w:tc>
        <w:tc>
          <w:tcPr>
            <w:tcW w:w="1538" w:type="dxa"/>
            <w:tcBorders>
              <w:top w:val="single" w:sz="4" w:space="0" w:color="5B9BD5"/>
              <w:bottom w:val="single" w:sz="4" w:space="0" w:color="5B9BD5"/>
              <w:right w:val="single" w:sz="4" w:space="0" w:color="5B9BD5"/>
            </w:tcBorders>
            <w:shd w:val="clear" w:color="FFFFFF" w:fill="5B9BD5"/>
            <w:vAlign w:val="center"/>
          </w:tcPr>
          <w:p w14:paraId="41E8A268" w14:textId="77777777" w:rsidR="002449C2" w:rsidRDefault="00123961">
            <w:pPr>
              <w:widowControl w:val="0"/>
              <w:tabs>
                <w:tab w:val="left" w:pos="142"/>
                <w:tab w:val="left" w:pos="360"/>
              </w:tabs>
              <w:spacing w:after="0" w:line="240" w:lineRule="auto"/>
              <w:jc w:val="center"/>
              <w:rPr>
                <w:rFonts w:ascii="Times New Roman" w:eastAsia="Times New Roman" w:hAnsi="Times New Roman"/>
                <w:b/>
                <w:bCs/>
                <w:color w:val="FFFFFF"/>
                <w:sz w:val="24"/>
                <w:szCs w:val="24"/>
                <w:lang w:eastAsia="ru-RU"/>
              </w:rPr>
            </w:pPr>
            <w:r>
              <w:rPr>
                <w:rFonts w:ascii="Times New Roman" w:eastAsia="Times New Roman" w:hAnsi="Times New Roman"/>
                <w:b/>
                <w:bCs/>
                <w:color w:val="FFFFFF"/>
                <w:sz w:val="24"/>
                <w:szCs w:val="24"/>
                <w:lang w:eastAsia="ru-RU"/>
              </w:rPr>
              <w:t>Изменение, %</w:t>
            </w:r>
          </w:p>
        </w:tc>
      </w:tr>
      <w:tr w:rsidR="002449C2" w14:paraId="5E336BA5" w14:textId="77777777">
        <w:tc>
          <w:tcPr>
            <w:tcW w:w="4252" w:type="dxa"/>
            <w:tcBorders>
              <w:top w:val="single" w:sz="4" w:space="0" w:color="000000"/>
              <w:left w:val="single" w:sz="4" w:space="0" w:color="000000"/>
              <w:bottom w:val="single" w:sz="4" w:space="0" w:color="000000"/>
              <w:right w:val="single" w:sz="4" w:space="0" w:color="000000"/>
            </w:tcBorders>
            <w:shd w:val="clear" w:color="FFFFFF" w:fill="DEEAF6"/>
          </w:tcPr>
          <w:p w14:paraId="0A764776" w14:textId="77777777" w:rsidR="002449C2" w:rsidRDefault="002449C2">
            <w:pPr>
              <w:widowControl w:val="0"/>
              <w:tabs>
                <w:tab w:val="left" w:pos="142"/>
                <w:tab w:val="left" w:pos="360"/>
              </w:tabs>
              <w:spacing w:after="0" w:line="240" w:lineRule="auto"/>
              <w:jc w:val="both"/>
              <w:rPr>
                <w:rFonts w:ascii="Times New Roman" w:eastAsia="Times New Roman" w:hAnsi="Times New Roman"/>
                <w:b/>
                <w:bCs/>
                <w:sz w:val="24"/>
                <w:szCs w:val="24"/>
                <w:lang w:eastAsia="ru-RU"/>
              </w:rPr>
            </w:pPr>
          </w:p>
          <w:p w14:paraId="76A04132" w14:textId="77777777" w:rsidR="002449C2" w:rsidRDefault="00123961">
            <w:pPr>
              <w:widowControl w:val="0"/>
              <w:tabs>
                <w:tab w:val="left" w:pos="142"/>
                <w:tab w:val="left" w:pos="360"/>
              </w:tabs>
              <w:spacing w:after="0" w:line="240" w:lineRule="auto"/>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Средневзвешенная цена</w:t>
            </w:r>
          </w:p>
          <w:p w14:paraId="7CF2185E" w14:textId="77777777" w:rsidR="002449C2" w:rsidRDefault="00123961">
            <w:pPr>
              <w:widowControl w:val="0"/>
              <w:tabs>
                <w:tab w:val="left" w:pos="142"/>
                <w:tab w:val="left" w:pos="360"/>
              </w:tabs>
              <w:spacing w:after="0" w:line="240" w:lineRule="auto"/>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(на конец года) (руб.)</w:t>
            </w:r>
          </w:p>
        </w:tc>
        <w:tc>
          <w:tcPr>
            <w:tcW w:w="2127" w:type="dxa"/>
            <w:tcBorders>
              <w:top w:val="single" w:sz="4" w:space="0" w:color="000000"/>
              <w:left w:val="single" w:sz="4" w:space="0" w:color="000000"/>
              <w:bottom w:val="single" w:sz="4" w:space="0" w:color="000000"/>
              <w:right w:val="single" w:sz="4" w:space="0" w:color="000000"/>
            </w:tcBorders>
            <w:shd w:val="clear" w:color="FFFFFF" w:fill="DEEAF6"/>
            <w:vAlign w:val="center"/>
          </w:tcPr>
          <w:p w14:paraId="6E9DBC11" w14:textId="77777777" w:rsidR="002449C2" w:rsidRDefault="00123961">
            <w:pPr>
              <w:widowControl w:val="0"/>
              <w:tabs>
                <w:tab w:val="left" w:pos="142"/>
                <w:tab w:val="left" w:pos="360"/>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0,0666</w:t>
            </w:r>
          </w:p>
        </w:tc>
        <w:tc>
          <w:tcPr>
            <w:tcW w:w="1896" w:type="dxa"/>
            <w:tcBorders>
              <w:top w:val="single" w:sz="4" w:space="0" w:color="000000"/>
              <w:left w:val="single" w:sz="4" w:space="0" w:color="000000"/>
              <w:bottom w:val="single" w:sz="4" w:space="0" w:color="000000"/>
              <w:right w:val="single" w:sz="4" w:space="0" w:color="000000"/>
            </w:tcBorders>
            <w:shd w:val="clear" w:color="FFFFFF" w:fill="DEEAF6"/>
            <w:vAlign w:val="center"/>
          </w:tcPr>
          <w:p w14:paraId="3444C400" w14:textId="77777777" w:rsidR="002449C2" w:rsidRDefault="00123961">
            <w:pPr>
              <w:widowControl w:val="0"/>
              <w:tabs>
                <w:tab w:val="left" w:pos="142"/>
                <w:tab w:val="left" w:pos="360"/>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0,05845</w:t>
            </w:r>
          </w:p>
        </w:tc>
        <w:tc>
          <w:tcPr>
            <w:tcW w:w="1538" w:type="dxa"/>
            <w:tcBorders>
              <w:top w:val="single" w:sz="4" w:space="0" w:color="000000"/>
              <w:left w:val="single" w:sz="4" w:space="0" w:color="000000"/>
              <w:bottom w:val="single" w:sz="4" w:space="0" w:color="000000"/>
              <w:right w:val="single" w:sz="4" w:space="0" w:color="000000"/>
            </w:tcBorders>
            <w:shd w:val="clear" w:color="FFFFFF" w:fill="DEEAF6"/>
            <w:vAlign w:val="center"/>
          </w:tcPr>
          <w:p w14:paraId="4D1FF629" w14:textId="77777777" w:rsidR="002449C2" w:rsidRDefault="00123961">
            <w:pPr>
              <w:tabs>
                <w:tab w:val="left" w:pos="0"/>
                <w:tab w:val="left" w:pos="142"/>
              </w:tabs>
              <w:jc w:val="center"/>
              <w:rPr>
                <w:rFonts w:ascii="Times New Roman" w:eastAsia="Arial" w:hAnsi="Times New Roman"/>
                <w:sz w:val="24"/>
                <w:szCs w:val="24"/>
                <w:lang w:eastAsia="en-US"/>
              </w:rPr>
            </w:pPr>
            <w:r>
              <w:rPr>
                <w:rFonts w:ascii="Times New Roman" w:eastAsia="Times New Roman" w:hAnsi="Times New Roman"/>
                <w:sz w:val="24"/>
                <w:szCs w:val="24"/>
                <w:lang w:eastAsia="en-US"/>
              </w:rPr>
              <w:t>- 12,24</w:t>
            </w:r>
          </w:p>
        </w:tc>
      </w:tr>
      <w:tr w:rsidR="002449C2" w14:paraId="626FC251" w14:textId="77777777">
        <w:tc>
          <w:tcPr>
            <w:tcW w:w="4252" w:type="dxa"/>
            <w:tcBorders>
              <w:top w:val="single" w:sz="4" w:space="0" w:color="000000"/>
              <w:left w:val="single" w:sz="4" w:space="0" w:color="000000"/>
              <w:bottom w:val="single" w:sz="4" w:space="0" w:color="000000"/>
              <w:right w:val="single" w:sz="4" w:space="0" w:color="000000"/>
            </w:tcBorders>
          </w:tcPr>
          <w:p w14:paraId="75B5703B" w14:textId="77777777" w:rsidR="002449C2" w:rsidRDefault="002449C2">
            <w:pPr>
              <w:widowControl w:val="0"/>
              <w:tabs>
                <w:tab w:val="left" w:pos="142"/>
                <w:tab w:val="left" w:pos="360"/>
              </w:tabs>
              <w:spacing w:after="0" w:line="240" w:lineRule="auto"/>
              <w:jc w:val="both"/>
              <w:rPr>
                <w:rFonts w:ascii="Times New Roman" w:eastAsia="Times New Roman" w:hAnsi="Times New Roman"/>
                <w:b/>
                <w:bCs/>
                <w:sz w:val="24"/>
                <w:szCs w:val="24"/>
                <w:lang w:eastAsia="ru-RU"/>
              </w:rPr>
            </w:pPr>
          </w:p>
          <w:p w14:paraId="4C9F78BA" w14:textId="77777777" w:rsidR="002449C2" w:rsidRDefault="00123961">
            <w:pPr>
              <w:widowControl w:val="0"/>
              <w:tabs>
                <w:tab w:val="left" w:pos="142"/>
                <w:tab w:val="left" w:pos="360"/>
              </w:tabs>
              <w:spacing w:after="0" w:line="240" w:lineRule="auto"/>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Капитализация</w:t>
            </w:r>
          </w:p>
          <w:p w14:paraId="1CE743A0" w14:textId="77777777" w:rsidR="002449C2" w:rsidRDefault="00123961">
            <w:pPr>
              <w:widowControl w:val="0"/>
              <w:tabs>
                <w:tab w:val="left" w:pos="142"/>
                <w:tab w:val="left" w:pos="360"/>
              </w:tabs>
              <w:spacing w:after="0" w:line="240" w:lineRule="auto"/>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(на конец года) (млн руб.)</w:t>
            </w:r>
          </w:p>
          <w:p w14:paraId="6F1A129C" w14:textId="77777777" w:rsidR="002449C2" w:rsidRDefault="002449C2">
            <w:pPr>
              <w:widowControl w:val="0"/>
              <w:tabs>
                <w:tab w:val="left" w:pos="142"/>
                <w:tab w:val="left" w:pos="360"/>
              </w:tabs>
              <w:spacing w:after="0" w:line="240" w:lineRule="auto"/>
              <w:jc w:val="both"/>
              <w:rPr>
                <w:rFonts w:ascii="Times New Roman" w:eastAsia="Times New Roman" w:hAnsi="Times New Roman"/>
                <w:b/>
                <w:bCs/>
                <w:sz w:val="24"/>
                <w:szCs w:val="24"/>
                <w:lang w:eastAsia="ru-RU"/>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5648E16F" w14:textId="77777777" w:rsidR="002449C2" w:rsidRDefault="00123961">
            <w:pPr>
              <w:widowControl w:val="0"/>
              <w:tabs>
                <w:tab w:val="left" w:pos="142"/>
                <w:tab w:val="left" w:pos="360"/>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10 099,3</w:t>
            </w:r>
          </w:p>
        </w:tc>
        <w:tc>
          <w:tcPr>
            <w:tcW w:w="1896" w:type="dxa"/>
            <w:tcBorders>
              <w:top w:val="single" w:sz="4" w:space="0" w:color="000000"/>
              <w:left w:val="single" w:sz="4" w:space="0" w:color="000000"/>
              <w:bottom w:val="single" w:sz="4" w:space="0" w:color="000000"/>
              <w:right w:val="single" w:sz="4" w:space="0" w:color="000000"/>
            </w:tcBorders>
            <w:vAlign w:val="center"/>
          </w:tcPr>
          <w:p w14:paraId="44FD356B" w14:textId="77777777" w:rsidR="002449C2" w:rsidRDefault="00123961">
            <w:pPr>
              <w:widowControl w:val="0"/>
              <w:tabs>
                <w:tab w:val="left" w:pos="142"/>
                <w:tab w:val="left" w:pos="360"/>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8 863,4</w:t>
            </w:r>
          </w:p>
        </w:tc>
        <w:tc>
          <w:tcPr>
            <w:tcW w:w="1538" w:type="dxa"/>
            <w:tcBorders>
              <w:top w:val="single" w:sz="4" w:space="0" w:color="000000"/>
              <w:left w:val="single" w:sz="4" w:space="0" w:color="000000"/>
              <w:bottom w:val="single" w:sz="4" w:space="0" w:color="000000"/>
              <w:right w:val="single" w:sz="4" w:space="0" w:color="000000"/>
            </w:tcBorders>
            <w:vAlign w:val="center"/>
          </w:tcPr>
          <w:p w14:paraId="40F71865" w14:textId="77777777" w:rsidR="002449C2" w:rsidRDefault="00123961">
            <w:pPr>
              <w:tabs>
                <w:tab w:val="left" w:pos="0"/>
                <w:tab w:val="left" w:pos="142"/>
              </w:tabs>
              <w:jc w:val="center"/>
              <w:rPr>
                <w:rFonts w:ascii="Times New Roman" w:eastAsia="Arial" w:hAnsi="Times New Roman"/>
                <w:sz w:val="24"/>
                <w:szCs w:val="24"/>
                <w:lang w:eastAsia="en-US"/>
              </w:rPr>
            </w:pPr>
            <w:r>
              <w:rPr>
                <w:rFonts w:ascii="Times New Roman" w:eastAsia="Times New Roman" w:hAnsi="Times New Roman"/>
                <w:sz w:val="24"/>
                <w:szCs w:val="24"/>
                <w:lang w:eastAsia="en-US"/>
              </w:rPr>
              <w:t xml:space="preserve"> - 12,24</w:t>
            </w:r>
          </w:p>
        </w:tc>
      </w:tr>
      <w:tr w:rsidR="002449C2" w14:paraId="1D117BAA" w14:textId="77777777">
        <w:tc>
          <w:tcPr>
            <w:tcW w:w="4252" w:type="dxa"/>
            <w:tcBorders>
              <w:top w:val="single" w:sz="4" w:space="0" w:color="000000"/>
              <w:left w:val="single" w:sz="4" w:space="0" w:color="000000"/>
              <w:bottom w:val="single" w:sz="4" w:space="0" w:color="000000"/>
              <w:right w:val="single" w:sz="4" w:space="0" w:color="000000"/>
            </w:tcBorders>
            <w:shd w:val="clear" w:color="FFFFFF" w:fill="DEEAF6"/>
          </w:tcPr>
          <w:p w14:paraId="747E7F47" w14:textId="77777777" w:rsidR="002449C2" w:rsidRDefault="002449C2">
            <w:pPr>
              <w:widowControl w:val="0"/>
              <w:tabs>
                <w:tab w:val="left" w:pos="142"/>
                <w:tab w:val="left" w:pos="360"/>
              </w:tabs>
              <w:spacing w:after="0" w:line="240" w:lineRule="auto"/>
              <w:jc w:val="both"/>
              <w:rPr>
                <w:rFonts w:ascii="Times New Roman" w:eastAsia="Times New Roman" w:hAnsi="Times New Roman"/>
                <w:b/>
                <w:bCs/>
                <w:sz w:val="24"/>
                <w:szCs w:val="24"/>
                <w:lang w:eastAsia="ru-RU"/>
              </w:rPr>
            </w:pPr>
          </w:p>
          <w:p w14:paraId="33E5CF8A" w14:textId="77777777" w:rsidR="002449C2" w:rsidRDefault="00123961">
            <w:pPr>
              <w:widowControl w:val="0"/>
              <w:tabs>
                <w:tab w:val="left" w:pos="142"/>
                <w:tab w:val="left" w:pos="360"/>
              </w:tabs>
              <w:spacing w:after="0" w:line="240" w:lineRule="auto"/>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Минимальная цена</w:t>
            </w:r>
          </w:p>
          <w:p w14:paraId="1257A7A5" w14:textId="77777777" w:rsidR="002449C2" w:rsidRDefault="00123961">
            <w:pPr>
              <w:widowControl w:val="0"/>
              <w:tabs>
                <w:tab w:val="left" w:pos="142"/>
                <w:tab w:val="left" w:pos="360"/>
              </w:tabs>
              <w:spacing w:after="0" w:line="240" w:lineRule="auto"/>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(руб.)</w:t>
            </w:r>
          </w:p>
          <w:p w14:paraId="47C7157F" w14:textId="77777777" w:rsidR="002449C2" w:rsidRDefault="002449C2">
            <w:pPr>
              <w:widowControl w:val="0"/>
              <w:tabs>
                <w:tab w:val="left" w:pos="142"/>
                <w:tab w:val="left" w:pos="360"/>
              </w:tabs>
              <w:spacing w:after="0" w:line="240" w:lineRule="auto"/>
              <w:jc w:val="both"/>
              <w:rPr>
                <w:rFonts w:ascii="Times New Roman" w:eastAsia="Times New Roman" w:hAnsi="Times New Roman"/>
                <w:b/>
                <w:bCs/>
                <w:sz w:val="24"/>
                <w:szCs w:val="24"/>
                <w:lang w:eastAsia="ru-RU"/>
              </w:rPr>
            </w:pPr>
          </w:p>
        </w:tc>
        <w:tc>
          <w:tcPr>
            <w:tcW w:w="2127" w:type="dxa"/>
            <w:tcBorders>
              <w:top w:val="single" w:sz="4" w:space="0" w:color="000000"/>
              <w:left w:val="single" w:sz="4" w:space="0" w:color="000000"/>
              <w:bottom w:val="single" w:sz="4" w:space="0" w:color="000000"/>
              <w:right w:val="single" w:sz="4" w:space="0" w:color="000000"/>
            </w:tcBorders>
            <w:shd w:val="clear" w:color="FFFFFF" w:fill="DEEAF6"/>
            <w:vAlign w:val="center"/>
          </w:tcPr>
          <w:p w14:paraId="3B907796" w14:textId="77777777" w:rsidR="002449C2" w:rsidRDefault="00123961">
            <w:pPr>
              <w:widowControl w:val="0"/>
              <w:tabs>
                <w:tab w:val="left" w:pos="142"/>
                <w:tab w:val="left" w:pos="360"/>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0,03225</w:t>
            </w:r>
          </w:p>
        </w:tc>
        <w:tc>
          <w:tcPr>
            <w:tcW w:w="1896" w:type="dxa"/>
            <w:tcBorders>
              <w:top w:val="single" w:sz="4" w:space="0" w:color="000000"/>
              <w:left w:val="single" w:sz="4" w:space="0" w:color="000000"/>
              <w:bottom w:val="single" w:sz="4" w:space="0" w:color="000000"/>
              <w:right w:val="single" w:sz="4" w:space="0" w:color="000000"/>
            </w:tcBorders>
            <w:shd w:val="clear" w:color="FFFFFF" w:fill="DEEAF6"/>
            <w:vAlign w:val="center"/>
          </w:tcPr>
          <w:p w14:paraId="30489627" w14:textId="77777777" w:rsidR="002449C2" w:rsidRDefault="00123961">
            <w:pPr>
              <w:widowControl w:val="0"/>
              <w:tabs>
                <w:tab w:val="left" w:pos="142"/>
                <w:tab w:val="left" w:pos="360"/>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0,0418</w:t>
            </w:r>
          </w:p>
        </w:tc>
        <w:tc>
          <w:tcPr>
            <w:tcW w:w="1538" w:type="dxa"/>
            <w:tcBorders>
              <w:top w:val="single" w:sz="4" w:space="0" w:color="000000"/>
              <w:left w:val="single" w:sz="4" w:space="0" w:color="000000"/>
              <w:bottom w:val="single" w:sz="4" w:space="0" w:color="000000"/>
              <w:right w:val="single" w:sz="4" w:space="0" w:color="000000"/>
            </w:tcBorders>
            <w:shd w:val="clear" w:color="FFFFFF" w:fill="DEEAF6"/>
            <w:vAlign w:val="center"/>
          </w:tcPr>
          <w:p w14:paraId="6BB515C8" w14:textId="77777777" w:rsidR="002449C2" w:rsidRDefault="00123961">
            <w:pPr>
              <w:tabs>
                <w:tab w:val="left" w:pos="0"/>
                <w:tab w:val="left" w:pos="142"/>
              </w:tabs>
              <w:jc w:val="center"/>
              <w:rPr>
                <w:rFonts w:ascii="Times New Roman" w:eastAsia="Arial" w:hAnsi="Times New Roman"/>
                <w:sz w:val="24"/>
                <w:szCs w:val="24"/>
                <w:lang w:eastAsia="en-US"/>
              </w:rPr>
            </w:pPr>
            <w:r>
              <w:rPr>
                <w:rFonts w:ascii="Times New Roman" w:eastAsia="Times New Roman" w:hAnsi="Times New Roman"/>
                <w:sz w:val="24"/>
                <w:szCs w:val="24"/>
                <w:lang w:eastAsia="en-US"/>
              </w:rPr>
              <w:t>29,61</w:t>
            </w:r>
          </w:p>
        </w:tc>
      </w:tr>
      <w:tr w:rsidR="002449C2" w14:paraId="572C6742" w14:textId="77777777">
        <w:tc>
          <w:tcPr>
            <w:tcW w:w="4252" w:type="dxa"/>
            <w:tcBorders>
              <w:top w:val="single" w:sz="4" w:space="0" w:color="000000"/>
              <w:left w:val="single" w:sz="4" w:space="0" w:color="000000"/>
              <w:bottom w:val="single" w:sz="4" w:space="0" w:color="000000"/>
              <w:right w:val="single" w:sz="4" w:space="0" w:color="000000"/>
            </w:tcBorders>
          </w:tcPr>
          <w:p w14:paraId="42C1F2B6" w14:textId="77777777" w:rsidR="002449C2" w:rsidRDefault="002449C2">
            <w:pPr>
              <w:widowControl w:val="0"/>
              <w:tabs>
                <w:tab w:val="left" w:pos="142"/>
                <w:tab w:val="left" w:pos="360"/>
              </w:tabs>
              <w:spacing w:after="0" w:line="240" w:lineRule="auto"/>
              <w:jc w:val="both"/>
              <w:rPr>
                <w:rFonts w:ascii="Times New Roman" w:eastAsia="Times New Roman" w:hAnsi="Times New Roman"/>
                <w:b/>
                <w:bCs/>
                <w:sz w:val="24"/>
                <w:szCs w:val="24"/>
                <w:lang w:eastAsia="ru-RU"/>
              </w:rPr>
            </w:pPr>
          </w:p>
          <w:p w14:paraId="258914AC" w14:textId="77777777" w:rsidR="002449C2" w:rsidRDefault="00123961">
            <w:pPr>
              <w:widowControl w:val="0"/>
              <w:tabs>
                <w:tab w:val="left" w:pos="142"/>
                <w:tab w:val="left" w:pos="360"/>
              </w:tabs>
              <w:spacing w:after="0" w:line="240" w:lineRule="auto"/>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Максимальная цена</w:t>
            </w:r>
          </w:p>
          <w:p w14:paraId="16EADB2F" w14:textId="77777777" w:rsidR="002449C2" w:rsidRDefault="00123961">
            <w:pPr>
              <w:widowControl w:val="0"/>
              <w:tabs>
                <w:tab w:val="left" w:pos="142"/>
                <w:tab w:val="left" w:pos="360"/>
              </w:tabs>
              <w:spacing w:after="0" w:line="240" w:lineRule="auto"/>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(руб.)</w:t>
            </w:r>
          </w:p>
          <w:p w14:paraId="4AE7659A" w14:textId="77777777" w:rsidR="002449C2" w:rsidRDefault="002449C2">
            <w:pPr>
              <w:widowControl w:val="0"/>
              <w:tabs>
                <w:tab w:val="left" w:pos="142"/>
                <w:tab w:val="left" w:pos="360"/>
              </w:tabs>
              <w:spacing w:after="0" w:line="240" w:lineRule="auto"/>
              <w:jc w:val="both"/>
              <w:rPr>
                <w:rFonts w:ascii="Times New Roman" w:eastAsia="Times New Roman" w:hAnsi="Times New Roman"/>
                <w:b/>
                <w:bCs/>
                <w:sz w:val="24"/>
                <w:szCs w:val="24"/>
                <w:lang w:eastAsia="ru-RU"/>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2A31A262" w14:textId="77777777" w:rsidR="002449C2" w:rsidRDefault="00123961">
            <w:pPr>
              <w:widowControl w:val="0"/>
              <w:tabs>
                <w:tab w:val="left" w:pos="142"/>
                <w:tab w:val="left" w:pos="360"/>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0,1275</w:t>
            </w:r>
          </w:p>
        </w:tc>
        <w:tc>
          <w:tcPr>
            <w:tcW w:w="1896" w:type="dxa"/>
            <w:tcBorders>
              <w:top w:val="single" w:sz="4" w:space="0" w:color="000000"/>
              <w:left w:val="single" w:sz="4" w:space="0" w:color="000000"/>
              <w:bottom w:val="single" w:sz="4" w:space="0" w:color="000000"/>
              <w:right w:val="single" w:sz="4" w:space="0" w:color="000000"/>
            </w:tcBorders>
            <w:vAlign w:val="center"/>
          </w:tcPr>
          <w:p w14:paraId="4D2F507C" w14:textId="77777777" w:rsidR="002449C2" w:rsidRDefault="00123961">
            <w:pPr>
              <w:widowControl w:val="0"/>
              <w:tabs>
                <w:tab w:val="left" w:pos="142"/>
                <w:tab w:val="left" w:pos="360"/>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0,1226</w:t>
            </w:r>
          </w:p>
        </w:tc>
        <w:tc>
          <w:tcPr>
            <w:tcW w:w="1538" w:type="dxa"/>
            <w:tcBorders>
              <w:top w:val="single" w:sz="4" w:space="0" w:color="000000"/>
              <w:left w:val="single" w:sz="4" w:space="0" w:color="000000"/>
              <w:bottom w:val="single" w:sz="4" w:space="0" w:color="000000"/>
              <w:right w:val="single" w:sz="4" w:space="0" w:color="000000"/>
            </w:tcBorders>
            <w:vAlign w:val="center"/>
          </w:tcPr>
          <w:p w14:paraId="2B2F7872" w14:textId="77777777" w:rsidR="002449C2" w:rsidRDefault="00123961">
            <w:pPr>
              <w:tabs>
                <w:tab w:val="left" w:pos="0"/>
                <w:tab w:val="left" w:pos="142"/>
              </w:tabs>
              <w:jc w:val="center"/>
              <w:rPr>
                <w:rFonts w:ascii="Times New Roman" w:eastAsia="Arial" w:hAnsi="Times New Roman"/>
                <w:sz w:val="24"/>
                <w:szCs w:val="24"/>
                <w:lang w:eastAsia="en-US"/>
              </w:rPr>
            </w:pPr>
            <w:r>
              <w:rPr>
                <w:rFonts w:ascii="Times New Roman" w:eastAsia="Times New Roman" w:hAnsi="Times New Roman"/>
                <w:sz w:val="24"/>
                <w:szCs w:val="24"/>
                <w:lang w:eastAsia="en-US"/>
              </w:rPr>
              <w:t xml:space="preserve">- </w:t>
            </w:r>
            <w:r>
              <w:rPr>
                <w:rFonts w:ascii="Times New Roman" w:eastAsia="Arial" w:hAnsi="Times New Roman"/>
                <w:sz w:val="24"/>
                <w:szCs w:val="24"/>
                <w:lang w:eastAsia="en-US"/>
              </w:rPr>
              <w:t>3,84</w:t>
            </w:r>
          </w:p>
        </w:tc>
      </w:tr>
      <w:tr w:rsidR="002449C2" w14:paraId="14AEE6BA" w14:textId="77777777">
        <w:tc>
          <w:tcPr>
            <w:tcW w:w="4252" w:type="dxa"/>
            <w:tcBorders>
              <w:top w:val="single" w:sz="4" w:space="0" w:color="000000"/>
              <w:left w:val="single" w:sz="4" w:space="0" w:color="000000"/>
              <w:bottom w:val="single" w:sz="4" w:space="0" w:color="000000"/>
              <w:right w:val="single" w:sz="4" w:space="0" w:color="000000"/>
            </w:tcBorders>
            <w:shd w:val="clear" w:color="FFFFFF" w:fill="DEEAF6"/>
          </w:tcPr>
          <w:p w14:paraId="5D823181" w14:textId="77777777" w:rsidR="002449C2" w:rsidRDefault="002449C2">
            <w:pPr>
              <w:widowControl w:val="0"/>
              <w:tabs>
                <w:tab w:val="left" w:pos="142"/>
                <w:tab w:val="left" w:pos="360"/>
              </w:tabs>
              <w:spacing w:after="0" w:line="240" w:lineRule="auto"/>
              <w:jc w:val="both"/>
              <w:rPr>
                <w:rFonts w:ascii="Times New Roman" w:eastAsia="Times New Roman" w:hAnsi="Times New Roman"/>
                <w:b/>
                <w:bCs/>
                <w:sz w:val="24"/>
                <w:szCs w:val="24"/>
                <w:lang w:eastAsia="ru-RU"/>
              </w:rPr>
            </w:pPr>
          </w:p>
          <w:p w14:paraId="66B21C98" w14:textId="77777777" w:rsidR="002449C2" w:rsidRDefault="00123961">
            <w:pPr>
              <w:widowControl w:val="0"/>
              <w:tabs>
                <w:tab w:val="left" w:pos="142"/>
                <w:tab w:val="left" w:pos="360"/>
              </w:tabs>
              <w:spacing w:after="0" w:line="240" w:lineRule="auto"/>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Количество сделок (шт.)</w:t>
            </w:r>
          </w:p>
          <w:p w14:paraId="59FFE14A" w14:textId="77777777" w:rsidR="002449C2" w:rsidRDefault="002449C2">
            <w:pPr>
              <w:widowControl w:val="0"/>
              <w:tabs>
                <w:tab w:val="left" w:pos="142"/>
                <w:tab w:val="left" w:pos="360"/>
              </w:tabs>
              <w:spacing w:after="0" w:line="240" w:lineRule="auto"/>
              <w:jc w:val="both"/>
              <w:rPr>
                <w:rFonts w:ascii="Times New Roman" w:eastAsia="Times New Roman" w:hAnsi="Times New Roman"/>
                <w:b/>
                <w:bCs/>
                <w:sz w:val="24"/>
                <w:szCs w:val="24"/>
                <w:lang w:eastAsia="ru-RU"/>
              </w:rPr>
            </w:pPr>
          </w:p>
        </w:tc>
        <w:tc>
          <w:tcPr>
            <w:tcW w:w="2127" w:type="dxa"/>
            <w:tcBorders>
              <w:top w:val="single" w:sz="4" w:space="0" w:color="000000"/>
              <w:left w:val="single" w:sz="4" w:space="0" w:color="000000"/>
              <w:bottom w:val="single" w:sz="4" w:space="0" w:color="000000"/>
              <w:right w:val="single" w:sz="4" w:space="0" w:color="000000"/>
            </w:tcBorders>
            <w:shd w:val="clear" w:color="FFFFFF" w:fill="DEEAF6"/>
            <w:vAlign w:val="center"/>
          </w:tcPr>
          <w:p w14:paraId="4872A734" w14:textId="77777777" w:rsidR="002449C2" w:rsidRDefault="00123961">
            <w:pPr>
              <w:widowControl w:val="0"/>
              <w:tabs>
                <w:tab w:val="left" w:pos="142"/>
                <w:tab w:val="left" w:pos="360"/>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714 131</w:t>
            </w:r>
          </w:p>
        </w:tc>
        <w:tc>
          <w:tcPr>
            <w:tcW w:w="1896" w:type="dxa"/>
            <w:tcBorders>
              <w:top w:val="single" w:sz="4" w:space="0" w:color="000000"/>
              <w:left w:val="single" w:sz="4" w:space="0" w:color="000000"/>
              <w:bottom w:val="single" w:sz="4" w:space="0" w:color="000000"/>
              <w:right w:val="single" w:sz="4" w:space="0" w:color="000000"/>
            </w:tcBorders>
            <w:shd w:val="clear" w:color="FFFFFF" w:fill="DEEAF6"/>
            <w:vAlign w:val="center"/>
          </w:tcPr>
          <w:p w14:paraId="71854F21" w14:textId="77777777" w:rsidR="002449C2" w:rsidRDefault="00123961">
            <w:pPr>
              <w:widowControl w:val="0"/>
              <w:tabs>
                <w:tab w:val="left" w:pos="142"/>
                <w:tab w:val="left" w:pos="360"/>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523 658</w:t>
            </w:r>
          </w:p>
        </w:tc>
        <w:tc>
          <w:tcPr>
            <w:tcW w:w="1538" w:type="dxa"/>
            <w:tcBorders>
              <w:top w:val="single" w:sz="4" w:space="0" w:color="000000"/>
              <w:left w:val="single" w:sz="4" w:space="0" w:color="000000"/>
              <w:bottom w:val="single" w:sz="4" w:space="0" w:color="000000"/>
              <w:right w:val="single" w:sz="4" w:space="0" w:color="000000"/>
            </w:tcBorders>
            <w:shd w:val="clear" w:color="FFFFFF" w:fill="DEEAF6"/>
            <w:vAlign w:val="center"/>
          </w:tcPr>
          <w:p w14:paraId="22398BA4" w14:textId="77777777" w:rsidR="002449C2" w:rsidRDefault="00123961">
            <w:pPr>
              <w:tabs>
                <w:tab w:val="left" w:pos="0"/>
                <w:tab w:val="left" w:pos="142"/>
              </w:tabs>
              <w:jc w:val="center"/>
              <w:rPr>
                <w:rFonts w:ascii="Times New Roman" w:eastAsia="Arial" w:hAnsi="Times New Roman"/>
                <w:sz w:val="24"/>
                <w:szCs w:val="24"/>
                <w:lang w:eastAsia="en-US"/>
              </w:rPr>
            </w:pPr>
            <w:r>
              <w:rPr>
                <w:rFonts w:ascii="Times New Roman" w:eastAsia="Times New Roman" w:hAnsi="Times New Roman"/>
                <w:sz w:val="24"/>
                <w:szCs w:val="24"/>
                <w:lang w:eastAsia="en-US"/>
              </w:rPr>
              <w:t>- 26,67</w:t>
            </w:r>
          </w:p>
        </w:tc>
      </w:tr>
      <w:tr w:rsidR="002449C2" w14:paraId="17174108" w14:textId="77777777">
        <w:tc>
          <w:tcPr>
            <w:tcW w:w="4252" w:type="dxa"/>
            <w:tcBorders>
              <w:top w:val="single" w:sz="4" w:space="0" w:color="000000"/>
              <w:left w:val="single" w:sz="4" w:space="0" w:color="000000"/>
              <w:bottom w:val="single" w:sz="4" w:space="0" w:color="000000"/>
              <w:right w:val="single" w:sz="4" w:space="0" w:color="000000"/>
            </w:tcBorders>
          </w:tcPr>
          <w:p w14:paraId="14D62060" w14:textId="77777777" w:rsidR="002449C2" w:rsidRDefault="002449C2">
            <w:pPr>
              <w:widowControl w:val="0"/>
              <w:tabs>
                <w:tab w:val="left" w:pos="142"/>
                <w:tab w:val="left" w:pos="360"/>
              </w:tabs>
              <w:spacing w:after="0" w:line="240" w:lineRule="auto"/>
              <w:jc w:val="both"/>
              <w:rPr>
                <w:rFonts w:ascii="Times New Roman" w:eastAsia="Times New Roman" w:hAnsi="Times New Roman"/>
                <w:b/>
                <w:bCs/>
                <w:sz w:val="24"/>
                <w:szCs w:val="24"/>
                <w:lang w:eastAsia="ru-RU"/>
              </w:rPr>
            </w:pPr>
          </w:p>
          <w:p w14:paraId="75A4BC31" w14:textId="77777777" w:rsidR="002449C2" w:rsidRDefault="00123961">
            <w:pPr>
              <w:widowControl w:val="0"/>
              <w:tabs>
                <w:tab w:val="left" w:pos="142"/>
                <w:tab w:val="left" w:pos="360"/>
              </w:tabs>
              <w:spacing w:after="0" w:line="240" w:lineRule="auto"/>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Объем (руб.)</w:t>
            </w:r>
          </w:p>
          <w:p w14:paraId="4BD4A248" w14:textId="77777777" w:rsidR="002449C2" w:rsidRDefault="002449C2">
            <w:pPr>
              <w:widowControl w:val="0"/>
              <w:tabs>
                <w:tab w:val="left" w:pos="142"/>
                <w:tab w:val="left" w:pos="360"/>
              </w:tabs>
              <w:spacing w:after="0" w:line="240" w:lineRule="auto"/>
              <w:jc w:val="both"/>
              <w:rPr>
                <w:rFonts w:ascii="Times New Roman" w:eastAsia="Times New Roman" w:hAnsi="Times New Roman"/>
                <w:b/>
                <w:bCs/>
                <w:sz w:val="24"/>
                <w:szCs w:val="24"/>
                <w:lang w:eastAsia="ru-RU"/>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37626F03" w14:textId="77777777" w:rsidR="002449C2" w:rsidRDefault="00123961">
            <w:pPr>
              <w:widowControl w:val="0"/>
              <w:tabs>
                <w:tab w:val="left" w:pos="142"/>
                <w:tab w:val="left" w:pos="360"/>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8 534 526 786</w:t>
            </w:r>
          </w:p>
        </w:tc>
        <w:tc>
          <w:tcPr>
            <w:tcW w:w="1896" w:type="dxa"/>
            <w:tcBorders>
              <w:top w:val="single" w:sz="4" w:space="0" w:color="000000"/>
              <w:left w:val="single" w:sz="4" w:space="0" w:color="000000"/>
              <w:bottom w:val="single" w:sz="4" w:space="0" w:color="000000"/>
              <w:right w:val="single" w:sz="4" w:space="0" w:color="000000"/>
            </w:tcBorders>
            <w:vAlign w:val="center"/>
          </w:tcPr>
          <w:p w14:paraId="56498B2C" w14:textId="77777777" w:rsidR="002449C2" w:rsidRDefault="00123961">
            <w:pPr>
              <w:widowControl w:val="0"/>
              <w:tabs>
                <w:tab w:val="left" w:pos="142"/>
                <w:tab w:val="left" w:pos="360"/>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7 828 148 246</w:t>
            </w:r>
          </w:p>
        </w:tc>
        <w:tc>
          <w:tcPr>
            <w:tcW w:w="1538" w:type="dxa"/>
            <w:tcBorders>
              <w:top w:val="single" w:sz="4" w:space="0" w:color="000000"/>
              <w:left w:val="single" w:sz="4" w:space="0" w:color="000000"/>
              <w:bottom w:val="single" w:sz="4" w:space="0" w:color="000000"/>
              <w:right w:val="single" w:sz="4" w:space="0" w:color="000000"/>
            </w:tcBorders>
            <w:vAlign w:val="center"/>
          </w:tcPr>
          <w:p w14:paraId="5E6D02F4" w14:textId="77777777" w:rsidR="002449C2" w:rsidRDefault="00123961">
            <w:pPr>
              <w:tabs>
                <w:tab w:val="left" w:pos="0"/>
                <w:tab w:val="left" w:pos="142"/>
              </w:tabs>
              <w:jc w:val="center"/>
              <w:rPr>
                <w:rFonts w:ascii="Times New Roman" w:eastAsia="Arial" w:hAnsi="Times New Roman"/>
                <w:sz w:val="24"/>
                <w:szCs w:val="24"/>
                <w:lang w:eastAsia="en-US"/>
              </w:rPr>
            </w:pPr>
            <w:r>
              <w:rPr>
                <w:rFonts w:ascii="Times New Roman" w:eastAsia="Times New Roman" w:hAnsi="Times New Roman"/>
                <w:sz w:val="24"/>
                <w:szCs w:val="24"/>
                <w:lang w:eastAsia="en-US"/>
              </w:rPr>
              <w:t>- 8,28</w:t>
            </w:r>
          </w:p>
        </w:tc>
      </w:tr>
    </w:tbl>
    <w:p w14:paraId="72268314" w14:textId="77777777" w:rsidR="002449C2" w:rsidRDefault="002449C2">
      <w:pPr>
        <w:widowControl w:val="0"/>
        <w:shd w:val="clear" w:color="auto" w:fill="FFFFFF"/>
        <w:tabs>
          <w:tab w:val="left" w:pos="142"/>
          <w:tab w:val="left" w:pos="360"/>
        </w:tabs>
        <w:spacing w:after="0" w:line="240" w:lineRule="auto"/>
        <w:ind w:firstLine="567"/>
        <w:jc w:val="both"/>
        <w:rPr>
          <w:rFonts w:ascii="Times New Roman" w:eastAsia="Times New Roman" w:hAnsi="Times New Roman"/>
          <w:sz w:val="26"/>
          <w:szCs w:val="26"/>
          <w:lang w:eastAsia="ru-RU"/>
        </w:rPr>
      </w:pPr>
    </w:p>
    <w:p w14:paraId="4A7F98CA" w14:textId="77777777" w:rsidR="002449C2" w:rsidRDefault="00123961">
      <w:pPr>
        <w:widowControl w:val="0"/>
        <w:shd w:val="clear" w:color="auto" w:fill="FFFFFF"/>
        <w:tabs>
          <w:tab w:val="left" w:pos="142"/>
          <w:tab w:val="left" w:pos="360"/>
        </w:tabs>
        <w:spacing w:after="0" w:line="240" w:lineRule="auto"/>
        <w:ind w:firstLine="567"/>
        <w:jc w:val="center"/>
        <w:rPr>
          <w:rFonts w:ascii="Times New Roman" w:eastAsia="Arial" w:hAnsi="Times New Roman"/>
          <w:b/>
          <w:sz w:val="24"/>
          <w:szCs w:val="24"/>
          <w:lang w:eastAsia="en-US"/>
        </w:rPr>
      </w:pPr>
      <w:r>
        <w:rPr>
          <w:rFonts w:ascii="Times New Roman" w:eastAsia="Arial" w:hAnsi="Times New Roman"/>
          <w:b/>
          <w:sz w:val="24"/>
          <w:szCs w:val="24"/>
          <w:lang w:eastAsia="en-US"/>
        </w:rPr>
        <w:t>Динамика сделок с акциями в 2024 году</w:t>
      </w:r>
    </w:p>
    <w:p w14:paraId="1C156769" w14:textId="77777777" w:rsidR="002449C2" w:rsidRDefault="00123961">
      <w:pPr>
        <w:widowControl w:val="0"/>
        <w:shd w:val="clear" w:color="auto" w:fill="FFFFFF"/>
        <w:tabs>
          <w:tab w:val="left" w:pos="142"/>
          <w:tab w:val="left" w:pos="360"/>
        </w:tabs>
        <w:spacing w:after="0" w:line="240" w:lineRule="auto"/>
        <w:ind w:firstLine="567"/>
        <w:jc w:val="center"/>
        <w:rPr>
          <w:rFonts w:ascii="Times New Roman" w:eastAsia="Arial" w:hAnsi="Times New Roman"/>
          <w:b/>
          <w:sz w:val="24"/>
          <w:szCs w:val="24"/>
          <w:lang w:eastAsia="en-US"/>
        </w:rPr>
      </w:pPr>
      <w:r>
        <w:rPr>
          <w:rFonts w:ascii="Times New Roman" w:eastAsia="Arial" w:hAnsi="Times New Roman"/>
          <w:b/>
          <w:sz w:val="24"/>
          <w:szCs w:val="24"/>
          <w:lang w:eastAsia="en-US"/>
        </w:rPr>
        <w:t>(по итогам торгов на ПАО Московская биржа)</w:t>
      </w:r>
    </w:p>
    <w:p w14:paraId="7C2CDB71" w14:textId="77777777" w:rsidR="002449C2" w:rsidRDefault="002449C2">
      <w:pPr>
        <w:widowControl w:val="0"/>
        <w:shd w:val="clear" w:color="auto" w:fill="FFFFFF"/>
        <w:tabs>
          <w:tab w:val="left" w:pos="142"/>
          <w:tab w:val="left" w:pos="360"/>
        </w:tabs>
        <w:spacing w:after="0" w:line="240" w:lineRule="auto"/>
        <w:ind w:firstLine="567"/>
        <w:jc w:val="center"/>
        <w:rPr>
          <w:rFonts w:ascii="Times New Roman" w:eastAsia="Arial" w:hAnsi="Times New Roman"/>
          <w:b/>
          <w:sz w:val="24"/>
          <w:szCs w:val="24"/>
          <w:lang w:eastAsia="en-US"/>
        </w:rPr>
      </w:pPr>
    </w:p>
    <w:p w14:paraId="5FEB7602" w14:textId="77777777" w:rsidR="002449C2" w:rsidRDefault="00123961">
      <w:pPr>
        <w:widowControl w:val="0"/>
        <w:shd w:val="clear" w:color="auto" w:fill="FFFFFF"/>
        <w:tabs>
          <w:tab w:val="left" w:pos="142"/>
          <w:tab w:val="left" w:pos="360"/>
        </w:tabs>
        <w:spacing w:after="0" w:line="240" w:lineRule="auto"/>
        <w:ind w:firstLine="567"/>
        <w:jc w:val="right"/>
        <w:rPr>
          <w:rFonts w:ascii="Times New Roman" w:eastAsia="Arial" w:hAnsi="Times New Roman"/>
          <w:b/>
          <w:sz w:val="24"/>
          <w:szCs w:val="24"/>
          <w:lang w:eastAsia="en-US"/>
        </w:rPr>
      </w:pPr>
      <w:r>
        <w:rPr>
          <w:rFonts w:ascii="Times New Roman" w:eastAsia="Arial" w:hAnsi="Times New Roman"/>
          <w:b/>
          <w:i/>
          <w:sz w:val="24"/>
          <w:szCs w:val="24"/>
          <w:lang w:eastAsia="en-US"/>
        </w:rPr>
        <w:t>Количество сделок, шт.</w:t>
      </w:r>
    </w:p>
    <w:p w14:paraId="671B2395" w14:textId="77777777" w:rsidR="002449C2" w:rsidRDefault="002449C2">
      <w:pPr>
        <w:widowControl w:val="0"/>
        <w:shd w:val="clear" w:color="auto" w:fill="FFFFFF"/>
        <w:tabs>
          <w:tab w:val="left" w:pos="142"/>
          <w:tab w:val="left" w:pos="360"/>
        </w:tabs>
        <w:spacing w:after="0" w:line="240" w:lineRule="auto"/>
        <w:ind w:firstLine="567"/>
        <w:jc w:val="center"/>
        <w:rPr>
          <w:rFonts w:ascii="Arial" w:eastAsia="Arial" w:hAnsi="Arial"/>
          <w:lang w:eastAsia="en-US"/>
        </w:rPr>
      </w:pPr>
    </w:p>
    <w:p w14:paraId="17310ACF" w14:textId="77777777" w:rsidR="002449C2" w:rsidRDefault="00123961">
      <w:pPr>
        <w:widowControl w:val="0"/>
        <w:shd w:val="clear" w:color="auto" w:fill="FFFFFF"/>
        <w:tabs>
          <w:tab w:val="left" w:pos="142"/>
          <w:tab w:val="left" w:pos="360"/>
        </w:tabs>
        <w:spacing w:after="0" w:line="240" w:lineRule="auto"/>
        <w:jc w:val="center"/>
        <w:rPr>
          <w:rFonts w:ascii="Times New Roman" w:eastAsia="Arial" w:hAnsi="Times New Roman"/>
          <w:b/>
          <w:bCs/>
          <w:sz w:val="24"/>
          <w:szCs w:val="24"/>
          <w:lang w:eastAsia="en-US"/>
        </w:rPr>
      </w:pPr>
      <w:r>
        <w:rPr>
          <w:noProof/>
          <w:lang w:eastAsia="ru-RU"/>
        </w:rPr>
        <w:drawing>
          <wp:inline distT="0" distB="0" distL="0" distR="0" wp14:anchorId="5EB6F8DC" wp14:editId="2C75FC58">
            <wp:extent cx="6157595" cy="3291840"/>
            <wp:effectExtent l="0" t="0" r="0" b="0"/>
            <wp:docPr id="126" name="_x005F_x0000_i4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_x005F_x0000_i4505"/>
                    <pic:cNvPicPr>
                      <a:picLocks noChangeAspect="1" noChangeArrowheads="1"/>
                    </pic:cNvPicPr>
                  </pic:nvPicPr>
                  <pic:blipFill>
                    <a:blip r:embed="rId185"/>
                    <a:stretch>
                      <a:fillRect/>
                    </a:stretch>
                  </pic:blipFill>
                  <pic:spPr bwMode="auto">
                    <a:xfrm>
                      <a:off x="0" y="0"/>
                      <a:ext cx="6157595" cy="3291840"/>
                    </a:xfrm>
                    <a:prstGeom prst="rect">
                      <a:avLst/>
                    </a:prstGeom>
                    <a:noFill/>
                  </pic:spPr>
                </pic:pic>
              </a:graphicData>
            </a:graphic>
          </wp:inline>
        </w:drawing>
      </w:r>
    </w:p>
    <w:p w14:paraId="4F786E75" w14:textId="77777777" w:rsidR="002449C2" w:rsidRDefault="002449C2">
      <w:pPr>
        <w:widowControl w:val="0"/>
        <w:shd w:val="clear" w:color="auto" w:fill="FFFFFF"/>
        <w:tabs>
          <w:tab w:val="left" w:pos="142"/>
          <w:tab w:val="left" w:pos="360"/>
        </w:tabs>
        <w:spacing w:after="0" w:line="240" w:lineRule="auto"/>
        <w:ind w:firstLine="567"/>
        <w:jc w:val="center"/>
        <w:rPr>
          <w:rFonts w:ascii="Times New Roman" w:eastAsia="Arial" w:hAnsi="Times New Roman"/>
          <w:b/>
          <w:bCs/>
          <w:sz w:val="24"/>
          <w:szCs w:val="24"/>
          <w:lang w:eastAsia="en-US"/>
        </w:rPr>
      </w:pPr>
    </w:p>
    <w:p w14:paraId="5A324E60" w14:textId="77777777" w:rsidR="002449C2" w:rsidRDefault="002449C2">
      <w:pPr>
        <w:widowControl w:val="0"/>
        <w:shd w:val="clear" w:color="auto" w:fill="FFFFFF"/>
        <w:tabs>
          <w:tab w:val="left" w:pos="142"/>
          <w:tab w:val="left" w:pos="360"/>
        </w:tabs>
        <w:spacing w:after="0" w:line="240" w:lineRule="auto"/>
        <w:ind w:firstLine="567"/>
        <w:jc w:val="center"/>
        <w:rPr>
          <w:rFonts w:ascii="Times New Roman" w:eastAsia="Arial" w:hAnsi="Times New Roman"/>
          <w:b/>
          <w:bCs/>
          <w:sz w:val="24"/>
          <w:szCs w:val="24"/>
          <w:lang w:eastAsia="en-US"/>
        </w:rPr>
      </w:pPr>
    </w:p>
    <w:p w14:paraId="56F5AAD7" w14:textId="77777777" w:rsidR="002449C2" w:rsidRDefault="002449C2">
      <w:pPr>
        <w:widowControl w:val="0"/>
        <w:shd w:val="clear" w:color="auto" w:fill="FFFFFF"/>
        <w:tabs>
          <w:tab w:val="left" w:pos="142"/>
          <w:tab w:val="left" w:pos="360"/>
        </w:tabs>
        <w:spacing w:after="0" w:line="240" w:lineRule="auto"/>
        <w:ind w:firstLine="567"/>
        <w:jc w:val="center"/>
        <w:rPr>
          <w:rFonts w:ascii="Times New Roman" w:eastAsia="Arial" w:hAnsi="Times New Roman"/>
          <w:b/>
          <w:bCs/>
          <w:sz w:val="24"/>
          <w:szCs w:val="24"/>
          <w:lang w:eastAsia="en-US"/>
        </w:rPr>
      </w:pPr>
    </w:p>
    <w:p w14:paraId="29A7DE83" w14:textId="77777777" w:rsidR="002449C2" w:rsidRDefault="00123961">
      <w:pPr>
        <w:widowControl w:val="0"/>
        <w:shd w:val="clear" w:color="auto" w:fill="FFFFFF"/>
        <w:tabs>
          <w:tab w:val="left" w:pos="142"/>
          <w:tab w:val="left" w:pos="360"/>
        </w:tabs>
        <w:spacing w:after="0" w:line="240" w:lineRule="auto"/>
        <w:jc w:val="center"/>
        <w:rPr>
          <w:rFonts w:ascii="Times New Roman" w:eastAsia="Arial" w:hAnsi="Times New Roman"/>
          <w:b/>
          <w:bCs/>
          <w:sz w:val="24"/>
          <w:szCs w:val="24"/>
          <w:lang w:eastAsia="en-US"/>
        </w:rPr>
      </w:pPr>
      <w:r>
        <w:rPr>
          <w:noProof/>
          <w:lang w:eastAsia="ru-RU"/>
        </w:rPr>
        <w:drawing>
          <wp:inline distT="0" distB="0" distL="0" distR="0" wp14:anchorId="455E8F70" wp14:editId="57B1A2DD">
            <wp:extent cx="5932170" cy="4206875"/>
            <wp:effectExtent l="0" t="0" r="0" b="0"/>
            <wp:docPr id="127" name="_x005F_x0000_i4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_x005F_x0000_i4506"/>
                    <pic:cNvPicPr>
                      <a:picLocks noChangeAspect="1" noChangeArrowheads="1"/>
                    </pic:cNvPicPr>
                  </pic:nvPicPr>
                  <pic:blipFill>
                    <a:blip r:embed="rId186"/>
                    <a:stretch>
                      <a:fillRect/>
                    </a:stretch>
                  </pic:blipFill>
                  <pic:spPr bwMode="auto">
                    <a:xfrm>
                      <a:off x="0" y="0"/>
                      <a:ext cx="5932170" cy="4206875"/>
                    </a:xfrm>
                    <a:prstGeom prst="rect">
                      <a:avLst/>
                    </a:prstGeom>
                    <a:noFill/>
                  </pic:spPr>
                </pic:pic>
              </a:graphicData>
            </a:graphic>
          </wp:inline>
        </w:drawing>
      </w:r>
    </w:p>
    <w:p w14:paraId="28100A5A" w14:textId="77777777" w:rsidR="002449C2" w:rsidRDefault="002449C2">
      <w:pPr>
        <w:widowControl w:val="0"/>
        <w:shd w:val="clear" w:color="auto" w:fill="FFFFFF"/>
        <w:tabs>
          <w:tab w:val="left" w:pos="142"/>
          <w:tab w:val="left" w:pos="360"/>
        </w:tabs>
        <w:spacing w:after="0" w:line="240" w:lineRule="auto"/>
        <w:ind w:firstLine="567"/>
        <w:jc w:val="center"/>
        <w:rPr>
          <w:rFonts w:ascii="Times New Roman" w:eastAsia="Arial" w:hAnsi="Times New Roman"/>
          <w:b/>
          <w:bCs/>
          <w:sz w:val="24"/>
          <w:szCs w:val="24"/>
          <w:lang w:eastAsia="en-US"/>
        </w:rPr>
      </w:pPr>
    </w:p>
    <w:p w14:paraId="0A69F278" w14:textId="77777777" w:rsidR="002449C2" w:rsidRDefault="00123961">
      <w:pPr>
        <w:widowControl w:val="0"/>
        <w:shd w:val="clear" w:color="auto" w:fill="FFFFFF"/>
        <w:tabs>
          <w:tab w:val="left" w:pos="142"/>
          <w:tab w:val="left" w:pos="360"/>
        </w:tabs>
        <w:spacing w:after="0" w:line="240" w:lineRule="auto"/>
        <w:ind w:firstLine="567"/>
        <w:jc w:val="center"/>
        <w:rPr>
          <w:rFonts w:ascii="Times New Roman" w:eastAsia="Arial" w:hAnsi="Times New Roman"/>
          <w:b/>
          <w:bCs/>
          <w:sz w:val="24"/>
          <w:szCs w:val="24"/>
          <w:lang w:eastAsia="en-US"/>
        </w:rPr>
      </w:pPr>
      <w:r>
        <w:rPr>
          <w:rFonts w:ascii="Times New Roman" w:eastAsia="Arial" w:hAnsi="Times New Roman"/>
          <w:b/>
          <w:sz w:val="24"/>
          <w:szCs w:val="24"/>
          <w:lang w:eastAsia="en-US"/>
        </w:rPr>
        <w:t xml:space="preserve">Динамика капитализации ПАО «Россети Юг» </w:t>
      </w:r>
    </w:p>
    <w:p w14:paraId="1D879BEB" w14:textId="77777777" w:rsidR="002449C2" w:rsidRDefault="00123961">
      <w:pPr>
        <w:widowControl w:val="0"/>
        <w:shd w:val="clear" w:color="auto" w:fill="FFFFFF"/>
        <w:tabs>
          <w:tab w:val="left" w:pos="142"/>
          <w:tab w:val="left" w:pos="360"/>
        </w:tabs>
        <w:spacing w:after="0" w:line="240" w:lineRule="auto"/>
        <w:ind w:firstLine="567"/>
        <w:jc w:val="center"/>
        <w:rPr>
          <w:rFonts w:ascii="Times New Roman" w:eastAsia="Arial" w:hAnsi="Times New Roman"/>
          <w:b/>
          <w:sz w:val="24"/>
          <w:szCs w:val="24"/>
          <w:lang w:eastAsia="en-US"/>
        </w:rPr>
      </w:pPr>
      <w:r>
        <w:rPr>
          <w:rFonts w:ascii="Times New Roman" w:eastAsia="Arial" w:hAnsi="Times New Roman"/>
          <w:b/>
          <w:sz w:val="24"/>
          <w:szCs w:val="24"/>
          <w:lang w:eastAsia="en-US"/>
        </w:rPr>
        <w:t xml:space="preserve">(по итогам торгов на ПАО Московская биржа в 2020-2024 годы), </w:t>
      </w:r>
    </w:p>
    <w:p w14:paraId="7675544B" w14:textId="77777777" w:rsidR="002449C2" w:rsidRDefault="00123961">
      <w:pPr>
        <w:widowControl w:val="0"/>
        <w:shd w:val="clear" w:color="auto" w:fill="FFFFFF"/>
        <w:tabs>
          <w:tab w:val="left" w:pos="142"/>
          <w:tab w:val="left" w:pos="360"/>
        </w:tabs>
        <w:spacing w:after="0" w:line="240" w:lineRule="auto"/>
        <w:ind w:firstLine="567"/>
        <w:jc w:val="center"/>
        <w:rPr>
          <w:rFonts w:ascii="Times New Roman" w:eastAsia="Arial" w:hAnsi="Times New Roman"/>
          <w:b/>
          <w:bCs/>
          <w:sz w:val="24"/>
          <w:szCs w:val="24"/>
          <w:lang w:eastAsia="en-US"/>
        </w:rPr>
      </w:pPr>
      <w:r>
        <w:rPr>
          <w:rFonts w:ascii="Times New Roman" w:eastAsia="Arial" w:hAnsi="Times New Roman"/>
          <w:b/>
          <w:sz w:val="24"/>
          <w:szCs w:val="24"/>
          <w:lang w:eastAsia="en-US"/>
        </w:rPr>
        <w:t>тыс. руб</w:t>
      </w:r>
    </w:p>
    <w:p w14:paraId="0E2FBDDB" w14:textId="77777777" w:rsidR="002449C2" w:rsidRDefault="002449C2">
      <w:pPr>
        <w:widowControl w:val="0"/>
        <w:shd w:val="clear" w:color="auto" w:fill="FFFFFF"/>
        <w:tabs>
          <w:tab w:val="left" w:pos="142"/>
          <w:tab w:val="left" w:pos="360"/>
        </w:tabs>
        <w:spacing w:after="0" w:line="240" w:lineRule="auto"/>
        <w:ind w:firstLine="567"/>
        <w:jc w:val="center"/>
        <w:rPr>
          <w:rFonts w:ascii="Times New Roman" w:eastAsia="Arial" w:hAnsi="Times New Roman"/>
          <w:b/>
          <w:bCs/>
          <w:sz w:val="24"/>
          <w:szCs w:val="24"/>
          <w:lang w:eastAsia="en-US"/>
        </w:rPr>
      </w:pPr>
    </w:p>
    <w:p w14:paraId="589330BB" w14:textId="77777777" w:rsidR="002449C2" w:rsidRDefault="002449C2">
      <w:pPr>
        <w:widowControl w:val="0"/>
        <w:shd w:val="clear" w:color="auto" w:fill="FFFFFF"/>
        <w:tabs>
          <w:tab w:val="left" w:pos="142"/>
          <w:tab w:val="left" w:pos="360"/>
        </w:tabs>
        <w:spacing w:after="0" w:line="240" w:lineRule="auto"/>
        <w:ind w:firstLine="567"/>
        <w:jc w:val="center"/>
        <w:rPr>
          <w:rFonts w:ascii="Times New Roman" w:eastAsia="Arial" w:hAnsi="Times New Roman"/>
          <w:b/>
          <w:bCs/>
          <w:sz w:val="24"/>
          <w:szCs w:val="24"/>
          <w:lang w:eastAsia="en-US"/>
        </w:rPr>
      </w:pPr>
    </w:p>
    <w:p w14:paraId="21C15C4A" w14:textId="77777777" w:rsidR="002449C2" w:rsidRDefault="00123961">
      <w:pPr>
        <w:widowControl w:val="0"/>
        <w:shd w:val="clear" w:color="auto" w:fill="FFFFFF"/>
        <w:tabs>
          <w:tab w:val="left" w:pos="142"/>
          <w:tab w:val="left" w:pos="360"/>
        </w:tabs>
        <w:spacing w:after="0" w:line="240" w:lineRule="auto"/>
        <w:ind w:firstLine="567"/>
        <w:jc w:val="center"/>
        <w:rPr>
          <w:rFonts w:ascii="Times New Roman" w:eastAsia="Arial" w:hAnsi="Times New Roman"/>
          <w:b/>
          <w:bCs/>
          <w:sz w:val="24"/>
          <w:szCs w:val="24"/>
          <w:lang w:eastAsia="en-US"/>
        </w:rPr>
      </w:pPr>
      <w:r>
        <w:rPr>
          <w:noProof/>
          <w:lang w:eastAsia="ru-RU"/>
        </w:rPr>
        <mc:AlternateContent>
          <mc:Choice Requires="wps">
            <w:drawing>
              <wp:anchor distT="5080" distB="5080" distL="5080" distR="5080" simplePos="0" relativeHeight="87" behindDoc="0" locked="0" layoutInCell="1" allowOverlap="1" wp14:anchorId="54C1D6B2" wp14:editId="2B563F69">
                <wp:simplePos x="0" y="0"/>
                <wp:positionH relativeFrom="column">
                  <wp:posOffset>0</wp:posOffset>
                </wp:positionH>
                <wp:positionV relativeFrom="paragraph">
                  <wp:posOffset>635</wp:posOffset>
                </wp:positionV>
                <wp:extent cx="635000" cy="635000"/>
                <wp:effectExtent l="5080" t="5080" r="5080" b="5080"/>
                <wp:wrapNone/>
                <wp:docPr id="128" name="AutoShape 3" hidden="1"/>
                <wp:cNvGraphicFramePr/>
                <a:graphic xmlns:a="http://schemas.openxmlformats.org/drawingml/2006/main">
                  <a:graphicData uri="http://schemas.microsoft.com/office/word/2010/wordprocessingShape">
                    <wps:wsp>
                      <wps:cNvSpPr/>
                      <wps:spPr>
                        <a:xfrm>
                          <a:off x="0" y="0"/>
                          <a:ext cx="635040" cy="635040"/>
                        </a:xfrm>
                        <a:prstGeom prst="rect">
                          <a:avLst/>
                        </a:prstGeom>
                        <a:solidFill>
                          <a:srgbClr val="FFFFFF"/>
                        </a:solidFill>
                        <a:ln w="9525">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w:pict>
              <v:rect w14:anchorId="1CACBBB7" id="AutoShape 3" o:spid="_x0000_s1026" style="position:absolute;margin-left:0;margin-top:.05pt;width:50pt;height:50pt;z-index:87;visibility:hidden;mso-wrap-style:square;mso-wrap-distance-left:.4pt;mso-wrap-distance-top:.4pt;mso-wrap-distance-right:.4pt;mso-wrap-distance-bottom:.4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">
                <v:stroke joinstyle="round"/>
              </v:rect>
            </w:pict>
          </mc:Fallback>
        </mc:AlternateContent>
      </w:r>
      <w:r>
        <w:rPr>
          <w:noProof/>
          <w:lang w:eastAsia="ru-RU"/>
        </w:rPr>
        <w:drawing>
          <wp:inline distT="0" distB="0" distL="0" distR="0" wp14:anchorId="26CB6355" wp14:editId="63AE7298">
            <wp:extent cx="5486400" cy="3215640"/>
            <wp:effectExtent l="0" t="0" r="0" b="0"/>
            <wp:docPr id="12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12"/>
                    <pic:cNvPicPr>
                      <a:picLocks noChangeAspect="1" noChangeArrowheads="1"/>
                    </pic:cNvPicPr>
                  </pic:nvPicPr>
                  <pic:blipFill>
                    <a:blip r:embed="rId187"/>
                    <a:stretch>
                      <a:fillRect/>
                    </a:stretch>
                  </pic:blipFill>
                  <pic:spPr bwMode="auto">
                    <a:xfrm>
                      <a:off x="0" y="0"/>
                      <a:ext cx="5486400" cy="3215640"/>
                    </a:xfrm>
                    <a:prstGeom prst="rect">
                      <a:avLst/>
                    </a:prstGeom>
                    <a:noFill/>
                  </pic:spPr>
                </pic:pic>
              </a:graphicData>
            </a:graphic>
          </wp:inline>
        </w:drawing>
      </w:r>
    </w:p>
    <w:p w14:paraId="11FE3B02" w14:textId="77777777" w:rsidR="002449C2" w:rsidRDefault="002449C2">
      <w:pPr>
        <w:widowControl w:val="0"/>
        <w:shd w:val="clear" w:color="auto" w:fill="FFFFFF"/>
        <w:tabs>
          <w:tab w:val="left" w:pos="142"/>
          <w:tab w:val="left" w:pos="360"/>
        </w:tabs>
        <w:spacing w:after="0" w:line="240" w:lineRule="auto"/>
        <w:ind w:firstLine="567"/>
        <w:jc w:val="center"/>
        <w:rPr>
          <w:rFonts w:ascii="Times New Roman" w:eastAsia="Arial" w:hAnsi="Times New Roman"/>
          <w:b/>
          <w:bCs/>
          <w:sz w:val="24"/>
          <w:szCs w:val="24"/>
          <w:lang w:eastAsia="en-US"/>
        </w:rPr>
      </w:pPr>
    </w:p>
    <w:p w14:paraId="612A7113" w14:textId="77777777" w:rsidR="002449C2" w:rsidRDefault="00123961">
      <w:pPr>
        <w:widowControl w:val="0"/>
        <w:shd w:val="clear" w:color="auto" w:fill="FFFFFF"/>
        <w:tabs>
          <w:tab w:val="left" w:pos="142"/>
          <w:tab w:val="left" w:pos="360"/>
        </w:tabs>
        <w:spacing w:after="0" w:line="240" w:lineRule="auto"/>
        <w:jc w:val="center"/>
        <w:rPr>
          <w:rFonts w:ascii="Times New Roman" w:eastAsia="Arial" w:hAnsi="Times New Roman"/>
          <w:b/>
          <w:bCs/>
          <w:sz w:val="24"/>
          <w:szCs w:val="24"/>
          <w:lang w:eastAsia="en-US"/>
        </w:rPr>
      </w:pPr>
      <w:r>
        <w:rPr>
          <w:noProof/>
          <w:lang w:eastAsia="ru-RU"/>
        </w:rPr>
        <w:drawing>
          <wp:inline distT="0" distB="0" distL="0" distR="0" wp14:anchorId="366F0C55" wp14:editId="5D38EDEC">
            <wp:extent cx="5876925" cy="4291965"/>
            <wp:effectExtent l="0" t="0" r="0" b="0"/>
            <wp:docPr id="130" name="_x005F_x0000_i4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_x005F_x0000_i4508"/>
                    <pic:cNvPicPr>
                      <a:picLocks noChangeAspect="1" noChangeArrowheads="1"/>
                    </pic:cNvPicPr>
                  </pic:nvPicPr>
                  <pic:blipFill>
                    <a:blip r:embed="rId188"/>
                    <a:stretch>
                      <a:fillRect/>
                    </a:stretch>
                  </pic:blipFill>
                  <pic:spPr bwMode="auto">
                    <a:xfrm>
                      <a:off x="0" y="0"/>
                      <a:ext cx="5876925" cy="4291965"/>
                    </a:xfrm>
                    <a:prstGeom prst="rect">
                      <a:avLst/>
                    </a:prstGeom>
                    <a:noFill/>
                  </pic:spPr>
                </pic:pic>
              </a:graphicData>
            </a:graphic>
          </wp:inline>
        </w:drawing>
      </w:r>
    </w:p>
    <w:p w14:paraId="3440CC55" w14:textId="77777777" w:rsidR="002449C2" w:rsidRDefault="002449C2">
      <w:pPr>
        <w:widowControl w:val="0"/>
        <w:shd w:val="clear" w:color="auto" w:fill="FFFFFF"/>
        <w:tabs>
          <w:tab w:val="left" w:pos="142"/>
          <w:tab w:val="left" w:pos="360"/>
        </w:tabs>
        <w:spacing w:after="0" w:line="240" w:lineRule="auto"/>
        <w:ind w:firstLine="567"/>
        <w:jc w:val="center"/>
        <w:rPr>
          <w:rFonts w:ascii="Times New Roman" w:eastAsia="Arial" w:hAnsi="Times New Roman"/>
          <w:b/>
          <w:bCs/>
          <w:sz w:val="24"/>
          <w:szCs w:val="24"/>
          <w:lang w:eastAsia="en-US"/>
        </w:rPr>
      </w:pPr>
    </w:p>
    <w:p w14:paraId="34EB97F8" w14:textId="77777777" w:rsidR="002449C2" w:rsidRDefault="00123961">
      <w:pPr>
        <w:spacing w:after="0" w:line="240" w:lineRule="auto"/>
        <w:ind w:firstLine="709"/>
        <w:jc w:val="both"/>
        <w:rPr>
          <w:rFonts w:ascii="Times New Roman" w:eastAsia="Arial" w:hAnsi="Times New Roman"/>
          <w:sz w:val="28"/>
          <w:szCs w:val="28"/>
          <w:lang w:eastAsia="en-US"/>
        </w:rPr>
      </w:pPr>
      <w:r>
        <w:rPr>
          <w:rFonts w:ascii="Times New Roman" w:eastAsia="Arial" w:hAnsi="Times New Roman"/>
          <w:sz w:val="26"/>
          <w:szCs w:val="26"/>
          <w:lang w:eastAsia="en-US"/>
        </w:rPr>
        <w:t xml:space="preserve">Результаты анализа показывают, что динамика цены на акции в целом соответствует индексу электроэнергетики Московской Биржи. </w:t>
      </w:r>
    </w:p>
    <w:p w14:paraId="4D31DCAF" w14:textId="77777777" w:rsidR="002449C2" w:rsidRDefault="00123961">
      <w:pPr>
        <w:spacing w:after="0" w:line="240" w:lineRule="auto"/>
        <w:ind w:firstLine="709"/>
        <w:jc w:val="both"/>
        <w:rPr>
          <w:rFonts w:ascii="Times New Roman" w:eastAsia="Times New Roman" w:hAnsi="Times New Roman"/>
          <w:sz w:val="28"/>
          <w:szCs w:val="28"/>
          <w:lang w:eastAsia="en-US"/>
        </w:rPr>
      </w:pPr>
      <w:r>
        <w:rPr>
          <w:rFonts w:ascii="Times New Roman" w:eastAsia="Times New Roman" w:hAnsi="Times New Roman"/>
          <w:sz w:val="26"/>
          <w:szCs w:val="26"/>
          <w:lang w:eastAsia="ru-RU"/>
        </w:rPr>
        <w:t>Основываясь на данных мониторинга пресс-релизов экономической ситуации в Российской Федерации в 2024 году, можно сделать следующие выводы:</w:t>
      </w:r>
    </w:p>
    <w:p w14:paraId="0CEC0C61" w14:textId="77777777" w:rsidR="002449C2" w:rsidRDefault="00123961">
      <w:pPr>
        <w:spacing w:after="0" w:line="240" w:lineRule="auto"/>
        <w:ind w:firstLine="709"/>
        <w:jc w:val="both"/>
        <w:rPr>
          <w:rFonts w:ascii="Times New Roman" w:eastAsia="Times New Roman" w:hAnsi="Times New Roman"/>
          <w:sz w:val="28"/>
          <w:szCs w:val="28"/>
          <w:lang w:eastAsia="en-US"/>
        </w:rPr>
      </w:pPr>
      <w:r>
        <w:rPr>
          <w:rFonts w:ascii="Times New Roman" w:eastAsia="Times New Roman" w:hAnsi="Times New Roman"/>
          <w:sz w:val="26"/>
          <w:szCs w:val="26"/>
          <w:lang w:eastAsia="ru-RU"/>
        </w:rPr>
        <w:t>Российский фондовый рынок, который с 2022 года адаптируется к жизни в условиях экстремальной геополитической напряженности и санкционных ударов, завершает уходящий год под давлением и внутренних факторов - жесткой денежно-кредитной политики ЦБ, которая переключает интерес инвесторов на банковские депозиты.</w:t>
      </w:r>
    </w:p>
    <w:p w14:paraId="56A3A0CE" w14:textId="77777777" w:rsidR="002449C2" w:rsidRDefault="00123961">
      <w:pPr>
        <w:spacing w:after="0" w:line="240" w:lineRule="auto"/>
        <w:ind w:firstLine="709"/>
        <w:jc w:val="both"/>
        <w:rPr>
          <w:rFonts w:ascii="Times New Roman" w:eastAsia="Times New Roman" w:hAnsi="Times New Roman"/>
          <w:sz w:val="28"/>
          <w:szCs w:val="28"/>
          <w:lang w:eastAsia="en-US"/>
        </w:rPr>
      </w:pPr>
      <w:r>
        <w:rPr>
          <w:rFonts w:ascii="Times New Roman" w:eastAsia="Times New Roman" w:hAnsi="Times New Roman"/>
          <w:sz w:val="26"/>
          <w:szCs w:val="26"/>
          <w:lang w:eastAsia="ru-RU"/>
        </w:rPr>
        <w:t>Почти весь год российские финансовые власти работали над планом повышения привлекательности фондового рынка и решения задачи по удвоению его капитализации к 2030 году (до 66% ВВП), оформленной в виде поручения президента. Помочь добиться этого должна перестройка системы господдержки - стимулирование выхода эмитентов на рынок капитала вместо банковского кредита, вывод госкомпаний на биржу, уже состоявшийся запуск программы долгосрочных сбережений (ПДС) и индивидуальный инвестиционный счет третьего типа (ИИС-3).</w:t>
      </w:r>
    </w:p>
    <w:p w14:paraId="5E5CE82F" w14:textId="77777777" w:rsidR="002449C2" w:rsidRDefault="00123961">
      <w:pPr>
        <w:spacing w:after="0" w:line="240" w:lineRule="auto"/>
        <w:ind w:firstLine="709"/>
        <w:jc w:val="both"/>
        <w:rPr>
          <w:rFonts w:ascii="Times New Roman" w:eastAsia="Times New Roman" w:hAnsi="Times New Roman"/>
          <w:sz w:val="28"/>
          <w:szCs w:val="28"/>
          <w:lang w:eastAsia="en-US"/>
        </w:rPr>
      </w:pPr>
      <w:r>
        <w:rPr>
          <w:rFonts w:ascii="Times New Roman" w:eastAsia="Times New Roman" w:hAnsi="Times New Roman"/>
          <w:sz w:val="26"/>
          <w:szCs w:val="26"/>
          <w:lang w:eastAsia="ru-RU"/>
        </w:rPr>
        <w:t>В первой половине года на рынке преобладала позитивная динамика. Однако в мае на рынке началась коррекция.</w:t>
      </w:r>
    </w:p>
    <w:p w14:paraId="2D443BC0" w14:textId="77777777" w:rsidR="002449C2" w:rsidRDefault="00123961">
      <w:pPr>
        <w:spacing w:after="0" w:line="240" w:lineRule="auto"/>
        <w:ind w:firstLine="709"/>
        <w:jc w:val="both"/>
        <w:rPr>
          <w:rFonts w:ascii="Times New Roman" w:eastAsia="Times New Roman" w:hAnsi="Times New Roman"/>
          <w:sz w:val="28"/>
          <w:szCs w:val="28"/>
          <w:lang w:eastAsia="en-US"/>
        </w:rPr>
      </w:pPr>
      <w:r>
        <w:rPr>
          <w:rFonts w:ascii="Times New Roman" w:eastAsia="Times New Roman" w:hAnsi="Times New Roman"/>
          <w:sz w:val="26"/>
          <w:szCs w:val="26"/>
          <w:lang w:eastAsia="ru-RU"/>
        </w:rPr>
        <w:t>По итогам 2024 года индекс Московской Биржи снизился на 6,97%, опустившись с 3099,11 до 2883,04 пункта. После того как индекс Московской биржи достиг в мае годового максимума, Центральный банк России объявил об изменениях, вносимых в налоговое законодательство. Было также заявлено о возможности повышения ключевой ставки в связи с высокими темпами инфляции. Вслед за этими новостями началось постепенное снижение показателя индекса. К началу сентября он упал до 2650 пунктов. Индекс вернулся к более высоким показателям после решения Центробанка сохранить ключевую ставку.</w:t>
      </w:r>
    </w:p>
    <w:p w14:paraId="2DB50513" w14:textId="77777777" w:rsidR="002449C2" w:rsidRDefault="00123961">
      <w:pPr>
        <w:spacing w:after="0" w:line="240" w:lineRule="auto"/>
        <w:ind w:firstLine="567"/>
        <w:jc w:val="both"/>
        <w:rPr>
          <w:rFonts w:ascii="Times New Roman" w:eastAsia="Times New Roman" w:hAnsi="Times New Roman"/>
          <w:sz w:val="28"/>
          <w:szCs w:val="28"/>
          <w:lang w:eastAsia="en-US"/>
        </w:rPr>
      </w:pPr>
      <w:r>
        <w:rPr>
          <w:rFonts w:ascii="Times New Roman" w:eastAsia="Times New Roman" w:hAnsi="Times New Roman"/>
          <w:sz w:val="26"/>
          <w:szCs w:val="26"/>
          <w:lang w:eastAsia="ru-RU"/>
        </w:rPr>
        <w:t>Таким образом, фактором, оказавшим негативное влияние на российский фондовый рынок в течение года можно считать давление жестких монетарных условий (в 2024 году ЦБ повысил ключевую ставку с 16% до 21%), сохранение геополитической напряженности и новые санкции, в том числе против Московской Биржи.</w:t>
      </w:r>
    </w:p>
    <w:p w14:paraId="149078F4" w14:textId="77777777" w:rsidR="002449C2" w:rsidRDefault="002449C2">
      <w:pPr>
        <w:spacing w:after="0" w:line="240" w:lineRule="auto"/>
        <w:ind w:firstLine="709"/>
        <w:jc w:val="both"/>
        <w:rPr>
          <w:rFonts w:ascii="Times New Roman" w:eastAsia="MS Mincho" w:hAnsi="Times New Roman"/>
          <w:sz w:val="28"/>
          <w:szCs w:val="28"/>
          <w:lang w:eastAsia="en-US"/>
        </w:rPr>
      </w:pPr>
    </w:p>
    <w:p w14:paraId="057CF452" w14:textId="77777777" w:rsidR="002449C2" w:rsidRDefault="00123961">
      <w:pPr>
        <w:widowControl w:val="0"/>
        <w:shd w:val="clear" w:color="auto" w:fill="FFFFFF"/>
        <w:tabs>
          <w:tab w:val="left" w:pos="142"/>
          <w:tab w:val="left" w:pos="360"/>
        </w:tabs>
        <w:spacing w:after="0" w:line="240" w:lineRule="auto"/>
        <w:ind w:firstLine="567"/>
        <w:jc w:val="both"/>
        <w:rPr>
          <w:rFonts w:ascii="Times New Roman" w:eastAsia="Arial" w:hAnsi="Times New Roman"/>
          <w:b/>
          <w:bCs/>
          <w:sz w:val="24"/>
          <w:szCs w:val="24"/>
          <w:lang w:eastAsia="en-US"/>
        </w:rPr>
      </w:pPr>
      <w:r>
        <w:rPr>
          <w:rFonts w:ascii="Times New Roman" w:eastAsia="MS Mincho" w:hAnsi="Times New Roman"/>
          <w:sz w:val="26"/>
          <w:szCs w:val="26"/>
          <w:lang w:eastAsia="ru-RU"/>
        </w:rPr>
        <w:t>В 2025 году аналитики ожидают возобновления роста рынка акций.     Наиболее оптимистичный прогноз предполагает подъем индекса Московской Биржи до 5000 пунктов к концу 2025 года.</w:t>
      </w:r>
    </w:p>
    <w:p w14:paraId="25B5B2CD" w14:textId="77777777" w:rsidR="002449C2" w:rsidRDefault="002449C2">
      <w:pPr>
        <w:widowControl w:val="0"/>
        <w:shd w:val="clear" w:color="auto" w:fill="FFFFFF"/>
        <w:tabs>
          <w:tab w:val="left" w:pos="142"/>
          <w:tab w:val="left" w:pos="360"/>
        </w:tabs>
        <w:spacing w:after="0" w:line="240" w:lineRule="auto"/>
        <w:jc w:val="center"/>
        <w:rPr>
          <w:rFonts w:ascii="Times New Roman" w:eastAsia="Arial" w:hAnsi="Times New Roman"/>
          <w:b/>
          <w:sz w:val="24"/>
          <w:szCs w:val="24"/>
          <w:lang w:eastAsia="en-US"/>
        </w:rPr>
      </w:pPr>
    </w:p>
    <w:p w14:paraId="4699211D" w14:textId="77777777" w:rsidR="002449C2" w:rsidRDefault="00123961">
      <w:pPr>
        <w:widowControl w:val="0"/>
        <w:shd w:val="clear" w:color="auto" w:fill="FFFFFF"/>
        <w:tabs>
          <w:tab w:val="left" w:pos="142"/>
          <w:tab w:val="left" w:pos="360"/>
        </w:tabs>
        <w:spacing w:after="0" w:line="240" w:lineRule="auto"/>
        <w:ind w:firstLine="567"/>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Дивидендная политика</w:t>
      </w:r>
    </w:p>
    <w:p w14:paraId="7B9829AD" w14:textId="77777777" w:rsidR="002449C2" w:rsidRDefault="002449C2">
      <w:pPr>
        <w:shd w:val="clear" w:color="auto" w:fill="FFFFFF"/>
        <w:spacing w:after="0" w:line="240" w:lineRule="auto"/>
        <w:ind w:firstLine="425"/>
        <w:jc w:val="both"/>
        <w:rPr>
          <w:rFonts w:ascii="Times New Roman" w:eastAsia="Times New Roman" w:hAnsi="Times New Roman"/>
          <w:sz w:val="26"/>
          <w:szCs w:val="26"/>
          <w:lang w:eastAsia="ru-RU"/>
        </w:rPr>
      </w:pPr>
    </w:p>
    <w:p w14:paraId="1783D161" w14:textId="77777777" w:rsidR="002449C2" w:rsidRDefault="00123961">
      <w:pPr>
        <w:shd w:val="clear" w:color="auto" w:fill="FFFFFF"/>
        <w:spacing w:after="0" w:line="240" w:lineRule="auto"/>
        <w:ind w:firstLine="425"/>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Дивидендная политика Компании определяется Положением о дивидендной политике, утвержденным решением Совета директоров Общества 02.02.2018 (протокол от 05.02.2018 №258/2018) с изменениями от 31.07.2018 (протокол №281/2018 от 03.08.2018).</w:t>
      </w:r>
    </w:p>
    <w:tbl>
      <w:tblPr>
        <w:tblW w:w="9627" w:type="dxa"/>
        <w:tblLayout w:type="fixed"/>
        <w:tblLook w:val="04A0" w:firstRow="1" w:lastRow="0" w:firstColumn="1" w:lastColumn="0" w:noHBand="0" w:noVBand="1"/>
      </w:tblPr>
      <w:tblGrid>
        <w:gridCol w:w="9627"/>
      </w:tblGrid>
      <w:tr w:rsidR="002449C2" w14:paraId="36A718CF" w14:textId="77777777">
        <w:tc>
          <w:tcPr>
            <w:tcW w:w="9627" w:type="dxa"/>
            <w:tcBorders>
              <w:top w:val="single" w:sz="4" w:space="0" w:color="000000"/>
              <w:left w:val="single" w:sz="4" w:space="0" w:color="000000"/>
              <w:bottom w:val="single" w:sz="4" w:space="0" w:color="000000"/>
              <w:right w:val="single" w:sz="4" w:space="0" w:color="000000"/>
            </w:tcBorders>
            <w:shd w:val="clear" w:color="FFFFFF" w:fill="FFFFFF"/>
          </w:tcPr>
          <w:p w14:paraId="37042FB6" w14:textId="77777777" w:rsidR="002449C2" w:rsidRDefault="00123961">
            <w:pPr>
              <w:shd w:val="clear" w:color="auto" w:fill="FFFFFF"/>
              <w:spacing w:before="120"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Принципы дивидендной политики Общества</w:t>
            </w:r>
          </w:p>
        </w:tc>
      </w:tr>
      <w:tr w:rsidR="002449C2" w14:paraId="27871466" w14:textId="77777777">
        <w:tc>
          <w:tcPr>
            <w:tcW w:w="9627" w:type="dxa"/>
            <w:tcBorders>
              <w:top w:val="single" w:sz="4" w:space="0" w:color="000000"/>
              <w:left w:val="single" w:sz="4" w:space="0" w:color="000000"/>
              <w:bottom w:val="single" w:sz="4" w:space="0" w:color="000000"/>
              <w:right w:val="single" w:sz="4" w:space="0" w:color="000000"/>
            </w:tcBorders>
            <w:shd w:val="clear" w:color="FFFFFF" w:fill="FFFFFF"/>
          </w:tcPr>
          <w:p w14:paraId="436F7FD0" w14:textId="77777777" w:rsidR="002449C2" w:rsidRDefault="00123961">
            <w:pPr>
              <w:shd w:val="clear" w:color="auto" w:fill="FFFFFF"/>
              <w:tabs>
                <w:tab w:val="left" w:pos="993"/>
              </w:tabs>
              <w:spacing w:after="0" w:line="240" w:lineRule="auto"/>
              <w:jc w:val="both"/>
              <w:rPr>
                <w:rFonts w:ascii="Times New Roman" w:eastAsia="Times New Roman" w:hAnsi="Times New Roman"/>
                <w:b/>
                <w:sz w:val="20"/>
                <w:szCs w:val="20"/>
                <w:lang w:eastAsia="ru-RU"/>
              </w:rPr>
            </w:pPr>
            <w:r>
              <w:rPr>
                <w:rFonts w:ascii="Times New Roman" w:eastAsia="Times New Roman" w:hAnsi="Times New Roman"/>
                <w:sz w:val="20"/>
                <w:szCs w:val="20"/>
                <w:lang w:eastAsia="ru-RU"/>
              </w:rPr>
              <w:t>Расчет дивидендов на использовании прибыли без учета влияния переоценки финансовых вложений</w:t>
            </w:r>
          </w:p>
        </w:tc>
      </w:tr>
      <w:tr w:rsidR="002449C2" w14:paraId="4C2FDFF0" w14:textId="77777777">
        <w:tc>
          <w:tcPr>
            <w:tcW w:w="9627" w:type="dxa"/>
            <w:tcBorders>
              <w:top w:val="single" w:sz="4" w:space="0" w:color="000000"/>
              <w:left w:val="single" w:sz="4" w:space="0" w:color="000000"/>
              <w:bottom w:val="single" w:sz="4" w:space="0" w:color="000000"/>
              <w:right w:val="single" w:sz="4" w:space="0" w:color="000000"/>
            </w:tcBorders>
            <w:shd w:val="clear" w:color="FFFFFF" w:fill="FFFFFF"/>
          </w:tcPr>
          <w:p w14:paraId="04264BA0" w14:textId="77777777" w:rsidR="002449C2" w:rsidRDefault="00123961">
            <w:pPr>
              <w:shd w:val="clear" w:color="auto" w:fill="FFFFFF"/>
              <w:tabs>
                <w:tab w:val="left" w:pos="993"/>
              </w:tabs>
              <w:spacing w:after="0" w:line="240" w:lineRule="auto"/>
              <w:jc w:val="both"/>
              <w:rPr>
                <w:rFonts w:ascii="Times New Roman" w:eastAsia="Times New Roman" w:hAnsi="Times New Roman"/>
                <w:b/>
                <w:sz w:val="20"/>
                <w:szCs w:val="20"/>
                <w:lang w:eastAsia="ru-RU"/>
              </w:rPr>
            </w:pPr>
            <w:r>
              <w:rPr>
                <w:rFonts w:ascii="Times New Roman" w:eastAsia="Times New Roman" w:hAnsi="Times New Roman"/>
                <w:sz w:val="20"/>
                <w:szCs w:val="20"/>
                <w:lang w:eastAsia="ru-RU"/>
              </w:rPr>
              <w:t>Необходимость поддержания требуемого уровня финансового и технического состояния Общества (выполнение инвестиционной программы), обеспечение перспектив развития Общества</w:t>
            </w:r>
          </w:p>
        </w:tc>
      </w:tr>
      <w:tr w:rsidR="002449C2" w14:paraId="458D1C44" w14:textId="77777777">
        <w:tc>
          <w:tcPr>
            <w:tcW w:w="9627" w:type="dxa"/>
            <w:tcBorders>
              <w:top w:val="single" w:sz="4" w:space="0" w:color="000000"/>
              <w:left w:val="single" w:sz="4" w:space="0" w:color="000000"/>
              <w:bottom w:val="single" w:sz="4" w:space="0" w:color="000000"/>
              <w:right w:val="single" w:sz="4" w:space="0" w:color="000000"/>
            </w:tcBorders>
            <w:shd w:val="clear" w:color="FFFFFF" w:fill="FFFFFF"/>
          </w:tcPr>
          <w:p w14:paraId="63AED779" w14:textId="77777777" w:rsidR="002449C2" w:rsidRDefault="00123961">
            <w:pPr>
              <w:shd w:val="clear" w:color="auto" w:fill="FFFFFF"/>
              <w:tabs>
                <w:tab w:val="left" w:pos="993"/>
              </w:tabs>
              <w:spacing w:after="0" w:line="240" w:lineRule="auto"/>
              <w:jc w:val="both"/>
              <w:rPr>
                <w:rFonts w:ascii="Times New Roman" w:eastAsia="Times New Roman" w:hAnsi="Times New Roman"/>
                <w:b/>
                <w:sz w:val="20"/>
                <w:szCs w:val="20"/>
                <w:lang w:eastAsia="ru-RU"/>
              </w:rPr>
            </w:pPr>
            <w:r>
              <w:rPr>
                <w:rFonts w:ascii="Times New Roman" w:eastAsia="Times New Roman" w:hAnsi="Times New Roman"/>
                <w:sz w:val="20"/>
                <w:szCs w:val="20"/>
                <w:lang w:eastAsia="ru-RU"/>
              </w:rPr>
              <w:t>Соответствие принятой в Обществе практики начисления и выплаты дивидендов законодательству Российской Федерации и наилучшим стандартам корпоративного поведения</w:t>
            </w:r>
          </w:p>
        </w:tc>
      </w:tr>
      <w:tr w:rsidR="002449C2" w14:paraId="0BB84111" w14:textId="77777777">
        <w:tc>
          <w:tcPr>
            <w:tcW w:w="9627" w:type="dxa"/>
            <w:tcBorders>
              <w:top w:val="single" w:sz="4" w:space="0" w:color="000000"/>
              <w:left w:val="single" w:sz="4" w:space="0" w:color="000000"/>
              <w:bottom w:val="single" w:sz="4" w:space="0" w:color="000000"/>
              <w:right w:val="single" w:sz="4" w:space="0" w:color="000000"/>
            </w:tcBorders>
            <w:shd w:val="clear" w:color="FFFFFF" w:fill="FFFFFF"/>
          </w:tcPr>
          <w:p w14:paraId="51823857" w14:textId="77777777" w:rsidR="002449C2" w:rsidRDefault="00123961">
            <w:pPr>
              <w:shd w:val="clear" w:color="auto" w:fill="FFFFFF"/>
              <w:tabs>
                <w:tab w:val="left" w:pos="993"/>
              </w:tabs>
              <w:spacing w:after="0" w:line="240" w:lineRule="auto"/>
              <w:ind w:left="567" w:hanging="567"/>
              <w:jc w:val="both"/>
              <w:rPr>
                <w:rFonts w:ascii="Times New Roman" w:eastAsia="Times New Roman" w:hAnsi="Times New Roman"/>
                <w:b/>
                <w:sz w:val="20"/>
                <w:szCs w:val="20"/>
                <w:lang w:eastAsia="ru-RU"/>
              </w:rPr>
            </w:pPr>
            <w:r>
              <w:rPr>
                <w:rFonts w:ascii="Times New Roman" w:eastAsia="Times New Roman" w:hAnsi="Times New Roman"/>
                <w:sz w:val="20"/>
                <w:szCs w:val="20"/>
                <w:lang w:eastAsia="ru-RU"/>
              </w:rPr>
              <w:t>Оптимальное сочетание интересов Общества и акционеров</w:t>
            </w:r>
          </w:p>
        </w:tc>
      </w:tr>
      <w:tr w:rsidR="002449C2" w14:paraId="700D692E" w14:textId="77777777">
        <w:tc>
          <w:tcPr>
            <w:tcW w:w="9627" w:type="dxa"/>
            <w:tcBorders>
              <w:top w:val="single" w:sz="4" w:space="0" w:color="000000"/>
              <w:left w:val="single" w:sz="4" w:space="0" w:color="000000"/>
              <w:bottom w:val="single" w:sz="4" w:space="0" w:color="000000"/>
              <w:right w:val="single" w:sz="4" w:space="0" w:color="000000"/>
            </w:tcBorders>
            <w:shd w:val="clear" w:color="FFFFFF" w:fill="FFFFFF"/>
          </w:tcPr>
          <w:p w14:paraId="36A4EC63" w14:textId="77777777" w:rsidR="002449C2" w:rsidRDefault="00123961">
            <w:pPr>
              <w:shd w:val="clear" w:color="auto" w:fill="FFFFFF"/>
              <w:tabs>
                <w:tab w:val="left" w:pos="993"/>
              </w:tabs>
              <w:spacing w:after="0" w:line="240" w:lineRule="auto"/>
              <w:ind w:left="567" w:hanging="567"/>
              <w:jc w:val="both"/>
              <w:rPr>
                <w:rFonts w:ascii="Times New Roman" w:eastAsia="Times New Roman" w:hAnsi="Times New Roman"/>
                <w:b/>
                <w:sz w:val="20"/>
                <w:szCs w:val="20"/>
                <w:lang w:eastAsia="ru-RU"/>
              </w:rPr>
            </w:pPr>
            <w:r>
              <w:rPr>
                <w:rFonts w:ascii="Times New Roman" w:eastAsia="Times New Roman" w:hAnsi="Times New Roman"/>
                <w:sz w:val="20"/>
                <w:szCs w:val="20"/>
                <w:lang w:eastAsia="ru-RU"/>
              </w:rPr>
              <w:t>Повышение инвестиционной привлекательности Общества и его капитализации</w:t>
            </w:r>
          </w:p>
        </w:tc>
      </w:tr>
      <w:tr w:rsidR="002449C2" w14:paraId="1A06CD85" w14:textId="77777777">
        <w:tc>
          <w:tcPr>
            <w:tcW w:w="9627" w:type="dxa"/>
            <w:tcBorders>
              <w:top w:val="single" w:sz="4" w:space="0" w:color="000000"/>
              <w:left w:val="single" w:sz="4" w:space="0" w:color="000000"/>
              <w:bottom w:val="single" w:sz="4" w:space="0" w:color="000000"/>
              <w:right w:val="single" w:sz="4" w:space="0" w:color="000000"/>
            </w:tcBorders>
            <w:shd w:val="clear" w:color="FFFFFF" w:fill="FFFFFF"/>
          </w:tcPr>
          <w:p w14:paraId="4D88F409" w14:textId="77777777" w:rsidR="002449C2" w:rsidRDefault="00123961">
            <w:pPr>
              <w:shd w:val="clear" w:color="auto" w:fill="FFFFFF"/>
              <w:tabs>
                <w:tab w:val="left" w:pos="993"/>
              </w:tabs>
              <w:spacing w:after="0" w:line="240" w:lineRule="auto"/>
              <w:ind w:left="567" w:hanging="567"/>
              <w:jc w:val="both"/>
              <w:rPr>
                <w:rFonts w:ascii="Times New Roman" w:eastAsia="Times New Roman" w:hAnsi="Times New Roman"/>
                <w:b/>
                <w:sz w:val="20"/>
                <w:szCs w:val="20"/>
                <w:lang w:eastAsia="ru-RU"/>
              </w:rPr>
            </w:pPr>
            <w:r>
              <w:rPr>
                <w:rFonts w:ascii="Times New Roman" w:eastAsia="Times New Roman" w:hAnsi="Times New Roman"/>
                <w:sz w:val="20"/>
                <w:szCs w:val="20"/>
                <w:lang w:eastAsia="ru-RU"/>
              </w:rPr>
              <w:t>Прозрачность (понятность) механизма определения размера дивидендов и их выплаты.</w:t>
            </w:r>
          </w:p>
        </w:tc>
      </w:tr>
    </w:tbl>
    <w:p w14:paraId="12072F67" w14:textId="77777777" w:rsidR="002449C2" w:rsidRDefault="002449C2">
      <w:pPr>
        <w:shd w:val="clear" w:color="auto" w:fill="FFFFFF"/>
        <w:spacing w:after="0" w:line="240" w:lineRule="auto"/>
        <w:ind w:firstLine="426"/>
        <w:jc w:val="both"/>
        <w:rPr>
          <w:rFonts w:ascii="Times New Roman" w:eastAsia="Times New Roman" w:hAnsi="Times New Roman"/>
          <w:sz w:val="26"/>
          <w:szCs w:val="26"/>
          <w:lang w:eastAsia="ru-RU"/>
        </w:rPr>
      </w:pPr>
    </w:p>
    <w:p w14:paraId="38B22BDB" w14:textId="77777777" w:rsidR="002449C2" w:rsidRDefault="00123961">
      <w:pPr>
        <w:shd w:val="clear" w:color="auto" w:fill="FFFFFF"/>
        <w:spacing w:after="0" w:line="240" w:lineRule="auto"/>
        <w:ind w:firstLine="426"/>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Дивидендной политикой Компании установлен размер дивидендов на уровне не менее 50% от чистой прибыли по МСФО, при этом допускается ряд ограничений на выплату промежуточных дивидендов, в том числе, если выплата потребует привлечения заемного финансирования, если выплата приведет к ухудшению кредитоспособности или если выплата приведет к неисполнению инвестиционной программы.  </w:t>
      </w:r>
    </w:p>
    <w:p w14:paraId="26493532" w14:textId="77777777" w:rsidR="002449C2" w:rsidRDefault="00123961">
      <w:pPr>
        <w:spacing w:after="0" w:line="240" w:lineRule="auto"/>
        <w:ind w:firstLine="426"/>
        <w:jc w:val="center"/>
        <w:rPr>
          <w:rFonts w:ascii="Times New Roman" w:eastAsia="Arial" w:hAnsi="Times New Roman"/>
          <w:b/>
          <w:sz w:val="24"/>
          <w:szCs w:val="24"/>
          <w:lang w:eastAsia="en-US"/>
        </w:rPr>
      </w:pPr>
      <w:r>
        <w:rPr>
          <w:rFonts w:ascii="Times New Roman" w:eastAsia="Arial" w:hAnsi="Times New Roman"/>
          <w:b/>
          <w:sz w:val="24"/>
          <w:szCs w:val="24"/>
          <w:lang w:eastAsia="en-US"/>
        </w:rPr>
        <w:t>Распределение прибыли за 2021-2024 годы, тыс. рублей*</w:t>
      </w:r>
    </w:p>
    <w:p w14:paraId="618A8153" w14:textId="77777777" w:rsidR="002449C2" w:rsidRDefault="002449C2">
      <w:pPr>
        <w:spacing w:after="0" w:line="240" w:lineRule="auto"/>
        <w:ind w:firstLine="426"/>
        <w:jc w:val="center"/>
        <w:rPr>
          <w:rFonts w:ascii="Times New Roman" w:eastAsia="Arial" w:hAnsi="Times New Roman"/>
          <w:b/>
          <w:sz w:val="24"/>
          <w:szCs w:val="24"/>
          <w:lang w:eastAsia="en-US"/>
        </w:rPr>
      </w:pPr>
    </w:p>
    <w:tbl>
      <w:tblPr>
        <w:tblW w:w="5000" w:type="pct"/>
        <w:tblInd w:w="-5" w:type="dxa"/>
        <w:tblLayout w:type="fixed"/>
        <w:tblCellMar>
          <w:left w:w="5" w:type="dxa"/>
          <w:right w:w="5" w:type="dxa"/>
        </w:tblCellMar>
        <w:tblLook w:val="04A0" w:firstRow="1" w:lastRow="0" w:firstColumn="1" w:lastColumn="0" w:noHBand="0" w:noVBand="1"/>
      </w:tblPr>
      <w:tblGrid>
        <w:gridCol w:w="4530"/>
        <w:gridCol w:w="1781"/>
        <w:gridCol w:w="1785"/>
        <w:gridCol w:w="1531"/>
      </w:tblGrid>
      <w:tr w:rsidR="002449C2" w14:paraId="74FB2DF0" w14:textId="77777777">
        <w:trPr>
          <w:trHeight w:val="20"/>
        </w:trPr>
        <w:tc>
          <w:tcPr>
            <w:tcW w:w="4534" w:type="dxa"/>
            <w:tcBorders>
              <w:top w:val="single" w:sz="4" w:space="0" w:color="000000"/>
              <w:left w:val="single" w:sz="4" w:space="0" w:color="000000"/>
              <w:bottom w:val="single" w:sz="4" w:space="0" w:color="000000"/>
              <w:right w:val="single" w:sz="4" w:space="0" w:color="000000"/>
            </w:tcBorders>
            <w:vAlign w:val="center"/>
          </w:tcPr>
          <w:p w14:paraId="199035E8" w14:textId="77777777" w:rsidR="002449C2" w:rsidRDefault="00123961">
            <w:pPr>
              <w:spacing w:after="0" w:line="240" w:lineRule="auto"/>
              <w:ind w:right="-108" w:firstLine="426"/>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Наименование показателя</w:t>
            </w:r>
          </w:p>
        </w:tc>
        <w:tc>
          <w:tcPr>
            <w:tcW w:w="1783" w:type="dxa"/>
            <w:tcBorders>
              <w:top w:val="single" w:sz="4" w:space="0" w:color="000000"/>
              <w:left w:val="single" w:sz="4" w:space="0" w:color="000000"/>
              <w:bottom w:val="single" w:sz="4" w:space="0" w:color="000000"/>
              <w:right w:val="single" w:sz="4" w:space="0" w:color="000000"/>
            </w:tcBorders>
            <w:vAlign w:val="center"/>
          </w:tcPr>
          <w:p w14:paraId="4C70B636" w14:textId="77777777" w:rsidR="002449C2" w:rsidRDefault="00123961">
            <w:pPr>
              <w:shd w:val="clear" w:color="auto" w:fill="FFFFFF"/>
              <w:spacing w:after="0" w:line="240" w:lineRule="auto"/>
              <w:ind w:firstLine="29"/>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за 2021 год</w:t>
            </w:r>
          </w:p>
          <w:p w14:paraId="1B0B008C" w14:textId="77777777" w:rsidR="002449C2" w:rsidRDefault="00123961">
            <w:pPr>
              <w:spacing w:after="0" w:line="240" w:lineRule="auto"/>
              <w:ind w:firstLine="29"/>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(ГОСА 2022)</w:t>
            </w:r>
          </w:p>
        </w:tc>
        <w:tc>
          <w:tcPr>
            <w:tcW w:w="1787" w:type="dxa"/>
            <w:tcBorders>
              <w:top w:val="single" w:sz="4" w:space="0" w:color="000000"/>
              <w:left w:val="single" w:sz="4" w:space="0" w:color="000000"/>
              <w:bottom w:val="single" w:sz="4" w:space="0" w:color="000000"/>
              <w:right w:val="single" w:sz="4" w:space="0" w:color="000000"/>
            </w:tcBorders>
            <w:vAlign w:val="center"/>
          </w:tcPr>
          <w:p w14:paraId="1020C6EA" w14:textId="77777777" w:rsidR="002449C2" w:rsidRDefault="00123961">
            <w:pPr>
              <w:spacing w:after="0" w:line="240" w:lineRule="auto"/>
              <w:ind w:firstLine="29"/>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за 2022 год</w:t>
            </w:r>
          </w:p>
          <w:p w14:paraId="547BC07F" w14:textId="77777777" w:rsidR="002449C2" w:rsidRDefault="00123961">
            <w:pPr>
              <w:spacing w:after="0" w:line="240" w:lineRule="auto"/>
              <w:ind w:firstLine="29"/>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(ГОСА 2023)</w:t>
            </w:r>
          </w:p>
        </w:tc>
        <w:tc>
          <w:tcPr>
            <w:tcW w:w="153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A949889" w14:textId="77777777" w:rsidR="002449C2" w:rsidRDefault="00123961">
            <w:pPr>
              <w:spacing w:after="0" w:line="240" w:lineRule="auto"/>
              <w:ind w:firstLine="29"/>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за 2023 год</w:t>
            </w:r>
          </w:p>
          <w:p w14:paraId="21AC95CA" w14:textId="77777777" w:rsidR="002449C2" w:rsidRDefault="00123961">
            <w:pPr>
              <w:spacing w:after="0" w:line="240" w:lineRule="auto"/>
              <w:ind w:firstLine="29"/>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(ГОСА 2024)</w:t>
            </w:r>
          </w:p>
        </w:tc>
      </w:tr>
      <w:tr w:rsidR="002449C2" w14:paraId="51FF2102" w14:textId="77777777">
        <w:trPr>
          <w:trHeight w:val="20"/>
        </w:trPr>
        <w:tc>
          <w:tcPr>
            <w:tcW w:w="4534" w:type="dxa"/>
            <w:tcBorders>
              <w:top w:val="single" w:sz="4" w:space="0" w:color="000000"/>
              <w:left w:val="single" w:sz="4" w:space="0" w:color="000000"/>
              <w:bottom w:val="single" w:sz="4" w:space="0" w:color="000000"/>
              <w:right w:val="single" w:sz="4" w:space="0" w:color="000000"/>
            </w:tcBorders>
          </w:tcPr>
          <w:p w14:paraId="631E3BEF" w14:textId="77777777" w:rsidR="002449C2" w:rsidRDefault="00123961">
            <w:pPr>
              <w:tabs>
                <w:tab w:val="left" w:pos="142"/>
              </w:tabs>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Нераспределенная прибыль (убыток) отчетного периода, в т.ч.:</w:t>
            </w:r>
          </w:p>
        </w:tc>
        <w:tc>
          <w:tcPr>
            <w:tcW w:w="1783" w:type="dxa"/>
            <w:tcBorders>
              <w:top w:val="single" w:sz="4" w:space="0" w:color="000000"/>
              <w:left w:val="single" w:sz="4" w:space="0" w:color="000000"/>
              <w:bottom w:val="single" w:sz="4" w:space="0" w:color="000000"/>
              <w:right w:val="single" w:sz="4" w:space="0" w:color="000000"/>
            </w:tcBorders>
            <w:vAlign w:val="center"/>
          </w:tcPr>
          <w:p w14:paraId="19EE2175"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2 068 388</w:t>
            </w:r>
          </w:p>
        </w:tc>
        <w:tc>
          <w:tcPr>
            <w:tcW w:w="1787" w:type="dxa"/>
            <w:tcBorders>
              <w:top w:val="single" w:sz="4" w:space="0" w:color="000000"/>
              <w:left w:val="single" w:sz="4" w:space="0" w:color="000000"/>
              <w:bottom w:val="single" w:sz="4" w:space="0" w:color="000000"/>
              <w:right w:val="single" w:sz="4" w:space="0" w:color="000000"/>
            </w:tcBorders>
            <w:vAlign w:val="center"/>
          </w:tcPr>
          <w:p w14:paraId="5F8652FA"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(559 272)</w:t>
            </w:r>
          </w:p>
        </w:tc>
        <w:tc>
          <w:tcPr>
            <w:tcW w:w="153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F2A39FB" w14:textId="77777777" w:rsidR="002449C2" w:rsidRDefault="00123961">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2 430 773</w:t>
            </w:r>
          </w:p>
        </w:tc>
      </w:tr>
      <w:tr w:rsidR="002449C2" w14:paraId="0A47B351" w14:textId="77777777">
        <w:trPr>
          <w:trHeight w:val="20"/>
        </w:trPr>
        <w:tc>
          <w:tcPr>
            <w:tcW w:w="4534" w:type="dxa"/>
            <w:tcBorders>
              <w:top w:val="single" w:sz="4" w:space="0" w:color="000000"/>
              <w:left w:val="single" w:sz="4" w:space="0" w:color="000000"/>
              <w:bottom w:val="single" w:sz="4" w:space="0" w:color="000000"/>
              <w:right w:val="single" w:sz="4" w:space="0" w:color="000000"/>
            </w:tcBorders>
          </w:tcPr>
          <w:p w14:paraId="43A226DD" w14:textId="77777777" w:rsidR="002449C2" w:rsidRDefault="00123961">
            <w:pPr>
              <w:tabs>
                <w:tab w:val="left" w:pos="142"/>
              </w:tabs>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Резервный фонд</w:t>
            </w:r>
          </w:p>
        </w:tc>
        <w:tc>
          <w:tcPr>
            <w:tcW w:w="1783" w:type="dxa"/>
            <w:tcBorders>
              <w:top w:val="single" w:sz="4" w:space="0" w:color="000000"/>
              <w:left w:val="single" w:sz="4" w:space="0" w:color="000000"/>
              <w:bottom w:val="single" w:sz="4" w:space="0" w:color="000000"/>
            </w:tcBorders>
            <w:vAlign w:val="center"/>
          </w:tcPr>
          <w:p w14:paraId="3EB9BDA8" w14:textId="77777777" w:rsidR="002449C2" w:rsidRDefault="00123961">
            <w:pPr>
              <w:spacing w:after="0" w:line="240" w:lineRule="auto"/>
              <w:ind w:hanging="14"/>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103 420</w:t>
            </w:r>
          </w:p>
        </w:tc>
        <w:tc>
          <w:tcPr>
            <w:tcW w:w="1787" w:type="dxa"/>
            <w:tcBorders>
              <w:top w:val="single" w:sz="4" w:space="0" w:color="000000"/>
              <w:left w:val="single" w:sz="4" w:space="0" w:color="000000"/>
              <w:bottom w:val="single" w:sz="4" w:space="0" w:color="000000"/>
              <w:right w:val="single" w:sz="4" w:space="0" w:color="000000"/>
            </w:tcBorders>
            <w:vAlign w:val="center"/>
          </w:tcPr>
          <w:p w14:paraId="76ADB9E8" w14:textId="77777777" w:rsidR="002449C2" w:rsidRDefault="00123961">
            <w:pPr>
              <w:spacing w:after="0" w:line="240" w:lineRule="auto"/>
              <w:ind w:hanging="14"/>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w:t>
            </w:r>
          </w:p>
        </w:tc>
        <w:tc>
          <w:tcPr>
            <w:tcW w:w="1532" w:type="dxa"/>
            <w:tcBorders>
              <w:bottom w:val="single" w:sz="4" w:space="0" w:color="000000"/>
              <w:right w:val="single" w:sz="4" w:space="0" w:color="000000"/>
            </w:tcBorders>
            <w:tcMar>
              <w:left w:w="108" w:type="dxa"/>
              <w:right w:w="108" w:type="dxa"/>
            </w:tcMar>
            <w:vAlign w:val="center"/>
          </w:tcPr>
          <w:p w14:paraId="01C1FE5C" w14:textId="77777777" w:rsidR="002449C2" w:rsidRDefault="00123961">
            <w:pPr>
              <w:spacing w:after="0" w:line="240" w:lineRule="auto"/>
              <w:ind w:hanging="14"/>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121 539</w:t>
            </w:r>
          </w:p>
        </w:tc>
      </w:tr>
      <w:tr w:rsidR="002449C2" w14:paraId="7776FFB0" w14:textId="77777777">
        <w:trPr>
          <w:trHeight w:val="20"/>
        </w:trPr>
        <w:tc>
          <w:tcPr>
            <w:tcW w:w="4534" w:type="dxa"/>
            <w:tcBorders>
              <w:top w:val="single" w:sz="4" w:space="0" w:color="000000"/>
              <w:left w:val="single" w:sz="4" w:space="0" w:color="000000"/>
              <w:bottom w:val="single" w:sz="4" w:space="0" w:color="000000"/>
              <w:right w:val="single" w:sz="4" w:space="0" w:color="000000"/>
            </w:tcBorders>
          </w:tcPr>
          <w:p w14:paraId="7BB6DE20" w14:textId="77777777" w:rsidR="002449C2" w:rsidRDefault="00123961">
            <w:pPr>
              <w:tabs>
                <w:tab w:val="left" w:pos="142"/>
              </w:tabs>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Прибыль на развитие</w:t>
            </w:r>
          </w:p>
        </w:tc>
        <w:tc>
          <w:tcPr>
            <w:tcW w:w="1783" w:type="dxa"/>
            <w:tcBorders>
              <w:top w:val="single" w:sz="4" w:space="0" w:color="000000"/>
              <w:left w:val="single" w:sz="4" w:space="0" w:color="000000"/>
              <w:bottom w:val="single" w:sz="4" w:space="0" w:color="000000"/>
            </w:tcBorders>
            <w:vAlign w:val="center"/>
          </w:tcPr>
          <w:p w14:paraId="31746F32" w14:textId="77777777" w:rsidR="002449C2" w:rsidRDefault="00123961">
            <w:pPr>
              <w:spacing w:after="0" w:line="240" w:lineRule="auto"/>
              <w:ind w:hanging="14"/>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1 964 968</w:t>
            </w:r>
          </w:p>
        </w:tc>
        <w:tc>
          <w:tcPr>
            <w:tcW w:w="1787" w:type="dxa"/>
            <w:tcBorders>
              <w:top w:val="single" w:sz="4" w:space="0" w:color="000000"/>
              <w:left w:val="single" w:sz="4" w:space="0" w:color="000000"/>
              <w:bottom w:val="single" w:sz="4" w:space="0" w:color="000000"/>
              <w:right w:val="single" w:sz="4" w:space="0" w:color="000000"/>
            </w:tcBorders>
            <w:vAlign w:val="center"/>
          </w:tcPr>
          <w:p w14:paraId="5ADAAC5A" w14:textId="77777777" w:rsidR="002449C2" w:rsidRDefault="00123961">
            <w:pPr>
              <w:spacing w:after="0" w:line="240" w:lineRule="auto"/>
              <w:ind w:hanging="14"/>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w:t>
            </w:r>
          </w:p>
        </w:tc>
        <w:tc>
          <w:tcPr>
            <w:tcW w:w="1532" w:type="dxa"/>
            <w:tcBorders>
              <w:bottom w:val="single" w:sz="4" w:space="0" w:color="000000"/>
              <w:right w:val="single" w:sz="4" w:space="0" w:color="000000"/>
            </w:tcBorders>
            <w:tcMar>
              <w:left w:w="108" w:type="dxa"/>
              <w:right w:w="108" w:type="dxa"/>
            </w:tcMar>
            <w:vAlign w:val="center"/>
          </w:tcPr>
          <w:p w14:paraId="1212D4B6" w14:textId="77777777" w:rsidR="002449C2" w:rsidRDefault="00123961">
            <w:pPr>
              <w:spacing w:after="0" w:line="240" w:lineRule="auto"/>
              <w:ind w:hanging="14"/>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2 309 234</w:t>
            </w:r>
          </w:p>
        </w:tc>
      </w:tr>
      <w:tr w:rsidR="002449C2" w14:paraId="3FD84C82" w14:textId="77777777">
        <w:trPr>
          <w:trHeight w:val="20"/>
        </w:trPr>
        <w:tc>
          <w:tcPr>
            <w:tcW w:w="4534" w:type="dxa"/>
            <w:tcBorders>
              <w:top w:val="single" w:sz="4" w:space="0" w:color="000000"/>
              <w:left w:val="single" w:sz="4" w:space="0" w:color="000000"/>
              <w:bottom w:val="single" w:sz="4" w:space="0" w:color="000000"/>
              <w:right w:val="single" w:sz="4" w:space="0" w:color="000000"/>
            </w:tcBorders>
          </w:tcPr>
          <w:p w14:paraId="2B3BFE45" w14:textId="77777777" w:rsidR="002449C2" w:rsidRDefault="00123961">
            <w:pPr>
              <w:tabs>
                <w:tab w:val="left" w:pos="142"/>
              </w:tabs>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Дивиденды</w:t>
            </w:r>
          </w:p>
        </w:tc>
        <w:tc>
          <w:tcPr>
            <w:tcW w:w="1783" w:type="dxa"/>
            <w:tcBorders>
              <w:top w:val="single" w:sz="4" w:space="0" w:color="000000"/>
              <w:left w:val="single" w:sz="4" w:space="0" w:color="000000"/>
              <w:bottom w:val="single" w:sz="4" w:space="0" w:color="000000"/>
            </w:tcBorders>
            <w:vAlign w:val="center"/>
          </w:tcPr>
          <w:p w14:paraId="3796764F" w14:textId="77777777" w:rsidR="002449C2" w:rsidRDefault="00123961">
            <w:pPr>
              <w:spacing w:after="0" w:line="240" w:lineRule="auto"/>
              <w:ind w:hanging="14"/>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w:t>
            </w:r>
          </w:p>
        </w:tc>
        <w:tc>
          <w:tcPr>
            <w:tcW w:w="1787" w:type="dxa"/>
            <w:tcBorders>
              <w:top w:val="single" w:sz="4" w:space="0" w:color="000000"/>
              <w:left w:val="single" w:sz="4" w:space="0" w:color="000000"/>
              <w:bottom w:val="single" w:sz="4" w:space="0" w:color="000000"/>
              <w:right w:val="single" w:sz="4" w:space="0" w:color="000000"/>
            </w:tcBorders>
            <w:vAlign w:val="center"/>
          </w:tcPr>
          <w:p w14:paraId="224574FD" w14:textId="77777777" w:rsidR="002449C2" w:rsidRDefault="00123961">
            <w:pPr>
              <w:spacing w:after="0" w:line="240" w:lineRule="auto"/>
              <w:ind w:hanging="14"/>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w:t>
            </w:r>
          </w:p>
        </w:tc>
        <w:tc>
          <w:tcPr>
            <w:tcW w:w="1532" w:type="dxa"/>
            <w:tcBorders>
              <w:bottom w:val="single" w:sz="4" w:space="0" w:color="000000"/>
              <w:right w:val="single" w:sz="4" w:space="0" w:color="000000"/>
            </w:tcBorders>
            <w:tcMar>
              <w:left w:w="108" w:type="dxa"/>
              <w:right w:w="108" w:type="dxa"/>
            </w:tcMar>
            <w:vAlign w:val="center"/>
          </w:tcPr>
          <w:p w14:paraId="5DA5E1E7" w14:textId="77777777" w:rsidR="002449C2" w:rsidRDefault="00123961">
            <w:pPr>
              <w:spacing w:after="0" w:line="240" w:lineRule="auto"/>
              <w:ind w:hanging="14"/>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w:t>
            </w:r>
          </w:p>
        </w:tc>
      </w:tr>
      <w:tr w:rsidR="002449C2" w14:paraId="03C01DF4" w14:textId="77777777">
        <w:trPr>
          <w:trHeight w:val="20"/>
        </w:trPr>
        <w:tc>
          <w:tcPr>
            <w:tcW w:w="4534" w:type="dxa"/>
            <w:tcBorders>
              <w:top w:val="single" w:sz="4" w:space="0" w:color="000000"/>
              <w:left w:val="single" w:sz="4" w:space="0" w:color="000000"/>
              <w:bottom w:val="single" w:sz="4" w:space="0" w:color="000000"/>
              <w:right w:val="single" w:sz="4" w:space="0" w:color="000000"/>
            </w:tcBorders>
          </w:tcPr>
          <w:p w14:paraId="67FBFF26" w14:textId="77777777" w:rsidR="002449C2" w:rsidRDefault="00123961">
            <w:pPr>
              <w:tabs>
                <w:tab w:val="left" w:pos="142"/>
              </w:tabs>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Погашение убытков прошлых лет</w:t>
            </w:r>
          </w:p>
        </w:tc>
        <w:tc>
          <w:tcPr>
            <w:tcW w:w="1783" w:type="dxa"/>
            <w:tcBorders>
              <w:top w:val="single" w:sz="4" w:space="0" w:color="000000"/>
              <w:left w:val="single" w:sz="4" w:space="0" w:color="000000"/>
              <w:bottom w:val="single" w:sz="4" w:space="0" w:color="000000"/>
              <w:right w:val="single" w:sz="4" w:space="0" w:color="000000"/>
            </w:tcBorders>
            <w:vAlign w:val="center"/>
          </w:tcPr>
          <w:p w14:paraId="49785289" w14:textId="77777777" w:rsidR="002449C2" w:rsidRDefault="00123961">
            <w:pPr>
              <w:spacing w:after="0" w:line="240" w:lineRule="auto"/>
              <w:ind w:hanging="14"/>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w:t>
            </w:r>
          </w:p>
        </w:tc>
        <w:tc>
          <w:tcPr>
            <w:tcW w:w="1787" w:type="dxa"/>
            <w:tcBorders>
              <w:top w:val="single" w:sz="4" w:space="0" w:color="000000"/>
              <w:left w:val="single" w:sz="4" w:space="0" w:color="000000"/>
              <w:bottom w:val="single" w:sz="4" w:space="0" w:color="000000"/>
              <w:right w:val="single" w:sz="4" w:space="0" w:color="000000"/>
            </w:tcBorders>
            <w:vAlign w:val="center"/>
          </w:tcPr>
          <w:p w14:paraId="280323AB" w14:textId="77777777" w:rsidR="002449C2" w:rsidRDefault="00123961">
            <w:pPr>
              <w:spacing w:after="0" w:line="240" w:lineRule="auto"/>
              <w:ind w:hanging="14"/>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w:t>
            </w:r>
          </w:p>
        </w:tc>
        <w:tc>
          <w:tcPr>
            <w:tcW w:w="153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1B7C1F0E" w14:textId="77777777" w:rsidR="002449C2" w:rsidRDefault="00123961">
            <w:pPr>
              <w:spacing w:after="0" w:line="240" w:lineRule="auto"/>
              <w:ind w:hanging="14"/>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w:t>
            </w:r>
          </w:p>
        </w:tc>
      </w:tr>
    </w:tbl>
    <w:p w14:paraId="7C49C027" w14:textId="77777777" w:rsidR="002449C2" w:rsidRDefault="00123961">
      <w:pPr>
        <w:spacing w:after="0" w:line="240" w:lineRule="auto"/>
        <w:ind w:firstLine="426"/>
        <w:jc w:val="both"/>
        <w:rPr>
          <w:rFonts w:ascii="Times New Roman" w:eastAsia="Times New Roman" w:hAnsi="Times New Roman"/>
          <w:sz w:val="20"/>
          <w:szCs w:val="20"/>
          <w:lang w:eastAsia="ru-RU"/>
        </w:rPr>
      </w:pPr>
      <w:r>
        <w:rPr>
          <w:rFonts w:ascii="Times New Roman" w:eastAsia="Times New Roman" w:hAnsi="Times New Roman"/>
          <w:sz w:val="24"/>
          <w:szCs w:val="24"/>
          <w:lang w:eastAsia="ru-RU"/>
        </w:rPr>
        <w:t>*</w:t>
      </w:r>
      <w:r>
        <w:rPr>
          <w:rFonts w:ascii="Times New Roman" w:eastAsia="Times New Roman" w:hAnsi="Times New Roman"/>
          <w:sz w:val="20"/>
          <w:szCs w:val="20"/>
          <w:lang w:eastAsia="ru-RU"/>
        </w:rPr>
        <w:t>Информация о распределении прибыли в соответствии с решениями годовых общих собраний (ГОСА)</w:t>
      </w:r>
    </w:p>
    <w:p w14:paraId="345D7FF2" w14:textId="77777777" w:rsidR="002449C2" w:rsidRDefault="002449C2">
      <w:pPr>
        <w:spacing w:after="0" w:line="240" w:lineRule="auto"/>
        <w:ind w:firstLine="426"/>
        <w:jc w:val="both"/>
        <w:rPr>
          <w:rFonts w:ascii="Times New Roman" w:eastAsia="Times New Roman" w:hAnsi="Times New Roman"/>
          <w:sz w:val="20"/>
          <w:szCs w:val="20"/>
          <w:lang w:eastAsia="ru-RU"/>
        </w:rPr>
      </w:pPr>
    </w:p>
    <w:p w14:paraId="0202306C" w14:textId="77777777" w:rsidR="002449C2" w:rsidRDefault="00123961">
      <w:pPr>
        <w:spacing w:after="0" w:line="240" w:lineRule="auto"/>
        <w:ind w:firstLine="426"/>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ГОСА 2022 (за 2021 год) - Протокол ГОСА от 16.06.2022 № 25</w:t>
      </w:r>
    </w:p>
    <w:p w14:paraId="290859FB" w14:textId="77777777" w:rsidR="002449C2" w:rsidRDefault="00123961">
      <w:pPr>
        <w:spacing w:after="0" w:line="240" w:lineRule="auto"/>
        <w:ind w:firstLine="426"/>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ГОСА 2023 (за 2022 год) - Протокол ГОСА от 13.06.2023 № 26</w:t>
      </w:r>
    </w:p>
    <w:p w14:paraId="4070B53F" w14:textId="77777777" w:rsidR="002449C2" w:rsidRDefault="00123961">
      <w:pPr>
        <w:spacing w:after="0" w:line="240" w:lineRule="auto"/>
        <w:ind w:firstLine="426"/>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ГОСА 2024 (за 2023 год) - Протокол ГОСА от 19.06.2024 № 27</w:t>
      </w:r>
    </w:p>
    <w:p w14:paraId="3EE6122C" w14:textId="77777777" w:rsidR="002449C2" w:rsidRDefault="002449C2">
      <w:pPr>
        <w:shd w:val="clear" w:color="auto" w:fill="FFFFFF"/>
        <w:spacing w:after="0" w:line="240" w:lineRule="auto"/>
        <w:ind w:firstLine="709"/>
        <w:jc w:val="center"/>
        <w:rPr>
          <w:rFonts w:ascii="Times New Roman" w:eastAsia="Arial" w:hAnsi="Times New Roman"/>
          <w:b/>
          <w:sz w:val="24"/>
          <w:szCs w:val="24"/>
          <w:lang w:eastAsia="en-US"/>
        </w:rPr>
      </w:pPr>
    </w:p>
    <w:p w14:paraId="1B53E51F" w14:textId="77777777" w:rsidR="002449C2" w:rsidRDefault="00123961">
      <w:pPr>
        <w:tabs>
          <w:tab w:val="left" w:pos="9356"/>
        </w:tabs>
        <w:spacing w:after="0" w:line="240" w:lineRule="auto"/>
        <w:ind w:right="-143"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 соответствии с Уставом Общества решение о распределении прибыли по итогам 2024 года будет принято Общим собранием акционеров в 2025 году.</w:t>
      </w:r>
    </w:p>
    <w:p w14:paraId="7C89A682" w14:textId="77777777" w:rsidR="002449C2" w:rsidRDefault="002449C2">
      <w:pPr>
        <w:tabs>
          <w:tab w:val="left" w:pos="9356"/>
        </w:tabs>
        <w:spacing w:after="0" w:line="240" w:lineRule="auto"/>
        <w:ind w:left="426" w:right="-143" w:hanging="426"/>
        <w:jc w:val="both"/>
        <w:rPr>
          <w:rFonts w:ascii="Times New Roman" w:eastAsia="Times New Roman" w:hAnsi="Times New Roman"/>
          <w:sz w:val="24"/>
          <w:szCs w:val="24"/>
          <w:lang w:eastAsia="ru-RU"/>
        </w:rPr>
      </w:pPr>
    </w:p>
    <w:p w14:paraId="47C5B7AC" w14:textId="77777777" w:rsidR="002449C2" w:rsidRDefault="002449C2">
      <w:pPr>
        <w:shd w:val="clear" w:color="auto" w:fill="FFFFFF"/>
        <w:spacing w:after="0" w:line="240" w:lineRule="auto"/>
        <w:ind w:firstLine="709"/>
        <w:jc w:val="center"/>
        <w:rPr>
          <w:rFonts w:ascii="Times New Roman" w:eastAsia="Arial" w:hAnsi="Times New Roman"/>
          <w:b/>
          <w:sz w:val="24"/>
          <w:szCs w:val="24"/>
          <w:lang w:eastAsia="en-US"/>
        </w:rPr>
      </w:pPr>
    </w:p>
    <w:p w14:paraId="07241170" w14:textId="77777777" w:rsidR="002449C2" w:rsidRDefault="00123961">
      <w:pPr>
        <w:shd w:val="clear" w:color="auto" w:fill="FFFFFF"/>
        <w:tabs>
          <w:tab w:val="left" w:pos="851"/>
        </w:tabs>
        <w:spacing w:after="120" w:line="240" w:lineRule="auto"/>
        <w:jc w:val="center"/>
        <w:rPr>
          <w:rFonts w:ascii="Times New Roman" w:eastAsia="Arial" w:hAnsi="Times New Roman"/>
          <w:b/>
          <w:sz w:val="24"/>
          <w:szCs w:val="24"/>
          <w:lang w:eastAsia="en-US"/>
        </w:rPr>
      </w:pPr>
      <w:r>
        <w:rPr>
          <w:rFonts w:ascii="Times New Roman" w:eastAsia="Arial" w:hAnsi="Times New Roman"/>
          <w:b/>
          <w:sz w:val="24"/>
          <w:szCs w:val="24"/>
          <w:lang w:eastAsia="en-US"/>
        </w:rPr>
        <w:t>Отчет о начисленных дивидендах акционерам ПАО «Россети Юг»</w:t>
      </w:r>
    </w:p>
    <w:tbl>
      <w:tblPr>
        <w:tblW w:w="9918" w:type="dxa"/>
        <w:tblLayout w:type="fixed"/>
        <w:tblLook w:val="04A0" w:firstRow="1" w:lastRow="0" w:firstColumn="1" w:lastColumn="0" w:noHBand="0" w:noVBand="1"/>
      </w:tblPr>
      <w:tblGrid>
        <w:gridCol w:w="1588"/>
        <w:gridCol w:w="1389"/>
        <w:gridCol w:w="1105"/>
        <w:gridCol w:w="1413"/>
        <w:gridCol w:w="2013"/>
        <w:gridCol w:w="1394"/>
        <w:gridCol w:w="1016"/>
      </w:tblGrid>
      <w:tr w:rsidR="002449C2" w14:paraId="3C4F5218" w14:textId="77777777">
        <w:tc>
          <w:tcPr>
            <w:tcW w:w="1587" w:type="dxa"/>
            <w:tcBorders>
              <w:top w:val="single" w:sz="4" w:space="0" w:color="000000"/>
              <w:left w:val="single" w:sz="4" w:space="0" w:color="000000"/>
              <w:bottom w:val="single" w:sz="4" w:space="0" w:color="000000"/>
              <w:right w:val="single" w:sz="4" w:space="0" w:color="000000"/>
            </w:tcBorders>
            <w:vAlign w:val="center"/>
          </w:tcPr>
          <w:p w14:paraId="0DBDA1E6" w14:textId="77777777" w:rsidR="002449C2" w:rsidRDefault="00123961">
            <w:pPr>
              <w:shd w:val="clear" w:color="auto" w:fill="FFFFFF"/>
              <w:spacing w:after="12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Год выплаты</w:t>
            </w:r>
          </w:p>
        </w:tc>
        <w:tc>
          <w:tcPr>
            <w:tcW w:w="1389" w:type="dxa"/>
            <w:tcBorders>
              <w:top w:val="single" w:sz="4" w:space="0" w:color="000000"/>
              <w:left w:val="single" w:sz="4" w:space="0" w:color="000000"/>
              <w:bottom w:val="single" w:sz="4" w:space="0" w:color="000000"/>
              <w:right w:val="single" w:sz="4" w:space="0" w:color="000000"/>
            </w:tcBorders>
            <w:vAlign w:val="center"/>
          </w:tcPr>
          <w:p w14:paraId="3EF8AE7A" w14:textId="77777777" w:rsidR="002449C2" w:rsidRDefault="00123961">
            <w:pPr>
              <w:shd w:val="clear" w:color="auto" w:fill="FFFFFF"/>
              <w:spacing w:after="12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Дата принятия решения</w:t>
            </w:r>
          </w:p>
        </w:tc>
        <w:tc>
          <w:tcPr>
            <w:tcW w:w="1105" w:type="dxa"/>
            <w:tcBorders>
              <w:top w:val="single" w:sz="4" w:space="0" w:color="000000"/>
              <w:left w:val="single" w:sz="4" w:space="0" w:color="000000"/>
              <w:bottom w:val="single" w:sz="4" w:space="0" w:color="000000"/>
              <w:right w:val="single" w:sz="4" w:space="0" w:color="000000"/>
            </w:tcBorders>
            <w:vAlign w:val="center"/>
          </w:tcPr>
          <w:p w14:paraId="654A4174" w14:textId="77777777" w:rsidR="002449C2" w:rsidRDefault="00123961">
            <w:pPr>
              <w:shd w:val="clear" w:color="auto" w:fill="FFFFFF"/>
              <w:spacing w:after="120" w:line="240" w:lineRule="auto"/>
              <w:ind w:right="-114"/>
              <w:jc w:val="center"/>
              <w:rPr>
                <w:rFonts w:ascii="Times New Roman" w:eastAsia="Arial" w:hAnsi="Times New Roman"/>
                <w:sz w:val="18"/>
                <w:szCs w:val="18"/>
                <w:lang w:eastAsia="en-US"/>
              </w:rPr>
            </w:pPr>
            <w:r>
              <w:rPr>
                <w:rFonts w:ascii="Times New Roman" w:eastAsia="Arial" w:hAnsi="Times New Roman"/>
                <w:sz w:val="18"/>
                <w:szCs w:val="18"/>
                <w:lang w:eastAsia="en-US"/>
              </w:rPr>
              <w:t>Дата составления списка</w:t>
            </w:r>
          </w:p>
        </w:tc>
        <w:tc>
          <w:tcPr>
            <w:tcW w:w="1413" w:type="dxa"/>
            <w:tcBorders>
              <w:top w:val="single" w:sz="4" w:space="0" w:color="000000"/>
              <w:left w:val="single" w:sz="4" w:space="0" w:color="000000"/>
              <w:bottom w:val="single" w:sz="4" w:space="0" w:color="000000"/>
              <w:right w:val="single" w:sz="4" w:space="0" w:color="000000"/>
            </w:tcBorders>
            <w:vAlign w:val="center"/>
          </w:tcPr>
          <w:p w14:paraId="6CBDF5C0" w14:textId="77777777" w:rsidR="002449C2" w:rsidRDefault="00123961">
            <w:pPr>
              <w:shd w:val="clear" w:color="auto" w:fill="FFFFFF"/>
              <w:spacing w:after="12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Тип акций</w:t>
            </w:r>
          </w:p>
        </w:tc>
        <w:tc>
          <w:tcPr>
            <w:tcW w:w="2013" w:type="dxa"/>
            <w:tcBorders>
              <w:top w:val="single" w:sz="4" w:space="0" w:color="000000"/>
              <w:left w:val="single" w:sz="4" w:space="0" w:color="000000"/>
              <w:bottom w:val="single" w:sz="4" w:space="0" w:color="000000"/>
              <w:right w:val="single" w:sz="4" w:space="0" w:color="000000"/>
            </w:tcBorders>
            <w:vAlign w:val="center"/>
          </w:tcPr>
          <w:p w14:paraId="4E89B532" w14:textId="77777777" w:rsidR="002449C2" w:rsidRDefault="00123961">
            <w:pPr>
              <w:shd w:val="clear" w:color="auto" w:fill="FFFFFF"/>
              <w:spacing w:after="12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Дивиденд на 1 акцию, руб.</w:t>
            </w:r>
          </w:p>
        </w:tc>
        <w:tc>
          <w:tcPr>
            <w:tcW w:w="1394" w:type="dxa"/>
            <w:tcBorders>
              <w:top w:val="single" w:sz="4" w:space="0" w:color="000000"/>
              <w:left w:val="single" w:sz="4" w:space="0" w:color="000000"/>
              <w:bottom w:val="single" w:sz="4" w:space="0" w:color="000000"/>
              <w:right w:val="single" w:sz="4" w:space="0" w:color="000000"/>
            </w:tcBorders>
            <w:vAlign w:val="center"/>
          </w:tcPr>
          <w:p w14:paraId="13F90F1E" w14:textId="77777777" w:rsidR="002449C2" w:rsidRDefault="00123961">
            <w:pPr>
              <w:shd w:val="clear" w:color="auto" w:fill="FFFFFF"/>
              <w:spacing w:after="12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Начислено по акциям, руб.</w:t>
            </w:r>
          </w:p>
        </w:tc>
        <w:tc>
          <w:tcPr>
            <w:tcW w:w="1016" w:type="dxa"/>
            <w:tcBorders>
              <w:top w:val="single" w:sz="4" w:space="0" w:color="000000"/>
              <w:left w:val="single" w:sz="4" w:space="0" w:color="000000"/>
              <w:bottom w:val="single" w:sz="4" w:space="0" w:color="000000"/>
              <w:right w:val="single" w:sz="4" w:space="0" w:color="000000"/>
            </w:tcBorders>
            <w:vAlign w:val="center"/>
          </w:tcPr>
          <w:p w14:paraId="54C59E1B" w14:textId="77777777" w:rsidR="002449C2" w:rsidRDefault="00123961">
            <w:pPr>
              <w:shd w:val="clear" w:color="auto" w:fill="FFFFFF"/>
              <w:spacing w:after="12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Доля объявленных дивидендов в чистой прибыли отчетного года,%</w:t>
            </w:r>
          </w:p>
        </w:tc>
      </w:tr>
      <w:tr w:rsidR="002449C2" w14:paraId="5649351B" w14:textId="77777777">
        <w:trPr>
          <w:trHeight w:val="340"/>
        </w:trPr>
        <w:tc>
          <w:tcPr>
            <w:tcW w:w="1587" w:type="dxa"/>
            <w:tcBorders>
              <w:top w:val="single" w:sz="4" w:space="0" w:color="000000"/>
              <w:left w:val="single" w:sz="4" w:space="0" w:color="000000"/>
              <w:bottom w:val="single" w:sz="4" w:space="0" w:color="000000"/>
              <w:right w:val="single" w:sz="4" w:space="0" w:color="000000"/>
            </w:tcBorders>
            <w:vAlign w:val="center"/>
          </w:tcPr>
          <w:p w14:paraId="4A0D25DB" w14:textId="77777777" w:rsidR="002449C2" w:rsidRDefault="00123961">
            <w:pPr>
              <w:shd w:val="clear" w:color="auto" w:fill="FFFFFF"/>
              <w:spacing w:after="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2020</w:t>
            </w:r>
          </w:p>
          <w:p w14:paraId="757212CE" w14:textId="77777777" w:rsidR="002449C2" w:rsidRDefault="00123961">
            <w:pPr>
              <w:shd w:val="clear" w:color="auto" w:fill="FFFFFF"/>
              <w:spacing w:after="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(по итогам 2019)</w:t>
            </w:r>
          </w:p>
        </w:tc>
        <w:tc>
          <w:tcPr>
            <w:tcW w:w="8330" w:type="dxa"/>
            <w:gridSpan w:val="6"/>
            <w:tcBorders>
              <w:top w:val="single" w:sz="4" w:space="0" w:color="000000"/>
              <w:left w:val="single" w:sz="4" w:space="0" w:color="000000"/>
              <w:bottom w:val="single" w:sz="4" w:space="0" w:color="000000"/>
              <w:right w:val="single" w:sz="4" w:space="0" w:color="000000"/>
            </w:tcBorders>
            <w:vAlign w:val="center"/>
          </w:tcPr>
          <w:p w14:paraId="34485748" w14:textId="77777777" w:rsidR="002449C2" w:rsidRDefault="00123961">
            <w:pPr>
              <w:shd w:val="clear" w:color="auto" w:fill="FFFFFF"/>
              <w:spacing w:after="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Дивиденды не начислялись</w:t>
            </w:r>
          </w:p>
        </w:tc>
      </w:tr>
      <w:tr w:rsidR="002449C2" w14:paraId="66EA492C" w14:textId="77777777">
        <w:trPr>
          <w:trHeight w:val="340"/>
        </w:trPr>
        <w:tc>
          <w:tcPr>
            <w:tcW w:w="1587" w:type="dxa"/>
            <w:tcBorders>
              <w:top w:val="single" w:sz="4" w:space="0" w:color="000000"/>
              <w:left w:val="single" w:sz="4" w:space="0" w:color="000000"/>
              <w:bottom w:val="single" w:sz="4" w:space="0" w:color="000000"/>
              <w:right w:val="single" w:sz="4" w:space="0" w:color="000000"/>
            </w:tcBorders>
            <w:vAlign w:val="center"/>
          </w:tcPr>
          <w:p w14:paraId="51871F61" w14:textId="77777777" w:rsidR="002449C2" w:rsidRDefault="00123961">
            <w:pPr>
              <w:shd w:val="clear" w:color="auto" w:fill="FFFFFF"/>
              <w:spacing w:after="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2021</w:t>
            </w:r>
          </w:p>
          <w:p w14:paraId="47CBAC85" w14:textId="77777777" w:rsidR="002449C2" w:rsidRDefault="00123961">
            <w:pPr>
              <w:shd w:val="clear" w:color="auto" w:fill="FFFFFF"/>
              <w:spacing w:after="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(по итогам 2020)</w:t>
            </w:r>
          </w:p>
        </w:tc>
        <w:tc>
          <w:tcPr>
            <w:tcW w:w="8330" w:type="dxa"/>
            <w:gridSpan w:val="6"/>
            <w:tcBorders>
              <w:top w:val="single" w:sz="4" w:space="0" w:color="000000"/>
              <w:left w:val="single" w:sz="4" w:space="0" w:color="000000"/>
              <w:bottom w:val="single" w:sz="4" w:space="0" w:color="000000"/>
              <w:right w:val="single" w:sz="4" w:space="0" w:color="000000"/>
            </w:tcBorders>
            <w:vAlign w:val="center"/>
          </w:tcPr>
          <w:p w14:paraId="6BA653D0" w14:textId="77777777" w:rsidR="002449C2" w:rsidRDefault="00123961">
            <w:pPr>
              <w:shd w:val="clear" w:color="auto" w:fill="FFFFFF"/>
              <w:spacing w:after="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Дивиденды не начислялись</w:t>
            </w:r>
          </w:p>
        </w:tc>
      </w:tr>
      <w:tr w:rsidR="002449C2" w14:paraId="3A4F5DAF" w14:textId="77777777">
        <w:trPr>
          <w:trHeight w:val="340"/>
        </w:trPr>
        <w:tc>
          <w:tcPr>
            <w:tcW w:w="1587" w:type="dxa"/>
            <w:tcBorders>
              <w:top w:val="single" w:sz="4" w:space="0" w:color="000000"/>
              <w:left w:val="single" w:sz="4" w:space="0" w:color="000000"/>
              <w:bottom w:val="single" w:sz="4" w:space="0" w:color="000000"/>
              <w:right w:val="single" w:sz="4" w:space="0" w:color="000000"/>
            </w:tcBorders>
            <w:vAlign w:val="center"/>
          </w:tcPr>
          <w:p w14:paraId="45060B81" w14:textId="77777777" w:rsidR="002449C2" w:rsidRDefault="00123961">
            <w:pPr>
              <w:shd w:val="clear" w:color="auto" w:fill="FFFFFF"/>
              <w:spacing w:after="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2022</w:t>
            </w:r>
          </w:p>
          <w:p w14:paraId="13F42AA2" w14:textId="77777777" w:rsidR="002449C2" w:rsidRDefault="00123961">
            <w:pPr>
              <w:shd w:val="clear" w:color="auto" w:fill="FFFFFF"/>
              <w:spacing w:after="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(по итогам 2021)</w:t>
            </w:r>
          </w:p>
        </w:tc>
        <w:tc>
          <w:tcPr>
            <w:tcW w:w="8330" w:type="dxa"/>
            <w:gridSpan w:val="6"/>
            <w:tcBorders>
              <w:top w:val="single" w:sz="4" w:space="0" w:color="000000"/>
              <w:left w:val="single" w:sz="4" w:space="0" w:color="000000"/>
              <w:bottom w:val="single" w:sz="4" w:space="0" w:color="000000"/>
              <w:right w:val="single" w:sz="4" w:space="0" w:color="000000"/>
            </w:tcBorders>
            <w:vAlign w:val="center"/>
          </w:tcPr>
          <w:p w14:paraId="1914495E" w14:textId="77777777" w:rsidR="002449C2" w:rsidRDefault="00123961">
            <w:pPr>
              <w:shd w:val="clear" w:color="auto" w:fill="FFFFFF"/>
              <w:spacing w:after="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Дивиденды не начислялись</w:t>
            </w:r>
          </w:p>
        </w:tc>
      </w:tr>
      <w:tr w:rsidR="002449C2" w14:paraId="7BFEF87D" w14:textId="77777777">
        <w:trPr>
          <w:trHeight w:val="340"/>
        </w:trPr>
        <w:tc>
          <w:tcPr>
            <w:tcW w:w="1587" w:type="dxa"/>
            <w:tcBorders>
              <w:top w:val="single" w:sz="4" w:space="0" w:color="000000"/>
              <w:left w:val="single" w:sz="4" w:space="0" w:color="000000"/>
              <w:bottom w:val="single" w:sz="4" w:space="0" w:color="000000"/>
              <w:right w:val="single" w:sz="4" w:space="0" w:color="000000"/>
            </w:tcBorders>
            <w:vAlign w:val="center"/>
          </w:tcPr>
          <w:p w14:paraId="11C9E7CE" w14:textId="77777777" w:rsidR="002449C2" w:rsidRDefault="00123961">
            <w:pPr>
              <w:shd w:val="clear" w:color="auto" w:fill="FFFFFF"/>
              <w:spacing w:after="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2023</w:t>
            </w:r>
          </w:p>
          <w:p w14:paraId="09CE8C87" w14:textId="77777777" w:rsidR="002449C2" w:rsidRDefault="00123961">
            <w:pPr>
              <w:shd w:val="clear" w:color="auto" w:fill="FFFFFF"/>
              <w:spacing w:after="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(по итогам 2022)</w:t>
            </w:r>
          </w:p>
        </w:tc>
        <w:tc>
          <w:tcPr>
            <w:tcW w:w="8330" w:type="dxa"/>
            <w:gridSpan w:val="6"/>
            <w:tcBorders>
              <w:top w:val="single" w:sz="4" w:space="0" w:color="000000"/>
              <w:left w:val="single" w:sz="4" w:space="0" w:color="000000"/>
              <w:bottom w:val="single" w:sz="4" w:space="0" w:color="000000"/>
              <w:right w:val="single" w:sz="4" w:space="0" w:color="000000"/>
            </w:tcBorders>
            <w:vAlign w:val="center"/>
          </w:tcPr>
          <w:p w14:paraId="53F1BD7B" w14:textId="77777777" w:rsidR="002449C2" w:rsidRDefault="00123961">
            <w:pPr>
              <w:shd w:val="clear" w:color="auto" w:fill="FFFFFF"/>
              <w:spacing w:after="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Дивиденды не начислялись</w:t>
            </w:r>
          </w:p>
        </w:tc>
      </w:tr>
      <w:tr w:rsidR="002449C2" w14:paraId="491BEE2D" w14:textId="77777777">
        <w:trPr>
          <w:trHeight w:val="340"/>
        </w:trPr>
        <w:tc>
          <w:tcPr>
            <w:tcW w:w="1587" w:type="dxa"/>
            <w:tcBorders>
              <w:top w:val="single" w:sz="4" w:space="0" w:color="000000"/>
              <w:left w:val="single" w:sz="4" w:space="0" w:color="000000"/>
              <w:bottom w:val="single" w:sz="4" w:space="0" w:color="000000"/>
              <w:right w:val="single" w:sz="4" w:space="0" w:color="000000"/>
            </w:tcBorders>
            <w:vAlign w:val="center"/>
          </w:tcPr>
          <w:p w14:paraId="7F8FC752" w14:textId="77777777" w:rsidR="002449C2" w:rsidRDefault="00123961">
            <w:pPr>
              <w:shd w:val="clear" w:color="auto" w:fill="FFFFFF"/>
              <w:spacing w:after="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2024</w:t>
            </w:r>
          </w:p>
          <w:p w14:paraId="49DE94FE" w14:textId="77777777" w:rsidR="002449C2" w:rsidRDefault="00123961">
            <w:pPr>
              <w:shd w:val="clear" w:color="auto" w:fill="FFFFFF"/>
              <w:spacing w:after="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(по итогам 2023)</w:t>
            </w:r>
          </w:p>
        </w:tc>
        <w:tc>
          <w:tcPr>
            <w:tcW w:w="8330" w:type="dxa"/>
            <w:gridSpan w:val="6"/>
            <w:tcBorders>
              <w:top w:val="single" w:sz="4" w:space="0" w:color="000000"/>
              <w:left w:val="single" w:sz="4" w:space="0" w:color="000000"/>
              <w:bottom w:val="single" w:sz="4" w:space="0" w:color="000000"/>
              <w:right w:val="single" w:sz="4" w:space="0" w:color="000000"/>
            </w:tcBorders>
            <w:vAlign w:val="center"/>
          </w:tcPr>
          <w:p w14:paraId="7B06A604" w14:textId="77777777" w:rsidR="002449C2" w:rsidRDefault="00123961">
            <w:pPr>
              <w:shd w:val="clear" w:color="auto" w:fill="FFFFFF"/>
              <w:spacing w:after="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Дивиденды не начислялись</w:t>
            </w:r>
          </w:p>
        </w:tc>
      </w:tr>
    </w:tbl>
    <w:p w14:paraId="4F8CFE9A" w14:textId="77777777" w:rsidR="002449C2" w:rsidRDefault="002449C2">
      <w:pPr>
        <w:shd w:val="clear" w:color="auto" w:fill="FFFFFF"/>
        <w:tabs>
          <w:tab w:val="left" w:pos="851"/>
        </w:tabs>
        <w:spacing w:after="120" w:line="240" w:lineRule="auto"/>
        <w:jc w:val="center"/>
        <w:rPr>
          <w:rFonts w:ascii="Times New Roman" w:eastAsia="Arial" w:hAnsi="Times New Roman"/>
          <w:b/>
          <w:bCs/>
          <w:sz w:val="24"/>
          <w:szCs w:val="24"/>
          <w:lang w:eastAsia="en-US"/>
        </w:rPr>
      </w:pPr>
    </w:p>
    <w:p w14:paraId="6F103402" w14:textId="77777777" w:rsidR="002449C2" w:rsidRDefault="00123961">
      <w:pPr>
        <w:shd w:val="clear" w:color="auto" w:fill="FFFFFF"/>
        <w:tabs>
          <w:tab w:val="left" w:pos="851"/>
        </w:tabs>
        <w:spacing w:after="120" w:line="240" w:lineRule="auto"/>
        <w:jc w:val="center"/>
        <w:rPr>
          <w:rFonts w:ascii="Times New Roman" w:eastAsia="Arial" w:hAnsi="Times New Roman"/>
          <w:b/>
          <w:bCs/>
          <w:sz w:val="24"/>
          <w:szCs w:val="24"/>
          <w:lang w:eastAsia="en-US"/>
        </w:rPr>
      </w:pPr>
      <w:r>
        <w:rPr>
          <w:rFonts w:ascii="Times New Roman" w:eastAsia="Arial" w:hAnsi="Times New Roman"/>
          <w:b/>
          <w:sz w:val="24"/>
          <w:szCs w:val="24"/>
          <w:lang w:eastAsia="en-US"/>
        </w:rPr>
        <w:t>Отчет о выплаченных дивидендах акционерам Общества</w:t>
      </w:r>
    </w:p>
    <w:tbl>
      <w:tblPr>
        <w:tblW w:w="10060" w:type="dxa"/>
        <w:tblLayout w:type="fixed"/>
        <w:tblLook w:val="04A0" w:firstRow="1" w:lastRow="0" w:firstColumn="1" w:lastColumn="0" w:noHBand="0" w:noVBand="1"/>
      </w:tblPr>
      <w:tblGrid>
        <w:gridCol w:w="1964"/>
        <w:gridCol w:w="2274"/>
        <w:gridCol w:w="2262"/>
        <w:gridCol w:w="1984"/>
        <w:gridCol w:w="1576"/>
      </w:tblGrid>
      <w:tr w:rsidR="002449C2" w14:paraId="39C77EB5" w14:textId="77777777">
        <w:tc>
          <w:tcPr>
            <w:tcW w:w="1964" w:type="dxa"/>
            <w:tcBorders>
              <w:top w:val="single" w:sz="4" w:space="0" w:color="000000"/>
              <w:left w:val="single" w:sz="4" w:space="0" w:color="000000"/>
              <w:bottom w:val="single" w:sz="4" w:space="0" w:color="000000"/>
              <w:right w:val="single" w:sz="4" w:space="0" w:color="000000"/>
            </w:tcBorders>
            <w:vAlign w:val="center"/>
          </w:tcPr>
          <w:p w14:paraId="5BA8174D" w14:textId="77777777" w:rsidR="002449C2" w:rsidRDefault="00123961">
            <w:pPr>
              <w:shd w:val="clear" w:color="auto" w:fill="FFFFFF"/>
              <w:spacing w:after="12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Год выплаты</w:t>
            </w:r>
          </w:p>
        </w:tc>
        <w:tc>
          <w:tcPr>
            <w:tcW w:w="2274" w:type="dxa"/>
            <w:tcBorders>
              <w:top w:val="single" w:sz="4" w:space="0" w:color="000000"/>
              <w:left w:val="single" w:sz="4" w:space="0" w:color="000000"/>
              <w:bottom w:val="single" w:sz="4" w:space="0" w:color="000000"/>
              <w:right w:val="single" w:sz="4" w:space="0" w:color="000000"/>
            </w:tcBorders>
            <w:vAlign w:val="center"/>
          </w:tcPr>
          <w:p w14:paraId="5A92D870" w14:textId="77777777" w:rsidR="002449C2" w:rsidRDefault="00123961">
            <w:pPr>
              <w:shd w:val="clear" w:color="auto" w:fill="FFFFFF"/>
              <w:spacing w:after="12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Тип акций</w:t>
            </w:r>
          </w:p>
        </w:tc>
        <w:tc>
          <w:tcPr>
            <w:tcW w:w="2262" w:type="dxa"/>
            <w:tcBorders>
              <w:top w:val="single" w:sz="4" w:space="0" w:color="000000"/>
              <w:left w:val="single" w:sz="4" w:space="0" w:color="000000"/>
              <w:bottom w:val="single" w:sz="4" w:space="0" w:color="000000"/>
              <w:right w:val="single" w:sz="4" w:space="0" w:color="000000"/>
            </w:tcBorders>
            <w:vAlign w:val="center"/>
          </w:tcPr>
          <w:p w14:paraId="4E861701" w14:textId="77777777" w:rsidR="002449C2" w:rsidRDefault="00123961">
            <w:pPr>
              <w:shd w:val="clear" w:color="auto" w:fill="FFFFFF"/>
              <w:spacing w:after="12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Выплачено, руб.</w:t>
            </w:r>
          </w:p>
        </w:tc>
        <w:tc>
          <w:tcPr>
            <w:tcW w:w="1984" w:type="dxa"/>
            <w:tcBorders>
              <w:top w:val="single" w:sz="4" w:space="0" w:color="000000"/>
              <w:left w:val="single" w:sz="4" w:space="0" w:color="000000"/>
              <w:bottom w:val="single" w:sz="4" w:space="0" w:color="000000"/>
              <w:right w:val="single" w:sz="4" w:space="0" w:color="000000"/>
            </w:tcBorders>
            <w:vAlign w:val="center"/>
          </w:tcPr>
          <w:p w14:paraId="092D64CC" w14:textId="77777777" w:rsidR="002449C2" w:rsidRDefault="00123961">
            <w:pPr>
              <w:shd w:val="clear" w:color="auto" w:fill="FFFFFF"/>
              <w:spacing w:after="12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Причины невыплаты объявленных дивидендов</w:t>
            </w:r>
          </w:p>
        </w:tc>
        <w:tc>
          <w:tcPr>
            <w:tcW w:w="1576" w:type="dxa"/>
            <w:tcBorders>
              <w:top w:val="single" w:sz="4" w:space="0" w:color="000000"/>
              <w:left w:val="single" w:sz="4" w:space="0" w:color="000000"/>
              <w:bottom w:val="single" w:sz="4" w:space="0" w:color="000000"/>
              <w:right w:val="single" w:sz="4" w:space="0" w:color="000000"/>
            </w:tcBorders>
            <w:vAlign w:val="center"/>
          </w:tcPr>
          <w:p w14:paraId="2D809B03" w14:textId="77777777" w:rsidR="002449C2" w:rsidRDefault="00123961">
            <w:pPr>
              <w:shd w:val="clear" w:color="auto" w:fill="FFFFFF"/>
              <w:spacing w:after="12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 выплаты</w:t>
            </w:r>
          </w:p>
        </w:tc>
      </w:tr>
      <w:tr w:rsidR="002449C2" w14:paraId="47BF4418" w14:textId="77777777">
        <w:trPr>
          <w:trHeight w:val="441"/>
        </w:trPr>
        <w:tc>
          <w:tcPr>
            <w:tcW w:w="1964"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554BD92" w14:textId="77777777" w:rsidR="002449C2" w:rsidRDefault="00123961">
            <w:pPr>
              <w:shd w:val="clear" w:color="auto" w:fill="FFFFFF"/>
              <w:spacing w:after="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2020</w:t>
            </w:r>
          </w:p>
          <w:p w14:paraId="0EF95F63" w14:textId="77777777" w:rsidR="002449C2" w:rsidRDefault="00123961">
            <w:pPr>
              <w:shd w:val="clear" w:color="auto" w:fill="FFFFFF"/>
              <w:spacing w:after="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 xml:space="preserve"> (по итогам 2019)</w:t>
            </w:r>
          </w:p>
        </w:tc>
        <w:tc>
          <w:tcPr>
            <w:tcW w:w="8096" w:type="dxa"/>
            <w:gridSpan w:val="4"/>
            <w:tcBorders>
              <w:top w:val="single" w:sz="4" w:space="0" w:color="000000"/>
              <w:left w:val="single" w:sz="4" w:space="0" w:color="000000"/>
              <w:bottom w:val="single" w:sz="4" w:space="0" w:color="000000"/>
              <w:right w:val="single" w:sz="4" w:space="0" w:color="000000"/>
            </w:tcBorders>
            <w:shd w:val="clear" w:color="FFFFFF" w:fill="FFFFFF"/>
            <w:vAlign w:val="center"/>
          </w:tcPr>
          <w:p w14:paraId="0FCD082C" w14:textId="77777777" w:rsidR="002449C2" w:rsidRDefault="00123961">
            <w:pPr>
              <w:shd w:val="clear" w:color="auto" w:fill="FFFFFF"/>
              <w:spacing w:after="12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Дивиденды не начислялись и не выплачивались</w:t>
            </w:r>
          </w:p>
        </w:tc>
      </w:tr>
      <w:tr w:rsidR="002449C2" w14:paraId="6B8CF9EB" w14:textId="77777777">
        <w:trPr>
          <w:trHeight w:val="441"/>
        </w:trPr>
        <w:tc>
          <w:tcPr>
            <w:tcW w:w="1964"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FA42AD5" w14:textId="77777777" w:rsidR="002449C2" w:rsidRDefault="00123961">
            <w:pPr>
              <w:shd w:val="clear" w:color="auto" w:fill="FFFFFF"/>
              <w:spacing w:after="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2021 (по итогам 2020)</w:t>
            </w:r>
          </w:p>
        </w:tc>
        <w:tc>
          <w:tcPr>
            <w:tcW w:w="8096" w:type="dxa"/>
            <w:gridSpan w:val="4"/>
            <w:tcBorders>
              <w:top w:val="single" w:sz="4" w:space="0" w:color="000000"/>
              <w:left w:val="single" w:sz="4" w:space="0" w:color="000000"/>
              <w:bottom w:val="single" w:sz="4" w:space="0" w:color="000000"/>
              <w:right w:val="single" w:sz="4" w:space="0" w:color="000000"/>
            </w:tcBorders>
            <w:shd w:val="clear" w:color="FFFFFF" w:fill="FFFFFF"/>
            <w:vAlign w:val="center"/>
          </w:tcPr>
          <w:p w14:paraId="280BE640" w14:textId="77777777" w:rsidR="002449C2" w:rsidRDefault="00123961">
            <w:pPr>
              <w:shd w:val="clear" w:color="auto" w:fill="FFFFFF"/>
              <w:spacing w:after="12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Дивиденды не начислялись и не выплачивались</w:t>
            </w:r>
          </w:p>
        </w:tc>
      </w:tr>
      <w:tr w:rsidR="002449C2" w14:paraId="079E70EF" w14:textId="77777777">
        <w:trPr>
          <w:trHeight w:val="441"/>
        </w:trPr>
        <w:tc>
          <w:tcPr>
            <w:tcW w:w="1964"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1A5C8FF4" w14:textId="77777777" w:rsidR="002449C2" w:rsidRDefault="00123961">
            <w:pPr>
              <w:shd w:val="clear" w:color="auto" w:fill="FFFFFF"/>
              <w:spacing w:after="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2022 (по итогам 2021)</w:t>
            </w:r>
          </w:p>
        </w:tc>
        <w:tc>
          <w:tcPr>
            <w:tcW w:w="8096" w:type="dxa"/>
            <w:gridSpan w:val="4"/>
            <w:tcBorders>
              <w:top w:val="single" w:sz="4" w:space="0" w:color="000000"/>
              <w:left w:val="single" w:sz="4" w:space="0" w:color="000000"/>
              <w:bottom w:val="single" w:sz="4" w:space="0" w:color="000000"/>
              <w:right w:val="single" w:sz="4" w:space="0" w:color="000000"/>
            </w:tcBorders>
            <w:shd w:val="clear" w:color="FFFFFF" w:fill="FFFFFF"/>
            <w:vAlign w:val="center"/>
          </w:tcPr>
          <w:p w14:paraId="6C0B468D" w14:textId="77777777" w:rsidR="002449C2" w:rsidRDefault="00123961">
            <w:pPr>
              <w:shd w:val="clear" w:color="auto" w:fill="FFFFFF"/>
              <w:spacing w:after="12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Дивиденды не начислялись и не выплачивались</w:t>
            </w:r>
          </w:p>
        </w:tc>
      </w:tr>
      <w:tr w:rsidR="002449C2" w14:paraId="70D6AE33" w14:textId="77777777">
        <w:trPr>
          <w:trHeight w:val="441"/>
        </w:trPr>
        <w:tc>
          <w:tcPr>
            <w:tcW w:w="1964"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645F2EE7" w14:textId="77777777" w:rsidR="002449C2" w:rsidRDefault="00123961">
            <w:pPr>
              <w:shd w:val="clear" w:color="auto" w:fill="FFFFFF"/>
              <w:spacing w:after="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2023 (по итогам 2022)</w:t>
            </w:r>
          </w:p>
        </w:tc>
        <w:tc>
          <w:tcPr>
            <w:tcW w:w="8096" w:type="dxa"/>
            <w:gridSpan w:val="4"/>
            <w:tcBorders>
              <w:top w:val="single" w:sz="4" w:space="0" w:color="000000"/>
              <w:left w:val="single" w:sz="4" w:space="0" w:color="000000"/>
              <w:bottom w:val="single" w:sz="4" w:space="0" w:color="000000"/>
              <w:right w:val="single" w:sz="4" w:space="0" w:color="000000"/>
            </w:tcBorders>
            <w:shd w:val="clear" w:color="FFFFFF" w:fill="FFFFFF"/>
            <w:vAlign w:val="center"/>
          </w:tcPr>
          <w:p w14:paraId="329748F5" w14:textId="77777777" w:rsidR="002449C2" w:rsidRDefault="00123961">
            <w:pPr>
              <w:shd w:val="clear" w:color="auto" w:fill="FFFFFF"/>
              <w:spacing w:after="12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Дивиденды не начислялись и не выплачивались</w:t>
            </w:r>
          </w:p>
        </w:tc>
      </w:tr>
      <w:tr w:rsidR="002449C2" w14:paraId="707B1B19" w14:textId="77777777">
        <w:trPr>
          <w:trHeight w:val="441"/>
        </w:trPr>
        <w:tc>
          <w:tcPr>
            <w:tcW w:w="1964"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6E5DA80" w14:textId="77777777" w:rsidR="002449C2" w:rsidRDefault="00123961">
            <w:pPr>
              <w:shd w:val="clear" w:color="auto" w:fill="FFFFFF"/>
              <w:spacing w:after="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2024 (по итогам 2023)</w:t>
            </w:r>
          </w:p>
        </w:tc>
        <w:tc>
          <w:tcPr>
            <w:tcW w:w="8096" w:type="dxa"/>
            <w:gridSpan w:val="4"/>
            <w:tcBorders>
              <w:top w:val="single" w:sz="4" w:space="0" w:color="000000"/>
              <w:left w:val="single" w:sz="4" w:space="0" w:color="000000"/>
              <w:bottom w:val="single" w:sz="4" w:space="0" w:color="000000"/>
              <w:right w:val="single" w:sz="4" w:space="0" w:color="000000"/>
            </w:tcBorders>
            <w:shd w:val="clear" w:color="FFFFFF" w:fill="FFFFFF"/>
            <w:vAlign w:val="center"/>
          </w:tcPr>
          <w:p w14:paraId="6AFC69FE" w14:textId="77777777" w:rsidR="002449C2" w:rsidRDefault="00123961">
            <w:pPr>
              <w:shd w:val="clear" w:color="auto" w:fill="FFFFFF"/>
              <w:spacing w:after="120" w:line="240" w:lineRule="auto"/>
              <w:jc w:val="center"/>
              <w:rPr>
                <w:rFonts w:ascii="Times New Roman" w:eastAsia="Arial" w:hAnsi="Times New Roman"/>
                <w:sz w:val="18"/>
                <w:szCs w:val="18"/>
                <w:lang w:eastAsia="en-US"/>
              </w:rPr>
            </w:pPr>
            <w:r>
              <w:rPr>
                <w:rFonts w:ascii="Times New Roman" w:eastAsia="Arial" w:hAnsi="Times New Roman"/>
                <w:sz w:val="18"/>
                <w:szCs w:val="18"/>
                <w:lang w:eastAsia="en-US"/>
              </w:rPr>
              <w:t>Дивиденды не начислялись и не выплачивались</w:t>
            </w:r>
          </w:p>
        </w:tc>
      </w:tr>
    </w:tbl>
    <w:p w14:paraId="3DCB8897" w14:textId="77777777" w:rsidR="002449C2" w:rsidRDefault="002449C2">
      <w:pPr>
        <w:shd w:val="clear" w:color="auto" w:fill="FFFFFF"/>
        <w:spacing w:after="0" w:line="240" w:lineRule="auto"/>
        <w:ind w:firstLine="709"/>
        <w:jc w:val="both"/>
        <w:rPr>
          <w:rFonts w:ascii="Times New Roman" w:eastAsia="Arial" w:hAnsi="Times New Roman"/>
          <w:sz w:val="26"/>
          <w:szCs w:val="26"/>
          <w:lang w:eastAsia="en-US"/>
        </w:rPr>
      </w:pPr>
    </w:p>
    <w:p w14:paraId="4443E218" w14:textId="77777777" w:rsidR="002449C2" w:rsidRDefault="00123961">
      <w:pPr>
        <w:shd w:val="clear" w:color="auto" w:fill="FFFFFF"/>
        <w:spacing w:after="0" w:line="240" w:lineRule="auto"/>
        <w:ind w:firstLine="709"/>
        <w:jc w:val="both"/>
        <w:rPr>
          <w:rFonts w:ascii="Times New Roman" w:eastAsia="Arial" w:hAnsi="Times New Roman"/>
          <w:sz w:val="26"/>
          <w:szCs w:val="26"/>
          <w:lang w:eastAsia="en-US"/>
        </w:rPr>
      </w:pPr>
      <w:r>
        <w:rPr>
          <w:rFonts w:ascii="Times New Roman" w:eastAsia="Arial" w:hAnsi="Times New Roman"/>
          <w:sz w:val="26"/>
          <w:szCs w:val="26"/>
          <w:lang w:eastAsia="en-US"/>
        </w:rPr>
        <w:t xml:space="preserve">С Протоколами Общих собраний акционеров можно ознакомиться на сайте Компании: </w:t>
      </w:r>
      <w:hyperlink r:id="rId189">
        <w:r>
          <w:rPr>
            <w:rFonts w:ascii="Times New Roman" w:eastAsia="Arial" w:hAnsi="Times New Roman"/>
            <w:color w:val="000000"/>
            <w:sz w:val="26"/>
            <w:szCs w:val="26"/>
            <w:u w:val="single"/>
            <w:lang w:eastAsia="en-US"/>
          </w:rPr>
          <w:t>https://rosseti-yug.ru/korporativnoe-upravlenie/resheniya-obshchego-sobraniya-aktsionerov/</w:t>
        </w:r>
      </w:hyperlink>
    </w:p>
    <w:p w14:paraId="7B45995E" w14:textId="77777777" w:rsidR="002449C2" w:rsidRDefault="002449C2">
      <w:pPr>
        <w:shd w:val="clear" w:color="auto" w:fill="FFFFFF"/>
        <w:tabs>
          <w:tab w:val="left" w:pos="851"/>
        </w:tabs>
        <w:spacing w:before="120" w:after="120" w:line="240" w:lineRule="auto"/>
        <w:ind w:right="281" w:firstLine="851"/>
        <w:jc w:val="center"/>
        <w:rPr>
          <w:rFonts w:ascii="Times New Roman" w:eastAsia="Arial" w:hAnsi="Times New Roman"/>
          <w:b/>
          <w:bCs/>
          <w:sz w:val="26"/>
          <w:szCs w:val="26"/>
          <w:lang w:eastAsia="en-US"/>
        </w:rPr>
      </w:pPr>
    </w:p>
    <w:p w14:paraId="3819A582" w14:textId="77777777" w:rsidR="002449C2" w:rsidRDefault="00123961">
      <w:pPr>
        <w:shd w:val="clear" w:color="auto" w:fill="FFFFFF"/>
        <w:tabs>
          <w:tab w:val="left" w:pos="851"/>
        </w:tabs>
        <w:spacing w:before="120" w:after="120" w:line="240" w:lineRule="auto"/>
        <w:ind w:right="281" w:firstLine="851"/>
        <w:jc w:val="center"/>
        <w:rPr>
          <w:rFonts w:ascii="Times New Roman" w:eastAsia="Arial" w:hAnsi="Times New Roman"/>
          <w:b/>
          <w:bCs/>
          <w:sz w:val="26"/>
          <w:szCs w:val="26"/>
          <w:lang w:eastAsia="en-US"/>
        </w:rPr>
      </w:pPr>
      <w:r>
        <w:rPr>
          <w:rFonts w:ascii="Times New Roman" w:eastAsia="Arial" w:hAnsi="Times New Roman"/>
          <w:b/>
          <w:sz w:val="26"/>
          <w:szCs w:val="26"/>
          <w:lang w:eastAsia="en-US"/>
        </w:rPr>
        <w:t>Отчет о полученных ПАО «Россети Юг» дивидендах</w:t>
      </w:r>
    </w:p>
    <w:p w14:paraId="4AEF3787" w14:textId="32BDA09A" w:rsidR="002449C2" w:rsidRDefault="00123961">
      <w:pPr>
        <w:ind w:right="-144" w:firstLine="851"/>
        <w:jc w:val="both"/>
        <w:rPr>
          <w:rFonts w:ascii="Times New Roman" w:eastAsia="Arial" w:hAnsi="Times New Roman"/>
          <w:sz w:val="26"/>
          <w:szCs w:val="26"/>
          <w:lang w:eastAsia="en-US"/>
        </w:rPr>
      </w:pPr>
      <w:r>
        <w:rPr>
          <w:rFonts w:ascii="Times New Roman" w:eastAsia="Arial" w:hAnsi="Times New Roman"/>
          <w:sz w:val="26"/>
          <w:szCs w:val="26"/>
          <w:lang w:eastAsia="en-US"/>
        </w:rPr>
        <w:t>В 2024 году получено 100 781 тыс. рублей дивидендов на акции</w:t>
      </w:r>
      <w:r w:rsidR="00C45FD7">
        <w:rPr>
          <w:rFonts w:ascii="Times New Roman" w:eastAsia="Arial" w:hAnsi="Times New Roman"/>
          <w:sz w:val="26"/>
          <w:szCs w:val="26"/>
          <w:lang w:eastAsia="en-US"/>
        </w:rPr>
        <w:t xml:space="preserve"> АО «Энергосервис Юга»</w:t>
      </w:r>
      <w:r>
        <w:rPr>
          <w:rFonts w:ascii="Times New Roman" w:eastAsia="Arial" w:hAnsi="Times New Roman"/>
          <w:sz w:val="26"/>
          <w:szCs w:val="26"/>
          <w:lang w:eastAsia="en-US"/>
        </w:rPr>
        <w:t>, принадлежащие Обществу.</w:t>
      </w:r>
    </w:p>
    <w:p w14:paraId="563224F0" w14:textId="77777777" w:rsidR="002449C2" w:rsidRDefault="002449C2">
      <w:pPr>
        <w:rPr>
          <w:rFonts w:ascii="Arial" w:eastAsia="Arial" w:hAnsi="Arial"/>
          <w:lang w:eastAsia="en-US"/>
        </w:rPr>
      </w:pPr>
    </w:p>
    <w:p w14:paraId="5CBFDE6E" w14:textId="77777777" w:rsidR="002449C2" w:rsidRDefault="00123961">
      <w:pPr>
        <w:keepNext/>
        <w:keepLines/>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247" w:name="_Toc195174988"/>
      <w:bookmarkStart w:id="248" w:name="_Toc196143081"/>
      <w:r>
        <w:rPr>
          <w:rFonts w:ascii="Times New Roman" w:eastAsia="Times New Roman" w:hAnsi="Times New Roman"/>
          <w:color w:val="385623"/>
          <w:sz w:val="28"/>
          <w:szCs w:val="28"/>
          <w:lang w:eastAsia="en-US" w:bidi="en-US"/>
        </w:rPr>
        <w:t>Информация о крупных сделках и сделках, в совершении которых имеется заинтересованность</w:t>
      </w:r>
      <w:bookmarkEnd w:id="247"/>
      <w:bookmarkEnd w:id="248"/>
    </w:p>
    <w:p w14:paraId="47C51A98" w14:textId="77777777" w:rsidR="002449C2" w:rsidRDefault="00123961">
      <w:pPr>
        <w:shd w:val="clear" w:color="auto" w:fill="FFFFFF"/>
        <w:tabs>
          <w:tab w:val="left" w:pos="142"/>
        </w:tabs>
        <w:spacing w:after="0" w:line="240" w:lineRule="auto"/>
        <w:ind w:firstLine="567"/>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 xml:space="preserve">В 2024 году Общество не заключало сделок, признаваемых в соответствии с Федеральным законом «Об акционерных обществах» крупными сделками, а также существенных и взаимосвязанных сделок (в том числе, одним и (или) несколькими подконтрольными юридическими лицами). </w:t>
      </w:r>
    </w:p>
    <w:p w14:paraId="33784920" w14:textId="3B419B31" w:rsidR="0096624A" w:rsidRDefault="00123961" w:rsidP="0096624A">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Информация о заключенных ПАО «Россети Юг» в 2024 году крупных сделках и сделках, в совершении которых имеется заинтересованность</w:t>
      </w:r>
      <w:r w:rsidR="00B310A4">
        <w:rPr>
          <w:rFonts w:ascii="Times New Roman" w:eastAsia="Times New Roman" w:hAnsi="Times New Roman"/>
          <w:sz w:val="26"/>
          <w:szCs w:val="26"/>
          <w:lang w:eastAsia="ru-RU"/>
        </w:rPr>
        <w:t>,</w:t>
      </w:r>
      <w:r>
        <w:rPr>
          <w:rFonts w:ascii="Times New Roman" w:eastAsia="Times New Roman" w:hAnsi="Times New Roman"/>
          <w:sz w:val="26"/>
          <w:szCs w:val="26"/>
          <w:lang w:eastAsia="ru-RU"/>
        </w:rPr>
        <w:t xml:space="preserve"> представлена в приложении № 6 к настоящему отчету. На заседании Ревизионной комиссии проведена оценка достоверности отчета о заключенных Обществом в отчетном году сделках, в совершении которых имеется заинтересованность</w:t>
      </w:r>
      <w:r w:rsidR="00F611BB">
        <w:rPr>
          <w:rFonts w:ascii="Times New Roman" w:eastAsia="Times New Roman" w:hAnsi="Times New Roman"/>
          <w:sz w:val="26"/>
          <w:szCs w:val="26"/>
          <w:lang w:eastAsia="ru-RU"/>
        </w:rPr>
        <w:t>.</w:t>
      </w:r>
      <w:r w:rsidR="0096624A">
        <w:rPr>
          <w:rFonts w:ascii="Times New Roman" w:eastAsia="Times New Roman" w:hAnsi="Times New Roman"/>
          <w:sz w:val="26"/>
          <w:szCs w:val="26"/>
          <w:lang w:eastAsia="ru-RU"/>
        </w:rPr>
        <w:t xml:space="preserve"> </w:t>
      </w:r>
    </w:p>
    <w:p w14:paraId="07639AE6" w14:textId="77777777" w:rsidR="002449C2" w:rsidRDefault="002449C2">
      <w:pPr>
        <w:shd w:val="clear" w:color="auto" w:fill="FFFFFF"/>
        <w:spacing w:after="0" w:line="240" w:lineRule="auto"/>
        <w:ind w:firstLine="567"/>
        <w:jc w:val="both"/>
        <w:rPr>
          <w:rFonts w:ascii="Times New Roman" w:eastAsia="Times New Roman" w:hAnsi="Times New Roman"/>
          <w:sz w:val="26"/>
          <w:szCs w:val="26"/>
          <w:lang w:eastAsia="ru-RU"/>
        </w:rPr>
      </w:pPr>
    </w:p>
    <w:p w14:paraId="133A11F2" w14:textId="77777777" w:rsidR="002449C2" w:rsidRDefault="00123961">
      <w:pPr>
        <w:keepNext/>
        <w:keepLines/>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249" w:name="_Toc195174989"/>
      <w:bookmarkStart w:id="250" w:name="_Toc196143082"/>
      <w:r>
        <w:rPr>
          <w:rFonts w:ascii="Times New Roman" w:eastAsia="Times New Roman" w:hAnsi="Times New Roman"/>
          <w:color w:val="385623"/>
          <w:sz w:val="28"/>
          <w:szCs w:val="28"/>
          <w:lang w:eastAsia="en-US" w:bidi="en-US"/>
        </w:rPr>
        <w:t>Информация о существенных сделках, совершенных Обществом и подконтрольными лицами</w:t>
      </w:r>
      <w:bookmarkEnd w:id="249"/>
      <w:bookmarkEnd w:id="250"/>
    </w:p>
    <w:p w14:paraId="35CF20B8" w14:textId="77777777" w:rsidR="002449C2" w:rsidRDefault="00123961">
      <w:pPr>
        <w:shd w:val="clear" w:color="auto" w:fill="FFFFFF"/>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отчетном году не совершались:</w:t>
      </w:r>
    </w:p>
    <w:p w14:paraId="66270856" w14:textId="77777777" w:rsidR="002449C2" w:rsidRDefault="00123961">
      <w:pPr>
        <w:numPr>
          <w:ilvl w:val="3"/>
          <w:numId w:val="18"/>
        </w:numPr>
        <w:spacing w:after="0" w:line="240" w:lineRule="auto"/>
        <w:ind w:left="-142" w:firstLine="1135"/>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сделки по продаже акций (долей) подконтрольных ПАО «Россети Юг» юридических лиц, имеющих для него существенное значение, в результате совершения которых ПАО «Россети Юг» утрачивает контроль над такими юридическими лицами.</w:t>
      </w:r>
    </w:p>
    <w:p w14:paraId="0277AEC0" w14:textId="77777777" w:rsidR="002449C2" w:rsidRDefault="00123961">
      <w:pPr>
        <w:numPr>
          <w:ilvl w:val="3"/>
          <w:numId w:val="18"/>
        </w:numPr>
        <w:spacing w:after="0" w:line="240" w:lineRule="auto"/>
        <w:ind w:left="-142" w:firstLine="1135"/>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сделки по созданию подконтрольного Обществу юридического лица, имеющего существенное значение для деятельности Общества.</w:t>
      </w:r>
    </w:p>
    <w:p w14:paraId="4477B79E" w14:textId="77777777" w:rsidR="002449C2" w:rsidRDefault="002449C2">
      <w:pPr>
        <w:shd w:val="clear" w:color="auto" w:fill="FFFFFF"/>
        <w:spacing w:after="0" w:line="240" w:lineRule="auto"/>
        <w:ind w:firstLine="426"/>
        <w:jc w:val="center"/>
        <w:rPr>
          <w:rFonts w:ascii="Times New Roman" w:eastAsia="Times New Roman" w:hAnsi="Times New Roman"/>
          <w:b/>
          <w:bCs/>
          <w:color w:val="4F81BD"/>
          <w:sz w:val="28"/>
          <w:szCs w:val="28"/>
          <w:lang w:eastAsia="ru-RU"/>
        </w:rPr>
      </w:pPr>
    </w:p>
    <w:p w14:paraId="3FCC0743"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отчетном году совершена сделка с подконтрольным ПАО «Россети Юг» лицом, которое имеет существенное значение для хозяйственной деятельности Общества.</w:t>
      </w:r>
    </w:p>
    <w:p w14:paraId="113F5E2C" w14:textId="77777777" w:rsidR="002449C2" w:rsidRDefault="00123961">
      <w:pPr>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декабре 2024 года заключен договор купли-продажи имущества, между ПАО «Россети Юг» и АО «База отдыха «Энергетик». По результатам продажи имущества, принадлежащего АО «База отдыха «Энергетик», последнее подлежит ликвидации в сроки, установленные законодательством Российской Федерации, в связи невозможностью осуществления юридическим лицом деятельности, определенной уставом, обусловленной отсутствием материальной базы и, как следствие, исключение данного актива из реестра непрофильных активов. Остаток денежных средств после ликвидации АО «База отдыха «Энергетик» будет передан материнской компании ПАО «Россети Юг».  Сохранение актива обусловлено, в том числе обеспечением социальной защищенности работников, выполнением кадровой и социальной политики Общества, дополнительной мотивацией работников на труд, обеспечивающий достижение целей компании; формированием положительного имидж ПАО «Россети Юг» как социально-ответственной компании, получения дополнительного дохода в рамках специфики деятельности филиала.</w:t>
      </w:r>
    </w:p>
    <w:p w14:paraId="470C86BD" w14:textId="77777777" w:rsidR="002449C2" w:rsidRDefault="002449C2">
      <w:pPr>
        <w:shd w:val="clear" w:color="auto" w:fill="FFFFFF"/>
        <w:spacing w:after="0" w:line="240" w:lineRule="auto"/>
        <w:ind w:firstLine="426"/>
        <w:jc w:val="center"/>
        <w:rPr>
          <w:rFonts w:ascii="Times New Roman" w:eastAsia="Times New Roman" w:hAnsi="Times New Roman"/>
          <w:b/>
          <w:bCs/>
          <w:color w:val="4F81BD"/>
          <w:sz w:val="28"/>
          <w:szCs w:val="28"/>
          <w:lang w:eastAsia="ru-RU"/>
        </w:rPr>
      </w:pPr>
    </w:p>
    <w:p w14:paraId="4699E8CF" w14:textId="77777777" w:rsidR="002449C2" w:rsidRDefault="00123961">
      <w:pPr>
        <w:keepNext/>
        <w:keepLines/>
        <w:spacing w:before="200" w:after="120" w:line="240" w:lineRule="auto"/>
        <w:ind w:left="567"/>
        <w:jc w:val="both"/>
        <w:outlineLvl w:val="2"/>
        <w:rPr>
          <w:rFonts w:ascii="Times New Roman" w:eastAsia="Times New Roman" w:hAnsi="Times New Roman"/>
          <w:color w:val="385623"/>
          <w:sz w:val="28"/>
          <w:szCs w:val="28"/>
          <w:lang w:eastAsia="en-US" w:bidi="en-US"/>
        </w:rPr>
      </w:pPr>
      <w:bookmarkStart w:id="251" w:name="_Toc195174990"/>
      <w:bookmarkStart w:id="252" w:name="_Toc196143083"/>
      <w:r>
        <w:rPr>
          <w:rFonts w:ascii="Times New Roman" w:eastAsia="Times New Roman" w:hAnsi="Times New Roman"/>
          <w:color w:val="385623"/>
          <w:sz w:val="28"/>
          <w:szCs w:val="28"/>
          <w:lang w:eastAsia="en-US" w:bidi="en-US"/>
        </w:rPr>
        <w:t>Взаимодействие с акционерами и инвесторами</w:t>
      </w:r>
      <w:bookmarkEnd w:id="251"/>
      <w:bookmarkEnd w:id="252"/>
      <w:r>
        <w:rPr>
          <w:rFonts w:ascii="Times New Roman" w:eastAsia="Times New Roman" w:hAnsi="Times New Roman"/>
          <w:color w:val="385623"/>
          <w:sz w:val="28"/>
          <w:szCs w:val="28"/>
          <w:lang w:eastAsia="en-US" w:bidi="en-US"/>
        </w:rPr>
        <w:t xml:space="preserve"> </w:t>
      </w:r>
    </w:p>
    <w:p w14:paraId="19853979" w14:textId="77777777" w:rsidR="002449C2" w:rsidRDefault="00123961">
      <w:pPr>
        <w:widowControl w:val="0"/>
        <w:tabs>
          <w:tab w:val="left" w:pos="142"/>
          <w:tab w:val="left" w:pos="360"/>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В отчетном году Общество продолжило осуществлять комплекс взаимосвязанных мер по информационному обеспечению и взаимодействию с различными группами акционеров и инвесторов Общества, обеспечивая при этом безусловное соблюдение законных прав всех заинтересованных лиц.</w:t>
      </w:r>
    </w:p>
    <w:p w14:paraId="26FA9C7E" w14:textId="77777777" w:rsidR="002449C2" w:rsidRDefault="00123961">
      <w:pPr>
        <w:widowControl w:val="0"/>
        <w:tabs>
          <w:tab w:val="left" w:pos="142"/>
          <w:tab w:val="left" w:pos="360"/>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В целях обеспечения реальной возможности осуществления акционерами Общества своих прав Общество своевременно раскрывает информацию в соответствии с законодательством и внутренними документами Общества.</w:t>
      </w:r>
    </w:p>
    <w:p w14:paraId="775256D3" w14:textId="77777777" w:rsidR="002449C2" w:rsidRDefault="00123961">
      <w:pPr>
        <w:widowControl w:val="0"/>
        <w:tabs>
          <w:tab w:val="left" w:pos="142"/>
          <w:tab w:val="left" w:pos="360"/>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xml:space="preserve">Одним из важных инструментов предоставления информации ПАО «Россети Юг» заинтересованным сторонам является сайт Общества, позволяющий заинтересованным лицам оперативно знакомиться со всей интересующей информацией, раскрываемой Обществом. </w:t>
      </w:r>
    </w:p>
    <w:p w14:paraId="2CD9E0AD" w14:textId="77777777" w:rsidR="002449C2" w:rsidRDefault="00123961">
      <w:pPr>
        <w:widowControl w:val="0"/>
        <w:tabs>
          <w:tab w:val="left" w:pos="142"/>
          <w:tab w:val="left" w:pos="360"/>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xml:space="preserve">Для адресных ответов на запросы и обращения акционеров, инвесторов и иных заинтересованных лиц выделен электронный почтовый ящик, а также на корпоративном сайте Общества дополнительно к общим контактным сведениям опубликован номер телефона для консультаций акционеров. </w:t>
      </w:r>
    </w:p>
    <w:p w14:paraId="3D8D28C9" w14:textId="77777777" w:rsidR="002449C2" w:rsidRDefault="00123961">
      <w:pPr>
        <w:widowControl w:val="0"/>
        <w:tabs>
          <w:tab w:val="left" w:pos="142"/>
          <w:tab w:val="left" w:pos="360"/>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xml:space="preserve">В период подготовки к проведению годового Общего собрания акционеров для удобства акционеров и других заинтересованных лиц на корпоративном сайте Общества активируется интерактивная «бегущая строка», позволяющая акционерам осуществлять быстрый переход в раздел сайта, содержащий информационные материалы к собранию.  </w:t>
      </w:r>
    </w:p>
    <w:p w14:paraId="6B627BFC" w14:textId="77777777" w:rsidR="002449C2" w:rsidRDefault="00123961">
      <w:pPr>
        <w:widowControl w:val="0"/>
        <w:tabs>
          <w:tab w:val="left" w:pos="142"/>
          <w:tab w:val="left" w:pos="360"/>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При взаимодействии с акционерами Общество стремится к предупреждению либо справедливому урегулированию возможных корпоративных конфликтов между Обществом и его акционерами, при этом обеспечивая защиту прав акционеров, а также соблюдение требований законодательства и внутренних документов.</w:t>
      </w:r>
    </w:p>
    <w:p w14:paraId="3C3B7200" w14:textId="77777777" w:rsidR="002449C2" w:rsidRDefault="00123961">
      <w:pPr>
        <w:widowControl w:val="0"/>
        <w:tabs>
          <w:tab w:val="left" w:pos="142"/>
          <w:tab w:val="left" w:pos="360"/>
        </w:tabs>
        <w:spacing w:after="0" w:line="240" w:lineRule="auto"/>
        <w:ind w:firstLine="567"/>
        <w:jc w:val="both"/>
        <w:rPr>
          <w:rFonts w:ascii="Times New Roman" w:hAnsi="Times New Roman"/>
          <w:sz w:val="26"/>
          <w:szCs w:val="26"/>
          <w:lang w:eastAsia="en-US"/>
        </w:rPr>
      </w:pPr>
      <w:r>
        <w:rPr>
          <w:rFonts w:ascii="Times New Roman" w:hAnsi="Times New Roman"/>
          <w:sz w:val="26"/>
          <w:szCs w:val="26"/>
          <w:lang w:eastAsia="en-US"/>
        </w:rPr>
        <w:t xml:space="preserve">На постоянной основе Общество консультирует акционеров по вопросам обновления анкетных данных, получения дивидендов, оформления наследства и иным вопросам, связанными с осуществлением прав по ценным бумагам. </w:t>
      </w:r>
    </w:p>
    <w:p w14:paraId="4F9142CA" w14:textId="77777777" w:rsidR="002449C2" w:rsidRDefault="00123961">
      <w:pPr>
        <w:widowControl w:val="0"/>
        <w:tabs>
          <w:tab w:val="left" w:pos="142"/>
          <w:tab w:val="left" w:pos="360"/>
        </w:tabs>
        <w:spacing w:after="0" w:line="24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Подробная информация о раскрытии Обществом информации для акционеров и инвесторов содержится в подразделе настоящего Годового отчета «Раскрытие информации».</w:t>
      </w:r>
    </w:p>
    <w:p w14:paraId="12BC2297" w14:textId="77777777" w:rsidR="002449C2" w:rsidRDefault="00123961">
      <w:pPr>
        <w:widowControl w:val="0"/>
        <w:tabs>
          <w:tab w:val="left" w:pos="142"/>
          <w:tab w:val="left" w:pos="360"/>
        </w:tabs>
        <w:spacing w:after="0" w:line="240" w:lineRule="auto"/>
        <w:ind w:firstLine="567"/>
        <w:jc w:val="both"/>
        <w:rPr>
          <w:rFonts w:ascii="Cambria" w:eastAsia="Times New Roman" w:hAnsi="Cambria"/>
          <w:sz w:val="26"/>
          <w:szCs w:val="26"/>
          <w:lang w:eastAsia="ru-RU"/>
        </w:rPr>
      </w:pPr>
      <w:r>
        <w:rPr>
          <w:rFonts w:ascii="Times New Roman" w:eastAsia="Times New Roman" w:hAnsi="Times New Roman"/>
          <w:sz w:val="26"/>
          <w:szCs w:val="26"/>
          <w:lang w:eastAsia="ru-RU"/>
        </w:rPr>
        <w:t>План мероприятий по взаимодействию ПАО «Россети Юг» с инвестиционным сообществом на 2024 год опубликован на сайте Общества в разделе Главная/Акционеру, инвестору/</w:t>
      </w:r>
      <w:r>
        <w:rPr>
          <w:rFonts w:ascii="Times New Roman" w:eastAsia="Times New Roman" w:hAnsi="Times New Roman"/>
          <w:sz w:val="26"/>
          <w:szCs w:val="26"/>
          <w:lang w:val="en-US" w:eastAsia="ru-RU"/>
        </w:rPr>
        <w:t>IR</w:t>
      </w:r>
      <w:r>
        <w:rPr>
          <w:rFonts w:ascii="Times New Roman" w:eastAsia="Times New Roman" w:hAnsi="Times New Roman"/>
          <w:sz w:val="26"/>
          <w:szCs w:val="26"/>
          <w:lang w:eastAsia="ru-RU"/>
        </w:rPr>
        <w:t>-календарь по ссылке: https://rosseti-yug.ru/aktsioneru-investoru/ir-kalendar/.</w:t>
      </w:r>
    </w:p>
    <w:p w14:paraId="5687C136" w14:textId="77777777" w:rsidR="002449C2" w:rsidRDefault="002449C2">
      <w:pPr>
        <w:shd w:val="clear" w:color="auto" w:fill="FFFFFF"/>
        <w:spacing w:after="0" w:line="240" w:lineRule="auto"/>
        <w:ind w:firstLine="567"/>
        <w:jc w:val="both"/>
        <w:rPr>
          <w:rFonts w:ascii="Times New Roman" w:eastAsia="Times New Roman" w:hAnsi="Times New Roman"/>
          <w:sz w:val="26"/>
          <w:szCs w:val="26"/>
          <w:lang w:eastAsia="ru-RU"/>
        </w:rPr>
      </w:pPr>
    </w:p>
    <w:p w14:paraId="310C23F6" w14:textId="77777777" w:rsidR="002449C2" w:rsidRDefault="002449C2">
      <w:pPr>
        <w:shd w:val="clear" w:color="auto" w:fill="FFFFFF"/>
        <w:spacing w:after="0" w:line="240" w:lineRule="auto"/>
        <w:ind w:firstLine="426"/>
        <w:jc w:val="center"/>
        <w:rPr>
          <w:rFonts w:ascii="Times New Roman" w:eastAsia="Times New Roman" w:hAnsi="Times New Roman"/>
          <w:b/>
          <w:bCs/>
          <w:color w:val="4F81BD"/>
          <w:sz w:val="28"/>
          <w:szCs w:val="28"/>
          <w:lang w:eastAsia="ru-RU"/>
        </w:rPr>
      </w:pPr>
    </w:p>
    <w:p w14:paraId="39CC6B0F" w14:textId="77777777" w:rsidR="002449C2" w:rsidRDefault="002449C2">
      <w:pPr>
        <w:shd w:val="clear" w:color="auto" w:fill="FFFFFF"/>
        <w:spacing w:after="0" w:line="240" w:lineRule="auto"/>
        <w:ind w:firstLine="426"/>
        <w:jc w:val="center"/>
        <w:rPr>
          <w:rFonts w:ascii="Times New Roman" w:eastAsia="Times New Roman" w:hAnsi="Times New Roman"/>
          <w:b/>
          <w:bCs/>
          <w:color w:val="4F81BD"/>
          <w:sz w:val="28"/>
          <w:szCs w:val="28"/>
          <w:lang w:eastAsia="ru-RU"/>
        </w:rPr>
      </w:pPr>
    </w:p>
    <w:p w14:paraId="7233FE5B" w14:textId="77777777" w:rsidR="002449C2" w:rsidRDefault="002449C2">
      <w:pPr>
        <w:shd w:val="clear" w:color="auto" w:fill="FFFFFF"/>
        <w:spacing w:after="0" w:line="240" w:lineRule="auto"/>
        <w:ind w:firstLine="426"/>
        <w:jc w:val="center"/>
        <w:rPr>
          <w:rFonts w:ascii="Times New Roman" w:eastAsia="Times New Roman" w:hAnsi="Times New Roman"/>
          <w:b/>
          <w:bCs/>
          <w:color w:val="4F81BD"/>
          <w:sz w:val="28"/>
          <w:szCs w:val="28"/>
          <w:lang w:eastAsia="ru-RU"/>
        </w:rPr>
      </w:pPr>
    </w:p>
    <w:p w14:paraId="4FB1D614" w14:textId="77777777" w:rsidR="002449C2" w:rsidRDefault="00123961">
      <w:pPr>
        <w:shd w:val="clear" w:color="auto" w:fill="FFFFFF"/>
        <w:spacing w:after="0" w:line="240" w:lineRule="auto"/>
        <w:ind w:firstLine="426"/>
        <w:jc w:val="center"/>
        <w:rPr>
          <w:rFonts w:ascii="Times New Roman" w:hAnsi="Times New Roman"/>
          <w:color w:val="0070C0"/>
          <w:sz w:val="26"/>
          <w:szCs w:val="26"/>
          <w:lang w:eastAsia="ru-RU"/>
        </w:rPr>
      </w:pPr>
      <w:r>
        <w:br w:type="page"/>
      </w:r>
    </w:p>
    <w:p w14:paraId="746EA231" w14:textId="77777777" w:rsidR="002449C2" w:rsidRDefault="00123961">
      <w:pPr>
        <w:keepNext/>
        <w:keepLines/>
        <w:shd w:val="clear" w:color="auto" w:fill="FFFFFF"/>
        <w:spacing w:after="120" w:line="240" w:lineRule="auto"/>
        <w:ind w:left="567"/>
        <w:jc w:val="both"/>
        <w:outlineLvl w:val="2"/>
        <w:rPr>
          <w:rFonts w:ascii="Times New Roman" w:eastAsia="Times New Roman" w:hAnsi="Times New Roman"/>
          <w:color w:val="385623"/>
          <w:sz w:val="28"/>
          <w:szCs w:val="28"/>
          <w:lang w:eastAsia="en-US" w:bidi="en-US"/>
        </w:rPr>
      </w:pPr>
      <w:bookmarkStart w:id="253" w:name="_Toc195174991"/>
      <w:bookmarkStart w:id="254" w:name="_Toc196143084"/>
      <w:r>
        <w:rPr>
          <w:rFonts w:ascii="Times New Roman" w:eastAsia="Times New Roman" w:hAnsi="Times New Roman"/>
          <w:color w:val="385623"/>
          <w:sz w:val="28"/>
          <w:szCs w:val="28"/>
          <w:lang w:eastAsia="en-US" w:bidi="en-US"/>
        </w:rPr>
        <w:t>Термины и основные использованные сокращения</w:t>
      </w:r>
      <w:bookmarkEnd w:id="253"/>
      <w:bookmarkEnd w:id="254"/>
    </w:p>
    <w:tbl>
      <w:tblPr>
        <w:tblW w:w="10332" w:type="dxa"/>
        <w:jc w:val="center"/>
        <w:tblLayout w:type="fixed"/>
        <w:tblLook w:val="04A0" w:firstRow="1" w:lastRow="0" w:firstColumn="1" w:lastColumn="0" w:noHBand="0" w:noVBand="1"/>
      </w:tblPr>
      <w:tblGrid>
        <w:gridCol w:w="2100"/>
        <w:gridCol w:w="8232"/>
      </w:tblGrid>
      <w:tr w:rsidR="002449C2" w14:paraId="6B12580A" w14:textId="77777777">
        <w:trPr>
          <w:trHeight w:val="20"/>
          <w:tblHeader/>
          <w:jc w:val="center"/>
        </w:trPr>
        <w:tc>
          <w:tcPr>
            <w:tcW w:w="10331"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512557" w14:textId="77777777" w:rsidR="002449C2" w:rsidRDefault="00123961">
            <w:pPr>
              <w:shd w:val="clear" w:color="auto" w:fill="FFFFFF"/>
              <w:spacing w:after="0" w:line="240" w:lineRule="auto"/>
              <w:rPr>
                <w:rFonts w:ascii="Times New Roman" w:hAnsi="Times New Roman"/>
                <w:sz w:val="24"/>
                <w:szCs w:val="24"/>
                <w:lang w:eastAsia="ar-SA"/>
              </w:rPr>
            </w:pPr>
            <w:r>
              <w:rPr>
                <w:rFonts w:ascii="Times New Roman" w:hAnsi="Times New Roman"/>
                <w:sz w:val="24"/>
                <w:szCs w:val="24"/>
                <w:lang w:eastAsia="ar-SA"/>
              </w:rPr>
              <w:t>Аббревиатура, обозначение</w:t>
            </w:r>
          </w:p>
        </w:tc>
      </w:tr>
      <w:tr w:rsidR="002449C2" w14:paraId="4FCCBB4D"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9C864E1"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АО</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57D2DF48" w14:textId="77777777" w:rsidR="002449C2" w:rsidRDefault="00123961">
            <w:pPr>
              <w:shd w:val="clear" w:color="auto" w:fill="FFFFFF"/>
              <w:spacing w:after="0" w:line="240" w:lineRule="auto"/>
              <w:rPr>
                <w:rFonts w:ascii="Times New Roman" w:hAnsi="Times New Roman"/>
                <w:sz w:val="24"/>
                <w:szCs w:val="24"/>
                <w:lang w:eastAsia="ar-SA"/>
              </w:rPr>
            </w:pPr>
            <w:r>
              <w:rPr>
                <w:rFonts w:ascii="Times New Roman" w:hAnsi="Times New Roman"/>
                <w:sz w:val="24"/>
                <w:szCs w:val="24"/>
                <w:lang w:eastAsia="ar-SA"/>
              </w:rPr>
              <w:t>акционерное общество</w:t>
            </w:r>
          </w:p>
        </w:tc>
      </w:tr>
      <w:tr w:rsidR="002449C2" w14:paraId="5D999D87"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7C3A5342"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АСУ</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4990675" w14:textId="77777777" w:rsidR="002449C2" w:rsidRDefault="00123961">
            <w:pPr>
              <w:shd w:val="clear" w:color="auto" w:fill="FFFFFF"/>
              <w:spacing w:after="0" w:line="240" w:lineRule="auto"/>
              <w:rPr>
                <w:rFonts w:ascii="Times New Roman" w:hAnsi="Times New Roman"/>
                <w:sz w:val="24"/>
                <w:szCs w:val="24"/>
                <w:lang w:eastAsia="ar-SA"/>
              </w:rPr>
            </w:pPr>
            <w:r>
              <w:rPr>
                <w:rFonts w:ascii="Times New Roman" w:hAnsi="Times New Roman"/>
                <w:sz w:val="24"/>
                <w:szCs w:val="24"/>
                <w:lang w:eastAsia="ar-SA"/>
              </w:rPr>
              <w:t>автоматизированная система управления</w:t>
            </w:r>
          </w:p>
        </w:tc>
      </w:tr>
      <w:tr w:rsidR="002449C2" w14:paraId="7FF0F101"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93D3AE1"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ВЛ</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D08A6B9" w14:textId="77777777" w:rsidR="002449C2" w:rsidRDefault="00123961">
            <w:pPr>
              <w:shd w:val="clear" w:color="auto" w:fill="FFFFFF"/>
              <w:spacing w:after="0" w:line="240" w:lineRule="auto"/>
              <w:rPr>
                <w:rFonts w:ascii="Times New Roman" w:hAnsi="Times New Roman"/>
                <w:sz w:val="24"/>
                <w:szCs w:val="24"/>
                <w:lang w:eastAsia="ar-SA"/>
              </w:rPr>
            </w:pPr>
            <w:r>
              <w:rPr>
                <w:rFonts w:ascii="Times New Roman" w:hAnsi="Times New Roman"/>
                <w:sz w:val="24"/>
                <w:szCs w:val="24"/>
                <w:lang w:eastAsia="ar-SA"/>
              </w:rPr>
              <w:t>воздушная линия (электропередачи)</w:t>
            </w:r>
          </w:p>
        </w:tc>
      </w:tr>
      <w:tr w:rsidR="002449C2" w14:paraId="51189BE5"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595A9F7C"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ВУЗ</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4A53616" w14:textId="77777777" w:rsidR="002449C2" w:rsidRDefault="00123961">
            <w:pPr>
              <w:shd w:val="clear" w:color="auto" w:fill="FFFFFF"/>
              <w:spacing w:after="0" w:line="240" w:lineRule="auto"/>
              <w:rPr>
                <w:rFonts w:ascii="Times New Roman" w:hAnsi="Times New Roman"/>
                <w:sz w:val="24"/>
                <w:szCs w:val="24"/>
                <w:lang w:eastAsia="ar-SA"/>
              </w:rPr>
            </w:pPr>
            <w:r>
              <w:rPr>
                <w:rFonts w:ascii="Times New Roman" w:hAnsi="Times New Roman"/>
                <w:sz w:val="24"/>
                <w:szCs w:val="24"/>
                <w:lang w:eastAsia="ar-SA"/>
              </w:rPr>
              <w:t>высшее учебное заведение</w:t>
            </w:r>
          </w:p>
        </w:tc>
      </w:tr>
      <w:tr w:rsidR="002449C2" w14:paraId="4B537AAF"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82178FB"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ГОСА</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772B1863" w14:textId="77777777" w:rsidR="002449C2" w:rsidRDefault="00123961">
            <w:pPr>
              <w:shd w:val="clear" w:color="auto" w:fill="FFFFFF"/>
              <w:spacing w:after="0" w:line="240" w:lineRule="auto"/>
              <w:rPr>
                <w:rFonts w:ascii="Times New Roman" w:hAnsi="Times New Roman"/>
                <w:sz w:val="24"/>
                <w:szCs w:val="24"/>
                <w:lang w:eastAsia="ar-SA"/>
              </w:rPr>
            </w:pPr>
            <w:r>
              <w:rPr>
                <w:rFonts w:ascii="Times New Roman" w:hAnsi="Times New Roman"/>
                <w:sz w:val="24"/>
                <w:szCs w:val="24"/>
                <w:lang w:eastAsia="ar-SA"/>
              </w:rPr>
              <w:t>годовое Общее собрание акционеров</w:t>
            </w:r>
          </w:p>
        </w:tc>
      </w:tr>
      <w:tr w:rsidR="002449C2" w14:paraId="5C168F9C"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5C967AFE"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ДЗО</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13F93FF0" w14:textId="77777777" w:rsidR="002449C2" w:rsidRDefault="00123961">
            <w:pPr>
              <w:shd w:val="clear" w:color="auto" w:fill="FFFFFF"/>
              <w:spacing w:after="0" w:line="240" w:lineRule="auto"/>
              <w:rPr>
                <w:rFonts w:ascii="Times New Roman" w:hAnsi="Times New Roman"/>
                <w:sz w:val="24"/>
                <w:szCs w:val="24"/>
                <w:lang w:eastAsia="ar-SA"/>
              </w:rPr>
            </w:pPr>
            <w:r>
              <w:rPr>
                <w:rFonts w:ascii="Times New Roman" w:hAnsi="Times New Roman"/>
                <w:sz w:val="24"/>
                <w:szCs w:val="24"/>
                <w:lang w:eastAsia="ar-SA"/>
              </w:rPr>
              <w:t>дочерние и зависимые общества</w:t>
            </w:r>
          </w:p>
        </w:tc>
      </w:tr>
      <w:tr w:rsidR="002449C2" w14:paraId="5228F531"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8904111"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ЕНЭС</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11D0A83" w14:textId="77777777" w:rsidR="002449C2" w:rsidRDefault="00123961">
            <w:pPr>
              <w:shd w:val="clear" w:color="auto" w:fill="FFFFFF"/>
              <w:spacing w:after="0" w:line="240" w:lineRule="auto"/>
              <w:rPr>
                <w:rFonts w:ascii="Times New Roman" w:hAnsi="Times New Roman"/>
                <w:sz w:val="24"/>
                <w:szCs w:val="24"/>
                <w:lang w:eastAsia="ar-SA"/>
              </w:rPr>
            </w:pPr>
            <w:r>
              <w:rPr>
                <w:rFonts w:ascii="Times New Roman" w:hAnsi="Times New Roman"/>
                <w:sz w:val="24"/>
                <w:szCs w:val="24"/>
                <w:lang w:eastAsia="ar-SA"/>
              </w:rPr>
              <w:t>Единая национальная электрическая сеть</w:t>
            </w:r>
          </w:p>
        </w:tc>
      </w:tr>
      <w:tr w:rsidR="002449C2" w14:paraId="10464E14"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8533C16"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ЖКХ</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7C34CA6A" w14:textId="77777777" w:rsidR="002449C2" w:rsidRDefault="00123961">
            <w:pPr>
              <w:shd w:val="clear" w:color="auto" w:fill="FFFFFF"/>
              <w:spacing w:after="0" w:line="240" w:lineRule="auto"/>
              <w:rPr>
                <w:rFonts w:ascii="Times New Roman" w:hAnsi="Times New Roman"/>
                <w:sz w:val="24"/>
                <w:szCs w:val="24"/>
                <w:lang w:eastAsia="ar-SA"/>
              </w:rPr>
            </w:pPr>
            <w:r>
              <w:rPr>
                <w:rFonts w:ascii="Times New Roman" w:hAnsi="Times New Roman"/>
                <w:sz w:val="24"/>
                <w:szCs w:val="24"/>
                <w:lang w:eastAsia="ar-SA"/>
              </w:rPr>
              <w:t>жилищно-коммунальное хозяйство</w:t>
            </w:r>
          </w:p>
        </w:tc>
      </w:tr>
      <w:tr w:rsidR="002449C2" w14:paraId="537FECA6"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742E1B9F"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ИПР</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27E6921B" w14:textId="77777777" w:rsidR="002449C2" w:rsidRDefault="00123961">
            <w:pPr>
              <w:shd w:val="clear" w:color="auto" w:fill="FFFFFF"/>
              <w:spacing w:after="0" w:line="240" w:lineRule="auto"/>
              <w:rPr>
                <w:rFonts w:ascii="Times New Roman" w:hAnsi="Times New Roman"/>
                <w:sz w:val="24"/>
                <w:szCs w:val="24"/>
                <w:lang w:eastAsia="ar-SA"/>
              </w:rPr>
            </w:pPr>
            <w:r>
              <w:rPr>
                <w:rFonts w:ascii="Times New Roman" w:hAnsi="Times New Roman"/>
                <w:sz w:val="24"/>
                <w:szCs w:val="24"/>
                <w:lang w:eastAsia="ar-SA"/>
              </w:rPr>
              <w:t>инвестиционная программа</w:t>
            </w:r>
          </w:p>
        </w:tc>
      </w:tr>
      <w:tr w:rsidR="002449C2" w14:paraId="34CC11CF"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DA68A26"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КПЭ</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290EB896" w14:textId="77777777" w:rsidR="002449C2" w:rsidRDefault="00123961">
            <w:pPr>
              <w:shd w:val="clear" w:color="auto" w:fill="FFFFFF"/>
              <w:spacing w:after="0" w:line="240" w:lineRule="auto"/>
              <w:rPr>
                <w:rFonts w:ascii="Times New Roman" w:hAnsi="Times New Roman"/>
                <w:sz w:val="24"/>
                <w:szCs w:val="24"/>
                <w:lang w:eastAsia="ar-SA"/>
              </w:rPr>
            </w:pPr>
            <w:r>
              <w:rPr>
                <w:rFonts w:ascii="Times New Roman" w:hAnsi="Times New Roman"/>
                <w:sz w:val="24"/>
                <w:szCs w:val="24"/>
                <w:lang w:eastAsia="ar-SA"/>
              </w:rPr>
              <w:t>ключевые показатели эффективности</w:t>
            </w:r>
          </w:p>
        </w:tc>
      </w:tr>
      <w:tr w:rsidR="002449C2" w14:paraId="5754997B"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13D3F856"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ЛЭП</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5EAAF51" w14:textId="77777777" w:rsidR="002449C2" w:rsidRDefault="00123961">
            <w:pPr>
              <w:shd w:val="clear" w:color="auto" w:fill="FFFFFF"/>
              <w:spacing w:after="0" w:line="240" w:lineRule="auto"/>
              <w:rPr>
                <w:rFonts w:ascii="Times New Roman" w:hAnsi="Times New Roman"/>
                <w:sz w:val="24"/>
                <w:szCs w:val="24"/>
                <w:lang w:eastAsia="ar-SA"/>
              </w:rPr>
            </w:pPr>
            <w:r>
              <w:rPr>
                <w:rFonts w:ascii="Times New Roman" w:hAnsi="Times New Roman"/>
                <w:sz w:val="24"/>
                <w:szCs w:val="24"/>
                <w:lang w:eastAsia="ar-SA"/>
              </w:rPr>
              <w:t>линия электропередачи</w:t>
            </w:r>
          </w:p>
        </w:tc>
      </w:tr>
      <w:tr w:rsidR="002449C2" w14:paraId="493FB5DE"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390E277"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МРСК</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84CE6D1" w14:textId="77777777" w:rsidR="002449C2" w:rsidRDefault="00123961">
            <w:pPr>
              <w:shd w:val="clear" w:color="auto" w:fill="FFFFFF"/>
              <w:spacing w:after="0" w:line="240" w:lineRule="auto"/>
              <w:rPr>
                <w:rFonts w:ascii="Times New Roman" w:hAnsi="Times New Roman"/>
                <w:sz w:val="24"/>
                <w:szCs w:val="24"/>
                <w:lang w:eastAsia="ar-SA"/>
              </w:rPr>
            </w:pPr>
            <w:r>
              <w:rPr>
                <w:rFonts w:ascii="Times New Roman" w:hAnsi="Times New Roman"/>
                <w:sz w:val="24"/>
                <w:szCs w:val="24"/>
                <w:lang w:eastAsia="ar-SA"/>
              </w:rPr>
              <w:t>межрегиональная распределительная сетевая компания</w:t>
            </w:r>
          </w:p>
        </w:tc>
      </w:tr>
      <w:tr w:rsidR="002449C2" w14:paraId="2E98B1E3"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2C30EC9A"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МСП</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BF19973" w14:textId="77777777" w:rsidR="002449C2" w:rsidRDefault="00123961">
            <w:pPr>
              <w:shd w:val="clear" w:color="auto" w:fill="FFFFFF"/>
              <w:spacing w:after="0" w:line="240" w:lineRule="auto"/>
              <w:rPr>
                <w:rFonts w:ascii="Times New Roman" w:hAnsi="Times New Roman"/>
                <w:sz w:val="24"/>
                <w:szCs w:val="24"/>
                <w:lang w:eastAsia="ar-SA"/>
              </w:rPr>
            </w:pPr>
            <w:r>
              <w:rPr>
                <w:rFonts w:ascii="Times New Roman" w:hAnsi="Times New Roman"/>
                <w:sz w:val="24"/>
                <w:szCs w:val="24"/>
                <w:lang w:eastAsia="ar-SA"/>
              </w:rPr>
              <w:t>субъекты малого и среднего предпринимательства</w:t>
            </w:r>
          </w:p>
        </w:tc>
      </w:tr>
      <w:tr w:rsidR="002449C2" w14:paraId="4C98645B"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2ED1487"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МСФО</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C394853" w14:textId="77777777" w:rsidR="002449C2" w:rsidRDefault="00123961">
            <w:pPr>
              <w:shd w:val="clear" w:color="auto" w:fill="FFFFFF"/>
              <w:spacing w:after="0" w:line="240" w:lineRule="auto"/>
              <w:rPr>
                <w:rFonts w:ascii="Times New Roman" w:hAnsi="Times New Roman"/>
                <w:sz w:val="24"/>
                <w:szCs w:val="24"/>
                <w:lang w:eastAsia="ar-SA"/>
              </w:rPr>
            </w:pPr>
            <w:r>
              <w:rPr>
                <w:rFonts w:ascii="Times New Roman" w:hAnsi="Times New Roman"/>
                <w:sz w:val="24"/>
                <w:szCs w:val="24"/>
                <w:lang w:eastAsia="ar-SA"/>
              </w:rPr>
              <w:t>международные стандарты финансовой отчетности</w:t>
            </w:r>
          </w:p>
        </w:tc>
      </w:tr>
      <w:tr w:rsidR="002449C2" w14:paraId="724EE0A8"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D4EC67C"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МУП</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22214B34" w14:textId="77777777" w:rsidR="002449C2" w:rsidRDefault="00123961">
            <w:pPr>
              <w:shd w:val="clear" w:color="auto" w:fill="FFFFFF"/>
              <w:spacing w:after="0" w:line="240" w:lineRule="auto"/>
              <w:rPr>
                <w:rFonts w:ascii="Times New Roman" w:hAnsi="Times New Roman"/>
                <w:sz w:val="24"/>
                <w:szCs w:val="24"/>
                <w:lang w:eastAsia="ar-SA"/>
              </w:rPr>
            </w:pPr>
            <w:r>
              <w:rPr>
                <w:rFonts w:ascii="Times New Roman" w:hAnsi="Times New Roman"/>
                <w:sz w:val="24"/>
                <w:szCs w:val="24"/>
                <w:lang w:eastAsia="ar-SA"/>
              </w:rPr>
              <w:t>муниципальное унитарное предприятие</w:t>
            </w:r>
          </w:p>
        </w:tc>
      </w:tr>
      <w:tr w:rsidR="002449C2" w14:paraId="238CCDD0"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570D73E8"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НВВ</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A247442"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необходимая валовая выручка</w:t>
            </w:r>
          </w:p>
        </w:tc>
      </w:tr>
      <w:tr w:rsidR="002449C2" w14:paraId="130446B2"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BC06320"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НДС</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EA7B62A"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налог на добавленную стоимость</w:t>
            </w:r>
          </w:p>
        </w:tc>
      </w:tr>
      <w:tr w:rsidR="002449C2" w14:paraId="21981CD3"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2618E18C"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НИОКР</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23918B42"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научно-исследовательские и опытно-конструкторские работы</w:t>
            </w:r>
          </w:p>
        </w:tc>
      </w:tr>
      <w:tr w:rsidR="002449C2" w14:paraId="59A2ED1A"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39686D1"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ОЗП</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20BEFAA9"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осенне-зимний период</w:t>
            </w:r>
          </w:p>
        </w:tc>
      </w:tr>
      <w:tr w:rsidR="002449C2" w14:paraId="7E1346B3"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5A6ED1C4"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ПАО</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8722571"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публичное акционерное общество</w:t>
            </w:r>
          </w:p>
        </w:tc>
      </w:tr>
      <w:tr w:rsidR="002449C2" w14:paraId="6CAFEF98"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48C3B63"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ПИР</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52CF1044"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проектно-изыскательские работы</w:t>
            </w:r>
          </w:p>
        </w:tc>
      </w:tr>
      <w:tr w:rsidR="002449C2" w14:paraId="1BB1012A"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48793D4"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ПС</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503EFE5C"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подстанция</w:t>
            </w:r>
          </w:p>
        </w:tc>
      </w:tr>
      <w:tr w:rsidR="002449C2" w14:paraId="192F1298"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708677C1"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РСБУ</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71AD1C99"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Российский стандарт бухгалтерского учета</w:t>
            </w:r>
          </w:p>
        </w:tc>
      </w:tr>
      <w:tr w:rsidR="002449C2" w14:paraId="7E911AF3"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DE9122F"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РЭС</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16B5B0F"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район электрических сетей</w:t>
            </w:r>
          </w:p>
        </w:tc>
      </w:tr>
      <w:tr w:rsidR="002449C2" w14:paraId="186B10F5"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1FC3C794"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СД</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4CC3070"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Совет директоров</w:t>
            </w:r>
          </w:p>
        </w:tc>
      </w:tr>
      <w:tr w:rsidR="002449C2" w14:paraId="4AC07BFA"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5E76396E"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СИЗ</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7886142A"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средства индивидуальной защиты</w:t>
            </w:r>
          </w:p>
        </w:tc>
      </w:tr>
      <w:tr w:rsidR="002449C2" w14:paraId="170B2E14"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5561153D"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СИП</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878A2D3"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изолированный самонесущий провод</w:t>
            </w:r>
          </w:p>
        </w:tc>
      </w:tr>
      <w:tr w:rsidR="002449C2" w14:paraId="44D20584"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22F37C4D"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СМИ</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71F450F0"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средства массовой информации</w:t>
            </w:r>
          </w:p>
        </w:tc>
      </w:tr>
      <w:tr w:rsidR="002449C2" w14:paraId="15927F45"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82A7C62"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СУПА</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20F296DE"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система управления производственным и активами</w:t>
            </w:r>
          </w:p>
        </w:tc>
      </w:tr>
      <w:tr w:rsidR="002449C2" w14:paraId="1D10C2F7"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0292B85"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ТОиР</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67762A9"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техническое обслуживание и ремонт</w:t>
            </w:r>
          </w:p>
        </w:tc>
      </w:tr>
      <w:tr w:rsidR="002449C2" w14:paraId="4D9E2437"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271441D8"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ТСО</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F2EB337"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территориальная сетевая организация</w:t>
            </w:r>
          </w:p>
        </w:tc>
      </w:tr>
      <w:tr w:rsidR="002449C2" w14:paraId="0EE4744E"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6E026A6"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ТЭК</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203791E3"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топливно-энергетический комплекс</w:t>
            </w:r>
          </w:p>
        </w:tc>
      </w:tr>
      <w:tr w:rsidR="002449C2" w14:paraId="323EB606"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D4E88B5"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EBITDA</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78DF86AE"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прибыль до выплаты процентов, налогов, погашения основной суммы кредита и амортизационных отчислений</w:t>
            </w:r>
          </w:p>
        </w:tc>
      </w:tr>
      <w:tr w:rsidR="002449C2" w14:paraId="042FAB98" w14:textId="77777777">
        <w:trPr>
          <w:trHeight w:val="20"/>
          <w:jc w:val="center"/>
        </w:trPr>
        <w:tc>
          <w:tcPr>
            <w:tcW w:w="10331" w:type="dxa"/>
            <w:gridSpan w:val="2"/>
            <w:tcBorders>
              <w:top w:val="single" w:sz="4" w:space="0" w:color="000000"/>
              <w:left w:val="single" w:sz="4" w:space="0" w:color="000000"/>
              <w:bottom w:val="single" w:sz="4" w:space="0" w:color="000000"/>
              <w:right w:val="single" w:sz="4" w:space="0" w:color="000000"/>
            </w:tcBorders>
            <w:shd w:val="clear" w:color="auto" w:fill="FFFFFF"/>
            <w:vAlign w:val="bottom"/>
          </w:tcPr>
          <w:p w14:paraId="2AD9E4EA" w14:textId="77777777" w:rsidR="002449C2" w:rsidRDefault="00123961">
            <w:pPr>
              <w:shd w:val="clear" w:color="auto" w:fill="FFFFFF"/>
              <w:spacing w:after="0" w:line="240" w:lineRule="auto"/>
              <w:rPr>
                <w:rFonts w:ascii="Times New Roman" w:hAnsi="Times New Roman"/>
                <w:sz w:val="24"/>
                <w:szCs w:val="24"/>
                <w:lang w:eastAsia="ar-SA"/>
              </w:rPr>
            </w:pPr>
            <w:r>
              <w:rPr>
                <w:rFonts w:ascii="Times New Roman" w:hAnsi="Times New Roman"/>
                <w:sz w:val="24"/>
                <w:szCs w:val="24"/>
                <w:lang w:eastAsia="ar-SA"/>
              </w:rPr>
              <w:t>Единицы измерения</w:t>
            </w:r>
          </w:p>
        </w:tc>
      </w:tr>
      <w:tr w:rsidR="002449C2" w14:paraId="6173F9BA"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3D69DBE"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А</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B6E4C5A"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ампер.  Единица измерения силы тока</w:t>
            </w:r>
          </w:p>
        </w:tc>
      </w:tr>
      <w:tr w:rsidR="002449C2" w14:paraId="627513BD"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9403707"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Га</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F8BD4F1"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гектар. Единица измерения площади</w:t>
            </w:r>
          </w:p>
        </w:tc>
      </w:tr>
      <w:tr w:rsidR="002449C2" w14:paraId="3A2A1674"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08332F8"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Гкал</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44730DC"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гигакалория. Единица измерения тепловой энергии</w:t>
            </w:r>
          </w:p>
        </w:tc>
      </w:tr>
      <w:tr w:rsidR="002449C2" w14:paraId="61CCC748"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7BAC3242"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кВ</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1811112E"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киловольт. Единица измерения напряжения</w:t>
            </w:r>
          </w:p>
        </w:tc>
      </w:tr>
      <w:tr w:rsidR="002449C2" w14:paraId="5C235B37"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806107E"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кВА, МВА</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BB3647F"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киловольт-ампер, мегавольт-ампер. Единица измерения  полной электрической мощности</w:t>
            </w:r>
          </w:p>
        </w:tc>
      </w:tr>
      <w:tr w:rsidR="002449C2" w14:paraId="413E4E42"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536F2937"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кВт∙ч</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A8D13D2"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киловатт-час. Единица измерения электрической энергии</w:t>
            </w:r>
          </w:p>
        </w:tc>
      </w:tr>
      <w:tr w:rsidR="002449C2" w14:paraId="7D497A6C"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E4D1432"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кВт, МВт</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E0C69F4"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киловатт, мегаватт. Единица измерения электрической активной мощности</w:t>
            </w:r>
          </w:p>
        </w:tc>
      </w:tr>
      <w:tr w:rsidR="002449C2" w14:paraId="2854F7E6"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6EA77B3"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км</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BFEC83F"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километр. Единица измерения длины</w:t>
            </w:r>
          </w:p>
        </w:tc>
      </w:tr>
      <w:tr w:rsidR="002449C2" w14:paraId="2856E73A" w14:textId="77777777">
        <w:trPr>
          <w:trHeight w:val="20"/>
          <w:jc w:val="center"/>
        </w:trPr>
        <w:tc>
          <w:tcPr>
            <w:tcW w:w="210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5EB6F251" w14:textId="77777777" w:rsidR="002449C2" w:rsidRDefault="00123961">
            <w:pPr>
              <w:shd w:val="clear" w:color="auto" w:fill="FFFFFF"/>
              <w:spacing w:after="0" w:line="240" w:lineRule="auto"/>
              <w:ind w:left="523"/>
              <w:rPr>
                <w:rFonts w:ascii="Times New Roman" w:hAnsi="Times New Roman"/>
                <w:sz w:val="24"/>
                <w:szCs w:val="24"/>
                <w:lang w:eastAsia="ar-SA"/>
              </w:rPr>
            </w:pPr>
            <w:r>
              <w:rPr>
                <w:rFonts w:ascii="Times New Roman" w:hAnsi="Times New Roman"/>
                <w:sz w:val="24"/>
                <w:szCs w:val="24"/>
                <w:lang w:eastAsia="ar-SA"/>
              </w:rPr>
              <w:t>т.у.т.</w:t>
            </w:r>
          </w:p>
        </w:tc>
        <w:tc>
          <w:tcPr>
            <w:tcW w:w="823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2B7AFD5F" w14:textId="77777777" w:rsidR="002449C2" w:rsidRDefault="00123961">
            <w:pPr>
              <w:shd w:val="clear" w:color="auto" w:fill="FFFFFF"/>
              <w:spacing w:after="0" w:line="240" w:lineRule="auto"/>
              <w:ind w:left="548"/>
              <w:rPr>
                <w:rFonts w:ascii="Times New Roman" w:hAnsi="Times New Roman"/>
                <w:sz w:val="24"/>
                <w:szCs w:val="24"/>
                <w:lang w:eastAsia="ar-SA"/>
              </w:rPr>
            </w:pPr>
            <w:r>
              <w:rPr>
                <w:rFonts w:ascii="Times New Roman" w:hAnsi="Times New Roman"/>
                <w:sz w:val="24"/>
                <w:szCs w:val="24"/>
                <w:lang w:eastAsia="ar-SA"/>
              </w:rPr>
              <w:t>тонна условного топлива</w:t>
            </w:r>
          </w:p>
        </w:tc>
      </w:tr>
    </w:tbl>
    <w:p w14:paraId="28F15B03" w14:textId="77777777" w:rsidR="002449C2" w:rsidRDefault="00123961">
      <w:pPr>
        <w:shd w:val="clear" w:color="auto" w:fill="FFFFFF"/>
        <w:spacing w:after="0" w:line="240" w:lineRule="auto"/>
        <w:ind w:left="426" w:right="-143" w:hanging="426"/>
        <w:rPr>
          <w:rFonts w:ascii="Times New Roman" w:eastAsia="Times New Roman" w:hAnsi="Times New Roman"/>
          <w:sz w:val="24"/>
          <w:szCs w:val="24"/>
          <w:lang w:eastAsia="ru-RU"/>
        </w:rPr>
      </w:pPr>
      <w:r>
        <w:br w:type="page"/>
      </w:r>
    </w:p>
    <w:p w14:paraId="4E3D4BBE" w14:textId="77777777" w:rsidR="002449C2" w:rsidRDefault="00123961">
      <w:pPr>
        <w:keepNext/>
        <w:keepLines/>
        <w:spacing w:after="120" w:line="240" w:lineRule="auto"/>
        <w:ind w:left="567"/>
        <w:jc w:val="both"/>
        <w:outlineLvl w:val="2"/>
        <w:rPr>
          <w:rFonts w:ascii="Times New Roman" w:eastAsia="Times New Roman" w:hAnsi="Times New Roman"/>
          <w:color w:val="385623"/>
          <w:sz w:val="28"/>
          <w:szCs w:val="28"/>
          <w:lang w:eastAsia="en-US" w:bidi="en-US"/>
        </w:rPr>
      </w:pPr>
      <w:bookmarkStart w:id="255" w:name="_Toc195174992"/>
      <w:bookmarkStart w:id="256" w:name="_Toc196143085"/>
      <w:r>
        <w:rPr>
          <w:rFonts w:ascii="Times New Roman" w:eastAsia="Times New Roman" w:hAnsi="Times New Roman"/>
          <w:color w:val="385623"/>
          <w:sz w:val="28"/>
          <w:szCs w:val="28"/>
          <w:lang w:eastAsia="en-US" w:bidi="en-US"/>
        </w:rPr>
        <w:t>Адреса и контакты</w:t>
      </w:r>
      <w:bookmarkEnd w:id="255"/>
      <w:bookmarkEnd w:id="256"/>
      <w:r>
        <w:rPr>
          <w:rFonts w:ascii="Times New Roman" w:eastAsia="Times New Roman" w:hAnsi="Times New Roman"/>
          <w:color w:val="385623"/>
          <w:sz w:val="28"/>
          <w:szCs w:val="28"/>
          <w:lang w:eastAsia="en-US" w:bidi="en-US"/>
        </w:rPr>
        <w:t xml:space="preserve"> </w:t>
      </w:r>
    </w:p>
    <w:p w14:paraId="208FA712" w14:textId="77777777" w:rsidR="002449C2" w:rsidRDefault="00123961">
      <w:pPr>
        <w:shd w:val="clear" w:color="auto" w:fill="FFFFFF"/>
        <w:tabs>
          <w:tab w:val="left" w:pos="1862"/>
        </w:tabs>
        <w:spacing w:after="0" w:line="240" w:lineRule="auto"/>
        <w:rPr>
          <w:rFonts w:ascii="Times New Roman" w:hAnsi="Times New Roman"/>
          <w:sz w:val="24"/>
          <w:szCs w:val="24"/>
          <w:lang w:eastAsia="en-US"/>
        </w:rPr>
      </w:pPr>
      <w:r>
        <w:rPr>
          <w:rFonts w:ascii="Times New Roman" w:hAnsi="Times New Roman"/>
          <w:bCs/>
          <w:sz w:val="24"/>
          <w:szCs w:val="24"/>
          <w:lang w:eastAsia="en-US"/>
        </w:rPr>
        <w:t xml:space="preserve">Полное фирменное наименование: </w:t>
      </w:r>
      <w:r>
        <w:rPr>
          <w:rFonts w:ascii="Times New Roman" w:hAnsi="Times New Roman"/>
          <w:b/>
          <w:sz w:val="24"/>
          <w:szCs w:val="24"/>
          <w:lang w:eastAsia="en-US"/>
        </w:rPr>
        <w:t>Публичное акционерное общество «Россети Юг»</w:t>
      </w:r>
      <w:r>
        <w:rPr>
          <w:rFonts w:ascii="Times New Roman" w:hAnsi="Times New Roman"/>
          <w:sz w:val="24"/>
          <w:szCs w:val="24"/>
          <w:lang w:eastAsia="en-US"/>
        </w:rPr>
        <w:t xml:space="preserve"> </w:t>
      </w:r>
    </w:p>
    <w:p w14:paraId="4209185C" w14:textId="77777777" w:rsidR="002449C2" w:rsidRDefault="00123961">
      <w:pPr>
        <w:shd w:val="clear" w:color="auto" w:fill="FFFFFF"/>
        <w:tabs>
          <w:tab w:val="left" w:pos="1862"/>
        </w:tabs>
        <w:spacing w:after="0" w:line="240" w:lineRule="auto"/>
        <w:rPr>
          <w:rFonts w:ascii="Times New Roman" w:hAnsi="Times New Roman"/>
          <w:sz w:val="24"/>
          <w:szCs w:val="24"/>
          <w:lang w:eastAsia="en-US"/>
        </w:rPr>
      </w:pPr>
      <w:r>
        <w:rPr>
          <w:rFonts w:ascii="Times New Roman" w:hAnsi="Times New Roman"/>
          <w:bCs/>
          <w:sz w:val="24"/>
          <w:szCs w:val="24"/>
          <w:lang w:eastAsia="en-US"/>
        </w:rPr>
        <w:t>Сокращенное фирменное наименование:</w:t>
      </w:r>
      <w:r>
        <w:rPr>
          <w:rFonts w:ascii="Times New Roman" w:hAnsi="Times New Roman"/>
          <w:sz w:val="24"/>
          <w:szCs w:val="24"/>
          <w:lang w:eastAsia="en-US"/>
        </w:rPr>
        <w:t xml:space="preserve"> </w:t>
      </w:r>
      <w:r>
        <w:rPr>
          <w:rFonts w:ascii="Times New Roman" w:hAnsi="Times New Roman"/>
          <w:b/>
          <w:sz w:val="24"/>
          <w:szCs w:val="24"/>
          <w:lang w:eastAsia="en-US"/>
        </w:rPr>
        <w:t>ПАО «Россети Юг»</w:t>
      </w:r>
    </w:p>
    <w:p w14:paraId="71F84B73" w14:textId="77777777" w:rsidR="002449C2" w:rsidRDefault="00123961">
      <w:pPr>
        <w:shd w:val="clear" w:color="auto" w:fill="FFFFFF"/>
        <w:spacing w:after="0" w:line="240" w:lineRule="auto"/>
        <w:jc w:val="both"/>
        <w:rPr>
          <w:rFonts w:ascii="Times New Roman" w:hAnsi="Times New Roman"/>
          <w:sz w:val="24"/>
          <w:szCs w:val="24"/>
          <w:lang w:eastAsia="en-US"/>
        </w:rPr>
      </w:pPr>
      <w:r>
        <w:rPr>
          <w:rFonts w:ascii="Times New Roman" w:hAnsi="Times New Roman"/>
          <w:sz w:val="24"/>
          <w:szCs w:val="24"/>
          <w:lang w:eastAsia="en-US"/>
        </w:rPr>
        <w:t>Свидетельство о государственной регистрации серия 61 №005700952 от 28.06.2007. ОРГН 1076164009096</w:t>
      </w:r>
    </w:p>
    <w:p w14:paraId="5D73664C" w14:textId="77777777" w:rsidR="002449C2" w:rsidRDefault="00123961">
      <w:pPr>
        <w:shd w:val="clear" w:color="auto" w:fill="FFFFFF"/>
        <w:spacing w:after="0" w:line="240" w:lineRule="auto"/>
        <w:jc w:val="both"/>
        <w:rPr>
          <w:rFonts w:ascii="Times New Roman" w:hAnsi="Times New Roman"/>
          <w:sz w:val="24"/>
          <w:szCs w:val="24"/>
          <w:lang w:eastAsia="en-US"/>
        </w:rPr>
      </w:pPr>
      <w:r>
        <w:rPr>
          <w:rFonts w:ascii="Times New Roman" w:hAnsi="Times New Roman"/>
          <w:sz w:val="24"/>
          <w:szCs w:val="24"/>
          <w:lang w:eastAsia="en-US"/>
        </w:rPr>
        <w:t xml:space="preserve">Общество зарегистрировано </w:t>
      </w:r>
      <w:r>
        <w:rPr>
          <w:rFonts w:ascii="Times New Roman" w:eastAsia="Times New Roman" w:hAnsi="Times New Roman"/>
          <w:bCs/>
          <w:iCs/>
          <w:lang w:eastAsia="ru-RU"/>
        </w:rPr>
        <w:t>28.06.2007</w:t>
      </w:r>
      <w:r>
        <w:rPr>
          <w:rFonts w:ascii="Times New Roman" w:eastAsia="Times New Roman" w:hAnsi="Times New Roman"/>
          <w:b/>
          <w:bCs/>
          <w:i/>
          <w:iCs/>
          <w:lang w:eastAsia="ru-RU"/>
        </w:rPr>
        <w:t xml:space="preserve"> </w:t>
      </w:r>
      <w:r>
        <w:rPr>
          <w:rFonts w:ascii="Times New Roman" w:hAnsi="Times New Roman"/>
          <w:sz w:val="24"/>
          <w:szCs w:val="24"/>
          <w:lang w:eastAsia="en-US"/>
        </w:rPr>
        <w:t>на территории Ростовской области.</w:t>
      </w:r>
    </w:p>
    <w:p w14:paraId="2F2864A0" w14:textId="77777777" w:rsidR="002449C2" w:rsidRDefault="00123961">
      <w:pPr>
        <w:shd w:val="clear" w:color="auto" w:fill="FFFFFF"/>
        <w:spacing w:after="0" w:line="240" w:lineRule="auto"/>
        <w:jc w:val="both"/>
        <w:rPr>
          <w:rFonts w:ascii="Times New Roman" w:hAnsi="Times New Roman"/>
          <w:sz w:val="24"/>
          <w:szCs w:val="24"/>
          <w:lang w:eastAsia="en-US"/>
        </w:rPr>
      </w:pPr>
      <w:r>
        <w:rPr>
          <w:rFonts w:ascii="Times New Roman" w:hAnsi="Times New Roman"/>
          <w:sz w:val="24"/>
          <w:szCs w:val="24"/>
          <w:lang w:eastAsia="en-US"/>
        </w:rPr>
        <w:t>Юридический и фактический адрес: 344002, г. Ростов-на-Дону, ул. Большая Садовая, д.49/42.</w:t>
      </w:r>
    </w:p>
    <w:p w14:paraId="3BA920FF" w14:textId="77777777" w:rsidR="002449C2" w:rsidRDefault="00123961">
      <w:pPr>
        <w:shd w:val="clear" w:color="auto" w:fill="FFFFFF"/>
        <w:spacing w:after="0" w:line="240" w:lineRule="auto"/>
        <w:rPr>
          <w:rFonts w:ascii="Times New Roman" w:hAnsi="Times New Roman"/>
          <w:sz w:val="24"/>
          <w:szCs w:val="24"/>
          <w:lang w:eastAsia="en-US"/>
        </w:rPr>
      </w:pPr>
      <w:r>
        <w:rPr>
          <w:rFonts w:ascii="Times New Roman" w:hAnsi="Times New Roman"/>
          <w:sz w:val="24"/>
          <w:szCs w:val="24"/>
          <w:lang w:eastAsia="en-US"/>
        </w:rPr>
        <w:t>Контактный тел./факс: (863) 238-54-64, (863) 238-58-95/ (863) 238-55-65</w:t>
      </w:r>
    </w:p>
    <w:p w14:paraId="6263AC6E" w14:textId="77777777" w:rsidR="002449C2" w:rsidRDefault="002449C2">
      <w:pPr>
        <w:shd w:val="clear" w:color="auto" w:fill="FFFFFF"/>
        <w:spacing w:after="0" w:line="240" w:lineRule="auto"/>
        <w:rPr>
          <w:rFonts w:ascii="Times New Roman" w:hAnsi="Times New Roman"/>
          <w:sz w:val="24"/>
          <w:szCs w:val="24"/>
          <w:lang w:eastAsia="en-US"/>
        </w:rPr>
      </w:pPr>
    </w:p>
    <w:p w14:paraId="24DAD0FA" w14:textId="77777777" w:rsidR="002449C2" w:rsidRDefault="00123961">
      <w:pPr>
        <w:shd w:val="clear" w:color="auto" w:fill="FFFFFF"/>
        <w:spacing w:after="0" w:line="240" w:lineRule="auto"/>
        <w:rPr>
          <w:rFonts w:ascii="Times New Roman" w:hAnsi="Times New Roman"/>
          <w:sz w:val="24"/>
          <w:szCs w:val="24"/>
          <w:lang w:eastAsia="en-US"/>
        </w:rPr>
      </w:pPr>
      <w:r>
        <w:rPr>
          <w:rFonts w:ascii="Times New Roman" w:hAnsi="Times New Roman"/>
          <w:sz w:val="24"/>
          <w:szCs w:val="24"/>
          <w:lang w:eastAsia="en-US"/>
        </w:rPr>
        <w:t>Электронная почта: </w:t>
      </w:r>
      <w:hyperlink r:id="rId190">
        <w:r>
          <w:rPr>
            <w:rStyle w:val="ab"/>
            <w:rFonts w:ascii="Times New Roman" w:hAnsi="Times New Roman"/>
            <w:sz w:val="24"/>
            <w:szCs w:val="24"/>
            <w:lang w:eastAsia="en-US"/>
          </w:rPr>
          <w:t>office@</w:t>
        </w:r>
        <w:r>
          <w:rPr>
            <w:rStyle w:val="ab"/>
            <w:rFonts w:ascii="Times New Roman" w:hAnsi="Times New Roman"/>
            <w:sz w:val="24"/>
            <w:szCs w:val="24"/>
            <w:lang w:val="en-US" w:eastAsia="en-US"/>
          </w:rPr>
          <w:t>rosseti</w:t>
        </w:r>
        <w:r>
          <w:rPr>
            <w:rStyle w:val="ab"/>
            <w:rFonts w:ascii="Times New Roman" w:hAnsi="Times New Roman"/>
            <w:sz w:val="24"/>
            <w:szCs w:val="24"/>
            <w:lang w:eastAsia="en-US"/>
          </w:rPr>
          <w:t>-</w:t>
        </w:r>
        <w:r>
          <w:rPr>
            <w:rStyle w:val="ab"/>
            <w:rFonts w:ascii="Times New Roman" w:hAnsi="Times New Roman"/>
            <w:sz w:val="24"/>
            <w:szCs w:val="24"/>
            <w:lang w:val="en-US" w:eastAsia="en-US"/>
          </w:rPr>
          <w:t>yug</w:t>
        </w:r>
        <w:r>
          <w:rPr>
            <w:rStyle w:val="ab"/>
            <w:rFonts w:ascii="Times New Roman" w:hAnsi="Times New Roman"/>
            <w:sz w:val="24"/>
            <w:szCs w:val="24"/>
            <w:lang w:eastAsia="en-US"/>
          </w:rPr>
          <w:t>.ru</w:t>
        </w:r>
      </w:hyperlink>
      <w:r>
        <w:rPr>
          <w:rFonts w:ascii="Times New Roman" w:hAnsi="Times New Roman"/>
          <w:sz w:val="24"/>
          <w:szCs w:val="24"/>
          <w:lang w:eastAsia="en-US"/>
        </w:rPr>
        <w:t xml:space="preserve">  </w:t>
      </w:r>
    </w:p>
    <w:p w14:paraId="798FD890" w14:textId="77777777" w:rsidR="002449C2" w:rsidRDefault="00123961">
      <w:pPr>
        <w:shd w:val="clear" w:color="auto" w:fill="FFFFFF"/>
        <w:spacing w:after="0" w:line="240" w:lineRule="auto"/>
        <w:jc w:val="both"/>
        <w:rPr>
          <w:rFonts w:ascii="Times New Roman" w:hAnsi="Times New Roman"/>
          <w:sz w:val="24"/>
          <w:szCs w:val="24"/>
          <w:lang w:eastAsia="en-US"/>
        </w:rPr>
      </w:pPr>
      <w:r>
        <w:rPr>
          <w:rFonts w:ascii="Times New Roman" w:hAnsi="Times New Roman"/>
          <w:iCs/>
          <w:sz w:val="24"/>
          <w:szCs w:val="24"/>
          <w:lang w:eastAsia="en-US"/>
        </w:rPr>
        <w:t xml:space="preserve">Адрес страницы в сети Интернет: </w:t>
      </w:r>
      <w:hyperlink r:id="rId191">
        <w:r>
          <w:rPr>
            <w:rStyle w:val="ab"/>
            <w:rFonts w:ascii="Times New Roman" w:hAnsi="Times New Roman"/>
            <w:sz w:val="24"/>
            <w:szCs w:val="24"/>
            <w:lang w:eastAsia="en-US"/>
          </w:rPr>
          <w:t>http://</w:t>
        </w:r>
        <w:r>
          <w:rPr>
            <w:rStyle w:val="ab"/>
            <w:rFonts w:ascii="Times New Roman" w:hAnsi="Times New Roman"/>
            <w:sz w:val="24"/>
            <w:szCs w:val="24"/>
            <w:lang w:val="en-US" w:eastAsia="en-US"/>
          </w:rPr>
          <w:t>rosseti</w:t>
        </w:r>
        <w:r>
          <w:rPr>
            <w:rStyle w:val="ab"/>
            <w:rFonts w:ascii="Times New Roman" w:hAnsi="Times New Roman"/>
            <w:sz w:val="24"/>
            <w:szCs w:val="24"/>
            <w:lang w:eastAsia="en-US"/>
          </w:rPr>
          <w:t>-</w:t>
        </w:r>
        <w:r>
          <w:rPr>
            <w:rStyle w:val="ab"/>
            <w:rFonts w:ascii="Times New Roman" w:hAnsi="Times New Roman"/>
            <w:sz w:val="24"/>
            <w:szCs w:val="24"/>
            <w:lang w:val="en-US" w:eastAsia="en-US"/>
          </w:rPr>
          <w:t>yug</w:t>
        </w:r>
        <w:r>
          <w:rPr>
            <w:rStyle w:val="ab"/>
            <w:rFonts w:ascii="Times New Roman" w:hAnsi="Times New Roman"/>
            <w:sz w:val="24"/>
            <w:szCs w:val="24"/>
            <w:lang w:eastAsia="en-US"/>
          </w:rPr>
          <w:t>.ru</w:t>
        </w:r>
      </w:hyperlink>
    </w:p>
    <w:p w14:paraId="1E741309" w14:textId="77777777" w:rsidR="002449C2" w:rsidRDefault="002449C2">
      <w:pPr>
        <w:shd w:val="clear" w:color="auto" w:fill="FFFFFF"/>
        <w:spacing w:after="0" w:line="240" w:lineRule="auto"/>
        <w:jc w:val="both"/>
        <w:rPr>
          <w:rFonts w:ascii="Times New Roman" w:hAnsi="Times New Roman"/>
          <w:sz w:val="24"/>
          <w:szCs w:val="24"/>
          <w:lang w:eastAsia="en-US"/>
        </w:rPr>
      </w:pPr>
    </w:p>
    <w:p w14:paraId="660B0A85" w14:textId="77777777" w:rsidR="002449C2" w:rsidRDefault="00123961">
      <w:pPr>
        <w:shd w:val="clear" w:color="auto" w:fill="DEEAF6"/>
        <w:spacing w:after="0" w:line="259" w:lineRule="auto"/>
        <w:jc w:val="both"/>
        <w:rPr>
          <w:rFonts w:ascii="Times New Roman" w:hAnsi="Times New Roman"/>
          <w:spacing w:val="20"/>
          <w:sz w:val="26"/>
          <w:szCs w:val="26"/>
          <w:lang w:eastAsia="en-US"/>
        </w:rPr>
      </w:pPr>
      <w:r>
        <w:rPr>
          <w:rFonts w:ascii="Times New Roman" w:hAnsi="Times New Roman"/>
          <w:spacing w:val="20"/>
          <w:sz w:val="26"/>
          <w:szCs w:val="26"/>
          <w:lang w:eastAsia="en-US"/>
        </w:rPr>
        <w:t>Единый номер горячей линии</w:t>
      </w:r>
    </w:p>
    <w:p w14:paraId="509F90BE" w14:textId="77777777" w:rsidR="002449C2" w:rsidRDefault="00123961">
      <w:pPr>
        <w:shd w:val="clear" w:color="auto" w:fill="DEEAF6"/>
        <w:spacing w:after="0" w:line="259" w:lineRule="auto"/>
        <w:jc w:val="both"/>
        <w:rPr>
          <w:rFonts w:ascii="Times New Roman" w:hAnsi="Times New Roman"/>
          <w:spacing w:val="20"/>
          <w:sz w:val="26"/>
          <w:szCs w:val="26"/>
          <w:lang w:eastAsia="en-US"/>
        </w:rPr>
      </w:pPr>
      <w:r>
        <w:rPr>
          <w:rFonts w:ascii="Times New Roman" w:hAnsi="Times New Roman"/>
          <w:spacing w:val="20"/>
          <w:sz w:val="26"/>
          <w:szCs w:val="26"/>
          <w:lang w:eastAsia="en-US"/>
        </w:rPr>
        <w:t>8(800)220-0-220</w:t>
      </w:r>
    </w:p>
    <w:p w14:paraId="1480AF9A" w14:textId="77777777" w:rsidR="002449C2" w:rsidRDefault="002449C2">
      <w:pPr>
        <w:shd w:val="clear" w:color="auto" w:fill="FFFFFF"/>
        <w:spacing w:after="0" w:line="240" w:lineRule="auto"/>
        <w:jc w:val="both"/>
        <w:rPr>
          <w:rFonts w:ascii="Times New Roman" w:hAnsi="Times New Roman"/>
          <w:spacing w:val="20"/>
          <w:sz w:val="24"/>
          <w:szCs w:val="24"/>
          <w:lang w:eastAsia="en-US"/>
        </w:rPr>
      </w:pPr>
    </w:p>
    <w:p w14:paraId="27DD73F9" w14:textId="77777777" w:rsidR="002449C2" w:rsidRDefault="00123961">
      <w:pPr>
        <w:shd w:val="clear" w:color="auto" w:fill="FFFFFF"/>
        <w:spacing w:after="0" w:line="240" w:lineRule="auto"/>
        <w:jc w:val="both"/>
        <w:rPr>
          <w:rFonts w:ascii="Times New Roman" w:hAnsi="Times New Roman"/>
          <w:b/>
          <w:spacing w:val="20"/>
          <w:sz w:val="24"/>
          <w:szCs w:val="24"/>
          <w:u w:val="single"/>
          <w:lang w:eastAsia="en-US"/>
        </w:rPr>
      </w:pPr>
      <w:r>
        <w:rPr>
          <w:rFonts w:ascii="Times New Roman" w:eastAsia="Times New Roman" w:hAnsi="Times New Roman"/>
          <w:b/>
          <w:bCs/>
          <w:color w:val="17365D"/>
          <w:spacing w:val="20"/>
          <w:sz w:val="24"/>
          <w:szCs w:val="24"/>
          <w:lang w:eastAsia="en-US"/>
        </w:rPr>
        <w:t xml:space="preserve">Реестродержатель </w:t>
      </w:r>
    </w:p>
    <w:p w14:paraId="75B6E6CE" w14:textId="77777777" w:rsidR="002449C2" w:rsidRDefault="00123961">
      <w:pPr>
        <w:shd w:val="clear" w:color="auto" w:fill="FFFFFF"/>
        <w:spacing w:after="0"/>
        <w:rPr>
          <w:rFonts w:ascii="Times New Roman" w:hAnsi="Times New Roman"/>
          <w:b/>
          <w:bCs/>
          <w:sz w:val="24"/>
          <w:szCs w:val="24"/>
          <w:lang w:eastAsia="en-US"/>
        </w:rPr>
      </w:pPr>
      <w:r>
        <w:rPr>
          <w:rFonts w:ascii="Times New Roman" w:hAnsi="Times New Roman"/>
          <w:sz w:val="24"/>
          <w:szCs w:val="24"/>
          <w:lang w:eastAsia="en-US"/>
        </w:rPr>
        <w:t xml:space="preserve">Полное фирменное наименование: </w:t>
      </w:r>
      <w:r>
        <w:rPr>
          <w:rFonts w:ascii="Times New Roman" w:hAnsi="Times New Roman"/>
          <w:b/>
          <w:bCs/>
          <w:sz w:val="24"/>
          <w:szCs w:val="24"/>
          <w:lang w:eastAsia="en-US"/>
        </w:rPr>
        <w:t>Акционерное общество «Независимая регистраторская компания Р.О.С.Т.»</w:t>
      </w:r>
    </w:p>
    <w:p w14:paraId="04C15464" w14:textId="77777777" w:rsidR="002449C2" w:rsidRDefault="00123961">
      <w:pPr>
        <w:shd w:val="clear" w:color="auto" w:fill="FFFFFF"/>
        <w:spacing w:after="0"/>
        <w:rPr>
          <w:rFonts w:ascii="Times New Roman" w:hAnsi="Times New Roman"/>
          <w:bCs/>
          <w:sz w:val="24"/>
          <w:szCs w:val="24"/>
          <w:lang w:eastAsia="en-US"/>
        </w:rPr>
      </w:pPr>
      <w:r>
        <w:rPr>
          <w:rFonts w:ascii="Times New Roman" w:hAnsi="Times New Roman"/>
          <w:bCs/>
          <w:sz w:val="24"/>
          <w:szCs w:val="24"/>
          <w:lang w:eastAsia="en-US"/>
        </w:rPr>
        <w:t>Сокращенное фирменное наименование:</w:t>
      </w:r>
      <w:r>
        <w:rPr>
          <w:rFonts w:ascii="Times New Roman" w:hAnsi="Times New Roman"/>
          <w:sz w:val="24"/>
          <w:szCs w:val="24"/>
        </w:rPr>
        <w:t xml:space="preserve"> </w:t>
      </w:r>
      <w:r>
        <w:rPr>
          <w:rFonts w:ascii="Times New Roman" w:hAnsi="Times New Roman"/>
          <w:b/>
          <w:bCs/>
          <w:sz w:val="24"/>
          <w:szCs w:val="24"/>
          <w:lang w:eastAsia="en-US"/>
        </w:rPr>
        <w:t>АО «НРК - Р.О.С.Т.»</w:t>
      </w:r>
    </w:p>
    <w:p w14:paraId="07CF3502" w14:textId="77777777" w:rsidR="002449C2" w:rsidRDefault="00123961">
      <w:pPr>
        <w:shd w:val="clear" w:color="auto" w:fill="FFFFFF"/>
        <w:spacing w:after="0"/>
        <w:rPr>
          <w:rFonts w:ascii="Times New Roman" w:hAnsi="Times New Roman"/>
          <w:sz w:val="24"/>
          <w:szCs w:val="24"/>
          <w:lang w:eastAsia="en-US"/>
        </w:rPr>
      </w:pPr>
      <w:r>
        <w:rPr>
          <w:rFonts w:ascii="Times New Roman" w:hAnsi="Times New Roman"/>
          <w:sz w:val="24"/>
          <w:szCs w:val="24"/>
          <w:lang w:eastAsia="en-US"/>
        </w:rPr>
        <w:t>Место нахождения: г. Москва, ул. Стромынка, д. 18, стр. 13.</w:t>
      </w:r>
      <w:r>
        <w:rPr>
          <w:rFonts w:ascii="Times New Roman" w:hAnsi="Times New Roman"/>
          <w:sz w:val="24"/>
          <w:szCs w:val="24"/>
          <w:lang w:eastAsia="en-US"/>
        </w:rPr>
        <w:br w:type="textWrapping" w:clear="all"/>
        <w:t>Почтовый адрес: 107996, г. Москва, ул. Стромынка, д. 18, а/я 9</w:t>
      </w:r>
      <w:r>
        <w:rPr>
          <w:rFonts w:ascii="Times New Roman" w:hAnsi="Times New Roman"/>
          <w:sz w:val="24"/>
          <w:szCs w:val="24"/>
          <w:lang w:eastAsia="en-US"/>
        </w:rPr>
        <w:br w:type="textWrapping" w:clear="all"/>
        <w:t>Телефон Единого контактного центра обслуживания клиентов: (495) 780-73-63</w:t>
      </w:r>
      <w:r>
        <w:rPr>
          <w:rFonts w:ascii="Times New Roman" w:hAnsi="Times New Roman"/>
          <w:sz w:val="24"/>
          <w:szCs w:val="24"/>
          <w:lang w:eastAsia="en-US"/>
        </w:rPr>
        <w:br w:type="textWrapping" w:clear="all"/>
        <w:t xml:space="preserve">Электронный адрес: </w:t>
      </w:r>
      <w:hyperlink r:id="rId192">
        <w:r>
          <w:rPr>
            <w:rStyle w:val="ab"/>
            <w:rFonts w:ascii="Times New Roman" w:hAnsi="Times New Roman"/>
            <w:sz w:val="24"/>
            <w:szCs w:val="24"/>
            <w:lang w:eastAsia="en-US"/>
          </w:rPr>
          <w:t>rost@rrost.ru</w:t>
        </w:r>
      </w:hyperlink>
      <w:r>
        <w:rPr>
          <w:rFonts w:ascii="Times New Roman" w:hAnsi="Times New Roman"/>
          <w:sz w:val="24"/>
          <w:szCs w:val="24"/>
          <w:lang w:eastAsia="en-US"/>
        </w:rPr>
        <w:t xml:space="preserve">. </w:t>
      </w:r>
    </w:p>
    <w:p w14:paraId="33313571" w14:textId="77777777" w:rsidR="002449C2" w:rsidRDefault="00123961">
      <w:pPr>
        <w:shd w:val="clear" w:color="auto" w:fill="FFFFFF"/>
        <w:spacing w:after="0"/>
        <w:rPr>
          <w:rFonts w:ascii="Times New Roman" w:hAnsi="Times New Roman"/>
          <w:sz w:val="24"/>
          <w:szCs w:val="24"/>
          <w:lang w:eastAsia="en-US"/>
        </w:rPr>
      </w:pPr>
      <w:r>
        <w:rPr>
          <w:rFonts w:ascii="Times New Roman" w:hAnsi="Times New Roman"/>
          <w:sz w:val="24"/>
          <w:szCs w:val="24"/>
          <w:lang w:eastAsia="en-US"/>
        </w:rPr>
        <w:t>Ссылка на сайт АО «НРК-Р.О.С.Т.»</w:t>
      </w:r>
      <w:r>
        <w:rPr>
          <w:rFonts w:ascii="Times New Roman" w:hAnsi="Times New Roman"/>
          <w:bCs/>
          <w:color w:val="17365D"/>
          <w:sz w:val="24"/>
          <w:szCs w:val="24"/>
          <w:lang w:eastAsia="en-US"/>
        </w:rPr>
        <w:t>: http://www.rrost.ru</w:t>
      </w:r>
    </w:p>
    <w:p w14:paraId="01DBEDDF" w14:textId="77777777" w:rsidR="002449C2" w:rsidRDefault="00123961">
      <w:pPr>
        <w:numPr>
          <w:ilvl w:val="0"/>
          <w:numId w:val="1"/>
        </w:numPr>
        <w:spacing w:before="240" w:after="120" w:line="240" w:lineRule="auto"/>
        <w:jc w:val="both"/>
        <w:rPr>
          <w:rFonts w:ascii="Times New Roman" w:hAnsi="Times New Roman"/>
          <w:b/>
          <w:bCs/>
          <w:color w:val="17365D"/>
          <w:spacing w:val="20"/>
          <w:sz w:val="24"/>
          <w:szCs w:val="24"/>
          <w:lang w:eastAsia="en-US"/>
        </w:rPr>
      </w:pPr>
      <w:r>
        <w:rPr>
          <w:rFonts w:ascii="Times New Roman" w:hAnsi="Times New Roman"/>
          <w:b/>
          <w:bCs/>
          <w:color w:val="17365D"/>
          <w:spacing w:val="20"/>
          <w:sz w:val="24"/>
          <w:szCs w:val="24"/>
          <w:lang w:eastAsia="en-US"/>
        </w:rPr>
        <w:t>Горячая линия по вопросам выплаты дивидендов</w:t>
      </w:r>
    </w:p>
    <w:p w14:paraId="6D4131DE" w14:textId="77777777" w:rsidR="002449C2" w:rsidRDefault="00123961">
      <w:pPr>
        <w:spacing w:before="240" w:after="120" w:line="240" w:lineRule="auto"/>
        <w:jc w:val="both"/>
        <w:rPr>
          <w:rFonts w:ascii="Times New Roman" w:hAnsi="Times New Roman"/>
          <w:sz w:val="24"/>
          <w:szCs w:val="24"/>
          <w:lang w:eastAsia="en-US"/>
        </w:rPr>
      </w:pPr>
      <w:r>
        <w:rPr>
          <w:rFonts w:ascii="Times New Roman" w:hAnsi="Times New Roman"/>
          <w:bCs/>
          <w:sz w:val="24"/>
          <w:szCs w:val="24"/>
          <w:lang w:eastAsia="en-US"/>
        </w:rPr>
        <w:t xml:space="preserve">Информацию о выплате дивидендов по акциям ПАО «Россети Юг» можно получить в АО «НРК - Р.О.С.Т.» по телефону горячей линии: +7 (495) 780-73-63 или обратившись в АО «НРК - Р.О.С.Т.» по адресу электронной почты: </w:t>
      </w:r>
      <w:hyperlink r:id="rId193">
        <w:r>
          <w:rPr>
            <w:rStyle w:val="ab"/>
            <w:rFonts w:ascii="Times New Roman" w:hAnsi="Times New Roman"/>
            <w:bCs/>
            <w:color w:val="000000"/>
            <w:sz w:val="24"/>
            <w:szCs w:val="24"/>
            <w:lang w:eastAsia="en-US"/>
          </w:rPr>
          <w:t>rost@rrost.ru</w:t>
        </w:r>
      </w:hyperlink>
      <w:r>
        <w:rPr>
          <w:rFonts w:ascii="Times New Roman" w:hAnsi="Times New Roman"/>
          <w:sz w:val="24"/>
          <w:szCs w:val="24"/>
          <w:lang w:eastAsia="en-US"/>
        </w:rPr>
        <w:t>.</w:t>
      </w:r>
    </w:p>
    <w:p w14:paraId="7922F1C8" w14:textId="77777777" w:rsidR="002449C2" w:rsidRDefault="002449C2">
      <w:pPr>
        <w:spacing w:before="240" w:after="120" w:line="240" w:lineRule="auto"/>
        <w:jc w:val="both"/>
        <w:rPr>
          <w:rFonts w:ascii="Times New Roman" w:hAnsi="Times New Roman"/>
          <w:bCs/>
          <w:sz w:val="24"/>
          <w:szCs w:val="24"/>
          <w:lang w:eastAsia="en-US"/>
        </w:rPr>
      </w:pPr>
    </w:p>
    <w:p w14:paraId="4CA27839" w14:textId="77777777" w:rsidR="002449C2" w:rsidRDefault="00123961">
      <w:pPr>
        <w:pBdr>
          <w:top w:val="single" w:sz="4" w:space="1" w:color="000000"/>
          <w:left w:val="single" w:sz="4" w:space="4" w:color="000000"/>
          <w:bottom w:val="single" w:sz="4" w:space="1" w:color="000000"/>
          <w:right w:val="single" w:sz="4" w:space="4" w:color="000000"/>
        </w:pBdr>
        <w:spacing w:after="0" w:line="240" w:lineRule="auto"/>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GRI 102-53 Контактная информация для вопросов относительно отчета или его содержания</w:t>
      </w:r>
    </w:p>
    <w:p w14:paraId="0FEAF236" w14:textId="77777777" w:rsidR="002449C2" w:rsidRDefault="002449C2">
      <w:pPr>
        <w:spacing w:after="0" w:line="240" w:lineRule="auto"/>
        <w:jc w:val="both"/>
        <w:rPr>
          <w:rFonts w:ascii="Times New Roman" w:hAnsi="Times New Roman"/>
          <w:b/>
          <w:sz w:val="24"/>
          <w:szCs w:val="24"/>
          <w:lang w:eastAsia="en-US"/>
        </w:rPr>
      </w:pPr>
    </w:p>
    <w:p w14:paraId="435AAA61" w14:textId="77777777" w:rsidR="002449C2" w:rsidRDefault="00123961">
      <w:pPr>
        <w:spacing w:after="0" w:line="240" w:lineRule="auto"/>
        <w:jc w:val="both"/>
        <w:rPr>
          <w:rFonts w:ascii="Times New Roman" w:hAnsi="Times New Roman"/>
          <w:bCs/>
          <w:sz w:val="24"/>
          <w:szCs w:val="24"/>
          <w:lang w:eastAsia="en-US"/>
        </w:rPr>
      </w:pPr>
      <w:r>
        <w:rPr>
          <w:rFonts w:ascii="Times New Roman" w:hAnsi="Times New Roman"/>
          <w:b/>
          <w:sz w:val="24"/>
          <w:szCs w:val="24"/>
          <w:lang w:eastAsia="en-US"/>
        </w:rPr>
        <w:t>Департамент корпоративного управления и взаимодействия с акционерами:</w:t>
      </w:r>
    </w:p>
    <w:p w14:paraId="08471DE3" w14:textId="77777777" w:rsidR="002449C2" w:rsidRDefault="00123961">
      <w:pPr>
        <w:spacing w:after="0" w:line="240" w:lineRule="auto"/>
        <w:jc w:val="both"/>
        <w:rPr>
          <w:rFonts w:ascii="Times New Roman" w:hAnsi="Times New Roman"/>
          <w:bCs/>
          <w:sz w:val="24"/>
          <w:szCs w:val="24"/>
          <w:lang w:eastAsia="en-US"/>
        </w:rPr>
      </w:pPr>
      <w:r>
        <w:rPr>
          <w:rFonts w:ascii="Times New Roman" w:hAnsi="Times New Roman"/>
          <w:bCs/>
          <w:sz w:val="24"/>
          <w:szCs w:val="24"/>
          <w:lang w:eastAsia="en-US"/>
        </w:rPr>
        <w:t xml:space="preserve">Горячая телефонная линия для акционеров </w:t>
      </w:r>
    </w:p>
    <w:p w14:paraId="2B524E5B" w14:textId="77777777" w:rsidR="002449C2" w:rsidRDefault="00123961">
      <w:pPr>
        <w:spacing w:after="0" w:line="240" w:lineRule="auto"/>
        <w:jc w:val="both"/>
        <w:rPr>
          <w:rFonts w:ascii="Times New Roman" w:hAnsi="Times New Roman"/>
          <w:bCs/>
          <w:sz w:val="24"/>
          <w:szCs w:val="24"/>
          <w:lang w:eastAsia="en-US"/>
        </w:rPr>
      </w:pPr>
      <w:r>
        <w:rPr>
          <w:rFonts w:ascii="Times New Roman" w:hAnsi="Times New Roman"/>
          <w:bCs/>
          <w:sz w:val="24"/>
          <w:szCs w:val="24"/>
          <w:lang w:eastAsia="en-US"/>
        </w:rPr>
        <w:t xml:space="preserve">Пн-Пт, с 8.00 до 17.00 </w:t>
      </w:r>
      <w:r>
        <w:rPr>
          <w:rFonts w:ascii="Times New Roman" w:hAnsi="Times New Roman"/>
          <w:sz w:val="24"/>
          <w:szCs w:val="24"/>
          <w:lang w:eastAsia="en-US"/>
        </w:rPr>
        <w:t>по Мск.</w:t>
      </w:r>
    </w:p>
    <w:p w14:paraId="0F94B814" w14:textId="77777777" w:rsidR="002449C2" w:rsidRDefault="00123961">
      <w:pPr>
        <w:spacing w:after="0" w:line="240" w:lineRule="auto"/>
        <w:jc w:val="both"/>
        <w:rPr>
          <w:rFonts w:ascii="Times New Roman" w:hAnsi="Times New Roman"/>
          <w:bCs/>
          <w:sz w:val="24"/>
          <w:szCs w:val="24"/>
          <w:lang w:val="en-US" w:eastAsia="en-US"/>
        </w:rPr>
      </w:pPr>
      <w:r>
        <w:rPr>
          <w:rFonts w:ascii="Times New Roman" w:hAnsi="Times New Roman"/>
          <w:bCs/>
          <w:sz w:val="24"/>
          <w:szCs w:val="24"/>
          <w:lang w:eastAsia="en-US"/>
        </w:rPr>
        <w:t>тел</w:t>
      </w:r>
      <w:r>
        <w:rPr>
          <w:rFonts w:ascii="Times New Roman" w:hAnsi="Times New Roman"/>
          <w:bCs/>
          <w:sz w:val="24"/>
          <w:szCs w:val="24"/>
          <w:lang w:val="en-US" w:eastAsia="en-US"/>
        </w:rPr>
        <w:t>.: +7 863 307-07-48</w:t>
      </w:r>
    </w:p>
    <w:p w14:paraId="57668186" w14:textId="77777777" w:rsidR="002449C2" w:rsidRDefault="00123961">
      <w:pPr>
        <w:spacing w:after="0" w:line="240" w:lineRule="auto"/>
        <w:jc w:val="both"/>
        <w:rPr>
          <w:rFonts w:ascii="Times New Roman" w:hAnsi="Times New Roman"/>
          <w:bCs/>
          <w:sz w:val="24"/>
          <w:szCs w:val="24"/>
          <w:lang w:val="en-US" w:eastAsia="en-US"/>
        </w:rPr>
      </w:pPr>
      <w:r>
        <w:rPr>
          <w:rFonts w:ascii="Times New Roman" w:hAnsi="Times New Roman"/>
          <w:bCs/>
          <w:sz w:val="24"/>
          <w:szCs w:val="24"/>
          <w:lang w:val="en-US" w:eastAsia="en-US"/>
        </w:rPr>
        <w:t>E-mail:</w:t>
      </w:r>
      <w:r>
        <w:rPr>
          <w:rFonts w:ascii="Times New Roman" w:hAnsi="Times New Roman"/>
          <w:sz w:val="24"/>
          <w:szCs w:val="24"/>
          <w:lang w:val="en-US" w:eastAsia="en-US"/>
        </w:rPr>
        <w:t xml:space="preserve"> </w:t>
      </w:r>
      <w:r>
        <w:rPr>
          <w:rFonts w:ascii="Times New Roman" w:hAnsi="Times New Roman"/>
          <w:color w:val="0000FF"/>
          <w:u w:val="single"/>
          <w:shd w:val="clear" w:color="auto" w:fill="FFFFFF"/>
          <w:lang w:val="en-US"/>
        </w:rPr>
        <w:t>k</w:t>
      </w:r>
      <w:hyperlink r:id="rId194">
        <w:r>
          <w:rPr>
            <w:rFonts w:ascii="Times New Roman" w:hAnsi="Times New Roman"/>
            <w:color w:val="0000FF"/>
            <w:u w:val="single"/>
            <w:shd w:val="clear" w:color="auto" w:fill="FFFFFF"/>
            <w:lang w:val="en-US"/>
          </w:rPr>
          <w:t>uznecovaln@rosseti-yug.ru</w:t>
        </w:r>
      </w:hyperlink>
      <w:r w:rsidRPr="00123961">
        <w:rPr>
          <w:lang w:val="en-US"/>
        </w:rPr>
        <w:br w:type="page"/>
      </w:r>
    </w:p>
    <w:p w14:paraId="1283DC9B" w14:textId="77777777" w:rsidR="002449C2" w:rsidRDefault="00123961">
      <w:pPr>
        <w:keepNext/>
        <w:keepLines/>
        <w:spacing w:after="120" w:line="240" w:lineRule="auto"/>
        <w:ind w:left="360"/>
        <w:outlineLvl w:val="0"/>
        <w:rPr>
          <w:rFonts w:ascii="Times New Roman" w:eastAsia="Times New Roman" w:hAnsi="Times New Roman"/>
          <w:bCs/>
          <w:color w:val="0066CC"/>
          <w:sz w:val="36"/>
          <w:szCs w:val="28"/>
          <w:lang w:eastAsia="ru-RU"/>
        </w:rPr>
      </w:pPr>
      <w:bookmarkStart w:id="257" w:name="_Toc195174993"/>
      <w:bookmarkStart w:id="258" w:name="_Toc196143086"/>
      <w:r>
        <w:rPr>
          <w:rFonts w:ascii="Times New Roman" w:eastAsia="Times New Roman" w:hAnsi="Times New Roman"/>
          <w:bCs/>
          <w:color w:val="0066CC"/>
          <w:sz w:val="36"/>
          <w:szCs w:val="28"/>
          <w:lang w:eastAsia="ru-RU"/>
        </w:rPr>
        <w:t>ПРИЛОЖЕНИЯ</w:t>
      </w:r>
      <w:bookmarkEnd w:id="257"/>
      <w:bookmarkEnd w:id="258"/>
    </w:p>
    <w:p w14:paraId="67B2E180" w14:textId="77777777" w:rsidR="002449C2" w:rsidRDefault="00123961">
      <w:pPr>
        <w:shd w:val="clear" w:color="auto" w:fill="FFFFFF"/>
        <w:spacing w:after="0" w:line="240" w:lineRule="auto"/>
        <w:jc w:val="both"/>
        <w:rPr>
          <w:rFonts w:ascii="Times New Roman" w:hAnsi="Times New Roman"/>
          <w:sz w:val="24"/>
          <w:szCs w:val="24"/>
          <w:lang w:eastAsia="ru-RU"/>
        </w:rPr>
      </w:pPr>
      <w:r>
        <w:rPr>
          <w:rFonts w:ascii="Times New Roman" w:hAnsi="Times New Roman"/>
          <w:sz w:val="24"/>
          <w:szCs w:val="24"/>
          <w:lang w:eastAsia="ru-RU"/>
        </w:rPr>
        <w:t>Приложение 1. Бухгалтерская (финансовая) отчетность ПАО «Россети Юг» за 2024 г</w:t>
      </w:r>
      <w:r w:rsidR="007F70A4">
        <w:rPr>
          <w:rFonts w:ascii="Times New Roman" w:hAnsi="Times New Roman"/>
          <w:sz w:val="24"/>
          <w:szCs w:val="24"/>
          <w:lang w:eastAsia="ru-RU"/>
        </w:rPr>
        <w:t>од</w:t>
      </w:r>
      <w:r>
        <w:rPr>
          <w:rFonts w:ascii="Times New Roman" w:hAnsi="Times New Roman"/>
          <w:sz w:val="24"/>
          <w:szCs w:val="24"/>
          <w:lang w:eastAsia="ru-RU"/>
        </w:rPr>
        <w:t xml:space="preserve"> и Аудиторское заключение по бухгалтерской (финансовой) отчетности ПАО «Россети Юг» за период </w:t>
      </w:r>
      <w:r w:rsidR="00064BEF">
        <w:rPr>
          <w:rFonts w:ascii="Times New Roman" w:hAnsi="Times New Roman"/>
          <w:sz w:val="24"/>
          <w:szCs w:val="24"/>
          <w:lang w:eastAsia="ru-RU"/>
        </w:rPr>
        <w:t>с 1 января по 31.12.2024., на 271</w:t>
      </w:r>
      <w:r>
        <w:rPr>
          <w:rFonts w:ascii="Times New Roman" w:hAnsi="Times New Roman"/>
          <w:sz w:val="24"/>
          <w:szCs w:val="24"/>
          <w:lang w:eastAsia="ru-RU"/>
        </w:rPr>
        <w:t xml:space="preserve"> стр.</w:t>
      </w:r>
    </w:p>
    <w:p w14:paraId="5481D85F" w14:textId="77777777" w:rsidR="002449C2" w:rsidRDefault="002449C2">
      <w:pPr>
        <w:shd w:val="clear" w:color="auto" w:fill="FFFFFF"/>
        <w:spacing w:after="0" w:line="240" w:lineRule="auto"/>
        <w:jc w:val="both"/>
        <w:rPr>
          <w:rFonts w:ascii="Times New Roman" w:hAnsi="Times New Roman"/>
          <w:sz w:val="24"/>
          <w:szCs w:val="24"/>
          <w:lang w:eastAsia="ru-RU"/>
        </w:rPr>
      </w:pPr>
    </w:p>
    <w:p w14:paraId="14568B6E" w14:textId="77777777" w:rsidR="002449C2" w:rsidRDefault="00123961">
      <w:pPr>
        <w:shd w:val="clear" w:color="auto" w:fill="FFFFFF"/>
        <w:spacing w:after="0" w:line="240" w:lineRule="auto"/>
        <w:jc w:val="both"/>
        <w:rPr>
          <w:rFonts w:ascii="Times New Roman" w:hAnsi="Times New Roman"/>
          <w:sz w:val="24"/>
          <w:szCs w:val="24"/>
          <w:lang w:eastAsia="ru-RU"/>
        </w:rPr>
      </w:pPr>
      <w:r>
        <w:rPr>
          <w:rFonts w:ascii="Times New Roman" w:hAnsi="Times New Roman"/>
          <w:sz w:val="24"/>
          <w:szCs w:val="24"/>
          <w:lang w:eastAsia="ru-RU"/>
        </w:rPr>
        <w:t>Приложение 2. Консолидированная финансовая отче</w:t>
      </w:r>
      <w:r w:rsidR="00064BEF">
        <w:rPr>
          <w:rFonts w:ascii="Times New Roman" w:hAnsi="Times New Roman"/>
          <w:sz w:val="24"/>
          <w:szCs w:val="24"/>
          <w:lang w:eastAsia="ru-RU"/>
        </w:rPr>
        <w:t>тность по МСФО за 2023 г</w:t>
      </w:r>
      <w:r w:rsidR="007F70A4">
        <w:rPr>
          <w:rFonts w:ascii="Times New Roman" w:hAnsi="Times New Roman"/>
          <w:sz w:val="24"/>
          <w:szCs w:val="24"/>
          <w:lang w:eastAsia="ru-RU"/>
        </w:rPr>
        <w:t>од</w:t>
      </w:r>
      <w:r w:rsidR="00064BEF">
        <w:rPr>
          <w:rFonts w:ascii="Times New Roman" w:hAnsi="Times New Roman"/>
          <w:sz w:val="24"/>
          <w:szCs w:val="24"/>
          <w:lang w:eastAsia="ru-RU"/>
        </w:rPr>
        <w:t>, на 354</w:t>
      </w:r>
      <w:r>
        <w:rPr>
          <w:rFonts w:ascii="Times New Roman" w:hAnsi="Times New Roman"/>
          <w:sz w:val="24"/>
          <w:szCs w:val="24"/>
          <w:lang w:eastAsia="ru-RU"/>
        </w:rPr>
        <w:t xml:space="preserve"> стр.</w:t>
      </w:r>
    </w:p>
    <w:p w14:paraId="572FC969" w14:textId="77777777" w:rsidR="002449C2" w:rsidRDefault="002449C2">
      <w:pPr>
        <w:shd w:val="clear" w:color="auto" w:fill="FFFFFF"/>
        <w:spacing w:after="0" w:line="240" w:lineRule="auto"/>
        <w:jc w:val="both"/>
        <w:rPr>
          <w:rFonts w:ascii="Times New Roman" w:hAnsi="Times New Roman"/>
          <w:sz w:val="24"/>
          <w:szCs w:val="24"/>
          <w:lang w:eastAsia="ru-RU"/>
        </w:rPr>
      </w:pPr>
    </w:p>
    <w:p w14:paraId="5F4EA1CD" w14:textId="77777777" w:rsidR="002449C2" w:rsidRDefault="00123961">
      <w:pPr>
        <w:shd w:val="clear" w:color="auto" w:fill="FFFFFF"/>
        <w:spacing w:after="0" w:line="240" w:lineRule="auto"/>
        <w:jc w:val="both"/>
        <w:rPr>
          <w:rFonts w:ascii="Times New Roman" w:hAnsi="Times New Roman"/>
          <w:sz w:val="24"/>
          <w:szCs w:val="24"/>
          <w:lang w:eastAsia="ru-RU"/>
        </w:rPr>
      </w:pPr>
      <w:r>
        <w:rPr>
          <w:rFonts w:ascii="Times New Roman" w:hAnsi="Times New Roman"/>
          <w:sz w:val="24"/>
          <w:szCs w:val="24"/>
          <w:lang w:eastAsia="ru-RU"/>
        </w:rPr>
        <w:t>Приложение 3. Информация о структуре имущественного комплекса ПАО «Россети Юг», на 4</w:t>
      </w:r>
      <w:r w:rsidR="00064BEF">
        <w:rPr>
          <w:rFonts w:ascii="Times New Roman" w:hAnsi="Times New Roman"/>
          <w:sz w:val="24"/>
          <w:szCs w:val="24"/>
          <w:lang w:eastAsia="ru-RU"/>
        </w:rPr>
        <w:t>24</w:t>
      </w:r>
      <w:r>
        <w:rPr>
          <w:rFonts w:ascii="Times New Roman" w:hAnsi="Times New Roman"/>
          <w:sz w:val="24"/>
          <w:szCs w:val="24"/>
          <w:lang w:eastAsia="ru-RU"/>
        </w:rPr>
        <w:t xml:space="preserve"> стр. </w:t>
      </w:r>
    </w:p>
    <w:p w14:paraId="66A21B73" w14:textId="77777777" w:rsidR="002449C2" w:rsidRDefault="002449C2">
      <w:pPr>
        <w:shd w:val="clear" w:color="auto" w:fill="FFFFFF"/>
        <w:spacing w:after="0" w:line="240" w:lineRule="auto"/>
        <w:jc w:val="both"/>
        <w:rPr>
          <w:rFonts w:ascii="Times New Roman" w:hAnsi="Times New Roman"/>
          <w:sz w:val="24"/>
          <w:szCs w:val="24"/>
          <w:lang w:eastAsia="ru-RU"/>
        </w:rPr>
      </w:pPr>
    </w:p>
    <w:p w14:paraId="7403ECC8" w14:textId="77777777" w:rsidR="002449C2" w:rsidRDefault="00123961">
      <w:pPr>
        <w:shd w:val="clear" w:color="auto" w:fill="FFFFFF"/>
        <w:spacing w:after="0" w:line="240" w:lineRule="auto"/>
        <w:jc w:val="both"/>
        <w:rPr>
          <w:rFonts w:ascii="Times New Roman" w:hAnsi="Times New Roman"/>
          <w:sz w:val="24"/>
          <w:szCs w:val="24"/>
          <w:lang w:eastAsia="ru-RU"/>
        </w:rPr>
      </w:pPr>
      <w:r>
        <w:rPr>
          <w:rFonts w:ascii="Times New Roman" w:hAnsi="Times New Roman"/>
          <w:sz w:val="24"/>
          <w:szCs w:val="24"/>
          <w:lang w:eastAsia="ru-RU"/>
        </w:rPr>
        <w:t xml:space="preserve">Приложение 4 - Отчет о соблюдении принципов и рекомендаций Кодекса </w:t>
      </w:r>
      <w:r w:rsidR="00064BEF">
        <w:rPr>
          <w:rFonts w:ascii="Times New Roman" w:hAnsi="Times New Roman"/>
          <w:sz w:val="24"/>
          <w:szCs w:val="24"/>
          <w:lang w:eastAsia="ru-RU"/>
        </w:rPr>
        <w:t>корпоративного управления, на 429</w:t>
      </w:r>
      <w:r>
        <w:rPr>
          <w:rFonts w:ascii="Times New Roman" w:hAnsi="Times New Roman"/>
          <w:sz w:val="24"/>
          <w:szCs w:val="24"/>
          <w:lang w:eastAsia="ru-RU"/>
        </w:rPr>
        <w:t xml:space="preserve"> стр.</w:t>
      </w:r>
    </w:p>
    <w:p w14:paraId="559FA4F9" w14:textId="77777777" w:rsidR="002449C2" w:rsidRDefault="002449C2">
      <w:pPr>
        <w:shd w:val="clear" w:color="auto" w:fill="FFFFFF"/>
        <w:spacing w:after="0" w:line="240" w:lineRule="auto"/>
        <w:jc w:val="both"/>
        <w:rPr>
          <w:rFonts w:ascii="Times New Roman" w:hAnsi="Times New Roman"/>
          <w:sz w:val="24"/>
          <w:szCs w:val="24"/>
          <w:lang w:eastAsia="ru-RU"/>
        </w:rPr>
      </w:pPr>
    </w:p>
    <w:p w14:paraId="6888C915" w14:textId="77777777" w:rsidR="002449C2" w:rsidRDefault="00123961">
      <w:pPr>
        <w:shd w:val="clear" w:color="auto" w:fill="FFFFFF"/>
        <w:spacing w:after="0" w:line="240" w:lineRule="auto"/>
        <w:jc w:val="both"/>
        <w:rPr>
          <w:rFonts w:ascii="Times New Roman" w:hAnsi="Times New Roman"/>
          <w:sz w:val="24"/>
          <w:szCs w:val="24"/>
          <w:lang w:eastAsia="ru-RU"/>
        </w:rPr>
      </w:pPr>
      <w:r>
        <w:rPr>
          <w:rFonts w:ascii="Times New Roman" w:hAnsi="Times New Roman"/>
          <w:sz w:val="24"/>
          <w:szCs w:val="24"/>
          <w:lang w:eastAsia="ru-RU"/>
        </w:rPr>
        <w:t>Приложение 5 -</w:t>
      </w:r>
      <w:r>
        <w:rPr>
          <w:rFonts w:ascii="Times New Roman" w:hAnsi="Times New Roman"/>
        </w:rPr>
        <w:t xml:space="preserve"> </w:t>
      </w:r>
      <w:r>
        <w:rPr>
          <w:rFonts w:ascii="Times New Roman" w:hAnsi="Times New Roman"/>
          <w:sz w:val="24"/>
          <w:szCs w:val="24"/>
          <w:lang w:eastAsia="ru-RU"/>
        </w:rPr>
        <w:t>Информация об участии ПАО «Россети Юг» в иных организация</w:t>
      </w:r>
      <w:r w:rsidR="00B3761D">
        <w:rPr>
          <w:rFonts w:ascii="Times New Roman" w:hAnsi="Times New Roman"/>
          <w:sz w:val="24"/>
          <w:szCs w:val="24"/>
          <w:lang w:eastAsia="ru-RU"/>
        </w:rPr>
        <w:t>х, на 494</w:t>
      </w:r>
      <w:r>
        <w:rPr>
          <w:rFonts w:ascii="Times New Roman" w:hAnsi="Times New Roman"/>
          <w:sz w:val="24"/>
          <w:szCs w:val="24"/>
          <w:lang w:eastAsia="ru-RU"/>
        </w:rPr>
        <w:t xml:space="preserve"> стр.</w:t>
      </w:r>
    </w:p>
    <w:p w14:paraId="629728A8" w14:textId="77777777" w:rsidR="002449C2" w:rsidRDefault="002449C2">
      <w:pPr>
        <w:shd w:val="clear" w:color="auto" w:fill="FFFFFF"/>
        <w:spacing w:after="0" w:line="240" w:lineRule="auto"/>
        <w:jc w:val="both"/>
        <w:rPr>
          <w:rFonts w:ascii="Times New Roman" w:eastAsia="Times New Roman" w:hAnsi="Times New Roman"/>
          <w:sz w:val="24"/>
          <w:szCs w:val="24"/>
          <w:lang w:eastAsia="ru-RU"/>
        </w:rPr>
      </w:pPr>
    </w:p>
    <w:p w14:paraId="5BFFA2CD" w14:textId="77777777" w:rsidR="002449C2" w:rsidRDefault="00123961">
      <w:pPr>
        <w:shd w:val="clear" w:color="auto" w:fill="FFFFFF"/>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Приложение 6. Отчет о заключенных ПАО «Россети Юг» в 2024 году сделках, в совершении которых </w:t>
      </w:r>
      <w:r w:rsidR="00F17659">
        <w:rPr>
          <w:rFonts w:ascii="Times New Roman" w:eastAsia="Times New Roman" w:hAnsi="Times New Roman"/>
          <w:sz w:val="24"/>
          <w:szCs w:val="24"/>
          <w:lang w:eastAsia="ru-RU"/>
        </w:rPr>
        <w:t>и</w:t>
      </w:r>
      <w:r w:rsidR="00B3761D">
        <w:rPr>
          <w:rFonts w:ascii="Times New Roman" w:eastAsia="Times New Roman" w:hAnsi="Times New Roman"/>
          <w:sz w:val="24"/>
          <w:szCs w:val="24"/>
          <w:lang w:eastAsia="ru-RU"/>
        </w:rPr>
        <w:t>мелась заинтересованность на 495</w:t>
      </w:r>
      <w:r>
        <w:rPr>
          <w:rFonts w:ascii="Times New Roman" w:eastAsia="Times New Roman" w:hAnsi="Times New Roman"/>
          <w:sz w:val="24"/>
          <w:szCs w:val="24"/>
          <w:lang w:eastAsia="ru-RU"/>
        </w:rPr>
        <w:t xml:space="preserve"> стр.</w:t>
      </w:r>
    </w:p>
    <w:p w14:paraId="79157048" w14:textId="77777777" w:rsidR="002449C2" w:rsidRDefault="002449C2">
      <w:pPr>
        <w:shd w:val="clear" w:color="auto" w:fill="FFFFFF"/>
        <w:spacing w:after="0" w:line="240" w:lineRule="auto"/>
        <w:jc w:val="both"/>
        <w:rPr>
          <w:rFonts w:ascii="Times New Roman" w:eastAsia="Times New Roman" w:hAnsi="Times New Roman"/>
          <w:sz w:val="24"/>
          <w:szCs w:val="24"/>
          <w:lang w:eastAsia="ru-RU"/>
        </w:rPr>
      </w:pPr>
    </w:p>
    <w:p w14:paraId="468163E1" w14:textId="77777777" w:rsidR="002449C2" w:rsidRDefault="00123961">
      <w:pPr>
        <w:shd w:val="clear" w:color="auto" w:fill="FFFFFF"/>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Приложение 7. Допол</w:t>
      </w:r>
      <w:r w:rsidR="008019CE">
        <w:rPr>
          <w:rFonts w:ascii="Times New Roman" w:eastAsia="Times New Roman" w:hAnsi="Times New Roman"/>
          <w:sz w:val="24"/>
          <w:szCs w:val="24"/>
          <w:lang w:eastAsia="ru-RU"/>
        </w:rPr>
        <w:t>нительная информация на стр. 508</w:t>
      </w:r>
    </w:p>
    <w:p w14:paraId="6CE193F7" w14:textId="77777777" w:rsidR="002449C2" w:rsidRDefault="002449C2">
      <w:pPr>
        <w:shd w:val="clear" w:color="auto" w:fill="FFFFFF"/>
        <w:spacing w:after="0" w:line="240" w:lineRule="auto"/>
        <w:jc w:val="both"/>
        <w:rPr>
          <w:rFonts w:ascii="Times New Roman" w:hAnsi="Times New Roman"/>
          <w:sz w:val="24"/>
          <w:szCs w:val="24"/>
          <w:lang w:eastAsia="ru-RU"/>
        </w:rPr>
      </w:pPr>
    </w:p>
    <w:p w14:paraId="24F653C8" w14:textId="77777777" w:rsidR="002449C2" w:rsidRDefault="00123961">
      <w:pPr>
        <w:shd w:val="clear" w:color="auto" w:fill="FFFFFF"/>
        <w:spacing w:after="0" w:line="240" w:lineRule="auto"/>
        <w:jc w:val="both"/>
        <w:rPr>
          <w:rFonts w:ascii="Times New Roman" w:hAnsi="Times New Roman"/>
          <w:sz w:val="24"/>
          <w:szCs w:val="24"/>
          <w:lang w:eastAsia="ru-RU"/>
        </w:rPr>
      </w:pPr>
      <w:r>
        <w:rPr>
          <w:rFonts w:ascii="Times New Roman" w:hAnsi="Times New Roman"/>
          <w:sz w:val="24"/>
          <w:szCs w:val="24"/>
          <w:lang w:eastAsia="ru-RU"/>
        </w:rPr>
        <w:t>Приложение 8. Отчет об отчуждении непрофильных актив</w:t>
      </w:r>
      <w:r w:rsidR="008019CE">
        <w:rPr>
          <w:rFonts w:ascii="Times New Roman" w:hAnsi="Times New Roman"/>
          <w:sz w:val="24"/>
          <w:szCs w:val="24"/>
          <w:lang w:eastAsia="ru-RU"/>
        </w:rPr>
        <w:t>ов на стр. 509</w:t>
      </w:r>
    </w:p>
    <w:p w14:paraId="18F8EC9C" w14:textId="77777777" w:rsidR="00346F08" w:rsidRDefault="00346F08">
      <w:pPr>
        <w:shd w:val="clear" w:color="auto" w:fill="FFFFFF"/>
        <w:spacing w:after="0" w:line="240" w:lineRule="auto"/>
        <w:jc w:val="both"/>
        <w:rPr>
          <w:rFonts w:ascii="Times New Roman" w:hAnsi="Times New Roman"/>
          <w:sz w:val="24"/>
          <w:szCs w:val="24"/>
          <w:lang w:eastAsia="ru-RU"/>
        </w:rPr>
      </w:pPr>
    </w:p>
    <w:p w14:paraId="2099E50E" w14:textId="77777777" w:rsidR="00346F08" w:rsidRDefault="00346F08">
      <w:pPr>
        <w:shd w:val="clear" w:color="auto" w:fill="FFFFFF"/>
        <w:spacing w:after="0" w:line="240" w:lineRule="auto"/>
        <w:jc w:val="both"/>
        <w:rPr>
          <w:rFonts w:ascii="Times New Roman" w:hAnsi="Times New Roman"/>
          <w:sz w:val="24"/>
          <w:szCs w:val="24"/>
          <w:lang w:eastAsia="ru-RU"/>
        </w:rPr>
      </w:pPr>
      <w:r>
        <w:rPr>
          <w:rFonts w:ascii="Times New Roman" w:hAnsi="Times New Roman"/>
          <w:sz w:val="24"/>
          <w:szCs w:val="24"/>
          <w:lang w:eastAsia="ru-RU"/>
        </w:rPr>
        <w:t>Приложение 9</w:t>
      </w:r>
      <w:r w:rsidR="004A5BD3">
        <w:rPr>
          <w:rFonts w:ascii="Times New Roman" w:hAnsi="Times New Roman"/>
          <w:sz w:val="24"/>
          <w:szCs w:val="24"/>
          <w:lang w:eastAsia="ru-RU"/>
        </w:rPr>
        <w:t>.</w:t>
      </w:r>
      <w:r>
        <w:rPr>
          <w:rFonts w:ascii="Times New Roman" w:hAnsi="Times New Roman"/>
          <w:sz w:val="24"/>
          <w:szCs w:val="24"/>
          <w:lang w:eastAsia="ru-RU"/>
        </w:rPr>
        <w:t xml:space="preserve"> Заключение Ревизионной комиссии на стр. 510 </w:t>
      </w:r>
    </w:p>
    <w:sectPr w:rsidR="00346F08">
      <w:footerReference w:type="even" r:id="rId195"/>
      <w:footerReference w:type="default" r:id="rId196"/>
      <w:footerReference w:type="first" r:id="rId197"/>
      <w:pgSz w:w="11906" w:h="16838"/>
      <w:pgMar w:top="1134" w:right="851" w:bottom="1134" w:left="1418" w:header="0" w:footer="51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960635" w14:textId="77777777" w:rsidR="004C2091" w:rsidRDefault="004C2091">
      <w:pPr>
        <w:spacing w:after="0" w:line="240" w:lineRule="auto"/>
      </w:pPr>
      <w:r>
        <w:separator/>
      </w:r>
    </w:p>
  </w:endnote>
  <w:endnote w:type="continuationSeparator" w:id="0">
    <w:p w14:paraId="41B02926" w14:textId="77777777" w:rsidR="004C2091" w:rsidRDefault="004C20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FBeauSansPro-Regular">
    <w:altName w:val="Arial"/>
    <w:charset w:val="00"/>
    <w:family w:val="auto"/>
    <w:pitch w:val="default"/>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Swis721 LtCn BT">
    <w:charset w:val="00"/>
    <w:family w:val="swiss"/>
    <w:pitch w:val="variable"/>
    <w:sig w:usb0="00000087" w:usb1="00000000" w:usb2="00000000" w:usb3="00000000" w:csb0="0000001B" w:csb1="00000000"/>
  </w:font>
  <w:font w:name="Arial Cyr">
    <w:panose1 w:val="020B0604020202020204"/>
    <w:charset w:val="00"/>
    <w:family w:val="auto"/>
    <w:pitch w:val="default"/>
  </w:font>
  <w:font w:name="HeliosCompressed">
    <w:altName w:val="Times New Roman"/>
    <w:charset w:val="00"/>
    <w:family w:val="auto"/>
    <w:pitch w:val="default"/>
  </w:font>
  <w:font w:name="HeliosCond">
    <w:altName w:val="Courier New"/>
    <w:charset w:val="00"/>
    <w:family w:val="auto"/>
    <w:pitch w:val="default"/>
  </w:font>
  <w:font w:name="Tahoma">
    <w:panose1 w:val="020B0604030504040204"/>
    <w:charset w:val="CC"/>
    <w:family w:val="swiss"/>
    <w:pitch w:val="variable"/>
    <w:sig w:usb0="E1002EFF" w:usb1="C000605B" w:usb2="00000029" w:usb3="00000000" w:csb0="000101FF" w:csb1="00000000"/>
  </w:font>
  <w:font w:name="Times CY">
    <w:altName w:val="Times New Roman"/>
    <w:charset w:val="00"/>
    <w:family w:val="auto"/>
    <w:pitch w:val="default"/>
  </w:font>
  <w:font w:name="Verdana">
    <w:panose1 w:val="020B0604030504040204"/>
    <w:charset w:val="CC"/>
    <w:family w:val="swiss"/>
    <w:pitch w:val="variable"/>
    <w:sig w:usb0="A10006FF" w:usb1="4000205B" w:usb2="00000010" w:usb3="00000000" w:csb0="0000019F" w:csb1="00000000"/>
  </w:font>
  <w:font w:name="Calibri Light">
    <w:panose1 w:val="020F0302020204030204"/>
    <w:charset w:val="CC"/>
    <w:family w:val="swiss"/>
    <w:pitch w:val="variable"/>
    <w:sig w:usb0="E0002A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FreeSans">
    <w:altName w:val="Times New Roman"/>
    <w:charset w:val="00"/>
    <w:family w:val="auto"/>
    <w:pitch w:val="default"/>
  </w:font>
  <w:font w:name="Liberation Sans">
    <w:altName w:val="Arial"/>
    <w:charset w:val="01"/>
    <w:family w:val="swiss"/>
    <w:pitch w:val="variable"/>
  </w:font>
  <w:font w:name="Noto Sans">
    <w:altName w:val="Times New Roman"/>
    <w:charset w:val="00"/>
    <w:family w:val="auto"/>
    <w:pitch w:val="default"/>
  </w:font>
  <w:font w:name="Cambria">
    <w:panose1 w:val="02040503050406030204"/>
    <w:charset w:val="CC"/>
    <w:family w:val="roman"/>
    <w:pitch w:val="variable"/>
    <w:sig w:usb0="E00002FF" w:usb1="400004FF" w:usb2="00000000" w:usb3="00000000" w:csb0="0000019F" w:csb1="00000000"/>
  </w:font>
  <w:font w:name="Georgia">
    <w:panose1 w:val="02040502050405020303"/>
    <w:charset w:val="CC"/>
    <w:family w:val="roman"/>
    <w:pitch w:val="variable"/>
    <w:sig w:usb0="00000287" w:usb1="00000000" w:usb2="00000000" w:usb3="00000000" w:csb0="0000009F" w:csb1="00000000"/>
  </w:font>
  <w:font w:name="Futura Bk">
    <w:altName w:val="Century Gothic"/>
    <w:panose1 w:val="00000000000000000000"/>
    <w:charset w:val="CC"/>
    <w:family w:val="swiss"/>
    <w:notTrueType/>
    <w:pitch w:val="variable"/>
    <w:sig w:usb0="00000203" w:usb1="00000000" w:usb2="00000000" w:usb3="00000000" w:csb0="00000005" w:csb1="00000000"/>
  </w:font>
  <w:font w:name="Arial Narrow">
    <w:panose1 w:val="020B0606020202030204"/>
    <w:charset w:val="CC"/>
    <w:family w:val="swiss"/>
    <w:pitch w:val="variable"/>
    <w:sig w:usb0="00000287" w:usb1="00000800" w:usb2="00000000" w:usb3="00000000" w:csb0="0000009F" w:csb1="00000000"/>
  </w:font>
  <w:font w:name="Times">
    <w:panose1 w:val="02020603050405020304"/>
    <w:charset w:val="CC"/>
    <w:family w:val="roman"/>
    <w:pitch w:val="variable"/>
    <w:sig w:usb0="E0002EFF" w:usb1="C000785B" w:usb2="00000009" w:usb3="00000000" w:csb0="000001FF" w:csb1="00000000"/>
  </w:font>
  <w:font w:name="TimesNewRoman">
    <w:altName w:val="Times New Roman"/>
    <w:charset w:val="00"/>
    <w:family w:val="auto"/>
    <w:pitch w:val="default"/>
  </w:font>
  <w:font w:name="Roboto Condensed">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69B7FD" w14:textId="5D0F90F7" w:rsidR="004C2091" w:rsidRDefault="004C2091">
    <w:pPr>
      <w:pStyle w:val="affd"/>
      <w:jc w:val="right"/>
    </w:pPr>
    <w:r>
      <w:fldChar w:fldCharType="begin"/>
    </w:r>
    <w:r>
      <w:instrText xml:space="preserve"> PAGE </w:instrText>
    </w:r>
    <w:r>
      <w:fldChar w:fldCharType="separate"/>
    </w:r>
    <w:r w:rsidR="00BD1222">
      <w:rPr>
        <w:noProof/>
      </w:rPr>
      <w:t>1</w:t>
    </w:r>
    <w:r>
      <w:fldChar w:fldCharType="end"/>
    </w:r>
  </w:p>
  <w:p w14:paraId="74C4645C" w14:textId="77777777" w:rsidR="004C2091" w:rsidRDefault="004C2091">
    <w:pPr>
      <w:pStyle w:val="affd"/>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003633" w14:textId="5CEB80BB" w:rsidR="004C2091" w:rsidRDefault="004C2091">
    <w:pPr>
      <w:pStyle w:val="affd"/>
      <w:jc w:val="right"/>
    </w:pPr>
    <w:r>
      <w:fldChar w:fldCharType="begin"/>
    </w:r>
    <w:r>
      <w:instrText xml:space="preserve"> PAGE </w:instrText>
    </w:r>
    <w:r>
      <w:fldChar w:fldCharType="separate"/>
    </w:r>
    <w:r w:rsidR="00BD1222">
      <w:rPr>
        <w:noProof/>
      </w:rPr>
      <w:t>49</w:t>
    </w:r>
    <w:r>
      <w:fldChar w:fldCharType="end"/>
    </w:r>
  </w:p>
  <w:p w14:paraId="022C4522" w14:textId="77777777" w:rsidR="004C2091" w:rsidRDefault="004C2091">
    <w:pPr>
      <w:pStyle w:val="affd"/>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2E1D12" w14:textId="77777777" w:rsidR="004C2091" w:rsidRDefault="004C2091"/>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0C9A9E" w14:textId="77777777" w:rsidR="004C2091" w:rsidRDefault="004C2091">
    <w:pPr>
      <w:pStyle w:val="affd"/>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99ACB4" w14:textId="127BC950" w:rsidR="004C2091" w:rsidRDefault="004C2091">
    <w:pPr>
      <w:pStyle w:val="affd"/>
      <w:jc w:val="right"/>
    </w:pPr>
    <w:r>
      <w:fldChar w:fldCharType="begin"/>
    </w:r>
    <w:r>
      <w:instrText xml:space="preserve"> PAGE </w:instrText>
    </w:r>
    <w:r>
      <w:fldChar w:fldCharType="separate"/>
    </w:r>
    <w:r w:rsidR="00BD1222">
      <w:rPr>
        <w:noProof/>
      </w:rPr>
      <w:t>167</w:t>
    </w:r>
    <w:r>
      <w:fldChar w:fldCharType="end"/>
    </w:r>
  </w:p>
  <w:p w14:paraId="5A83275E" w14:textId="77777777" w:rsidR="004C2091" w:rsidRDefault="004C2091">
    <w:pPr>
      <w:pStyle w:val="affd"/>
      <w:ind w:right="360"/>
      <w:rPr>
        <w:lang w:val="en-US"/>
      </w:rPr>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1D435D" w14:textId="5B138DBB" w:rsidR="004C2091" w:rsidRDefault="004C2091">
    <w:pPr>
      <w:pStyle w:val="affd"/>
      <w:jc w:val="right"/>
    </w:pPr>
    <w:r>
      <w:fldChar w:fldCharType="begin"/>
    </w:r>
    <w:r>
      <w:instrText xml:space="preserve"> PAGE </w:instrText>
    </w:r>
    <w:r>
      <w:fldChar w:fldCharType="separate"/>
    </w:r>
    <w:r w:rsidR="00BD1222">
      <w:rPr>
        <w:noProof/>
      </w:rPr>
      <w:t>50</w:t>
    </w:r>
    <w:r>
      <w:fldChar w:fldCharType="end"/>
    </w:r>
  </w:p>
  <w:p w14:paraId="67AE33F4" w14:textId="77777777" w:rsidR="004C2091" w:rsidRDefault="004C2091">
    <w:pPr>
      <w:pStyle w:val="affd"/>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FBE229" w14:textId="77777777" w:rsidR="004C2091" w:rsidRDefault="004C2091">
    <w:pPr>
      <w:pStyle w:val="affd"/>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02AEB9" w14:textId="77777777" w:rsidR="004C2091" w:rsidRDefault="004C2091">
    <w:pPr>
      <w:pStyle w:val="affd"/>
      <w:jc w:val="right"/>
    </w:pPr>
    <w:r>
      <w:fldChar w:fldCharType="begin"/>
    </w:r>
    <w:r>
      <w:instrText xml:space="preserve"> PAGE </w:instrText>
    </w:r>
    <w:r>
      <w:fldChar w:fldCharType="separate"/>
    </w:r>
    <w:r>
      <w:t>0</w:t>
    </w:r>
    <w:r>
      <w:fldChar w:fldCharType="end"/>
    </w:r>
  </w:p>
  <w:p w14:paraId="03F5EE5D" w14:textId="77777777" w:rsidR="004C2091" w:rsidRDefault="004C2091">
    <w:pPr>
      <w:pStyle w:val="affd"/>
      <w:ind w:right="360"/>
      <w:rPr>
        <w:lang w:val="en-US"/>
      </w:rPr>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2B40D9" w14:textId="528C528F" w:rsidR="004C2091" w:rsidRDefault="004C2091">
    <w:pPr>
      <w:pStyle w:val="affd"/>
      <w:jc w:val="right"/>
    </w:pPr>
    <w:r>
      <w:fldChar w:fldCharType="begin"/>
    </w:r>
    <w:r>
      <w:instrText xml:space="preserve"> PAGE </w:instrText>
    </w:r>
    <w:r>
      <w:fldChar w:fldCharType="separate"/>
    </w:r>
    <w:r w:rsidR="00BD1222">
      <w:rPr>
        <w:noProof/>
      </w:rPr>
      <w:t>168</w:t>
    </w:r>
    <w:r>
      <w:fldChar w:fldCharType="end"/>
    </w:r>
  </w:p>
  <w:p w14:paraId="1E638DD1" w14:textId="77777777" w:rsidR="004C2091" w:rsidRDefault="004C2091">
    <w:pPr>
      <w:pStyle w:val="affd"/>
    </w:pP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7A87F8" w14:textId="77777777" w:rsidR="004C2091" w:rsidRDefault="004C2091">
    <w:pPr>
      <w:pStyle w:val="affd"/>
    </w:pP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44BAA0" w14:textId="3D5DB014" w:rsidR="004C2091" w:rsidRDefault="004C2091">
    <w:pPr>
      <w:pStyle w:val="affd"/>
      <w:jc w:val="right"/>
    </w:pPr>
    <w:r>
      <w:fldChar w:fldCharType="begin"/>
    </w:r>
    <w:r>
      <w:instrText xml:space="preserve"> PAGE </w:instrText>
    </w:r>
    <w:r>
      <w:fldChar w:fldCharType="separate"/>
    </w:r>
    <w:r w:rsidR="00BD1222">
      <w:rPr>
        <w:noProof/>
      </w:rPr>
      <w:t>219</w:t>
    </w:r>
    <w:r>
      <w:fldChar w:fldCharType="end"/>
    </w:r>
  </w:p>
  <w:p w14:paraId="21B84646" w14:textId="77777777" w:rsidR="004C2091" w:rsidRDefault="004C2091">
    <w:pPr>
      <w:pStyle w:val="affd"/>
      <w:jc w:val="righ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9136BD" w14:textId="77777777" w:rsidR="004C2091" w:rsidRDefault="004C2091">
    <w:pPr>
      <w:pStyle w:val="affd"/>
      <w:jc w:val="right"/>
    </w:pPr>
    <w:r>
      <w:fldChar w:fldCharType="begin"/>
    </w:r>
    <w:r>
      <w:instrText xml:space="preserve"> PAGE </w:instrText>
    </w:r>
    <w:r>
      <w:fldChar w:fldCharType="separate"/>
    </w:r>
    <w:r>
      <w:t>17</w:t>
    </w:r>
    <w:r>
      <w:fldChar w:fldCharType="end"/>
    </w:r>
  </w:p>
  <w:p w14:paraId="1EEDBB24" w14:textId="77777777" w:rsidR="004C2091" w:rsidRDefault="004C2091">
    <w:pPr>
      <w:pStyle w:val="affd"/>
    </w:pP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41610" w14:textId="77777777" w:rsidR="004C2091" w:rsidRDefault="004C2091"/>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263FC9" w14:textId="77777777" w:rsidR="004C2091" w:rsidRDefault="004C2091">
    <w:pPr>
      <w:pStyle w:val="affd"/>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23AAA1" w14:textId="4A44B673" w:rsidR="004C2091" w:rsidRDefault="004C2091">
    <w:pPr>
      <w:pStyle w:val="affd"/>
      <w:jc w:val="right"/>
    </w:pPr>
    <w:r>
      <w:fldChar w:fldCharType="begin"/>
    </w:r>
    <w:r>
      <w:instrText xml:space="preserve"> PAGE </w:instrText>
    </w:r>
    <w:r>
      <w:fldChar w:fldCharType="separate"/>
    </w:r>
    <w:r w:rsidR="00BD1222">
      <w:rPr>
        <w:noProof/>
      </w:rPr>
      <w:t>36</w:t>
    </w:r>
    <w:r>
      <w:fldChar w:fldCharType="end"/>
    </w:r>
  </w:p>
  <w:p w14:paraId="4955B9A1" w14:textId="77777777" w:rsidR="004C2091" w:rsidRDefault="004C2091">
    <w:pPr>
      <w:pStyle w:val="affd"/>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F48AC3" w14:textId="77777777" w:rsidR="004C2091" w:rsidRDefault="004C2091"/>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FD71DD" w14:textId="77777777" w:rsidR="004C2091" w:rsidRDefault="004C2091">
    <w:pPr>
      <w:pStyle w:val="affd"/>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3BF716" w14:textId="71FBD6EE" w:rsidR="004C2091" w:rsidRDefault="004C2091">
    <w:pPr>
      <w:pStyle w:val="affd"/>
      <w:jc w:val="right"/>
    </w:pPr>
    <w:r>
      <w:fldChar w:fldCharType="begin"/>
    </w:r>
    <w:r>
      <w:instrText xml:space="preserve"> PAGE </w:instrText>
    </w:r>
    <w:r>
      <w:fldChar w:fldCharType="separate"/>
    </w:r>
    <w:r w:rsidR="00BD1222">
      <w:rPr>
        <w:noProof/>
      </w:rPr>
      <w:t>40</w:t>
    </w:r>
    <w:r>
      <w:fldChar w:fldCharType="end"/>
    </w:r>
  </w:p>
  <w:p w14:paraId="6983126E" w14:textId="77777777" w:rsidR="004C2091" w:rsidRDefault="004C2091">
    <w:pPr>
      <w:pStyle w:val="affd"/>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98089A" w14:textId="77777777" w:rsidR="004C2091" w:rsidRDefault="004C2091"/>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FCCE13" w14:textId="77777777" w:rsidR="004C2091" w:rsidRDefault="004C2091">
    <w:pPr>
      <w:pStyle w:val="affd"/>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DCAD52" w14:textId="77777777" w:rsidR="004C2091" w:rsidRDefault="004C2091">
      <w:r>
        <w:separator/>
      </w:r>
    </w:p>
  </w:footnote>
  <w:footnote w:type="continuationSeparator" w:id="0">
    <w:p w14:paraId="518971BE" w14:textId="77777777" w:rsidR="004C2091" w:rsidRDefault="004C2091">
      <w:r>
        <w:continuationSeparator/>
      </w:r>
    </w:p>
  </w:footnote>
  <w:footnote w:id="1">
    <w:p w14:paraId="58615F7F" w14:textId="77777777" w:rsidR="004C2091" w:rsidRPr="00123961" w:rsidRDefault="004C2091">
      <w:pPr>
        <w:pStyle w:val="ad"/>
        <w:rPr>
          <w:rFonts w:ascii="Times New Roman" w:hAnsi="Times New Roman"/>
          <w:sz w:val="20"/>
          <w:szCs w:val="20"/>
        </w:rPr>
      </w:pPr>
      <w:r>
        <w:rPr>
          <w:rStyle w:val="af"/>
        </w:rPr>
        <w:footnoteRef/>
      </w:r>
      <w:r>
        <w:t xml:space="preserve"> </w:t>
      </w:r>
      <w:r w:rsidRPr="00123961">
        <w:rPr>
          <w:rFonts w:ascii="Times New Roman" w:hAnsi="Times New Roman"/>
          <w:sz w:val="20"/>
          <w:szCs w:val="20"/>
        </w:rPr>
        <w:t xml:space="preserve">Указывается весь перечень изменений в Обществе в 2024 году </w:t>
      </w:r>
    </w:p>
  </w:footnote>
  <w:footnote w:id="2">
    <w:p w14:paraId="2A997251" w14:textId="77777777" w:rsidR="004C2091" w:rsidRPr="00123961" w:rsidRDefault="004C2091">
      <w:pPr>
        <w:rPr>
          <w:rFonts w:ascii="Times New Roman" w:hAnsi="Times New Roman"/>
          <w:sz w:val="20"/>
          <w:szCs w:val="20"/>
        </w:rPr>
      </w:pPr>
    </w:p>
  </w:footnote>
  <w:footnote w:id="3">
    <w:p w14:paraId="5BC34579" w14:textId="77777777" w:rsidR="004C2091" w:rsidRDefault="004C2091">
      <w:pPr>
        <w:pStyle w:val="ARMfootnoteTextFootnoteNewFootnoteTextChar1FootnoteTextChar11FootnoteTextChar12FootnoteTextChar2FootnoteTextChar21FootnoteTextChar3FootnoteTextChar4FootnoteTextChar5FootnoteTextChar6TableFootnotelastf"/>
        <w:jc w:val="both"/>
        <w:rPr>
          <w:rFonts w:ascii="Times New Roman" w:hAnsi="Times New Roman"/>
        </w:rPr>
      </w:pPr>
      <w:r>
        <w:rPr>
          <w:rStyle w:val="ae"/>
        </w:rPr>
        <w:footnoteRef/>
      </w:r>
      <w:r>
        <w:rPr>
          <w:rFonts w:ascii="Times New Roman" w:hAnsi="Times New Roman"/>
        </w:rPr>
        <w:t xml:space="preserve"> За 2024 год приведен ожидаемый уровень достижения КПЭ и ФКПЭ, с учетом сроков и порядка подготовки отчетности, являющейся источником информации для расчета показателей. Итоговые фактические значения утверждает Совет директоров ПАО «Россети Юг»</w:t>
      </w:r>
    </w:p>
  </w:footnote>
  <w:footnote w:id="4">
    <w:p w14:paraId="6D4D07B3" w14:textId="77777777" w:rsidR="004C2091" w:rsidRDefault="004C2091">
      <w:pPr>
        <w:pStyle w:val="ad"/>
      </w:pPr>
      <w:r>
        <w:rPr>
          <w:rStyle w:val="af"/>
        </w:rPr>
        <w:footnoteRef/>
      </w:r>
      <w:r>
        <w:t xml:space="preserve"> </w:t>
      </w:r>
      <w:r>
        <w:rPr>
          <w:rFonts w:ascii="Times New Roman" w:hAnsi="Times New Roman"/>
        </w:rPr>
        <w:t>В случае если процент достижения КПЭ составляет более 120%, то указывается — равный 120%, в случае если процент достижения менее 80%, указывается процент достижения равный 0%.</w:t>
      </w:r>
    </w:p>
  </w:footnote>
  <w:footnote w:id="5">
    <w:p w14:paraId="3F2D4893" w14:textId="77777777" w:rsidR="004C2091" w:rsidRDefault="004C2091">
      <w:pPr>
        <w:pStyle w:val="ad"/>
      </w:pPr>
      <w:r>
        <w:rPr>
          <w:rStyle w:val="af"/>
        </w:rPr>
        <w:footnoteRef/>
      </w:r>
      <w:r>
        <w:t xml:space="preserve"> </w:t>
      </w:r>
      <w:r w:rsidRPr="0087738D">
        <w:rPr>
          <w:rFonts w:ascii="Times New Roman" w:hAnsi="Times New Roman"/>
        </w:rPr>
        <w:t>Состав и целевые значения показателей утверждены решением Совета директоров ПАО «Россети Юг» от 23.12.2024 (протокол от 23.12.2024 № 598/2024 и подлежат уточнению (при необходимости) по решению Совета директоров Общества с учетом требований Типового порядка расчета КПЭ и ФКПЭ руководящего состава ДО ПАО «Россети», утвержденного приказом ПАО «Россети» от 03.04.2025 № 171</w:t>
      </w:r>
      <w:r>
        <w:rPr>
          <w:rFonts w:ascii="Times New Roman" w:hAnsi="Times New Roman"/>
        </w:rPr>
        <w:t>.</w:t>
      </w:r>
    </w:p>
  </w:footnote>
  <w:footnote w:id="6">
    <w:p w14:paraId="474614A1" w14:textId="77777777" w:rsidR="004C2091" w:rsidRDefault="004C2091" w:rsidP="00AC4F19">
      <w:pPr>
        <w:pStyle w:val="ARMfootnoteTextFootnoteNewFootnoteTextChar1FootnoteTextChar11FootnoteTextChar12FootnoteTextChar2FootnoteTextChar21FootnoteTextChar3FootnoteTextChar4FootnoteTextChar5FootnoteTextChar6TableFootnotelastf"/>
        <w:jc w:val="both"/>
        <w:rPr>
          <w:rFonts w:ascii="Times New Roman" w:hAnsi="Times New Roman"/>
          <w:sz w:val="16"/>
          <w:szCs w:val="16"/>
        </w:rPr>
      </w:pPr>
      <w:r>
        <w:rPr>
          <w:rStyle w:val="af"/>
        </w:rPr>
        <w:footnoteRef/>
      </w:r>
      <w:r>
        <w:t xml:space="preserve"> </w:t>
      </w:r>
      <w:r>
        <w:rPr>
          <w:rFonts w:ascii="Times New Roman" w:hAnsi="Times New Roman"/>
          <w:sz w:val="16"/>
          <w:szCs w:val="16"/>
        </w:rPr>
        <w:t xml:space="preserve">Полный перечень нормативных документов, регулирующих деятельность по технологическому присоединению, находится в открытом доступе на  сайте Компании </w:t>
      </w:r>
      <w:hyperlink r:id="rId1">
        <w:r>
          <w:rPr>
            <w:rStyle w:val="ab"/>
            <w:rFonts w:ascii="Times New Roman" w:hAnsi="Times New Roman"/>
            <w:sz w:val="16"/>
            <w:szCs w:val="16"/>
          </w:rPr>
          <w:t>https://rosseti-yug.ru/potrebitelyam/tekhnologicheskoe-prisoedinenie/</w:t>
        </w:r>
      </w:hyperlink>
    </w:p>
    <w:p w14:paraId="66924D89" w14:textId="77777777" w:rsidR="004C2091" w:rsidRDefault="004C2091">
      <w:pPr>
        <w:pStyle w:val="ad"/>
      </w:pPr>
    </w:p>
  </w:footnote>
  <w:footnote w:id="7">
    <w:p w14:paraId="15B573F0" w14:textId="77777777" w:rsidR="004C2091" w:rsidRDefault="004C2091">
      <w:pPr>
        <w:pStyle w:val="ARMfootnoteTextFootnoteNewFootnoteTextChar1FootnoteTextChar11FootnoteTextChar12FootnoteTextChar2FootnoteTextChar21FootnoteTextChar3FootnoteTextChar4FootnoteTextChar5FootnoteTextChar6TableFootnotelastf"/>
        <w:jc w:val="both"/>
        <w:rPr>
          <w:rFonts w:ascii="Times New Roman" w:hAnsi="Times New Roman"/>
        </w:rPr>
      </w:pPr>
      <w:r>
        <w:rPr>
          <w:rStyle w:val="ae"/>
        </w:rPr>
        <w:footnoteRef/>
      </w:r>
      <w:r>
        <w:rPr>
          <w:rFonts w:ascii="Times New Roman" w:hAnsi="Times New Roman"/>
        </w:rPr>
        <w:t xml:space="preserve"> За 2024 год приведен ожидаемый уровень достижения КПЭ и ФКПЭ, с учетом сроков и порядка подготовки отчетности, являющейся источником информации для расчета показателей. Итоговые фактические значения утверждает Совет директоров ПАО «Россети Юг»</w:t>
      </w:r>
    </w:p>
  </w:footnote>
  <w:footnote w:id="8">
    <w:p w14:paraId="6D2D78A1" w14:textId="77777777" w:rsidR="004C2091" w:rsidRDefault="004C2091">
      <w:pPr>
        <w:pStyle w:val="ad"/>
      </w:pPr>
      <w:r>
        <w:rPr>
          <w:rStyle w:val="af"/>
        </w:rPr>
        <w:footnoteRef/>
      </w:r>
      <w:r>
        <w:t xml:space="preserve"> </w:t>
      </w:r>
      <w:r>
        <w:rPr>
          <w:rFonts w:ascii="Times New Roman" w:hAnsi="Times New Roman"/>
          <w:sz w:val="16"/>
          <w:szCs w:val="16"/>
        </w:rPr>
        <w:t xml:space="preserve">С </w:t>
      </w:r>
      <w:r>
        <w:rPr>
          <w:rFonts w:ascii="Times New Roman" w:hAnsi="Times New Roman"/>
          <w:iCs/>
          <w:sz w:val="16"/>
          <w:szCs w:val="16"/>
        </w:rPr>
        <w:t>основными показателями, характеризующими финансовое состояние можно ознакомиться в п</w:t>
      </w:r>
      <w:r>
        <w:rPr>
          <w:rFonts w:ascii="Times New Roman" w:hAnsi="Times New Roman"/>
          <w:sz w:val="16"/>
          <w:szCs w:val="16"/>
        </w:rPr>
        <w:t>риложении №1 к Годовому отчету.</w:t>
      </w:r>
    </w:p>
  </w:footnote>
  <w:footnote w:id="9">
    <w:p w14:paraId="0479AC68" w14:textId="77777777" w:rsidR="004C2091" w:rsidRDefault="004C2091" w:rsidP="00F95A96">
      <w:pPr>
        <w:pStyle w:val="ARMfootnoteTextFootnoteNewFootnoteTextChar1FootnoteTextChar11FootnoteTextChar12FootnoteTextChar2FootnoteTextChar21FootnoteTextChar3FootnoteTextChar4FootnoteTextChar5FootnoteTextChar6TableFootnotelastf"/>
        <w:ind w:firstLine="284"/>
        <w:rPr>
          <w:rFonts w:ascii="Times New Roman" w:hAnsi="Times New Roman"/>
          <w:i/>
        </w:rPr>
      </w:pPr>
      <w:r>
        <w:rPr>
          <w:rStyle w:val="af"/>
        </w:rPr>
        <w:footnoteRef/>
      </w:r>
      <w:r>
        <w:t xml:space="preserve"> </w:t>
      </w:r>
      <w:r>
        <w:rPr>
          <w:rFonts w:ascii="Times New Roman" w:hAnsi="Times New Roman"/>
          <w:i/>
        </w:rPr>
        <w:t>Расчет производится на основании консолидированной финансовой отчетности по МСФО</w:t>
      </w:r>
      <w:r>
        <w:rPr>
          <w:rFonts w:ascii="Times New Roman" w:eastAsia="SimSun" w:hAnsi="Times New Roman"/>
          <w:i/>
        </w:rPr>
        <w:t>.</w:t>
      </w:r>
    </w:p>
    <w:p w14:paraId="4AD7C542" w14:textId="77777777" w:rsidR="004C2091" w:rsidRDefault="004C2091">
      <w:pPr>
        <w:pStyle w:val="ad"/>
      </w:pPr>
    </w:p>
  </w:footnote>
  <w:footnote w:id="10">
    <w:p w14:paraId="52B746A6" w14:textId="77777777" w:rsidR="004C2091" w:rsidRPr="00E64F3E" w:rsidRDefault="004C2091" w:rsidP="00E64F3E">
      <w:pPr>
        <w:pStyle w:val="ad"/>
        <w:jc w:val="both"/>
        <w:rPr>
          <w:rFonts w:ascii="Times New Roman" w:hAnsi="Times New Roman"/>
          <w:sz w:val="20"/>
          <w:szCs w:val="20"/>
        </w:rPr>
      </w:pPr>
      <w:r w:rsidRPr="00E64F3E">
        <w:rPr>
          <w:rStyle w:val="af"/>
          <w:rFonts w:ascii="Times New Roman" w:hAnsi="Times New Roman"/>
          <w:sz w:val="20"/>
          <w:szCs w:val="20"/>
        </w:rPr>
        <w:footnoteRef/>
      </w:r>
      <w:r w:rsidRPr="00E64F3E">
        <w:rPr>
          <w:rFonts w:ascii="Times New Roman" w:hAnsi="Times New Roman"/>
          <w:sz w:val="20"/>
          <w:szCs w:val="20"/>
        </w:rPr>
        <w:t xml:space="preserve"> </w:t>
      </w:r>
      <w:r w:rsidRPr="00E64F3E">
        <w:rPr>
          <w:rFonts w:ascii="Times New Roman" w:hAnsi="Times New Roman"/>
          <w:i/>
          <w:sz w:val="20"/>
          <w:szCs w:val="20"/>
        </w:rPr>
        <w:t>При отсутствии необходимости/невозможности отражения показателя за три года, указать за отчетный 2024 год.</w:t>
      </w:r>
    </w:p>
  </w:footnote>
  <w:footnote w:id="11">
    <w:p w14:paraId="5C1E27B1" w14:textId="77777777" w:rsidR="004C2091" w:rsidRPr="00E64F3E" w:rsidRDefault="004C2091" w:rsidP="00E64F3E">
      <w:pPr>
        <w:pStyle w:val="ad"/>
        <w:jc w:val="both"/>
        <w:rPr>
          <w:rFonts w:ascii="Times New Roman" w:hAnsi="Times New Roman"/>
          <w:i/>
          <w:sz w:val="20"/>
          <w:szCs w:val="20"/>
        </w:rPr>
      </w:pPr>
      <w:r w:rsidRPr="00E64F3E">
        <w:rPr>
          <w:rStyle w:val="af"/>
          <w:rFonts w:ascii="Times New Roman" w:hAnsi="Times New Roman"/>
          <w:sz w:val="20"/>
          <w:szCs w:val="20"/>
        </w:rPr>
        <w:footnoteRef/>
      </w:r>
      <w:r w:rsidRPr="00E64F3E">
        <w:rPr>
          <w:rFonts w:ascii="Times New Roman" w:hAnsi="Times New Roman"/>
          <w:sz w:val="20"/>
          <w:szCs w:val="20"/>
        </w:rPr>
        <w:t xml:space="preserve"> </w:t>
      </w:r>
      <w:r w:rsidRPr="00E64F3E">
        <w:rPr>
          <w:rFonts w:ascii="Times New Roman" w:hAnsi="Times New Roman"/>
          <w:i/>
          <w:sz w:val="20"/>
          <w:szCs w:val="20"/>
        </w:rPr>
        <w:t>В случае наличия существенного отклонения между показателями 2024 и 2023 годов в соответствующий раздел Отчета должно быть включено обоснование причин такого отклонения.</w:t>
      </w:r>
    </w:p>
    <w:p w14:paraId="0BE5A5E5" w14:textId="77777777" w:rsidR="004C2091" w:rsidRDefault="004C2091">
      <w:pPr>
        <w:pStyle w:val="ad"/>
      </w:pPr>
    </w:p>
  </w:footnote>
  <w:footnote w:id="12">
    <w:p w14:paraId="0419E796" w14:textId="77777777" w:rsidR="004C2091" w:rsidRDefault="004C2091" w:rsidP="002F440D">
      <w:pPr>
        <w:pStyle w:val="ad"/>
        <w:ind w:firstLine="284"/>
      </w:pPr>
      <w:r>
        <w:rPr>
          <w:rStyle w:val="af"/>
        </w:rPr>
        <w:footnoteRef/>
      </w:r>
      <w:r>
        <w:t xml:space="preserve"> </w:t>
      </w:r>
      <w:r>
        <w:rPr>
          <w:i/>
          <w:sz w:val="16"/>
          <w:szCs w:val="16"/>
        </w:rPr>
        <w:t>Информация раскрывается в виде диаграммы.</w:t>
      </w:r>
    </w:p>
    <w:p w14:paraId="70D60B1B" w14:textId="77777777" w:rsidR="004C2091" w:rsidRDefault="004C2091">
      <w:pPr>
        <w:pStyle w:val="ad"/>
      </w:pPr>
    </w:p>
  </w:footnote>
  <w:footnote w:id="13">
    <w:p w14:paraId="5E74EBB0" w14:textId="77777777" w:rsidR="004C2091" w:rsidRDefault="004C2091" w:rsidP="00B4496D">
      <w:pPr>
        <w:pStyle w:val="ad"/>
        <w:jc w:val="both"/>
      </w:pPr>
      <w:r>
        <w:rPr>
          <w:rStyle w:val="af"/>
        </w:rPr>
        <w:footnoteRef/>
      </w:r>
      <w:r>
        <w:t xml:space="preserve"> </w:t>
      </w:r>
      <w:r>
        <w:rPr>
          <w:rFonts w:ascii="Times New Roman" w:hAnsi="Times New Roman"/>
        </w:rPr>
        <w:t>В связи с изменением рекомендованных методик и периодичностью проведения оценки персонала по компетенциям ПАО «Россети» все оценочные процедуры перенесены на 2025 – 2026 годы (приказ от 31.05.2024 №240 «Об утверждении Положения о формировании управленческого кадрового резерва ГК «Россети»; приказ от 20.11.2024 №539 «Об утверждении Положения об оценке персонала группы компаний Россети»).</w:t>
      </w:r>
    </w:p>
    <w:p w14:paraId="4682B9E5" w14:textId="77777777" w:rsidR="004C2091" w:rsidRDefault="004C2091">
      <w:pPr>
        <w:pStyle w:val="ad"/>
      </w:pPr>
    </w:p>
  </w:footnote>
  <w:footnote w:id="14">
    <w:p w14:paraId="202262CE" w14:textId="77777777" w:rsidR="004C2091" w:rsidRDefault="004C2091">
      <w:pPr>
        <w:pStyle w:val="ad"/>
      </w:pPr>
      <w:r>
        <w:rPr>
          <w:rStyle w:val="af"/>
        </w:rPr>
        <w:footnoteRef/>
      </w:r>
      <w:r>
        <w:t xml:space="preserve"> </w:t>
      </w:r>
      <w:r>
        <w:rPr>
          <w:i/>
          <w:sz w:val="16"/>
          <w:szCs w:val="16"/>
        </w:rPr>
        <w:t>При отсутствии необходимости/невозможности отражения показателя за три года, указать за отчетный 2024 год.</w:t>
      </w:r>
    </w:p>
  </w:footnote>
  <w:footnote w:id="15">
    <w:p w14:paraId="62353FCB" w14:textId="77777777" w:rsidR="004C2091" w:rsidRDefault="004C2091" w:rsidP="009B513F">
      <w:pPr>
        <w:pStyle w:val="ARMfootnoteTextFootnoteNewFootnoteTextChar1FootnoteTextChar11FootnoteTextChar12FootnoteTextChar2FootnoteTextChar21FootnoteTextChar3FootnoteTextChar4FootnoteTextChar5FootnoteTextChar6TableFootnotelastf"/>
        <w:ind w:firstLine="284"/>
        <w:jc w:val="both"/>
        <w:rPr>
          <w:i/>
          <w:sz w:val="16"/>
          <w:szCs w:val="16"/>
        </w:rPr>
      </w:pPr>
      <w:r>
        <w:rPr>
          <w:rStyle w:val="af"/>
        </w:rPr>
        <w:footnoteRef/>
      </w:r>
      <w:r>
        <w:t xml:space="preserve"> </w:t>
      </w:r>
      <w:r>
        <w:rPr>
          <w:i/>
          <w:sz w:val="16"/>
          <w:szCs w:val="16"/>
        </w:rPr>
        <w:t>В случае наличия существенного отклонения между показателями 2024 и 2023 годов в соответствующий раздел Отчета должно быть включено обоснование причин такого отклонения.</w:t>
      </w:r>
    </w:p>
    <w:p w14:paraId="2FDD291C" w14:textId="77777777" w:rsidR="004C2091" w:rsidRDefault="004C2091">
      <w:pPr>
        <w:pStyle w:val="ad"/>
      </w:pPr>
    </w:p>
  </w:footnote>
  <w:footnote w:id="16">
    <w:p w14:paraId="527EF342" w14:textId="77777777" w:rsidR="004C2091" w:rsidRDefault="004C2091" w:rsidP="00C232B9">
      <w:pPr>
        <w:shd w:val="clear" w:color="auto" w:fill="FFFFFF"/>
        <w:spacing w:after="0" w:line="240" w:lineRule="auto"/>
        <w:ind w:firstLine="709"/>
        <w:jc w:val="both"/>
        <w:rPr>
          <w:rFonts w:ascii="Times New Roman" w:hAnsi="Times New Roman"/>
        </w:rPr>
      </w:pPr>
      <w:r>
        <w:rPr>
          <w:rStyle w:val="af"/>
        </w:rPr>
        <w:footnoteRef/>
      </w:r>
      <w:r>
        <w:t xml:space="preserve"> </w:t>
      </w:r>
      <w:r>
        <w:rPr>
          <w:rFonts w:ascii="Times New Roman" w:hAnsi="Times New Roman"/>
          <w:sz w:val="20"/>
        </w:rPr>
        <w:t xml:space="preserve">Компетенции органов управления и контроля Общества определена внутренними документами Общества, с которыми можно ознакомится на сайте Общества </w:t>
      </w:r>
      <w:hyperlink r:id="rId2">
        <w:r>
          <w:rPr>
            <w:rStyle w:val="ab"/>
            <w:rFonts w:ascii="Times New Roman" w:hAnsi="Times New Roman"/>
            <w:sz w:val="20"/>
          </w:rPr>
          <w:t>https://rosseti-yug.ru/korporativnoe-upravlenie/vnutrennie-polozheniya/</w:t>
        </w:r>
      </w:hyperlink>
      <w:r>
        <w:rPr>
          <w:rFonts w:ascii="Times New Roman" w:hAnsi="Times New Roman"/>
          <w:sz w:val="20"/>
        </w:rPr>
        <w:t>.</w:t>
      </w:r>
    </w:p>
    <w:p w14:paraId="6B470DE1" w14:textId="77777777" w:rsidR="004C2091" w:rsidRDefault="004C2091">
      <w:pPr>
        <w:pStyle w:val="ad"/>
      </w:pPr>
    </w:p>
  </w:footnote>
  <w:footnote w:id="17">
    <w:p w14:paraId="1FEC67F4" w14:textId="77777777" w:rsidR="004C2091" w:rsidRDefault="004C2091" w:rsidP="00C232B9">
      <w:pPr>
        <w:pStyle w:val="ARMfootnoteTextFootnoteNewFootnoteTextChar1FootnoteTextChar11FootnoteTextChar12FootnoteTextChar2FootnoteTextChar21FootnoteTextChar3FootnoteTextChar4FootnoteTextChar5FootnoteTextChar6TableFootnotelastf"/>
        <w:jc w:val="both"/>
        <w:rPr>
          <w:rFonts w:ascii="Times New Roman" w:hAnsi="Times New Roman"/>
        </w:rPr>
      </w:pPr>
      <w:r>
        <w:rPr>
          <w:rStyle w:val="af"/>
        </w:rPr>
        <w:footnoteRef/>
      </w:r>
      <w:r>
        <w:t xml:space="preserve"> </w:t>
      </w:r>
      <w:r>
        <w:rPr>
          <w:rFonts w:ascii="Times New Roman" w:hAnsi="Times New Roman"/>
        </w:rPr>
        <w:t xml:space="preserve">Утверждено решением Годового Общего собрания акционеров 29.05.2020 (протокол от 02.06.2020 № 22), с текстом можно ознакомиться на сайте Компании </w:t>
      </w:r>
      <w:hyperlink r:id="rId3">
        <w:r>
          <w:rPr>
            <w:rStyle w:val="ab"/>
            <w:rFonts w:ascii="Times New Roman" w:hAnsi="Times New Roman"/>
          </w:rPr>
          <w:t>https://rosseti-yug.ru/upload/iblock/837/Положение_о_СД_Россети_Юг.pdf</w:t>
        </w:r>
      </w:hyperlink>
    </w:p>
    <w:p w14:paraId="4B5CAED1" w14:textId="77777777" w:rsidR="004C2091" w:rsidRDefault="004C2091">
      <w:pPr>
        <w:pStyle w:val="ad"/>
      </w:pPr>
    </w:p>
  </w:footnote>
  <w:footnote w:id="18">
    <w:p w14:paraId="3DAB6417" w14:textId="77777777" w:rsidR="004C2091" w:rsidRDefault="004C2091" w:rsidP="00427221">
      <w:pPr>
        <w:pStyle w:val="ARMfootnoteTextFootnoteNewFootnoteTextChar1FootnoteTextChar11FootnoteTextChar12FootnoteTextChar2FootnoteTextChar21FootnoteTextChar3FootnoteTextChar4FootnoteTextChar5FootnoteTextChar6TableFootnotelastf"/>
        <w:jc w:val="both"/>
        <w:rPr>
          <w:rFonts w:ascii="Times New Roman" w:hAnsi="Times New Roman"/>
        </w:rPr>
      </w:pPr>
      <w:r>
        <w:rPr>
          <w:rStyle w:val="af"/>
        </w:rPr>
        <w:footnoteRef/>
      </w:r>
      <w:r>
        <w:rPr>
          <w:rFonts w:ascii="Times New Roman" w:hAnsi="Times New Roman"/>
        </w:rPr>
        <w:t xml:space="preserve">С полными текстами решений Совета директоров Общества, принятыми в 2024 году, можно ознакомиться на сайте Компании </w:t>
      </w:r>
      <w:hyperlink r:id="rId4">
        <w:r>
          <w:rPr>
            <w:rStyle w:val="ab"/>
            <w:rFonts w:ascii="Times New Roman" w:hAnsi="Times New Roman"/>
          </w:rPr>
          <w:t>https://rosseti-yug.ru/korporativnoe-upravlenie/resheniya-soveta-direktorov/</w:t>
        </w:r>
      </w:hyperlink>
      <w:r>
        <w:rPr>
          <w:rFonts w:ascii="Times New Roman" w:hAnsi="Times New Roman"/>
        </w:rPr>
        <w:t xml:space="preserve"> </w:t>
      </w:r>
    </w:p>
    <w:p w14:paraId="732B89DD" w14:textId="77777777" w:rsidR="004C2091" w:rsidRDefault="004C2091">
      <w:pPr>
        <w:pStyle w:val="ad"/>
      </w:pPr>
      <w:r>
        <w:t xml:space="preserve"> </w:t>
      </w:r>
    </w:p>
  </w:footnote>
  <w:footnote w:id="19">
    <w:p w14:paraId="6854D65F" w14:textId="77777777" w:rsidR="004C2091" w:rsidRDefault="004C2091" w:rsidP="00427221">
      <w:pPr>
        <w:pStyle w:val="ARMfootnoteTextFootnoteNewFootnoteTextChar1FootnoteTextChar11FootnoteTextChar12FootnoteTextChar2FootnoteTextChar21FootnoteTextChar3FootnoteTextChar4FootnoteTextChar5FootnoteTextChar6TableFootnotelastf"/>
        <w:rPr>
          <w:rFonts w:ascii="Times New Roman" w:hAnsi="Times New Roman"/>
        </w:rPr>
      </w:pPr>
      <w:r>
        <w:rPr>
          <w:rStyle w:val="af"/>
        </w:rPr>
        <w:footnoteRef/>
      </w:r>
      <w:r>
        <w:t xml:space="preserve"> </w:t>
      </w:r>
      <w:r>
        <w:rPr>
          <w:rFonts w:ascii="Times New Roman" w:hAnsi="Times New Roman"/>
        </w:rPr>
        <w:t>Оценка производилась по пятибалльной шкале.</w:t>
      </w:r>
    </w:p>
    <w:p w14:paraId="19B0FAB7" w14:textId="77777777" w:rsidR="004C2091" w:rsidRDefault="004C2091">
      <w:pPr>
        <w:pStyle w:val="ad"/>
      </w:pPr>
    </w:p>
  </w:footnote>
  <w:footnote w:id="20">
    <w:p w14:paraId="358F1027" w14:textId="77777777" w:rsidR="00E165F4" w:rsidRDefault="00E165F4">
      <w:pPr>
        <w:pStyle w:val="ad"/>
      </w:pPr>
      <w:r>
        <w:rPr>
          <w:rStyle w:val="af"/>
        </w:rPr>
        <w:footnoteRef/>
      </w:r>
      <w:r>
        <w:t xml:space="preserve"> </w:t>
      </w:r>
      <w:r>
        <w:rPr>
          <w:rFonts w:ascii="Times New Roman" w:hAnsi="Times New Roman"/>
        </w:rPr>
        <w:t>Должность указана на дату избрания.</w:t>
      </w:r>
    </w:p>
  </w:footnote>
  <w:footnote w:id="21">
    <w:p w14:paraId="4C6B818F" w14:textId="77777777" w:rsidR="004C2091" w:rsidRDefault="004C2091">
      <w:pPr>
        <w:pStyle w:val="ad"/>
      </w:pPr>
      <w:r>
        <w:rPr>
          <w:rStyle w:val="af"/>
        </w:rPr>
        <w:footnoteRef/>
      </w:r>
      <w:r>
        <w:t xml:space="preserve"> </w:t>
      </w:r>
      <w:r>
        <w:rPr>
          <w:rFonts w:ascii="Times New Roman" w:hAnsi="Times New Roman"/>
          <w:sz w:val="16"/>
          <w:szCs w:val="16"/>
        </w:rPr>
        <w:t>Должность указана на дату избрания.</w:t>
      </w:r>
    </w:p>
  </w:footnote>
  <w:footnote w:id="22">
    <w:p w14:paraId="5356192C" w14:textId="77777777" w:rsidR="004C2091" w:rsidRDefault="004C2091">
      <w:pPr>
        <w:pStyle w:val="ad"/>
      </w:pPr>
      <w:r>
        <w:rPr>
          <w:rStyle w:val="af"/>
        </w:rPr>
        <w:footnoteRef/>
      </w:r>
      <w:r>
        <w:t xml:space="preserve"> </w:t>
      </w:r>
      <w:r>
        <w:rPr>
          <w:rFonts w:ascii="Times New Roman" w:hAnsi="Times New Roman"/>
          <w:sz w:val="16"/>
          <w:szCs w:val="16"/>
        </w:rPr>
        <w:t>Должность указана на дату избрания.</w:t>
      </w:r>
    </w:p>
  </w:footnote>
  <w:footnote w:id="23">
    <w:p w14:paraId="29109F1A" w14:textId="77777777" w:rsidR="004C2091" w:rsidRDefault="004C2091">
      <w:pPr>
        <w:pStyle w:val="ad"/>
      </w:pPr>
      <w:r>
        <w:rPr>
          <w:rStyle w:val="af"/>
        </w:rPr>
        <w:footnoteRef/>
      </w:r>
      <w:r>
        <w:t xml:space="preserve"> </w:t>
      </w:r>
      <w:r>
        <w:rPr>
          <w:rFonts w:ascii="Times New Roman" w:hAnsi="Times New Roman"/>
          <w:sz w:val="16"/>
          <w:szCs w:val="16"/>
        </w:rPr>
        <w:t>Должность указана на дату избрания.</w:t>
      </w:r>
    </w:p>
  </w:footnote>
  <w:footnote w:id="24">
    <w:p w14:paraId="7DB4746B" w14:textId="77777777" w:rsidR="004C2091" w:rsidRDefault="004C2091">
      <w:pPr>
        <w:pStyle w:val="ad"/>
      </w:pPr>
      <w:r>
        <w:rPr>
          <w:rStyle w:val="af"/>
        </w:rPr>
        <w:footnoteRef/>
      </w:r>
      <w:r>
        <w:t xml:space="preserve"> </w:t>
      </w:r>
      <w:r>
        <w:rPr>
          <w:rFonts w:ascii="Cambria" w:hAnsi="Cambria"/>
          <w:sz w:val="16"/>
          <w:szCs w:val="16"/>
        </w:rPr>
        <w:t>Должность указана на дату избрания.</w:t>
      </w:r>
    </w:p>
  </w:footnote>
  <w:footnote w:id="25">
    <w:p w14:paraId="289CD9BC" w14:textId="77777777" w:rsidR="004C2091" w:rsidRDefault="004C2091" w:rsidP="00223545">
      <w:pPr>
        <w:pStyle w:val="ad"/>
      </w:pPr>
      <w:r>
        <w:rPr>
          <w:rStyle w:val="af"/>
        </w:rPr>
        <w:footnoteRef/>
      </w:r>
      <w:r>
        <w:t xml:space="preserve"> </w:t>
      </w:r>
      <w:r>
        <w:rPr>
          <w:rStyle w:val="-FNCiaeniinee-FN1frUsedbyWordforHelpfootnotesymbols45FootnoteReferenceNumber16PointSuperscript6PointReferencianotaalpieCiaeniinee1OdwoanieprzypisuSUPERS"/>
          <w:rFonts w:ascii="Cambria" w:eastAsia="Times New Roman" w:hAnsi="Cambria"/>
        </w:rPr>
        <w:t xml:space="preserve">Анкетные данные </w:t>
      </w:r>
      <w:r>
        <w:rPr>
          <w:rStyle w:val="-FNCiaeniinee-FN1frUsedbyWordforHelpfootnotesymbols45FootnoteReferenceNumber16PointSuperscript6PointReferencianotaalpieCiaeniinee1OdwoanieprzypisuSUPERS"/>
        </w:rPr>
        <w:t>Рыбин А.А.</w:t>
      </w:r>
      <w:r>
        <w:rPr>
          <w:rStyle w:val="-FNCiaeniinee-FN1frUsedbyWordforHelpfootnotesymbols45FootnoteReferenceNumber16PointSuperscript6PointReferencianotaalpieCiaeniinee1OdwoanieprzypisuSUPERS"/>
          <w:rFonts w:ascii="Cambria" w:eastAsia="Times New Roman" w:hAnsi="Cambria"/>
        </w:rPr>
        <w:t>. содержатся в разделе биографии членов Правления настоящего Годового отчета.</w:t>
      </w:r>
    </w:p>
  </w:footnote>
  <w:footnote w:id="26">
    <w:p w14:paraId="3D53377E" w14:textId="77777777" w:rsidR="004C2091" w:rsidRDefault="004C2091">
      <w:pPr>
        <w:pStyle w:val="ad"/>
      </w:pPr>
      <w:r>
        <w:rPr>
          <w:rStyle w:val="af"/>
        </w:rPr>
        <w:footnoteRef/>
      </w:r>
      <w:r>
        <w:t xml:space="preserve"> </w:t>
      </w:r>
      <w:r>
        <w:rPr>
          <w:rFonts w:ascii="Times New Roman" w:hAnsi="Times New Roman"/>
        </w:rPr>
        <w:t>Компетенция Правления ПАО «Россети Юг» определена Уставом Общества.</w:t>
      </w:r>
    </w:p>
  </w:footnote>
  <w:footnote w:id="27">
    <w:p w14:paraId="3C84B963" w14:textId="77777777" w:rsidR="004C2091" w:rsidRDefault="004C2091" w:rsidP="00AA69D1">
      <w:pPr>
        <w:pStyle w:val="ARMfootnoteTextFootnoteNewFootnoteTextChar1FootnoteTextChar11FootnoteTextChar12FootnoteTextChar2FootnoteTextChar21FootnoteTextChar3FootnoteTextChar4FootnoteTextChar5FootnoteTextChar6TableFootnotelastf"/>
        <w:rPr>
          <w:rFonts w:ascii="Times New Roman" w:hAnsi="Times New Roman"/>
        </w:rPr>
      </w:pPr>
      <w:r>
        <w:rPr>
          <w:rStyle w:val="af"/>
        </w:rPr>
        <w:footnoteRef/>
      </w:r>
      <w:r>
        <w:t xml:space="preserve"> </w:t>
      </w:r>
      <w:r>
        <w:rPr>
          <w:rFonts w:ascii="Times New Roman" w:hAnsi="Times New Roman"/>
        </w:rPr>
        <w:t xml:space="preserve">Утверждено решением годового Общего собрания акционеров 31.05.2019 (протокол  от 05.06.2019 № 20), с текстом можно ознакомиться на сайте Общества </w:t>
      </w:r>
      <w:hyperlink r:id="rId5">
        <w:r>
          <w:rPr>
            <w:rStyle w:val="ab"/>
            <w:rFonts w:ascii="Times New Roman" w:hAnsi="Times New Roman"/>
          </w:rPr>
          <w:t>https://rosseti-yug.ru/korporativnoe-upravlenie/dokumenty-reglamentiruyushchie-deyatelnost-organov-upravleniya-i-kontrolya-obshchestva/</w:t>
        </w:r>
      </w:hyperlink>
    </w:p>
    <w:p w14:paraId="4AC8D1EC" w14:textId="77777777" w:rsidR="004C2091" w:rsidRDefault="004C2091" w:rsidP="00AA69D1">
      <w:pPr>
        <w:pStyle w:val="ARMfootnoteTextFootnoteNewFootnoteTextChar1FootnoteTextChar11FootnoteTextChar12FootnoteTextChar2FootnoteTextChar21FootnoteTextChar3FootnoteTextChar4FootnoteTextChar5FootnoteTextChar6TableFootnotelastf"/>
        <w:rPr>
          <w:rFonts w:ascii="Arial Narrow" w:hAnsi="Arial Narrow"/>
        </w:rPr>
      </w:pPr>
    </w:p>
    <w:p w14:paraId="152A251A" w14:textId="77777777" w:rsidR="004C2091" w:rsidRDefault="004C2091">
      <w:pPr>
        <w:pStyle w:val="ad"/>
      </w:pPr>
    </w:p>
  </w:footnote>
  <w:footnote w:id="28">
    <w:p w14:paraId="0CDE0C2C" w14:textId="77777777" w:rsidR="004C2091" w:rsidRDefault="004C2091">
      <w:pPr>
        <w:pStyle w:val="ad"/>
      </w:pPr>
      <w:r>
        <w:rPr>
          <w:rStyle w:val="af"/>
        </w:rPr>
        <w:footnoteRef/>
      </w:r>
      <w:r>
        <w:t xml:space="preserve"> </w:t>
      </w:r>
      <w:r>
        <w:rPr>
          <w:rFonts w:ascii="Times New Roman" w:hAnsi="Times New Roman"/>
          <w:szCs w:val="18"/>
        </w:rPr>
        <w:t>Информация приведена без учета надбавок к вознаграждению, выплаченному членам Совета директоров Общества, одновременно являющимися членами Комитетов Совета директоров Общества.</w:t>
      </w:r>
    </w:p>
  </w:footnote>
  <w:footnote w:id="29">
    <w:p w14:paraId="3D85B087" w14:textId="77777777" w:rsidR="004C2091" w:rsidRDefault="004C2091" w:rsidP="00A74AA0">
      <w:pPr>
        <w:widowControl w:val="0"/>
        <w:jc w:val="both"/>
        <w:rPr>
          <w:rFonts w:ascii="Times New Roman" w:hAnsi="Times New Roman"/>
          <w:sz w:val="18"/>
          <w:szCs w:val="18"/>
          <w:lang w:eastAsia="en-US"/>
        </w:rPr>
      </w:pPr>
      <w:r>
        <w:rPr>
          <w:rStyle w:val="af"/>
        </w:rPr>
        <w:footnoteRef/>
      </w:r>
      <w:r>
        <w:t xml:space="preserve"> </w:t>
      </w:r>
      <w:r>
        <w:rPr>
          <w:rFonts w:ascii="Times New Roman" w:hAnsi="Times New Roman"/>
          <w:sz w:val="18"/>
          <w:szCs w:val="18"/>
          <w:lang w:eastAsia="en-US"/>
        </w:rPr>
        <w:t>В таблице указаны сведения о суммарном вознаграждении за год по всем членам исполнительных органов, в том числе являющимся ключевыми руководящими работниками Общества, на которых распространяется действие политики Общества в области вознаграждения, с разбивкой по каждому виду вознаграждения.</w:t>
      </w:r>
    </w:p>
    <w:p w14:paraId="4CD1FBE4" w14:textId="77777777" w:rsidR="004C2091" w:rsidRDefault="004C2091">
      <w:pPr>
        <w:pStyle w:val="ad"/>
      </w:pPr>
    </w:p>
  </w:footnote>
  <w:footnote w:id="30">
    <w:p w14:paraId="2EB9334B" w14:textId="77777777" w:rsidR="004C2091" w:rsidRDefault="004C2091">
      <w:pPr>
        <w:pStyle w:val="ad"/>
      </w:pPr>
      <w:r>
        <w:rPr>
          <w:rStyle w:val="af"/>
        </w:rPr>
        <w:footnoteRef/>
      </w:r>
      <w:r>
        <w:t xml:space="preserve"> </w:t>
      </w:r>
      <w:r>
        <w:rPr>
          <w:rFonts w:ascii="Times New Roman" w:hAnsi="Times New Roman"/>
        </w:rPr>
        <w:t>В связи с вступлением в действие с 09.01.2025 новых Международных стандартов внутреннего аудита Института внутренних аудиторов внутренние стандарты, регламентирующие деятельность внутреннего аудита Общества, планируются к актуализации.</w:t>
      </w:r>
    </w:p>
  </w:footnote>
  <w:footnote w:id="31">
    <w:p w14:paraId="11F19971" w14:textId="77777777" w:rsidR="004C2091" w:rsidRDefault="004C2091">
      <w:pPr>
        <w:pStyle w:val="ad"/>
      </w:pPr>
      <w:r>
        <w:rPr>
          <w:rStyle w:val="af"/>
        </w:rPr>
        <w:footnoteRef/>
      </w:r>
      <w:r>
        <w:t xml:space="preserve"> </w:t>
      </w:r>
      <w:r>
        <w:rPr>
          <w:rFonts w:ascii="Times New Roman" w:eastAsia="Times New Roman" w:hAnsi="Times New Roman"/>
          <w:szCs w:val="18"/>
          <w:lang w:eastAsia="ru-RU"/>
        </w:rPr>
        <w:t>Утверждено годовым Общим собранием акционеров 16.06.2022 (протокол № 25), размещено на сайте Общества.</w:t>
      </w:r>
    </w:p>
  </w:footnote>
  <w:footnote w:id="32">
    <w:p w14:paraId="7C984BAE" w14:textId="77777777" w:rsidR="004C2091" w:rsidRDefault="004C2091" w:rsidP="00C71686">
      <w:pPr>
        <w:pStyle w:val="ARMfootnoteTextFootnoteNewFootnoteTextChar1FootnoteTextChar11FootnoteTextChar12FootnoteTextChar2FootnoteTextChar21FootnoteTextChar3FootnoteTextChar4FootnoteTextChar5FootnoteTextChar6TableFootnotelastf"/>
        <w:jc w:val="both"/>
        <w:rPr>
          <w:rFonts w:ascii="Times New Roman" w:eastAsia="Times New Roman" w:hAnsi="Times New Roman"/>
          <w:lang w:eastAsia="ru-RU"/>
        </w:rPr>
      </w:pPr>
      <w:r>
        <w:rPr>
          <w:rStyle w:val="af"/>
        </w:rPr>
        <w:footnoteRef/>
      </w:r>
      <w:r>
        <w:t xml:space="preserve"> Избран годовым Общим собранием акционеров Общества 19.06.2024 (протокол от 19.06.2024 № 27)</w:t>
      </w:r>
    </w:p>
    <w:p w14:paraId="799C44EC" w14:textId="77777777" w:rsidR="004C2091" w:rsidRDefault="004C2091">
      <w:pPr>
        <w:pStyle w:val="ad"/>
      </w:pPr>
    </w:p>
  </w:footnote>
  <w:footnote w:id="33">
    <w:p w14:paraId="7B0D1588" w14:textId="77777777" w:rsidR="004C2091" w:rsidRDefault="004C2091">
      <w:pPr>
        <w:pStyle w:val="ARMfootnoteTextFootnoteNewFootnoteTextChar1FootnoteTextChar11FootnoteTextChar12FootnoteTextChar2FootnoteTextChar21FootnoteTextChar3FootnoteTextChar4FootnoteTextChar5FootnoteTextChar6TableFootnotelastf"/>
        <w:jc w:val="both"/>
        <w:rPr>
          <w:rFonts w:ascii="Times New Roman" w:hAnsi="Times New Roman"/>
          <w:sz w:val="16"/>
          <w:szCs w:val="16"/>
        </w:rPr>
      </w:pPr>
      <w:r>
        <w:rPr>
          <w:rStyle w:val="ae"/>
        </w:rPr>
        <w:footnoteRef/>
      </w:r>
      <w:r>
        <w:rPr>
          <w:rFonts w:ascii="Times New Roman" w:hAnsi="Times New Roman"/>
          <w:sz w:val="16"/>
          <w:szCs w:val="16"/>
        </w:rPr>
        <w:t xml:space="preserve"> Должность указана на дату избрания.</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D23A8"/>
    <w:multiLevelType w:val="multilevel"/>
    <w:tmpl w:val="42B8F2E4"/>
    <w:lvl w:ilvl="0">
      <w:start w:val="1"/>
      <w:numFmt w:val="bullet"/>
      <w:lvlText w:val="■"/>
      <w:lvlJc w:val="left"/>
      <w:pPr>
        <w:tabs>
          <w:tab w:val="num" w:pos="0"/>
        </w:tabs>
        <w:ind w:left="1428" w:hanging="360"/>
      </w:pPr>
      <w:rPr>
        <w:rFonts w:ascii="Times New Roman" w:hAnsi="Times New Roman" w:cs="Times New Roman" w:hint="default"/>
        <w:color w:val="2E74B5"/>
        <w:sz w:val="28"/>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1" w15:restartNumberingAfterBreak="0">
    <w:nsid w:val="01C33320"/>
    <w:multiLevelType w:val="multilevel"/>
    <w:tmpl w:val="352E9156"/>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2" w15:restartNumberingAfterBreak="0">
    <w:nsid w:val="03AD3974"/>
    <w:multiLevelType w:val="multilevel"/>
    <w:tmpl w:val="BFB29B7E"/>
    <w:lvl w:ilvl="0">
      <w:start w:val="1"/>
      <w:numFmt w:val="bullet"/>
      <w:lvlText w:val=""/>
      <w:lvlJc w:val="left"/>
      <w:pPr>
        <w:tabs>
          <w:tab w:val="num" w:pos="0"/>
        </w:tabs>
        <w:ind w:left="1495" w:hanging="360"/>
      </w:pPr>
      <w:rPr>
        <w:rFonts w:ascii="Symbol" w:hAnsi="Symbol" w:cs="Symbol"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3" w15:restartNumberingAfterBreak="0">
    <w:nsid w:val="068F4963"/>
    <w:multiLevelType w:val="multilevel"/>
    <w:tmpl w:val="2C8448DC"/>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4" w15:restartNumberingAfterBreak="0">
    <w:nsid w:val="073661C0"/>
    <w:multiLevelType w:val="multilevel"/>
    <w:tmpl w:val="A89AC66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09BB6F9A"/>
    <w:multiLevelType w:val="multilevel"/>
    <w:tmpl w:val="4D24DC6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0C3E69B6"/>
    <w:multiLevelType w:val="multilevel"/>
    <w:tmpl w:val="62F26F1E"/>
    <w:lvl w:ilvl="0">
      <w:start w:val="1"/>
      <w:numFmt w:val="decimal"/>
      <w:pStyle w:val="a"/>
      <w:lvlText w:val="%1)"/>
      <w:lvlJc w:val="left"/>
      <w:pPr>
        <w:tabs>
          <w:tab w:val="num" w:pos="1069"/>
        </w:tabs>
        <w:ind w:left="1069" w:hanging="360"/>
      </w:pPr>
    </w:lvl>
    <w:lvl w:ilvl="1">
      <w:start w:val="1"/>
      <w:numFmt w:val="lowerLetter"/>
      <w:lvlText w:val="%2."/>
      <w:lvlJc w:val="left"/>
      <w:pPr>
        <w:tabs>
          <w:tab w:val="num" w:pos="2149"/>
        </w:tabs>
        <w:ind w:left="2149" w:hanging="360"/>
      </w:pPr>
    </w:lvl>
    <w:lvl w:ilvl="2">
      <w:start w:val="1"/>
      <w:numFmt w:val="lowerRoman"/>
      <w:lvlText w:val="%3."/>
      <w:lvlJc w:val="right"/>
      <w:pPr>
        <w:tabs>
          <w:tab w:val="num" w:pos="2869"/>
        </w:tabs>
        <w:ind w:left="2869" w:hanging="180"/>
      </w:pPr>
    </w:lvl>
    <w:lvl w:ilvl="3">
      <w:start w:val="1"/>
      <w:numFmt w:val="decimal"/>
      <w:lvlText w:val="%4."/>
      <w:lvlJc w:val="left"/>
      <w:pPr>
        <w:tabs>
          <w:tab w:val="num" w:pos="3589"/>
        </w:tabs>
        <w:ind w:left="3589" w:hanging="360"/>
      </w:pPr>
    </w:lvl>
    <w:lvl w:ilvl="4">
      <w:start w:val="1"/>
      <w:numFmt w:val="lowerLetter"/>
      <w:lvlText w:val="%5."/>
      <w:lvlJc w:val="left"/>
      <w:pPr>
        <w:tabs>
          <w:tab w:val="num" w:pos="4309"/>
        </w:tabs>
        <w:ind w:left="4309" w:hanging="360"/>
      </w:pPr>
    </w:lvl>
    <w:lvl w:ilvl="5">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start w:val="1"/>
      <w:numFmt w:val="lowerLetter"/>
      <w:lvlText w:val="%8."/>
      <w:lvlJc w:val="left"/>
      <w:pPr>
        <w:tabs>
          <w:tab w:val="num" w:pos="6469"/>
        </w:tabs>
        <w:ind w:left="6469" w:hanging="360"/>
      </w:pPr>
    </w:lvl>
    <w:lvl w:ilvl="8">
      <w:start w:val="1"/>
      <w:numFmt w:val="lowerRoman"/>
      <w:lvlText w:val="%9."/>
      <w:lvlJc w:val="right"/>
      <w:pPr>
        <w:tabs>
          <w:tab w:val="num" w:pos="7189"/>
        </w:tabs>
        <w:ind w:left="7189" w:hanging="180"/>
      </w:pPr>
    </w:lvl>
  </w:abstractNum>
  <w:abstractNum w:abstractNumId="7" w15:restartNumberingAfterBreak="0">
    <w:nsid w:val="0D27429E"/>
    <w:multiLevelType w:val="multilevel"/>
    <w:tmpl w:val="B2A4C830"/>
    <w:lvl w:ilvl="0">
      <w:start w:val="1"/>
      <w:numFmt w:val="bullet"/>
      <w:lvlText w:val=""/>
      <w:lvlJc w:val="left"/>
      <w:pPr>
        <w:tabs>
          <w:tab w:val="num" w:pos="0"/>
        </w:tabs>
        <w:ind w:left="720" w:hanging="360"/>
      </w:pPr>
      <w:rPr>
        <w:rFonts w:ascii="Symbol" w:hAnsi="Symbol" w:cs="Symbol" w:hint="default"/>
        <w:color w:val="00000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0E1F6D49"/>
    <w:multiLevelType w:val="multilevel"/>
    <w:tmpl w:val="A9ACDA9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 w15:restartNumberingAfterBreak="0">
    <w:nsid w:val="1048481F"/>
    <w:multiLevelType w:val="multilevel"/>
    <w:tmpl w:val="021C5A4C"/>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0" w15:restartNumberingAfterBreak="0">
    <w:nsid w:val="137235DE"/>
    <w:multiLevelType w:val="multilevel"/>
    <w:tmpl w:val="AB9E4002"/>
    <w:lvl w:ilvl="0">
      <w:start w:val="1"/>
      <w:numFmt w:val="bullet"/>
      <w:suff w:val="space"/>
      <w:lvlText w:val=""/>
      <w:lvlJc w:val="left"/>
      <w:pPr>
        <w:tabs>
          <w:tab w:val="num" w:pos="0"/>
        </w:tabs>
        <w:ind w:left="1506"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1" w15:restartNumberingAfterBreak="0">
    <w:nsid w:val="137E6F25"/>
    <w:multiLevelType w:val="multilevel"/>
    <w:tmpl w:val="3D8EE04A"/>
    <w:lvl w:ilvl="0">
      <w:start w:val="1"/>
      <w:numFmt w:val="decimal"/>
      <w:pStyle w:val="2"/>
      <w:lvlText w:val="%1."/>
      <w:lvlJc w:val="center"/>
      <w:pPr>
        <w:tabs>
          <w:tab w:val="num" w:pos="568"/>
        </w:tabs>
        <w:ind w:left="568" w:hanging="568"/>
      </w:pPr>
    </w:lvl>
    <w:lvl w:ilvl="1">
      <w:start w:val="1"/>
      <w:numFmt w:val="decimal"/>
      <w:lvlText w:val="%1.%2."/>
      <w:lvlJc w:val="left"/>
      <w:pPr>
        <w:tabs>
          <w:tab w:val="num" w:pos="1134"/>
        </w:tabs>
        <w:ind w:left="1134" w:hanging="1133"/>
      </w:pPr>
    </w:lvl>
    <w:lvl w:ilvl="2">
      <w:start w:val="1"/>
      <w:numFmt w:val="decimal"/>
      <w:lvlText w:val="%3."/>
      <w:lvlJc w:val="left"/>
      <w:pPr>
        <w:tabs>
          <w:tab w:val="num" w:pos="1134"/>
        </w:tabs>
        <w:ind w:left="1134" w:hanging="1133"/>
      </w:pPr>
      <w:rPr>
        <w:rFonts w:ascii="Times New Roman" w:eastAsia="Times New Roman" w:hAnsi="Times New Roman" w:cs="Times New Roman"/>
      </w:rPr>
    </w:lvl>
    <w:lvl w:ilvl="3">
      <w:start w:val="1"/>
      <w:numFmt w:val="decimal"/>
      <w:lvlText w:val="%1.%2.%3.%4."/>
      <w:lvlJc w:val="left"/>
      <w:pPr>
        <w:tabs>
          <w:tab w:val="num" w:pos="1134"/>
        </w:tabs>
        <w:ind w:left="1134" w:hanging="1134"/>
      </w:pPr>
    </w:lvl>
    <w:lvl w:ilvl="4">
      <w:start w:val="1"/>
      <w:numFmt w:val="lowerLetter"/>
      <w:lvlText w:val="%5)"/>
      <w:lvlJc w:val="left"/>
      <w:pPr>
        <w:tabs>
          <w:tab w:val="num" w:pos="1701"/>
        </w:tabs>
        <w:ind w:left="1701" w:hanging="567"/>
      </w:pPr>
    </w:lvl>
    <w:lvl w:ilvl="5">
      <w:start w:val="1"/>
      <w:numFmt w:val="decimal"/>
      <w:lvlText w:val="%1.%2.%3.%4.%5.%6"/>
      <w:lvlJc w:val="left"/>
      <w:pPr>
        <w:tabs>
          <w:tab w:val="num" w:pos="2593"/>
        </w:tabs>
        <w:ind w:left="2593" w:hanging="1152"/>
      </w:pPr>
    </w:lvl>
    <w:lvl w:ilvl="6">
      <w:start w:val="1"/>
      <w:numFmt w:val="decimal"/>
      <w:lvlText w:val="%1.%2.%3.%4.%5.%6.%7"/>
      <w:lvlJc w:val="left"/>
      <w:pPr>
        <w:tabs>
          <w:tab w:val="num" w:pos="2737"/>
        </w:tabs>
        <w:ind w:left="2737" w:hanging="1296"/>
      </w:pPr>
    </w:lvl>
    <w:lvl w:ilvl="7">
      <w:start w:val="1"/>
      <w:numFmt w:val="decimal"/>
      <w:lvlText w:val="%1.%2.%3.%4.%5.%6.%7.%8"/>
      <w:lvlJc w:val="left"/>
      <w:pPr>
        <w:tabs>
          <w:tab w:val="num" w:pos="2881"/>
        </w:tabs>
        <w:ind w:left="2881" w:hanging="1440"/>
      </w:pPr>
    </w:lvl>
    <w:lvl w:ilvl="8">
      <w:start w:val="1"/>
      <w:numFmt w:val="decimal"/>
      <w:lvlText w:val="%1.%2.%3.%4.%5.%6.%7.%8.%9"/>
      <w:lvlJc w:val="left"/>
      <w:pPr>
        <w:tabs>
          <w:tab w:val="num" w:pos="3025"/>
        </w:tabs>
        <w:ind w:left="3025" w:hanging="1584"/>
      </w:pPr>
    </w:lvl>
  </w:abstractNum>
  <w:abstractNum w:abstractNumId="12" w15:restartNumberingAfterBreak="0">
    <w:nsid w:val="1737609C"/>
    <w:multiLevelType w:val="multilevel"/>
    <w:tmpl w:val="307ED13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15:restartNumberingAfterBreak="0">
    <w:nsid w:val="1BAB33EB"/>
    <w:multiLevelType w:val="multilevel"/>
    <w:tmpl w:val="F894EBA6"/>
    <w:lvl w:ilvl="0">
      <w:start w:val="1"/>
      <w:numFmt w:val="decimal"/>
      <w:lvlText w:val="%1)"/>
      <w:lvlJc w:val="left"/>
      <w:pPr>
        <w:tabs>
          <w:tab w:val="num" w:pos="0"/>
        </w:tabs>
        <w:ind w:left="1414" w:hanging="705"/>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14" w15:restartNumberingAfterBreak="0">
    <w:nsid w:val="1BBC3941"/>
    <w:multiLevelType w:val="multilevel"/>
    <w:tmpl w:val="3EDA7FD0"/>
    <w:lvl w:ilvl="0">
      <w:start w:val="1"/>
      <w:numFmt w:val="bullet"/>
      <w:lvlText w:val=""/>
      <w:lvlJc w:val="left"/>
      <w:pPr>
        <w:tabs>
          <w:tab w:val="num" w:pos="0"/>
        </w:tabs>
        <w:ind w:left="1440" w:hanging="360"/>
      </w:pPr>
      <w:rPr>
        <w:rFonts w:ascii="Symbol" w:hAnsi="Symbol" w:cs="Symbol" w:hint="default"/>
        <w:sz w:val="24"/>
        <w:szCs w:val="24"/>
        <w:lang w:eastAsia="ru-RU"/>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1CE12418"/>
    <w:multiLevelType w:val="multilevel"/>
    <w:tmpl w:val="EA1AA930"/>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16" w15:restartNumberingAfterBreak="0">
    <w:nsid w:val="1E3805D2"/>
    <w:multiLevelType w:val="multilevel"/>
    <w:tmpl w:val="183E78C0"/>
    <w:lvl w:ilvl="0">
      <w:start w:val="1"/>
      <w:numFmt w:val="bullet"/>
      <w:lvlText w:val=""/>
      <w:lvlJc w:val="left"/>
      <w:pPr>
        <w:tabs>
          <w:tab w:val="num" w:pos="0"/>
        </w:tabs>
        <w:ind w:left="1287" w:hanging="360"/>
      </w:pPr>
      <w:rPr>
        <w:rFonts w:ascii="Symbol" w:hAnsi="Symbol" w:cs="Symbol" w:hint="default"/>
        <w:sz w:val="20"/>
        <w:szCs w:val="20"/>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17" w15:restartNumberingAfterBreak="0">
    <w:nsid w:val="1EDF035A"/>
    <w:multiLevelType w:val="multilevel"/>
    <w:tmpl w:val="65D4D5A2"/>
    <w:lvl w:ilvl="0">
      <w:start w:val="1"/>
      <w:numFmt w:val="bullet"/>
      <w:lvlText w:val="·"/>
      <w:lvlJc w:val="left"/>
      <w:pPr>
        <w:tabs>
          <w:tab w:val="num" w:pos="0"/>
        </w:tabs>
        <w:ind w:left="1276" w:hanging="360"/>
      </w:pPr>
      <w:rPr>
        <w:rFonts w:ascii="Symbol" w:hAnsi="Symbol" w:cs="Symbol" w:hint="default"/>
      </w:rPr>
    </w:lvl>
    <w:lvl w:ilvl="1">
      <w:start w:val="1"/>
      <w:numFmt w:val="bullet"/>
      <w:lvlText w:val="o"/>
      <w:lvlJc w:val="left"/>
      <w:pPr>
        <w:tabs>
          <w:tab w:val="num" w:pos="0"/>
        </w:tabs>
        <w:ind w:left="1996" w:hanging="360"/>
      </w:pPr>
      <w:rPr>
        <w:rFonts w:ascii="Courier New" w:hAnsi="Courier New" w:cs="Courier New" w:hint="default"/>
      </w:rPr>
    </w:lvl>
    <w:lvl w:ilvl="2">
      <w:start w:val="1"/>
      <w:numFmt w:val="bullet"/>
      <w:lvlText w:val="§"/>
      <w:lvlJc w:val="left"/>
      <w:pPr>
        <w:tabs>
          <w:tab w:val="num" w:pos="0"/>
        </w:tabs>
        <w:ind w:left="2716" w:hanging="360"/>
      </w:pPr>
      <w:rPr>
        <w:rFonts w:ascii="Wingdings" w:hAnsi="Wingdings" w:cs="Wingdings" w:hint="default"/>
      </w:rPr>
    </w:lvl>
    <w:lvl w:ilvl="3">
      <w:start w:val="1"/>
      <w:numFmt w:val="bullet"/>
      <w:lvlText w:val="·"/>
      <w:lvlJc w:val="left"/>
      <w:pPr>
        <w:tabs>
          <w:tab w:val="num" w:pos="0"/>
        </w:tabs>
        <w:ind w:left="3436" w:hanging="360"/>
      </w:pPr>
      <w:rPr>
        <w:rFonts w:ascii="Symbol" w:hAnsi="Symbol" w:cs="Symbol" w:hint="default"/>
      </w:rPr>
    </w:lvl>
    <w:lvl w:ilvl="4">
      <w:start w:val="1"/>
      <w:numFmt w:val="bullet"/>
      <w:lvlText w:val="o"/>
      <w:lvlJc w:val="left"/>
      <w:pPr>
        <w:tabs>
          <w:tab w:val="num" w:pos="0"/>
        </w:tabs>
        <w:ind w:left="4156" w:hanging="360"/>
      </w:pPr>
      <w:rPr>
        <w:rFonts w:ascii="Courier New" w:hAnsi="Courier New" w:cs="Courier New" w:hint="default"/>
      </w:rPr>
    </w:lvl>
    <w:lvl w:ilvl="5">
      <w:start w:val="1"/>
      <w:numFmt w:val="bullet"/>
      <w:lvlText w:val="§"/>
      <w:lvlJc w:val="left"/>
      <w:pPr>
        <w:tabs>
          <w:tab w:val="num" w:pos="0"/>
        </w:tabs>
        <w:ind w:left="4876" w:hanging="360"/>
      </w:pPr>
      <w:rPr>
        <w:rFonts w:ascii="Wingdings" w:hAnsi="Wingdings" w:cs="Wingdings" w:hint="default"/>
      </w:rPr>
    </w:lvl>
    <w:lvl w:ilvl="6">
      <w:start w:val="1"/>
      <w:numFmt w:val="bullet"/>
      <w:lvlText w:val="·"/>
      <w:lvlJc w:val="left"/>
      <w:pPr>
        <w:tabs>
          <w:tab w:val="num" w:pos="0"/>
        </w:tabs>
        <w:ind w:left="5596" w:hanging="360"/>
      </w:pPr>
      <w:rPr>
        <w:rFonts w:ascii="Symbol" w:hAnsi="Symbol" w:cs="Symbol" w:hint="default"/>
      </w:rPr>
    </w:lvl>
    <w:lvl w:ilvl="7">
      <w:start w:val="1"/>
      <w:numFmt w:val="bullet"/>
      <w:lvlText w:val="o"/>
      <w:lvlJc w:val="left"/>
      <w:pPr>
        <w:tabs>
          <w:tab w:val="num" w:pos="0"/>
        </w:tabs>
        <w:ind w:left="6316" w:hanging="360"/>
      </w:pPr>
      <w:rPr>
        <w:rFonts w:ascii="Courier New" w:hAnsi="Courier New" w:cs="Courier New" w:hint="default"/>
      </w:rPr>
    </w:lvl>
    <w:lvl w:ilvl="8">
      <w:start w:val="1"/>
      <w:numFmt w:val="bullet"/>
      <w:lvlText w:val="§"/>
      <w:lvlJc w:val="left"/>
      <w:pPr>
        <w:tabs>
          <w:tab w:val="num" w:pos="0"/>
        </w:tabs>
        <w:ind w:left="7036" w:hanging="360"/>
      </w:pPr>
      <w:rPr>
        <w:rFonts w:ascii="Wingdings" w:hAnsi="Wingdings" w:cs="Wingdings" w:hint="default"/>
      </w:rPr>
    </w:lvl>
  </w:abstractNum>
  <w:abstractNum w:abstractNumId="18" w15:restartNumberingAfterBreak="0">
    <w:nsid w:val="21267929"/>
    <w:multiLevelType w:val="multilevel"/>
    <w:tmpl w:val="F10E6D7A"/>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9" w15:restartNumberingAfterBreak="0">
    <w:nsid w:val="21864B8E"/>
    <w:multiLevelType w:val="multilevel"/>
    <w:tmpl w:val="7E448960"/>
    <w:lvl w:ilvl="0">
      <w:start w:val="1"/>
      <w:numFmt w:val="bullet"/>
      <w:lvlText w:val=""/>
      <w:lvlJc w:val="left"/>
      <w:pPr>
        <w:tabs>
          <w:tab w:val="num" w:pos="0"/>
        </w:tabs>
        <w:ind w:left="720" w:hanging="360"/>
      </w:pPr>
      <w:rPr>
        <w:rFonts w:ascii="Symbol" w:hAnsi="Symbol" w:cs="Symbol" w:hint="default"/>
        <w:sz w:val="20"/>
        <w:szCs w:val="2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225E3A78"/>
    <w:multiLevelType w:val="multilevel"/>
    <w:tmpl w:val="8C0659E0"/>
    <w:lvl w:ilvl="0">
      <w:start w:val="1"/>
      <w:numFmt w:val="bullet"/>
      <w:lvlText w:val=""/>
      <w:lvlJc w:val="left"/>
      <w:pPr>
        <w:tabs>
          <w:tab w:val="num" w:pos="0"/>
        </w:tabs>
        <w:ind w:left="3404" w:hanging="360"/>
      </w:pPr>
      <w:rPr>
        <w:rFonts w:ascii="Symbol" w:hAnsi="Symbol" w:cs="Symbol" w:hint="default"/>
        <w:b w:val="0"/>
        <w:i w:val="0"/>
        <w:sz w:val="28"/>
        <w:u w:val="none"/>
      </w:rPr>
    </w:lvl>
    <w:lvl w:ilvl="1">
      <w:start w:val="1"/>
      <w:numFmt w:val="bullet"/>
      <w:lvlText w:val="o"/>
      <w:lvlJc w:val="left"/>
      <w:pPr>
        <w:tabs>
          <w:tab w:val="num" w:pos="0"/>
        </w:tabs>
        <w:ind w:left="1659" w:hanging="360"/>
      </w:pPr>
      <w:rPr>
        <w:rFonts w:ascii="Courier New" w:hAnsi="Courier New" w:cs="Courier New" w:hint="default"/>
      </w:rPr>
    </w:lvl>
    <w:lvl w:ilvl="2">
      <w:start w:val="1"/>
      <w:numFmt w:val="bullet"/>
      <w:lvlText w:val=""/>
      <w:lvlJc w:val="left"/>
      <w:pPr>
        <w:tabs>
          <w:tab w:val="num" w:pos="0"/>
        </w:tabs>
        <w:ind w:left="2379" w:hanging="360"/>
      </w:pPr>
      <w:rPr>
        <w:rFonts w:ascii="Wingdings" w:hAnsi="Wingdings" w:cs="Wingdings" w:hint="default"/>
      </w:rPr>
    </w:lvl>
    <w:lvl w:ilvl="3">
      <w:start w:val="1"/>
      <w:numFmt w:val="bullet"/>
      <w:lvlText w:val=""/>
      <w:lvlJc w:val="left"/>
      <w:pPr>
        <w:tabs>
          <w:tab w:val="num" w:pos="0"/>
        </w:tabs>
        <w:ind w:left="3099" w:hanging="360"/>
      </w:pPr>
      <w:rPr>
        <w:rFonts w:ascii="Symbol" w:hAnsi="Symbol" w:cs="Symbol" w:hint="default"/>
      </w:rPr>
    </w:lvl>
    <w:lvl w:ilvl="4">
      <w:start w:val="1"/>
      <w:numFmt w:val="bullet"/>
      <w:lvlText w:val="o"/>
      <w:lvlJc w:val="left"/>
      <w:pPr>
        <w:tabs>
          <w:tab w:val="num" w:pos="0"/>
        </w:tabs>
        <w:ind w:left="3819" w:hanging="360"/>
      </w:pPr>
      <w:rPr>
        <w:rFonts w:ascii="Courier New" w:hAnsi="Courier New" w:cs="Courier New" w:hint="default"/>
      </w:rPr>
    </w:lvl>
    <w:lvl w:ilvl="5">
      <w:start w:val="1"/>
      <w:numFmt w:val="bullet"/>
      <w:lvlText w:val=""/>
      <w:lvlJc w:val="left"/>
      <w:pPr>
        <w:tabs>
          <w:tab w:val="num" w:pos="0"/>
        </w:tabs>
        <w:ind w:left="4539" w:hanging="360"/>
      </w:pPr>
      <w:rPr>
        <w:rFonts w:ascii="Wingdings" w:hAnsi="Wingdings" w:cs="Wingdings" w:hint="default"/>
      </w:rPr>
    </w:lvl>
    <w:lvl w:ilvl="6">
      <w:start w:val="1"/>
      <w:numFmt w:val="bullet"/>
      <w:lvlText w:val=""/>
      <w:lvlJc w:val="left"/>
      <w:pPr>
        <w:tabs>
          <w:tab w:val="num" w:pos="0"/>
        </w:tabs>
        <w:ind w:left="5259" w:hanging="360"/>
      </w:pPr>
      <w:rPr>
        <w:rFonts w:ascii="Symbol" w:hAnsi="Symbol" w:cs="Symbol" w:hint="default"/>
      </w:rPr>
    </w:lvl>
    <w:lvl w:ilvl="7">
      <w:start w:val="1"/>
      <w:numFmt w:val="bullet"/>
      <w:lvlText w:val="o"/>
      <w:lvlJc w:val="left"/>
      <w:pPr>
        <w:tabs>
          <w:tab w:val="num" w:pos="0"/>
        </w:tabs>
        <w:ind w:left="5979" w:hanging="360"/>
      </w:pPr>
      <w:rPr>
        <w:rFonts w:ascii="Courier New" w:hAnsi="Courier New" w:cs="Courier New" w:hint="default"/>
      </w:rPr>
    </w:lvl>
    <w:lvl w:ilvl="8">
      <w:start w:val="1"/>
      <w:numFmt w:val="bullet"/>
      <w:lvlText w:val=""/>
      <w:lvlJc w:val="left"/>
      <w:pPr>
        <w:tabs>
          <w:tab w:val="num" w:pos="0"/>
        </w:tabs>
        <w:ind w:left="6699" w:hanging="360"/>
      </w:pPr>
      <w:rPr>
        <w:rFonts w:ascii="Wingdings" w:hAnsi="Wingdings" w:cs="Wingdings" w:hint="default"/>
      </w:rPr>
    </w:lvl>
  </w:abstractNum>
  <w:abstractNum w:abstractNumId="21" w15:restartNumberingAfterBreak="0">
    <w:nsid w:val="237F6FF5"/>
    <w:multiLevelType w:val="multilevel"/>
    <w:tmpl w:val="97DEAD56"/>
    <w:lvl w:ilvl="0">
      <w:start w:val="1"/>
      <w:numFmt w:val="decimal"/>
      <w:pStyle w:val="a0"/>
      <w:lvlText w:val="%1."/>
      <w:lvlJc w:val="left"/>
      <w:pPr>
        <w:tabs>
          <w:tab w:val="num" w:pos="0"/>
        </w:tabs>
        <w:ind w:left="7307" w:hanging="360"/>
      </w:pPr>
    </w:lvl>
    <w:lvl w:ilvl="1">
      <w:start w:val="2"/>
      <w:numFmt w:val="decimal"/>
      <w:lvlText w:val="%1.%2."/>
      <w:lvlJc w:val="left"/>
      <w:pPr>
        <w:tabs>
          <w:tab w:val="num" w:pos="0"/>
        </w:tabs>
        <w:ind w:left="1287" w:hanging="720"/>
      </w:pPr>
    </w:lvl>
    <w:lvl w:ilvl="2">
      <w:start w:val="1"/>
      <w:numFmt w:val="decimal"/>
      <w:lvlText w:val="%1.%2.%3."/>
      <w:lvlJc w:val="left"/>
      <w:pPr>
        <w:tabs>
          <w:tab w:val="num" w:pos="0"/>
        </w:tabs>
        <w:ind w:left="1494" w:hanging="720"/>
      </w:pPr>
    </w:lvl>
    <w:lvl w:ilvl="3">
      <w:start w:val="1"/>
      <w:numFmt w:val="decimal"/>
      <w:lvlText w:val="%1.%2.%3.%4."/>
      <w:lvlJc w:val="left"/>
      <w:pPr>
        <w:tabs>
          <w:tab w:val="num" w:pos="0"/>
        </w:tabs>
        <w:ind w:left="2061" w:hanging="1080"/>
      </w:pPr>
    </w:lvl>
    <w:lvl w:ilvl="4">
      <w:start w:val="1"/>
      <w:numFmt w:val="decimal"/>
      <w:lvlText w:val="%1.%2.%3.%4.%5."/>
      <w:lvlJc w:val="left"/>
      <w:pPr>
        <w:tabs>
          <w:tab w:val="num" w:pos="0"/>
        </w:tabs>
        <w:ind w:left="2268" w:hanging="1080"/>
      </w:pPr>
    </w:lvl>
    <w:lvl w:ilvl="5">
      <w:start w:val="1"/>
      <w:numFmt w:val="decimal"/>
      <w:lvlText w:val="%1.%2.%3.%4.%5.%6."/>
      <w:lvlJc w:val="left"/>
      <w:pPr>
        <w:tabs>
          <w:tab w:val="num" w:pos="0"/>
        </w:tabs>
        <w:ind w:left="2835" w:hanging="1440"/>
      </w:pPr>
    </w:lvl>
    <w:lvl w:ilvl="6">
      <w:start w:val="1"/>
      <w:numFmt w:val="decimal"/>
      <w:lvlText w:val="%1.%2.%3.%4.%5.%6.%7."/>
      <w:lvlJc w:val="left"/>
      <w:pPr>
        <w:tabs>
          <w:tab w:val="num" w:pos="0"/>
        </w:tabs>
        <w:ind w:left="3042" w:hanging="1440"/>
      </w:pPr>
    </w:lvl>
    <w:lvl w:ilvl="7">
      <w:start w:val="1"/>
      <w:numFmt w:val="decimal"/>
      <w:lvlText w:val="%1.%2.%3.%4.%5.%6.%7.%8."/>
      <w:lvlJc w:val="left"/>
      <w:pPr>
        <w:tabs>
          <w:tab w:val="num" w:pos="0"/>
        </w:tabs>
        <w:ind w:left="3609" w:hanging="1800"/>
      </w:pPr>
    </w:lvl>
    <w:lvl w:ilvl="8">
      <w:start w:val="1"/>
      <w:numFmt w:val="decimal"/>
      <w:lvlText w:val="%1.%2.%3.%4.%5.%6.%7.%8.%9."/>
      <w:lvlJc w:val="left"/>
      <w:pPr>
        <w:tabs>
          <w:tab w:val="num" w:pos="0"/>
        </w:tabs>
        <w:ind w:left="3816" w:hanging="1800"/>
      </w:pPr>
    </w:lvl>
  </w:abstractNum>
  <w:abstractNum w:abstractNumId="22" w15:restartNumberingAfterBreak="0">
    <w:nsid w:val="24AB764B"/>
    <w:multiLevelType w:val="multilevel"/>
    <w:tmpl w:val="B6124924"/>
    <w:lvl w:ilvl="0">
      <w:start w:val="1"/>
      <w:numFmt w:val="bullet"/>
      <w:pStyle w:val="a1"/>
      <w:lvlText w:val=""/>
      <w:lvlJc w:val="left"/>
      <w:pPr>
        <w:tabs>
          <w:tab w:val="num" w:pos="1211"/>
        </w:tabs>
        <w:ind w:left="0" w:firstLine="851"/>
      </w:pPr>
      <w:rPr>
        <w:rFonts w:ascii="Symbol" w:hAnsi="Symbol" w:cs="Symbol" w:hint="default"/>
        <w:color w:val="000000"/>
      </w:rPr>
    </w:lvl>
    <w:lvl w:ilvl="1">
      <w:start w:val="1"/>
      <w:numFmt w:val="bullet"/>
      <w:lvlText w:val="o"/>
      <w:lvlJc w:val="left"/>
      <w:pPr>
        <w:tabs>
          <w:tab w:val="num" w:pos="2061"/>
        </w:tabs>
        <w:ind w:left="851" w:firstLine="850"/>
      </w:pPr>
      <w:rPr>
        <w:rFonts w:ascii="Courier New" w:hAnsi="Courier New" w:cs="Courier New" w:hint="default"/>
        <w:color w:val="000000"/>
      </w:rPr>
    </w:lvl>
    <w:lvl w:ilvl="2">
      <w:start w:val="1"/>
      <w:numFmt w:val="bullet"/>
      <w:lvlText w:val=""/>
      <w:lvlJc w:val="left"/>
      <w:pPr>
        <w:tabs>
          <w:tab w:val="num" w:pos="2912"/>
        </w:tabs>
        <w:ind w:left="1701" w:firstLine="851"/>
      </w:pPr>
      <w:rPr>
        <w:rFonts w:ascii="Symbol" w:hAnsi="Symbol" w:cs="Symbol" w:hint="default"/>
        <w:color w:val="000000"/>
      </w:rPr>
    </w:lvl>
    <w:lvl w:ilvl="3">
      <w:start w:val="1"/>
      <w:numFmt w:val="bullet"/>
      <w:lvlText w:val=""/>
      <w:lvlJc w:val="left"/>
      <w:pPr>
        <w:tabs>
          <w:tab w:val="num" w:pos="3762"/>
        </w:tabs>
        <w:ind w:left="2552" w:firstLine="850"/>
      </w:pPr>
      <w:rPr>
        <w:rFonts w:ascii="Symbol" w:hAnsi="Symbol" w:cs="Symbol" w:hint="default"/>
        <w:color w:val="000000"/>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4BF5A93"/>
    <w:multiLevelType w:val="multilevel"/>
    <w:tmpl w:val="F780A9DE"/>
    <w:lvl w:ilvl="0">
      <w:start w:val="1"/>
      <w:numFmt w:val="bullet"/>
      <w:lvlText w:val=""/>
      <w:lvlJc w:val="left"/>
      <w:pPr>
        <w:tabs>
          <w:tab w:val="num" w:pos="0"/>
        </w:tabs>
        <w:ind w:left="1429" w:hanging="360"/>
      </w:pPr>
      <w:rPr>
        <w:rFonts w:ascii="Symbol" w:hAnsi="Symbol" w:cs="Symbol" w:hint="default"/>
      </w:rPr>
    </w:lvl>
    <w:lvl w:ilvl="1">
      <w:start w:val="10"/>
      <w:numFmt w:val="bullet"/>
      <w:lvlText w:val=""/>
      <w:lvlJc w:val="left"/>
      <w:pPr>
        <w:tabs>
          <w:tab w:val="num" w:pos="0"/>
        </w:tabs>
        <w:ind w:left="2149" w:hanging="360"/>
      </w:pPr>
      <w:rPr>
        <w:rFonts w:ascii="Wingdings" w:hAnsi="Wingdings" w:cs="Wingdings"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24" w15:restartNumberingAfterBreak="0">
    <w:nsid w:val="25F27933"/>
    <w:multiLevelType w:val="multilevel"/>
    <w:tmpl w:val="EBD4E57A"/>
    <w:lvl w:ilvl="0">
      <w:start w:val="1"/>
      <w:numFmt w:val="bullet"/>
      <w:lvlText w:val="·"/>
      <w:lvlJc w:val="left"/>
      <w:pPr>
        <w:tabs>
          <w:tab w:val="num" w:pos="0"/>
        </w:tabs>
        <w:ind w:left="2125" w:hanging="360"/>
      </w:pPr>
      <w:rPr>
        <w:rFonts w:ascii="Symbol" w:hAnsi="Symbol" w:cs="Symbol" w:hint="default"/>
        <w:sz w:val="18"/>
      </w:rPr>
    </w:lvl>
    <w:lvl w:ilvl="1">
      <w:start w:val="1"/>
      <w:numFmt w:val="bullet"/>
      <w:lvlText w:val="o"/>
      <w:lvlJc w:val="left"/>
      <w:pPr>
        <w:tabs>
          <w:tab w:val="num" w:pos="0"/>
        </w:tabs>
        <w:ind w:left="1155" w:hanging="360"/>
      </w:pPr>
      <w:rPr>
        <w:rFonts w:ascii="Courier New" w:hAnsi="Courier New" w:cs="Courier New" w:hint="default"/>
      </w:rPr>
    </w:lvl>
    <w:lvl w:ilvl="2">
      <w:start w:val="1"/>
      <w:numFmt w:val="bullet"/>
      <w:lvlText w:val="§"/>
      <w:lvlJc w:val="left"/>
      <w:pPr>
        <w:tabs>
          <w:tab w:val="num" w:pos="0"/>
        </w:tabs>
        <w:ind w:left="1875" w:hanging="360"/>
      </w:pPr>
      <w:rPr>
        <w:rFonts w:ascii="Wingdings" w:hAnsi="Wingdings" w:cs="Wingdings" w:hint="default"/>
      </w:rPr>
    </w:lvl>
    <w:lvl w:ilvl="3">
      <w:start w:val="1"/>
      <w:numFmt w:val="bullet"/>
      <w:lvlText w:val="·"/>
      <w:lvlJc w:val="left"/>
      <w:pPr>
        <w:tabs>
          <w:tab w:val="num" w:pos="0"/>
        </w:tabs>
        <w:ind w:left="2595" w:hanging="360"/>
      </w:pPr>
      <w:rPr>
        <w:rFonts w:ascii="Symbol" w:hAnsi="Symbol" w:cs="Symbol" w:hint="default"/>
      </w:rPr>
    </w:lvl>
    <w:lvl w:ilvl="4">
      <w:start w:val="1"/>
      <w:numFmt w:val="bullet"/>
      <w:lvlText w:val="o"/>
      <w:lvlJc w:val="left"/>
      <w:pPr>
        <w:tabs>
          <w:tab w:val="num" w:pos="0"/>
        </w:tabs>
        <w:ind w:left="3315" w:hanging="360"/>
      </w:pPr>
      <w:rPr>
        <w:rFonts w:ascii="Courier New" w:hAnsi="Courier New" w:cs="Courier New" w:hint="default"/>
      </w:rPr>
    </w:lvl>
    <w:lvl w:ilvl="5">
      <w:start w:val="1"/>
      <w:numFmt w:val="bullet"/>
      <w:lvlText w:val="§"/>
      <w:lvlJc w:val="left"/>
      <w:pPr>
        <w:tabs>
          <w:tab w:val="num" w:pos="0"/>
        </w:tabs>
        <w:ind w:left="4035" w:hanging="360"/>
      </w:pPr>
      <w:rPr>
        <w:rFonts w:ascii="Wingdings" w:hAnsi="Wingdings" w:cs="Wingdings" w:hint="default"/>
      </w:rPr>
    </w:lvl>
    <w:lvl w:ilvl="6">
      <w:start w:val="1"/>
      <w:numFmt w:val="bullet"/>
      <w:lvlText w:val="·"/>
      <w:lvlJc w:val="left"/>
      <w:pPr>
        <w:tabs>
          <w:tab w:val="num" w:pos="0"/>
        </w:tabs>
        <w:ind w:left="4755" w:hanging="360"/>
      </w:pPr>
      <w:rPr>
        <w:rFonts w:ascii="Symbol" w:hAnsi="Symbol" w:cs="Symbol" w:hint="default"/>
      </w:rPr>
    </w:lvl>
    <w:lvl w:ilvl="7">
      <w:start w:val="1"/>
      <w:numFmt w:val="bullet"/>
      <w:lvlText w:val="o"/>
      <w:lvlJc w:val="left"/>
      <w:pPr>
        <w:tabs>
          <w:tab w:val="num" w:pos="0"/>
        </w:tabs>
        <w:ind w:left="5475" w:hanging="360"/>
      </w:pPr>
      <w:rPr>
        <w:rFonts w:ascii="Courier New" w:hAnsi="Courier New" w:cs="Courier New" w:hint="default"/>
      </w:rPr>
    </w:lvl>
    <w:lvl w:ilvl="8">
      <w:start w:val="1"/>
      <w:numFmt w:val="bullet"/>
      <w:lvlText w:val="§"/>
      <w:lvlJc w:val="left"/>
      <w:pPr>
        <w:tabs>
          <w:tab w:val="num" w:pos="0"/>
        </w:tabs>
        <w:ind w:left="6195" w:hanging="360"/>
      </w:pPr>
      <w:rPr>
        <w:rFonts w:ascii="Wingdings" w:hAnsi="Wingdings" w:cs="Wingdings" w:hint="default"/>
      </w:rPr>
    </w:lvl>
  </w:abstractNum>
  <w:abstractNum w:abstractNumId="25" w15:restartNumberingAfterBreak="0">
    <w:nsid w:val="27274299"/>
    <w:multiLevelType w:val="multilevel"/>
    <w:tmpl w:val="3D98750C"/>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26" w15:restartNumberingAfterBreak="0">
    <w:nsid w:val="290A30FD"/>
    <w:multiLevelType w:val="multilevel"/>
    <w:tmpl w:val="4A200EC0"/>
    <w:lvl w:ilvl="0">
      <w:start w:val="1"/>
      <w:numFmt w:val="bullet"/>
      <w:lvlText w:val=""/>
      <w:lvlJc w:val="left"/>
      <w:pPr>
        <w:tabs>
          <w:tab w:val="num" w:pos="0"/>
        </w:tabs>
        <w:ind w:left="1800" w:hanging="360"/>
      </w:pPr>
      <w:rPr>
        <w:rFonts w:ascii="Symbol" w:hAnsi="Symbol" w:cs="Symbol" w:hint="default"/>
      </w:rPr>
    </w:lvl>
    <w:lvl w:ilvl="1">
      <w:start w:val="1"/>
      <w:numFmt w:val="bullet"/>
      <w:lvlText w:val="o"/>
      <w:lvlJc w:val="left"/>
      <w:pPr>
        <w:tabs>
          <w:tab w:val="num" w:pos="0"/>
        </w:tabs>
        <w:ind w:left="2520" w:hanging="360"/>
      </w:pPr>
      <w:rPr>
        <w:rFonts w:ascii="Courier New" w:hAnsi="Courier New" w:cs="Courier New" w:hint="default"/>
      </w:rPr>
    </w:lvl>
    <w:lvl w:ilvl="2">
      <w:start w:val="1"/>
      <w:numFmt w:val="bullet"/>
      <w:lvlText w:val=""/>
      <w:lvlJc w:val="left"/>
      <w:pPr>
        <w:tabs>
          <w:tab w:val="num" w:pos="0"/>
        </w:tabs>
        <w:ind w:left="3240" w:hanging="360"/>
      </w:pPr>
      <w:rPr>
        <w:rFonts w:ascii="Wingdings" w:hAnsi="Wingdings" w:cs="Wingdings" w:hint="default"/>
      </w:rPr>
    </w:lvl>
    <w:lvl w:ilvl="3">
      <w:start w:val="1"/>
      <w:numFmt w:val="bullet"/>
      <w:lvlText w:val=""/>
      <w:lvlJc w:val="left"/>
      <w:pPr>
        <w:tabs>
          <w:tab w:val="num" w:pos="0"/>
        </w:tabs>
        <w:ind w:left="3960" w:hanging="360"/>
      </w:pPr>
      <w:rPr>
        <w:rFonts w:ascii="Symbol" w:hAnsi="Symbol" w:cs="Symbol" w:hint="default"/>
      </w:rPr>
    </w:lvl>
    <w:lvl w:ilvl="4">
      <w:start w:val="1"/>
      <w:numFmt w:val="bullet"/>
      <w:lvlText w:val="o"/>
      <w:lvlJc w:val="left"/>
      <w:pPr>
        <w:tabs>
          <w:tab w:val="num" w:pos="0"/>
        </w:tabs>
        <w:ind w:left="4680" w:hanging="360"/>
      </w:pPr>
      <w:rPr>
        <w:rFonts w:ascii="Courier New" w:hAnsi="Courier New" w:cs="Courier New" w:hint="default"/>
      </w:rPr>
    </w:lvl>
    <w:lvl w:ilvl="5">
      <w:start w:val="1"/>
      <w:numFmt w:val="bullet"/>
      <w:lvlText w:val=""/>
      <w:lvlJc w:val="left"/>
      <w:pPr>
        <w:tabs>
          <w:tab w:val="num" w:pos="0"/>
        </w:tabs>
        <w:ind w:left="5400" w:hanging="360"/>
      </w:pPr>
      <w:rPr>
        <w:rFonts w:ascii="Wingdings" w:hAnsi="Wingdings" w:cs="Wingdings" w:hint="default"/>
      </w:rPr>
    </w:lvl>
    <w:lvl w:ilvl="6">
      <w:start w:val="1"/>
      <w:numFmt w:val="bullet"/>
      <w:lvlText w:val=""/>
      <w:lvlJc w:val="left"/>
      <w:pPr>
        <w:tabs>
          <w:tab w:val="num" w:pos="0"/>
        </w:tabs>
        <w:ind w:left="6120" w:hanging="360"/>
      </w:pPr>
      <w:rPr>
        <w:rFonts w:ascii="Symbol" w:hAnsi="Symbol" w:cs="Symbol" w:hint="default"/>
      </w:rPr>
    </w:lvl>
    <w:lvl w:ilvl="7">
      <w:start w:val="1"/>
      <w:numFmt w:val="bullet"/>
      <w:lvlText w:val="o"/>
      <w:lvlJc w:val="left"/>
      <w:pPr>
        <w:tabs>
          <w:tab w:val="num" w:pos="0"/>
        </w:tabs>
        <w:ind w:left="6840" w:hanging="360"/>
      </w:pPr>
      <w:rPr>
        <w:rFonts w:ascii="Courier New" w:hAnsi="Courier New" w:cs="Courier New" w:hint="default"/>
      </w:rPr>
    </w:lvl>
    <w:lvl w:ilvl="8">
      <w:start w:val="1"/>
      <w:numFmt w:val="bullet"/>
      <w:lvlText w:val=""/>
      <w:lvlJc w:val="left"/>
      <w:pPr>
        <w:tabs>
          <w:tab w:val="num" w:pos="0"/>
        </w:tabs>
        <w:ind w:left="7560" w:hanging="360"/>
      </w:pPr>
      <w:rPr>
        <w:rFonts w:ascii="Wingdings" w:hAnsi="Wingdings" w:cs="Wingdings" w:hint="default"/>
      </w:rPr>
    </w:lvl>
  </w:abstractNum>
  <w:abstractNum w:abstractNumId="27" w15:restartNumberingAfterBreak="0">
    <w:nsid w:val="292365BE"/>
    <w:multiLevelType w:val="multilevel"/>
    <w:tmpl w:val="D310BEE8"/>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28" w15:restartNumberingAfterBreak="0">
    <w:nsid w:val="2C0276D7"/>
    <w:multiLevelType w:val="multilevel"/>
    <w:tmpl w:val="E910C532"/>
    <w:lvl w:ilvl="0">
      <w:numFmt w:val="bullet"/>
      <w:lvlText w:val="•"/>
      <w:lvlJc w:val="left"/>
      <w:pPr>
        <w:tabs>
          <w:tab w:val="num" w:pos="0"/>
        </w:tabs>
        <w:ind w:left="720" w:hanging="360"/>
      </w:pPr>
      <w:rPr>
        <w:rFonts w:ascii="PFBeauSansPro-Regular" w:hAnsi="PFBeauSansPro-Regular" w:cs="PFBeauSansPro-Regular"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2D6F32CE"/>
    <w:multiLevelType w:val="multilevel"/>
    <w:tmpl w:val="825CACAA"/>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30" w15:restartNumberingAfterBreak="0">
    <w:nsid w:val="31EB2E68"/>
    <w:multiLevelType w:val="multilevel"/>
    <w:tmpl w:val="01AA3522"/>
    <w:lvl w:ilvl="0">
      <w:start w:val="1"/>
      <w:numFmt w:val="bullet"/>
      <w:lvlText w:val="-"/>
      <w:lvlJc w:val="left"/>
      <w:pPr>
        <w:tabs>
          <w:tab w:val="num" w:pos="0"/>
        </w:tabs>
        <w:ind w:left="1429" w:hanging="360"/>
      </w:pPr>
      <w:rPr>
        <w:rFonts w:ascii="Times New Roman" w:hAnsi="Times New Roman" w:cs="Times New Roman"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31" w15:restartNumberingAfterBreak="0">
    <w:nsid w:val="34D34638"/>
    <w:multiLevelType w:val="multilevel"/>
    <w:tmpl w:val="20EA17F8"/>
    <w:lvl w:ilvl="0">
      <w:start w:val="1"/>
      <w:numFmt w:val="decimal"/>
      <w:lvlText w:val="%1."/>
      <w:lvlJc w:val="left"/>
      <w:pPr>
        <w:tabs>
          <w:tab w:val="num" w:pos="0"/>
        </w:tabs>
        <w:ind w:left="1069" w:hanging="360"/>
      </w:pPr>
      <w:rPr>
        <w:b/>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32" w15:restartNumberingAfterBreak="0">
    <w:nsid w:val="363140F9"/>
    <w:multiLevelType w:val="multilevel"/>
    <w:tmpl w:val="C9C8A66E"/>
    <w:lvl w:ilvl="0">
      <w:start w:val="1"/>
      <w:numFmt w:val="bullet"/>
      <w:lvlText w:val=""/>
      <w:lvlJc w:val="left"/>
      <w:pPr>
        <w:tabs>
          <w:tab w:val="num" w:pos="0"/>
        </w:tabs>
        <w:ind w:left="1287" w:hanging="360"/>
      </w:pPr>
      <w:rPr>
        <w:rFonts w:ascii="Symbol" w:hAnsi="Symbol" w:cs="Symbol" w:hint="default"/>
        <w:sz w:val="20"/>
        <w:szCs w:val="20"/>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33" w15:restartNumberingAfterBreak="0">
    <w:nsid w:val="37D069A8"/>
    <w:multiLevelType w:val="multilevel"/>
    <w:tmpl w:val="52EC8B5A"/>
    <w:lvl w:ilvl="0">
      <w:start w:val="1"/>
      <w:numFmt w:val="bullet"/>
      <w:lvlText w:val=""/>
      <w:lvlJc w:val="left"/>
      <w:pPr>
        <w:tabs>
          <w:tab w:val="num" w:pos="0"/>
        </w:tabs>
        <w:ind w:left="1070"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34" w15:restartNumberingAfterBreak="0">
    <w:nsid w:val="37E45668"/>
    <w:multiLevelType w:val="multilevel"/>
    <w:tmpl w:val="4392B020"/>
    <w:lvl w:ilvl="0">
      <w:start w:val="1"/>
      <w:numFmt w:val="bullet"/>
      <w:lvlText w:val=""/>
      <w:lvlJc w:val="left"/>
      <w:pPr>
        <w:tabs>
          <w:tab w:val="num" w:pos="0"/>
        </w:tabs>
        <w:ind w:left="1287" w:hanging="360"/>
      </w:pPr>
      <w:rPr>
        <w:rFonts w:ascii="Symbol" w:hAnsi="Symbol" w:cs="Symbol" w:hint="default"/>
        <w:sz w:val="20"/>
        <w:szCs w:val="20"/>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35" w15:restartNumberingAfterBreak="0">
    <w:nsid w:val="3A1748AB"/>
    <w:multiLevelType w:val="multilevel"/>
    <w:tmpl w:val="F49E17FA"/>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080" w:hanging="108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440" w:hanging="1440"/>
      </w:pPr>
    </w:lvl>
  </w:abstractNum>
  <w:abstractNum w:abstractNumId="36" w15:restartNumberingAfterBreak="0">
    <w:nsid w:val="3AA05048"/>
    <w:multiLevelType w:val="multilevel"/>
    <w:tmpl w:val="4BD4922A"/>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37" w15:restartNumberingAfterBreak="0">
    <w:nsid w:val="3AD37957"/>
    <w:multiLevelType w:val="multilevel"/>
    <w:tmpl w:val="908A9AD4"/>
    <w:lvl w:ilvl="0">
      <w:start w:val="1"/>
      <w:numFmt w:val="bullet"/>
      <w:suff w:val="space"/>
      <w:lvlText w:val=""/>
      <w:lvlJc w:val="left"/>
      <w:pPr>
        <w:tabs>
          <w:tab w:val="num" w:pos="0"/>
        </w:tabs>
        <w:ind w:left="1506"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8" w15:restartNumberingAfterBreak="0">
    <w:nsid w:val="3E8D745A"/>
    <w:multiLevelType w:val="multilevel"/>
    <w:tmpl w:val="074EB400"/>
    <w:lvl w:ilvl="0">
      <w:start w:val="1"/>
      <w:numFmt w:val="bullet"/>
      <w:lvlText w:val=""/>
      <w:lvlJc w:val="left"/>
      <w:pPr>
        <w:tabs>
          <w:tab w:val="num" w:pos="0"/>
        </w:tabs>
        <w:ind w:left="1179" w:hanging="360"/>
      </w:pPr>
      <w:rPr>
        <w:rFonts w:ascii="Symbol" w:hAnsi="Symbol" w:cs="Symbol" w:hint="default"/>
      </w:rPr>
    </w:lvl>
    <w:lvl w:ilvl="1">
      <w:start w:val="1"/>
      <w:numFmt w:val="bullet"/>
      <w:lvlText w:val="o"/>
      <w:lvlJc w:val="left"/>
      <w:pPr>
        <w:tabs>
          <w:tab w:val="num" w:pos="0"/>
        </w:tabs>
        <w:ind w:left="1899" w:hanging="360"/>
      </w:pPr>
      <w:rPr>
        <w:rFonts w:ascii="Courier New" w:hAnsi="Courier New" w:cs="Courier New" w:hint="default"/>
      </w:rPr>
    </w:lvl>
    <w:lvl w:ilvl="2">
      <w:start w:val="1"/>
      <w:numFmt w:val="bullet"/>
      <w:lvlText w:val=""/>
      <w:lvlJc w:val="left"/>
      <w:pPr>
        <w:tabs>
          <w:tab w:val="num" w:pos="0"/>
        </w:tabs>
        <w:ind w:left="2619" w:hanging="360"/>
      </w:pPr>
      <w:rPr>
        <w:rFonts w:ascii="Wingdings" w:hAnsi="Wingdings" w:cs="Wingdings" w:hint="default"/>
      </w:rPr>
    </w:lvl>
    <w:lvl w:ilvl="3">
      <w:start w:val="1"/>
      <w:numFmt w:val="bullet"/>
      <w:lvlText w:val=""/>
      <w:lvlJc w:val="left"/>
      <w:pPr>
        <w:tabs>
          <w:tab w:val="num" w:pos="0"/>
        </w:tabs>
        <w:ind w:left="3339" w:hanging="360"/>
      </w:pPr>
      <w:rPr>
        <w:rFonts w:ascii="Symbol" w:hAnsi="Symbol" w:cs="Symbol" w:hint="default"/>
      </w:rPr>
    </w:lvl>
    <w:lvl w:ilvl="4">
      <w:start w:val="1"/>
      <w:numFmt w:val="bullet"/>
      <w:lvlText w:val="o"/>
      <w:lvlJc w:val="left"/>
      <w:pPr>
        <w:tabs>
          <w:tab w:val="num" w:pos="0"/>
        </w:tabs>
        <w:ind w:left="4059" w:hanging="360"/>
      </w:pPr>
      <w:rPr>
        <w:rFonts w:ascii="Courier New" w:hAnsi="Courier New" w:cs="Courier New" w:hint="default"/>
      </w:rPr>
    </w:lvl>
    <w:lvl w:ilvl="5">
      <w:start w:val="1"/>
      <w:numFmt w:val="bullet"/>
      <w:lvlText w:val=""/>
      <w:lvlJc w:val="left"/>
      <w:pPr>
        <w:tabs>
          <w:tab w:val="num" w:pos="0"/>
        </w:tabs>
        <w:ind w:left="4779" w:hanging="360"/>
      </w:pPr>
      <w:rPr>
        <w:rFonts w:ascii="Wingdings" w:hAnsi="Wingdings" w:cs="Wingdings" w:hint="default"/>
      </w:rPr>
    </w:lvl>
    <w:lvl w:ilvl="6">
      <w:start w:val="1"/>
      <w:numFmt w:val="bullet"/>
      <w:lvlText w:val=""/>
      <w:lvlJc w:val="left"/>
      <w:pPr>
        <w:tabs>
          <w:tab w:val="num" w:pos="0"/>
        </w:tabs>
        <w:ind w:left="5499" w:hanging="360"/>
      </w:pPr>
      <w:rPr>
        <w:rFonts w:ascii="Symbol" w:hAnsi="Symbol" w:cs="Symbol" w:hint="default"/>
      </w:rPr>
    </w:lvl>
    <w:lvl w:ilvl="7">
      <w:start w:val="1"/>
      <w:numFmt w:val="bullet"/>
      <w:lvlText w:val="o"/>
      <w:lvlJc w:val="left"/>
      <w:pPr>
        <w:tabs>
          <w:tab w:val="num" w:pos="0"/>
        </w:tabs>
        <w:ind w:left="6219" w:hanging="360"/>
      </w:pPr>
      <w:rPr>
        <w:rFonts w:ascii="Courier New" w:hAnsi="Courier New" w:cs="Courier New" w:hint="default"/>
      </w:rPr>
    </w:lvl>
    <w:lvl w:ilvl="8">
      <w:start w:val="1"/>
      <w:numFmt w:val="bullet"/>
      <w:lvlText w:val=""/>
      <w:lvlJc w:val="left"/>
      <w:pPr>
        <w:tabs>
          <w:tab w:val="num" w:pos="0"/>
        </w:tabs>
        <w:ind w:left="6939" w:hanging="360"/>
      </w:pPr>
      <w:rPr>
        <w:rFonts w:ascii="Wingdings" w:hAnsi="Wingdings" w:cs="Wingdings" w:hint="default"/>
      </w:rPr>
    </w:lvl>
  </w:abstractNum>
  <w:abstractNum w:abstractNumId="39" w15:restartNumberingAfterBreak="0">
    <w:nsid w:val="41A80D0E"/>
    <w:multiLevelType w:val="multilevel"/>
    <w:tmpl w:val="03B0CF42"/>
    <w:lvl w:ilvl="0">
      <w:start w:val="1"/>
      <w:numFmt w:val="bullet"/>
      <w:suff w:val="space"/>
      <w:lvlText w:val=""/>
      <w:lvlJc w:val="left"/>
      <w:pPr>
        <w:tabs>
          <w:tab w:val="num" w:pos="0"/>
        </w:tabs>
        <w:ind w:left="1506" w:hanging="360"/>
      </w:pPr>
      <w:rPr>
        <w:rFonts w:ascii="Symbol" w:hAnsi="Symbol" w:cs="Symbol" w:hint="default"/>
      </w:rPr>
    </w:lvl>
    <w:lvl w:ilvl="1">
      <w:start w:val="1"/>
      <w:numFmt w:val="bullet"/>
      <w:lvlText w:val="o"/>
      <w:lvlJc w:val="left"/>
      <w:pPr>
        <w:tabs>
          <w:tab w:val="num" w:pos="0"/>
        </w:tabs>
        <w:ind w:left="2226" w:hanging="360"/>
      </w:pPr>
      <w:rPr>
        <w:rFonts w:ascii="Courier New" w:hAnsi="Courier New" w:cs="Courier New" w:hint="default"/>
      </w:rPr>
    </w:lvl>
    <w:lvl w:ilvl="2">
      <w:start w:val="1"/>
      <w:numFmt w:val="bullet"/>
      <w:lvlText w:val=""/>
      <w:lvlJc w:val="left"/>
      <w:pPr>
        <w:tabs>
          <w:tab w:val="num" w:pos="0"/>
        </w:tabs>
        <w:ind w:left="2946" w:hanging="360"/>
      </w:pPr>
      <w:rPr>
        <w:rFonts w:ascii="Wingdings" w:hAnsi="Wingdings" w:cs="Wingdings" w:hint="default"/>
      </w:rPr>
    </w:lvl>
    <w:lvl w:ilvl="3">
      <w:start w:val="1"/>
      <w:numFmt w:val="bullet"/>
      <w:lvlText w:val=""/>
      <w:lvlJc w:val="left"/>
      <w:pPr>
        <w:tabs>
          <w:tab w:val="num" w:pos="0"/>
        </w:tabs>
        <w:ind w:left="3666" w:hanging="360"/>
      </w:pPr>
      <w:rPr>
        <w:rFonts w:ascii="Symbol" w:hAnsi="Symbol" w:cs="Symbol" w:hint="default"/>
      </w:rPr>
    </w:lvl>
    <w:lvl w:ilvl="4">
      <w:start w:val="1"/>
      <w:numFmt w:val="bullet"/>
      <w:lvlText w:val="o"/>
      <w:lvlJc w:val="left"/>
      <w:pPr>
        <w:tabs>
          <w:tab w:val="num" w:pos="0"/>
        </w:tabs>
        <w:ind w:left="4386" w:hanging="360"/>
      </w:pPr>
      <w:rPr>
        <w:rFonts w:ascii="Courier New" w:hAnsi="Courier New" w:cs="Courier New" w:hint="default"/>
      </w:rPr>
    </w:lvl>
    <w:lvl w:ilvl="5">
      <w:start w:val="1"/>
      <w:numFmt w:val="bullet"/>
      <w:lvlText w:val=""/>
      <w:lvlJc w:val="left"/>
      <w:pPr>
        <w:tabs>
          <w:tab w:val="num" w:pos="0"/>
        </w:tabs>
        <w:ind w:left="5106" w:hanging="360"/>
      </w:pPr>
      <w:rPr>
        <w:rFonts w:ascii="Wingdings" w:hAnsi="Wingdings" w:cs="Wingdings" w:hint="default"/>
      </w:rPr>
    </w:lvl>
    <w:lvl w:ilvl="6">
      <w:start w:val="1"/>
      <w:numFmt w:val="bullet"/>
      <w:lvlText w:val=""/>
      <w:lvlJc w:val="left"/>
      <w:pPr>
        <w:tabs>
          <w:tab w:val="num" w:pos="0"/>
        </w:tabs>
        <w:ind w:left="5826" w:hanging="360"/>
      </w:pPr>
      <w:rPr>
        <w:rFonts w:ascii="Symbol" w:hAnsi="Symbol" w:cs="Symbol" w:hint="default"/>
      </w:rPr>
    </w:lvl>
    <w:lvl w:ilvl="7">
      <w:start w:val="1"/>
      <w:numFmt w:val="bullet"/>
      <w:lvlText w:val="o"/>
      <w:lvlJc w:val="left"/>
      <w:pPr>
        <w:tabs>
          <w:tab w:val="num" w:pos="0"/>
        </w:tabs>
        <w:ind w:left="6546" w:hanging="360"/>
      </w:pPr>
      <w:rPr>
        <w:rFonts w:ascii="Courier New" w:hAnsi="Courier New" w:cs="Courier New" w:hint="default"/>
      </w:rPr>
    </w:lvl>
    <w:lvl w:ilvl="8">
      <w:start w:val="1"/>
      <w:numFmt w:val="bullet"/>
      <w:lvlText w:val=""/>
      <w:lvlJc w:val="left"/>
      <w:pPr>
        <w:tabs>
          <w:tab w:val="num" w:pos="0"/>
        </w:tabs>
        <w:ind w:left="7266" w:hanging="360"/>
      </w:pPr>
      <w:rPr>
        <w:rFonts w:ascii="Wingdings" w:hAnsi="Wingdings" w:cs="Wingdings" w:hint="default"/>
      </w:rPr>
    </w:lvl>
  </w:abstractNum>
  <w:abstractNum w:abstractNumId="40" w15:restartNumberingAfterBreak="0">
    <w:nsid w:val="442B64C7"/>
    <w:multiLevelType w:val="multilevel"/>
    <w:tmpl w:val="F33A778C"/>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41" w15:restartNumberingAfterBreak="0">
    <w:nsid w:val="46CF394E"/>
    <w:multiLevelType w:val="multilevel"/>
    <w:tmpl w:val="269A3BD6"/>
    <w:lvl w:ilvl="0">
      <w:start w:val="1"/>
      <w:numFmt w:val="bullet"/>
      <w:lvlText w:val="-"/>
      <w:lvlJc w:val="left"/>
      <w:pPr>
        <w:tabs>
          <w:tab w:val="num" w:pos="0"/>
        </w:tabs>
        <w:ind w:left="1287" w:hanging="360"/>
      </w:pPr>
      <w:rPr>
        <w:rFonts w:ascii="Times New Roman" w:hAnsi="Times New Roman" w:cs="Times New Roman"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42" w15:restartNumberingAfterBreak="0">
    <w:nsid w:val="4AC94661"/>
    <w:multiLevelType w:val="multilevel"/>
    <w:tmpl w:val="7F987B3C"/>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43" w15:restartNumberingAfterBreak="0">
    <w:nsid w:val="4BF70C4D"/>
    <w:multiLevelType w:val="multilevel"/>
    <w:tmpl w:val="11846F12"/>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44" w15:restartNumberingAfterBreak="0">
    <w:nsid w:val="4D1A1F44"/>
    <w:multiLevelType w:val="multilevel"/>
    <w:tmpl w:val="57B2C802"/>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45" w15:restartNumberingAfterBreak="0">
    <w:nsid w:val="52136C95"/>
    <w:multiLevelType w:val="multilevel"/>
    <w:tmpl w:val="DC9AB39E"/>
    <w:lvl w:ilvl="0">
      <w:start w:val="1"/>
      <w:numFmt w:val="bullet"/>
      <w:lvlText w:val=""/>
      <w:lvlJc w:val="left"/>
      <w:pPr>
        <w:tabs>
          <w:tab w:val="num" w:pos="0"/>
        </w:tabs>
        <w:ind w:left="720" w:hanging="360"/>
      </w:pPr>
      <w:rPr>
        <w:rFonts w:ascii="Symbol" w:hAnsi="Symbol" w:cs="Symbol" w:hint="default"/>
        <w:sz w:val="20"/>
        <w:szCs w:val="2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6" w15:restartNumberingAfterBreak="0">
    <w:nsid w:val="54521BA9"/>
    <w:multiLevelType w:val="multilevel"/>
    <w:tmpl w:val="ADFACA28"/>
    <w:lvl w:ilvl="0">
      <w:start w:val="1"/>
      <w:numFmt w:val="bullet"/>
      <w:lvlText w:val=""/>
      <w:lvlJc w:val="left"/>
      <w:pPr>
        <w:tabs>
          <w:tab w:val="num" w:pos="0"/>
        </w:tabs>
        <w:ind w:left="1287" w:hanging="360"/>
      </w:pPr>
      <w:rPr>
        <w:rFonts w:ascii="Wingdings" w:hAnsi="Wingdings" w:cs="Wingdings"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47" w15:restartNumberingAfterBreak="0">
    <w:nsid w:val="57872CC5"/>
    <w:multiLevelType w:val="multilevel"/>
    <w:tmpl w:val="65BE964C"/>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48" w15:restartNumberingAfterBreak="0">
    <w:nsid w:val="583533B7"/>
    <w:multiLevelType w:val="multilevel"/>
    <w:tmpl w:val="5F1C1910"/>
    <w:lvl w:ilvl="0">
      <w:start w:val="1"/>
      <w:numFmt w:val="bullet"/>
      <w:lvlText w:val=""/>
      <w:lvlJc w:val="left"/>
      <w:pPr>
        <w:tabs>
          <w:tab w:val="num" w:pos="1440"/>
        </w:tabs>
        <w:ind w:left="144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9" w15:restartNumberingAfterBreak="0">
    <w:nsid w:val="58C961D5"/>
    <w:multiLevelType w:val="multilevel"/>
    <w:tmpl w:val="C75A5758"/>
    <w:lvl w:ilvl="0">
      <w:start w:val="1"/>
      <w:numFmt w:val="decimal"/>
      <w:suff w:val="space"/>
      <w:lvlText w:val="%1."/>
      <w:lvlJc w:val="left"/>
      <w:pPr>
        <w:tabs>
          <w:tab w:val="num" w:pos="0"/>
        </w:tabs>
        <w:ind w:left="1144" w:hanging="435"/>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0" w15:restartNumberingAfterBreak="0">
    <w:nsid w:val="58CB2C05"/>
    <w:multiLevelType w:val="multilevel"/>
    <w:tmpl w:val="D290829E"/>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51" w15:restartNumberingAfterBreak="0">
    <w:nsid w:val="5A02428A"/>
    <w:multiLevelType w:val="multilevel"/>
    <w:tmpl w:val="CBC01DE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2" w15:restartNumberingAfterBreak="0">
    <w:nsid w:val="5FAF796E"/>
    <w:multiLevelType w:val="multilevel"/>
    <w:tmpl w:val="7A1E2EB6"/>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53" w15:restartNumberingAfterBreak="0">
    <w:nsid w:val="5FB26C5B"/>
    <w:multiLevelType w:val="multilevel"/>
    <w:tmpl w:val="68BA3B4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4" w15:restartNumberingAfterBreak="0">
    <w:nsid w:val="606559E9"/>
    <w:multiLevelType w:val="multilevel"/>
    <w:tmpl w:val="07C676E8"/>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55" w15:restartNumberingAfterBreak="0">
    <w:nsid w:val="636C03BC"/>
    <w:multiLevelType w:val="multilevel"/>
    <w:tmpl w:val="CF9E9586"/>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56" w15:restartNumberingAfterBreak="0">
    <w:nsid w:val="656F15AB"/>
    <w:multiLevelType w:val="multilevel"/>
    <w:tmpl w:val="C658A1A0"/>
    <w:lvl w:ilvl="0">
      <w:start w:val="1"/>
      <w:numFmt w:val="decimal"/>
      <w:lvlText w:val="%1)"/>
      <w:lvlJc w:val="left"/>
      <w:pPr>
        <w:tabs>
          <w:tab w:val="num" w:pos="0"/>
        </w:tabs>
        <w:ind w:left="1069"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57" w15:restartNumberingAfterBreak="0">
    <w:nsid w:val="667B5929"/>
    <w:multiLevelType w:val="multilevel"/>
    <w:tmpl w:val="6D221016"/>
    <w:lvl w:ilvl="0">
      <w:start w:val="1"/>
      <w:numFmt w:val="bullet"/>
      <w:suff w:val="space"/>
      <w:lvlText w:val=""/>
      <w:lvlJc w:val="left"/>
      <w:pPr>
        <w:tabs>
          <w:tab w:val="num" w:pos="0"/>
        </w:tabs>
        <w:ind w:left="2138"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58" w15:restartNumberingAfterBreak="0">
    <w:nsid w:val="67091C10"/>
    <w:multiLevelType w:val="multilevel"/>
    <w:tmpl w:val="8AA8E7B4"/>
    <w:lvl w:ilvl="0">
      <w:start w:val="1"/>
      <w:numFmt w:val="bullet"/>
      <w:lvlText w:val=""/>
      <w:lvlJc w:val="left"/>
      <w:pPr>
        <w:tabs>
          <w:tab w:val="num" w:pos="0"/>
        </w:tabs>
        <w:ind w:left="1287" w:hanging="360"/>
      </w:pPr>
      <w:rPr>
        <w:rFonts w:ascii="Symbol" w:hAnsi="Symbol" w:cs="Symbol" w:hint="default"/>
        <w:sz w:val="20"/>
        <w:szCs w:val="20"/>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59" w15:restartNumberingAfterBreak="0">
    <w:nsid w:val="6C3E53BC"/>
    <w:multiLevelType w:val="multilevel"/>
    <w:tmpl w:val="150CE3DE"/>
    <w:lvl w:ilvl="0">
      <w:start w:val="1"/>
      <w:numFmt w:val="bullet"/>
      <w:lvlText w:val="■"/>
      <w:lvlJc w:val="left"/>
      <w:pPr>
        <w:tabs>
          <w:tab w:val="num" w:pos="0"/>
        </w:tabs>
        <w:ind w:left="720" w:hanging="360"/>
      </w:pPr>
      <w:rPr>
        <w:rFonts w:ascii="Times New Roman" w:hAnsi="Times New Roman" w:cs="Times New Roman" w:hint="default"/>
        <w:color w:val="2E74B5"/>
        <w:sz w:val="28"/>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0" w15:restartNumberingAfterBreak="0">
    <w:nsid w:val="70344A1D"/>
    <w:multiLevelType w:val="multilevel"/>
    <w:tmpl w:val="04F6A9FA"/>
    <w:lvl w:ilvl="0">
      <w:start w:val="1"/>
      <w:numFmt w:val="decimal"/>
      <w:suff w:val="nothing"/>
      <w:lvlText w:val=""/>
      <w:lvlJc w:val="left"/>
      <w:pPr>
        <w:tabs>
          <w:tab w:val="num" w:pos="0"/>
        </w:tabs>
        <w:ind w:left="432" w:hanging="432"/>
      </w:pPr>
    </w:lvl>
    <w:lvl w:ilvl="1">
      <w:start w:val="1"/>
      <w:numFmt w:val="decimal"/>
      <w:suff w:val="nothing"/>
      <w:lvlText w:val=""/>
      <w:lvlJc w:val="left"/>
      <w:pPr>
        <w:tabs>
          <w:tab w:val="num" w:pos="0"/>
        </w:tabs>
        <w:ind w:left="576" w:hanging="576"/>
      </w:pPr>
    </w:lvl>
    <w:lvl w:ilvl="2">
      <w:start w:val="1"/>
      <w:numFmt w:val="decimal"/>
      <w:suff w:val="nothing"/>
      <w:lvlText w:val=""/>
      <w:lvlJc w:val="left"/>
      <w:pPr>
        <w:tabs>
          <w:tab w:val="num" w:pos="0"/>
        </w:tabs>
        <w:ind w:left="720" w:hanging="720"/>
      </w:pPr>
    </w:lvl>
    <w:lvl w:ilvl="3">
      <w:start w:val="1"/>
      <w:numFmt w:val="decimal"/>
      <w:pStyle w:val="4"/>
      <w:suff w:val="nothing"/>
      <w:lvlText w:val=""/>
      <w:lvlJc w:val="left"/>
      <w:pPr>
        <w:tabs>
          <w:tab w:val="num" w:pos="0"/>
        </w:tabs>
        <w:ind w:left="864" w:hanging="864"/>
      </w:pPr>
    </w:lvl>
    <w:lvl w:ilvl="4">
      <w:start w:val="1"/>
      <w:numFmt w:val="decimal"/>
      <w:pStyle w:val="5"/>
      <w:suff w:val="nothing"/>
      <w:lvlText w:val=""/>
      <w:lvlJc w:val="left"/>
      <w:pPr>
        <w:tabs>
          <w:tab w:val="num" w:pos="0"/>
        </w:tabs>
        <w:ind w:left="1008" w:hanging="1008"/>
      </w:pPr>
    </w:lvl>
    <w:lvl w:ilvl="5">
      <w:start w:val="1"/>
      <w:numFmt w:val="decimal"/>
      <w:pStyle w:val="6"/>
      <w:suff w:val="nothing"/>
      <w:lvlText w:val=""/>
      <w:lvlJc w:val="left"/>
      <w:pPr>
        <w:tabs>
          <w:tab w:val="num" w:pos="0"/>
        </w:tabs>
        <w:ind w:left="1152" w:hanging="1152"/>
      </w:pPr>
    </w:lvl>
    <w:lvl w:ilvl="6">
      <w:start w:val="1"/>
      <w:numFmt w:val="decimal"/>
      <w:pStyle w:val="7"/>
      <w:suff w:val="nothing"/>
      <w:lvlText w:val=""/>
      <w:lvlJc w:val="left"/>
      <w:pPr>
        <w:tabs>
          <w:tab w:val="num" w:pos="0"/>
        </w:tabs>
        <w:ind w:left="1296" w:hanging="1296"/>
      </w:pPr>
    </w:lvl>
    <w:lvl w:ilvl="7">
      <w:start w:val="1"/>
      <w:numFmt w:val="decimal"/>
      <w:pStyle w:val="8"/>
      <w:suff w:val="nothing"/>
      <w:lvlText w:val=""/>
      <w:lvlJc w:val="left"/>
      <w:pPr>
        <w:tabs>
          <w:tab w:val="num" w:pos="0"/>
        </w:tabs>
        <w:ind w:left="1440" w:hanging="1440"/>
      </w:pPr>
    </w:lvl>
    <w:lvl w:ilvl="8">
      <w:start w:val="1"/>
      <w:numFmt w:val="decimal"/>
      <w:pStyle w:val="9"/>
      <w:suff w:val="nothing"/>
      <w:lvlText w:val=""/>
      <w:lvlJc w:val="left"/>
      <w:pPr>
        <w:tabs>
          <w:tab w:val="num" w:pos="0"/>
        </w:tabs>
        <w:ind w:left="1584" w:hanging="1584"/>
      </w:pPr>
    </w:lvl>
  </w:abstractNum>
  <w:abstractNum w:abstractNumId="61" w15:restartNumberingAfterBreak="0">
    <w:nsid w:val="72305ACC"/>
    <w:multiLevelType w:val="multilevel"/>
    <w:tmpl w:val="FDFEBE98"/>
    <w:lvl w:ilvl="0">
      <w:start w:val="1"/>
      <w:numFmt w:val="bullet"/>
      <w:lvlText w:val=""/>
      <w:lvlJc w:val="left"/>
      <w:pPr>
        <w:tabs>
          <w:tab w:val="num" w:pos="0"/>
        </w:tabs>
        <w:ind w:left="1211"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62" w15:restartNumberingAfterBreak="0">
    <w:nsid w:val="780763A7"/>
    <w:multiLevelType w:val="multilevel"/>
    <w:tmpl w:val="9D44B4CC"/>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63" w15:restartNumberingAfterBreak="0">
    <w:nsid w:val="79963E79"/>
    <w:multiLevelType w:val="multilevel"/>
    <w:tmpl w:val="D442988E"/>
    <w:lvl w:ilvl="0">
      <w:start w:val="1"/>
      <w:numFmt w:val="bullet"/>
      <w:lvlText w:val=""/>
      <w:lvlJc w:val="left"/>
      <w:pPr>
        <w:tabs>
          <w:tab w:val="num" w:pos="0"/>
        </w:tabs>
        <w:ind w:left="928"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64" w15:restartNumberingAfterBreak="0">
    <w:nsid w:val="7D5613FC"/>
    <w:multiLevelType w:val="multilevel"/>
    <w:tmpl w:val="BFC8F6D8"/>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65" w15:restartNumberingAfterBreak="0">
    <w:nsid w:val="7F680DB2"/>
    <w:multiLevelType w:val="multilevel"/>
    <w:tmpl w:val="52C241C2"/>
    <w:lvl w:ilvl="0">
      <w:start w:val="1"/>
      <w:numFmt w:val="bullet"/>
      <w:pStyle w:val="1"/>
      <w:lvlText w:val=""/>
      <w:lvlJc w:val="left"/>
      <w:pPr>
        <w:tabs>
          <w:tab w:val="num" w:pos="5039"/>
        </w:tabs>
        <w:ind w:left="5039" w:hanging="360"/>
      </w:pPr>
      <w:rPr>
        <w:rFonts w:ascii="Symbol" w:hAnsi="Symbol" w:cs="Symbol" w:hint="default"/>
        <w:color w:val="00000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6" w15:restartNumberingAfterBreak="0">
    <w:nsid w:val="7F843C8C"/>
    <w:multiLevelType w:val="multilevel"/>
    <w:tmpl w:val="F81C05AE"/>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abstractNumId w:val="60"/>
  </w:num>
  <w:num w:numId="2">
    <w:abstractNumId w:val="22"/>
  </w:num>
  <w:num w:numId="3">
    <w:abstractNumId w:val="21"/>
  </w:num>
  <w:num w:numId="4">
    <w:abstractNumId w:val="11"/>
  </w:num>
  <w:num w:numId="5">
    <w:abstractNumId w:val="65"/>
  </w:num>
  <w:num w:numId="6">
    <w:abstractNumId w:val="2"/>
  </w:num>
  <w:num w:numId="7">
    <w:abstractNumId w:val="55"/>
  </w:num>
  <w:num w:numId="8">
    <w:abstractNumId w:val="48"/>
  </w:num>
  <w:num w:numId="9">
    <w:abstractNumId w:val="66"/>
  </w:num>
  <w:num w:numId="10">
    <w:abstractNumId w:val="8"/>
  </w:num>
  <w:num w:numId="11">
    <w:abstractNumId w:val="28"/>
  </w:num>
  <w:num w:numId="12">
    <w:abstractNumId w:val="46"/>
  </w:num>
  <w:num w:numId="13">
    <w:abstractNumId w:val="3"/>
  </w:num>
  <w:num w:numId="14">
    <w:abstractNumId w:val="41"/>
  </w:num>
  <w:num w:numId="15">
    <w:abstractNumId w:val="57"/>
  </w:num>
  <w:num w:numId="16">
    <w:abstractNumId w:val="31"/>
  </w:num>
  <w:num w:numId="17">
    <w:abstractNumId w:val="63"/>
  </w:num>
  <w:num w:numId="18">
    <w:abstractNumId w:val="1"/>
  </w:num>
  <w:num w:numId="19">
    <w:abstractNumId w:val="15"/>
  </w:num>
  <w:num w:numId="20">
    <w:abstractNumId w:val="4"/>
  </w:num>
  <w:num w:numId="21">
    <w:abstractNumId w:val="52"/>
  </w:num>
  <w:num w:numId="22">
    <w:abstractNumId w:val="40"/>
  </w:num>
  <w:num w:numId="23">
    <w:abstractNumId w:val="47"/>
  </w:num>
  <w:num w:numId="24">
    <w:abstractNumId w:val="23"/>
  </w:num>
  <w:num w:numId="25">
    <w:abstractNumId w:val="6"/>
  </w:num>
  <w:num w:numId="26">
    <w:abstractNumId w:val="37"/>
  </w:num>
  <w:num w:numId="27">
    <w:abstractNumId w:val="10"/>
  </w:num>
  <w:num w:numId="28">
    <w:abstractNumId w:val="9"/>
  </w:num>
  <w:num w:numId="29">
    <w:abstractNumId w:val="44"/>
  </w:num>
  <w:num w:numId="30">
    <w:abstractNumId w:val="32"/>
  </w:num>
  <w:num w:numId="31">
    <w:abstractNumId w:val="16"/>
  </w:num>
  <w:num w:numId="32">
    <w:abstractNumId w:val="58"/>
  </w:num>
  <w:num w:numId="33">
    <w:abstractNumId w:val="34"/>
  </w:num>
  <w:num w:numId="34">
    <w:abstractNumId w:val="29"/>
  </w:num>
  <w:num w:numId="35">
    <w:abstractNumId w:val="43"/>
  </w:num>
  <w:num w:numId="36">
    <w:abstractNumId w:val="35"/>
  </w:num>
  <w:num w:numId="37">
    <w:abstractNumId w:val="25"/>
  </w:num>
  <w:num w:numId="38">
    <w:abstractNumId w:val="62"/>
  </w:num>
  <w:num w:numId="39">
    <w:abstractNumId w:val="42"/>
  </w:num>
  <w:num w:numId="40">
    <w:abstractNumId w:val="7"/>
  </w:num>
  <w:num w:numId="41">
    <w:abstractNumId w:val="39"/>
  </w:num>
  <w:num w:numId="42">
    <w:abstractNumId w:val="51"/>
  </w:num>
  <w:num w:numId="43">
    <w:abstractNumId w:val="53"/>
  </w:num>
  <w:num w:numId="44">
    <w:abstractNumId w:val="49"/>
  </w:num>
  <w:num w:numId="45">
    <w:abstractNumId w:val="20"/>
  </w:num>
  <w:num w:numId="46">
    <w:abstractNumId w:val="38"/>
  </w:num>
  <w:num w:numId="47">
    <w:abstractNumId w:val="0"/>
  </w:num>
  <w:num w:numId="48">
    <w:abstractNumId w:val="59"/>
  </w:num>
  <w:num w:numId="49">
    <w:abstractNumId w:val="19"/>
  </w:num>
  <w:num w:numId="50">
    <w:abstractNumId w:val="45"/>
  </w:num>
  <w:num w:numId="51">
    <w:abstractNumId w:val="12"/>
  </w:num>
  <w:num w:numId="52">
    <w:abstractNumId w:val="26"/>
  </w:num>
  <w:num w:numId="53">
    <w:abstractNumId w:val="13"/>
  </w:num>
  <w:num w:numId="54">
    <w:abstractNumId w:val="56"/>
  </w:num>
  <w:num w:numId="55">
    <w:abstractNumId w:val="64"/>
  </w:num>
  <w:num w:numId="56">
    <w:abstractNumId w:val="24"/>
  </w:num>
  <w:num w:numId="57">
    <w:abstractNumId w:val="17"/>
  </w:num>
  <w:num w:numId="58">
    <w:abstractNumId w:val="14"/>
  </w:num>
  <w:num w:numId="59">
    <w:abstractNumId w:val="50"/>
  </w:num>
  <w:num w:numId="60">
    <w:abstractNumId w:val="30"/>
  </w:num>
  <w:num w:numId="61">
    <w:abstractNumId w:val="61"/>
  </w:num>
  <w:num w:numId="62">
    <w:abstractNumId w:val="27"/>
  </w:num>
  <w:num w:numId="63">
    <w:abstractNumId w:val="18"/>
  </w:num>
  <w:num w:numId="64">
    <w:abstractNumId w:val="33"/>
  </w:num>
  <w:num w:numId="65">
    <w:abstractNumId w:val="36"/>
  </w:num>
  <w:num w:numId="66">
    <w:abstractNumId w:val="54"/>
  </w:num>
  <w:num w:numId="67">
    <w:abstractNumId w:val="5"/>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08"/>
  <w:autoHyphenation/>
  <w:hyphenationZone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49C2"/>
    <w:rsid w:val="00042AA2"/>
    <w:rsid w:val="00064BEF"/>
    <w:rsid w:val="0009178B"/>
    <w:rsid w:val="001157EF"/>
    <w:rsid w:val="00123961"/>
    <w:rsid w:val="00161B89"/>
    <w:rsid w:val="00167DBF"/>
    <w:rsid w:val="00170DFF"/>
    <w:rsid w:val="0017507B"/>
    <w:rsid w:val="001A6FA6"/>
    <w:rsid w:val="001F1CE2"/>
    <w:rsid w:val="00223545"/>
    <w:rsid w:val="002449C2"/>
    <w:rsid w:val="00246323"/>
    <w:rsid w:val="002561D1"/>
    <w:rsid w:val="002F1BD9"/>
    <w:rsid w:val="002F440D"/>
    <w:rsid w:val="00346F08"/>
    <w:rsid w:val="003B7295"/>
    <w:rsid w:val="003C4544"/>
    <w:rsid w:val="00416B15"/>
    <w:rsid w:val="00427221"/>
    <w:rsid w:val="0044145E"/>
    <w:rsid w:val="004A5BD3"/>
    <w:rsid w:val="004B063C"/>
    <w:rsid w:val="004C2091"/>
    <w:rsid w:val="004D0790"/>
    <w:rsid w:val="0051014A"/>
    <w:rsid w:val="00576ED0"/>
    <w:rsid w:val="005E3908"/>
    <w:rsid w:val="005F3826"/>
    <w:rsid w:val="00604666"/>
    <w:rsid w:val="00675C10"/>
    <w:rsid w:val="0069718D"/>
    <w:rsid w:val="006E4DA5"/>
    <w:rsid w:val="00721EEB"/>
    <w:rsid w:val="00723426"/>
    <w:rsid w:val="00731F36"/>
    <w:rsid w:val="00752A88"/>
    <w:rsid w:val="00756EE0"/>
    <w:rsid w:val="007F4056"/>
    <w:rsid w:val="007F70A4"/>
    <w:rsid w:val="008019CE"/>
    <w:rsid w:val="0080392D"/>
    <w:rsid w:val="00845E67"/>
    <w:rsid w:val="008560BD"/>
    <w:rsid w:val="00866546"/>
    <w:rsid w:val="008877D8"/>
    <w:rsid w:val="008F4DD0"/>
    <w:rsid w:val="009142C7"/>
    <w:rsid w:val="00926216"/>
    <w:rsid w:val="00940572"/>
    <w:rsid w:val="009503C9"/>
    <w:rsid w:val="009545E2"/>
    <w:rsid w:val="0096624A"/>
    <w:rsid w:val="00971F93"/>
    <w:rsid w:val="0098342C"/>
    <w:rsid w:val="009A76B3"/>
    <w:rsid w:val="009B1FB4"/>
    <w:rsid w:val="009B513F"/>
    <w:rsid w:val="009D71D9"/>
    <w:rsid w:val="009E259B"/>
    <w:rsid w:val="00A07EF3"/>
    <w:rsid w:val="00A31EAF"/>
    <w:rsid w:val="00A61B74"/>
    <w:rsid w:val="00A6696B"/>
    <w:rsid w:val="00A74AA0"/>
    <w:rsid w:val="00AA69D1"/>
    <w:rsid w:val="00AC4F19"/>
    <w:rsid w:val="00AE0254"/>
    <w:rsid w:val="00AE2BF6"/>
    <w:rsid w:val="00AE55BA"/>
    <w:rsid w:val="00B310A4"/>
    <w:rsid w:val="00B3761D"/>
    <w:rsid w:val="00B4496D"/>
    <w:rsid w:val="00B77085"/>
    <w:rsid w:val="00B830B0"/>
    <w:rsid w:val="00BA42A8"/>
    <w:rsid w:val="00BA58C7"/>
    <w:rsid w:val="00BB432C"/>
    <w:rsid w:val="00BD1222"/>
    <w:rsid w:val="00C04972"/>
    <w:rsid w:val="00C10823"/>
    <w:rsid w:val="00C232B9"/>
    <w:rsid w:val="00C45FD7"/>
    <w:rsid w:val="00C62121"/>
    <w:rsid w:val="00C71686"/>
    <w:rsid w:val="00C80779"/>
    <w:rsid w:val="00C846B8"/>
    <w:rsid w:val="00CC6EFF"/>
    <w:rsid w:val="00CD5274"/>
    <w:rsid w:val="00CE5399"/>
    <w:rsid w:val="00D03DDF"/>
    <w:rsid w:val="00D86BD0"/>
    <w:rsid w:val="00DC1548"/>
    <w:rsid w:val="00DC6B8C"/>
    <w:rsid w:val="00E165F4"/>
    <w:rsid w:val="00E4255E"/>
    <w:rsid w:val="00E50F6F"/>
    <w:rsid w:val="00E64F3E"/>
    <w:rsid w:val="00E758CA"/>
    <w:rsid w:val="00EB06F6"/>
    <w:rsid w:val="00EC7CB2"/>
    <w:rsid w:val="00EF1771"/>
    <w:rsid w:val="00F17659"/>
    <w:rsid w:val="00F611BB"/>
    <w:rsid w:val="00F65989"/>
    <w:rsid w:val="00F74223"/>
    <w:rsid w:val="00F85713"/>
    <w:rsid w:val="00F86E2E"/>
    <w:rsid w:val="00F871EF"/>
    <w:rsid w:val="00F9458D"/>
    <w:rsid w:val="00F95A96"/>
    <w:rsid w:val="00F97454"/>
    <w:rsid w:val="00FC6862"/>
    <w:rsid w:val="00FE1B75"/>
  </w:rsids>
  <m:mathPr>
    <m:mathFont m:val="Cambria Math"/>
    <m:brkBin m:val="before"/>
    <m:brkBinSub m:val="--"/>
    <m:smallFrac m:val="0"/>
    <m:dispDef/>
    <m:lMargin m:val="0"/>
    <m:rMargin m:val="0"/>
    <m:defJc m:val="centerGroup"/>
    <m:wrapIndent m:val="1440"/>
    <m:intLim m:val="subSup"/>
    <m:naryLim m:val="undOvr"/>
  </m:mathPr>
  <w:themeFontLang w:val="en-US" w:eastAsia="zh-CN"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144827"/>
  <w15:docId w15:val="{96F192B6-3068-47DD-8F28-9F65D9E073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zh-CN"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pPr>
      <w:spacing w:after="200" w:line="276" w:lineRule="auto"/>
    </w:pPr>
    <w:rPr>
      <w:rFonts w:ascii="Calibri" w:eastAsia="Calibri" w:hAnsi="Calibri"/>
      <w:sz w:val="22"/>
      <w:szCs w:val="22"/>
    </w:rPr>
  </w:style>
  <w:style w:type="paragraph" w:styleId="10">
    <w:name w:val="heading 1"/>
    <w:link w:val="11"/>
    <w:qFormat/>
    <w:pPr>
      <w:widowControl w:val="0"/>
      <w:spacing w:before="240" w:after="120"/>
      <w:jc w:val="center"/>
      <w:outlineLvl w:val="0"/>
    </w:pPr>
    <w:rPr>
      <w:b/>
      <w:bCs/>
      <w:sz w:val="28"/>
      <w:szCs w:val="28"/>
    </w:rPr>
  </w:style>
  <w:style w:type="paragraph" w:styleId="20">
    <w:name w:val="heading 2"/>
    <w:link w:val="21"/>
    <w:qFormat/>
    <w:pPr>
      <w:widowControl w:val="0"/>
      <w:spacing w:before="240" w:after="120"/>
      <w:jc w:val="center"/>
      <w:outlineLvl w:val="1"/>
    </w:pPr>
    <w:rPr>
      <w:b/>
      <w:bCs/>
      <w:sz w:val="24"/>
      <w:szCs w:val="24"/>
    </w:rPr>
  </w:style>
  <w:style w:type="paragraph" w:styleId="3">
    <w:name w:val="heading 3"/>
    <w:basedOn w:val="a2"/>
    <w:next w:val="a2"/>
    <w:link w:val="31"/>
    <w:uiPriority w:val="9"/>
    <w:qFormat/>
    <w:pPr>
      <w:keepNext/>
      <w:spacing w:before="240" w:after="60" w:line="240" w:lineRule="auto"/>
      <w:outlineLvl w:val="2"/>
    </w:pPr>
    <w:rPr>
      <w:rFonts w:ascii="Arial" w:eastAsia="Times New Roman" w:hAnsi="Arial" w:cs="Arial"/>
      <w:b/>
      <w:bCs/>
      <w:sz w:val="26"/>
      <w:szCs w:val="26"/>
    </w:rPr>
  </w:style>
  <w:style w:type="paragraph" w:styleId="4">
    <w:name w:val="heading 4"/>
    <w:basedOn w:val="a2"/>
    <w:next w:val="a2"/>
    <w:link w:val="41"/>
    <w:uiPriority w:val="9"/>
    <w:qFormat/>
    <w:pPr>
      <w:keepNext/>
      <w:widowControl w:val="0"/>
      <w:numPr>
        <w:ilvl w:val="3"/>
        <w:numId w:val="1"/>
      </w:numPr>
      <w:spacing w:before="240" w:after="60" w:line="240" w:lineRule="auto"/>
      <w:ind w:left="200" w:firstLine="0"/>
      <w:outlineLvl w:val="3"/>
    </w:pPr>
    <w:rPr>
      <w:rFonts w:eastAsia="Times New Roman"/>
      <w:b/>
      <w:bCs/>
      <w:sz w:val="28"/>
      <w:szCs w:val="28"/>
      <w:lang w:val="en-US"/>
    </w:rPr>
  </w:style>
  <w:style w:type="paragraph" w:styleId="5">
    <w:name w:val="heading 5"/>
    <w:basedOn w:val="a2"/>
    <w:next w:val="a2"/>
    <w:link w:val="51"/>
    <w:qFormat/>
    <w:pPr>
      <w:keepNext/>
      <w:numPr>
        <w:ilvl w:val="4"/>
        <w:numId w:val="1"/>
      </w:numPr>
      <w:spacing w:before="120" w:after="120" w:line="240" w:lineRule="auto"/>
      <w:ind w:left="0" w:firstLine="420"/>
      <w:outlineLvl w:val="4"/>
    </w:pPr>
    <w:rPr>
      <w:rFonts w:ascii="Times New Roman" w:eastAsia="Times New Roman" w:hAnsi="Times New Roman"/>
      <w:b/>
      <w:bCs/>
      <w:i/>
      <w:iCs/>
      <w:sz w:val="24"/>
      <w:szCs w:val="24"/>
    </w:rPr>
  </w:style>
  <w:style w:type="paragraph" w:styleId="6">
    <w:name w:val="heading 6"/>
    <w:basedOn w:val="a2"/>
    <w:next w:val="a2"/>
    <w:link w:val="61"/>
    <w:qFormat/>
    <w:pPr>
      <w:numPr>
        <w:ilvl w:val="5"/>
        <w:numId w:val="1"/>
      </w:numPr>
      <w:spacing w:before="240" w:after="60" w:line="240" w:lineRule="auto"/>
      <w:ind w:left="0" w:firstLine="720"/>
      <w:outlineLvl w:val="5"/>
    </w:pPr>
    <w:rPr>
      <w:rFonts w:ascii="Times New Roman" w:eastAsia="Times New Roman" w:hAnsi="Times New Roman"/>
      <w:b/>
      <w:bCs/>
    </w:rPr>
  </w:style>
  <w:style w:type="paragraph" w:styleId="7">
    <w:name w:val="heading 7"/>
    <w:basedOn w:val="a2"/>
    <w:next w:val="a2"/>
    <w:link w:val="71"/>
    <w:qFormat/>
    <w:pPr>
      <w:keepNext/>
      <w:widowControl w:val="0"/>
      <w:numPr>
        <w:ilvl w:val="6"/>
        <w:numId w:val="1"/>
      </w:numPr>
      <w:spacing w:before="40" w:after="0" w:line="240" w:lineRule="auto"/>
      <w:ind w:left="0" w:firstLine="142"/>
      <w:jc w:val="both"/>
      <w:outlineLvl w:val="6"/>
    </w:pPr>
    <w:rPr>
      <w:rFonts w:ascii="Times New Roman" w:eastAsia="Times New Roman" w:hAnsi="Times New Roman"/>
      <w:lang w:val="en-US"/>
    </w:rPr>
  </w:style>
  <w:style w:type="paragraph" w:styleId="8">
    <w:name w:val="heading 8"/>
    <w:basedOn w:val="a2"/>
    <w:next w:val="a2"/>
    <w:link w:val="81"/>
    <w:qFormat/>
    <w:pPr>
      <w:widowControl w:val="0"/>
      <w:numPr>
        <w:ilvl w:val="7"/>
        <w:numId w:val="1"/>
      </w:numPr>
      <w:spacing w:before="240" w:after="60" w:line="240" w:lineRule="auto"/>
      <w:ind w:left="200" w:firstLine="0"/>
      <w:outlineLvl w:val="7"/>
    </w:pPr>
    <w:rPr>
      <w:rFonts w:ascii="Times New Roman" w:eastAsia="Times New Roman" w:hAnsi="Times New Roman"/>
      <w:i/>
      <w:iCs/>
      <w:sz w:val="24"/>
      <w:szCs w:val="24"/>
    </w:rPr>
  </w:style>
  <w:style w:type="paragraph" w:styleId="9">
    <w:name w:val="heading 9"/>
    <w:basedOn w:val="a2"/>
    <w:next w:val="a2"/>
    <w:link w:val="91"/>
    <w:qFormat/>
    <w:pPr>
      <w:widowControl w:val="0"/>
      <w:numPr>
        <w:ilvl w:val="8"/>
        <w:numId w:val="1"/>
      </w:numPr>
      <w:spacing w:before="240" w:after="60" w:line="240" w:lineRule="auto"/>
      <w:ind w:left="200" w:firstLine="0"/>
      <w:outlineLvl w:val="8"/>
    </w:pPr>
    <w:rPr>
      <w:rFonts w:ascii="Arial" w:eastAsia="Times New Roman" w:hAnsi="Arial" w:cs="Arial"/>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Заголовок 1 Знак1"/>
    <w:link w:val="10"/>
    <w:uiPriority w:val="9"/>
    <w:qFormat/>
    <w:rPr>
      <w:rFonts w:ascii="Arial" w:eastAsia="Arial" w:hAnsi="Arial" w:cs="Arial"/>
      <w:sz w:val="40"/>
      <w:szCs w:val="40"/>
    </w:rPr>
  </w:style>
  <w:style w:type="character" w:customStyle="1" w:styleId="21">
    <w:name w:val="Заголовок 2 Знак1"/>
    <w:link w:val="20"/>
    <w:uiPriority w:val="9"/>
    <w:qFormat/>
    <w:rPr>
      <w:rFonts w:ascii="Arial" w:eastAsia="Arial" w:hAnsi="Arial" w:cs="Arial"/>
      <w:sz w:val="34"/>
    </w:rPr>
  </w:style>
  <w:style w:type="character" w:customStyle="1" w:styleId="31">
    <w:name w:val="Заголовок 3 Знак1"/>
    <w:link w:val="3"/>
    <w:uiPriority w:val="9"/>
    <w:qFormat/>
    <w:rPr>
      <w:rFonts w:ascii="Arial" w:eastAsia="Arial" w:hAnsi="Arial" w:cs="Arial"/>
      <w:sz w:val="30"/>
      <w:szCs w:val="30"/>
    </w:rPr>
  </w:style>
  <w:style w:type="character" w:customStyle="1" w:styleId="41">
    <w:name w:val="Заголовок 4 Знак1"/>
    <w:link w:val="4"/>
    <w:uiPriority w:val="9"/>
    <w:qFormat/>
    <w:rPr>
      <w:rFonts w:ascii="Calibri" w:hAnsi="Calibri"/>
      <w:b/>
      <w:bCs/>
      <w:sz w:val="28"/>
      <w:szCs w:val="28"/>
      <w:lang w:val="en-US"/>
    </w:rPr>
  </w:style>
  <w:style w:type="character" w:customStyle="1" w:styleId="51">
    <w:name w:val="Заголовок 5 Знак1"/>
    <w:link w:val="5"/>
    <w:qFormat/>
    <w:rPr>
      <w:b/>
      <w:bCs/>
      <w:i/>
      <w:iCs/>
      <w:sz w:val="24"/>
      <w:szCs w:val="24"/>
    </w:rPr>
  </w:style>
  <w:style w:type="character" w:customStyle="1" w:styleId="61">
    <w:name w:val="Заголовок 6 Знак1"/>
    <w:link w:val="6"/>
    <w:qFormat/>
    <w:rPr>
      <w:b/>
      <w:bCs/>
      <w:sz w:val="22"/>
      <w:szCs w:val="22"/>
    </w:rPr>
  </w:style>
  <w:style w:type="character" w:customStyle="1" w:styleId="71">
    <w:name w:val="Заголовок 7 Знак1"/>
    <w:link w:val="7"/>
    <w:qFormat/>
    <w:rPr>
      <w:sz w:val="22"/>
      <w:szCs w:val="22"/>
      <w:lang w:val="en-US"/>
    </w:rPr>
  </w:style>
  <w:style w:type="character" w:customStyle="1" w:styleId="81">
    <w:name w:val="Заголовок 8 Знак1"/>
    <w:link w:val="8"/>
    <w:qFormat/>
    <w:rPr>
      <w:i/>
      <w:iCs/>
      <w:sz w:val="24"/>
      <w:szCs w:val="24"/>
    </w:rPr>
  </w:style>
  <w:style w:type="character" w:customStyle="1" w:styleId="91">
    <w:name w:val="Заголовок 9 Знак1"/>
    <w:link w:val="9"/>
    <w:qFormat/>
    <w:rPr>
      <w:rFonts w:ascii="Arial" w:hAnsi="Arial" w:cs="Arial"/>
      <w:sz w:val="22"/>
      <w:szCs w:val="22"/>
    </w:rPr>
  </w:style>
  <w:style w:type="character" w:customStyle="1" w:styleId="22">
    <w:name w:val="Заголовок Знак2"/>
    <w:link w:val="a6"/>
    <w:uiPriority w:val="10"/>
    <w:qFormat/>
    <w:rPr>
      <w:sz w:val="48"/>
      <w:szCs w:val="48"/>
    </w:rPr>
  </w:style>
  <w:style w:type="character" w:customStyle="1" w:styleId="SubtitleChar">
    <w:name w:val="Subtitle Char"/>
    <w:uiPriority w:val="11"/>
    <w:qFormat/>
    <w:rPr>
      <w:sz w:val="24"/>
      <w:szCs w:val="24"/>
    </w:rPr>
  </w:style>
  <w:style w:type="character" w:customStyle="1" w:styleId="23">
    <w:name w:val="Цитата 2 Знак"/>
    <w:link w:val="24"/>
    <w:uiPriority w:val="29"/>
    <w:qFormat/>
    <w:rPr>
      <w:i/>
    </w:rPr>
  </w:style>
  <w:style w:type="character" w:customStyle="1" w:styleId="a7">
    <w:name w:val="Выделенная цитата Знак"/>
    <w:link w:val="a8"/>
    <w:uiPriority w:val="30"/>
    <w:qFormat/>
    <w:rPr>
      <w:i/>
    </w:rPr>
  </w:style>
  <w:style w:type="character" w:customStyle="1" w:styleId="HeaderChar">
    <w:name w:val="Header Char"/>
    <w:uiPriority w:val="99"/>
    <w:qFormat/>
  </w:style>
  <w:style w:type="character" w:customStyle="1" w:styleId="FooterChar">
    <w:name w:val="Footer Char"/>
    <w:uiPriority w:val="99"/>
    <w:qFormat/>
  </w:style>
  <w:style w:type="character" w:customStyle="1" w:styleId="a9">
    <w:name w:val="Название объекта Знак"/>
    <w:link w:val="aa"/>
    <w:uiPriority w:val="35"/>
    <w:qFormat/>
    <w:rPr>
      <w:b/>
      <w:bCs/>
      <w:color w:val="4F81BD" w:themeColor="accent1"/>
      <w:sz w:val="18"/>
      <w:szCs w:val="18"/>
    </w:rPr>
  </w:style>
  <w:style w:type="character" w:styleId="ab">
    <w:name w:val="Hyperlink"/>
    <w:uiPriority w:val="99"/>
    <w:rPr>
      <w:color w:val="0000FF"/>
      <w:u w:val="single"/>
    </w:rPr>
  </w:style>
  <w:style w:type="character" w:customStyle="1" w:styleId="ac">
    <w:name w:val="Текст сноски Знак"/>
    <w:aliases w:val="single space Знак,Footnote Text Char Знак Знак,Текст сноски Знак1 Char Знак Знак,Знак1 Знак1 Char Знак Знак,Текст сноски Знак Знак1 Char Знак Знак,Текст сноски Знак Знак Знак1 Char Знак Знак,Table_Footnote_last Знак"/>
    <w:link w:val="ad"/>
    <w:qFormat/>
    <w:rPr>
      <w:sz w:val="18"/>
    </w:rPr>
  </w:style>
  <w:style w:type="character" w:customStyle="1" w:styleId="ae">
    <w:name w:val="Символ сноски"/>
    <w:qFormat/>
    <w:rPr>
      <w:vertAlign w:val="superscript"/>
    </w:rPr>
  </w:style>
  <w:style w:type="character" w:styleId="af">
    <w:name w:val="footnote reference"/>
    <w:rPr>
      <w:vertAlign w:val="superscript"/>
    </w:rPr>
  </w:style>
  <w:style w:type="character" w:customStyle="1" w:styleId="EndnoteTextChar">
    <w:name w:val="Endnote Text Char"/>
    <w:uiPriority w:val="99"/>
    <w:qFormat/>
    <w:rPr>
      <w:sz w:val="20"/>
    </w:rPr>
  </w:style>
  <w:style w:type="character" w:customStyle="1" w:styleId="af0">
    <w:name w:val="Символ концевой сноски"/>
    <w:uiPriority w:val="99"/>
    <w:qFormat/>
    <w:rPr>
      <w:vertAlign w:val="superscript"/>
    </w:rPr>
  </w:style>
  <w:style w:type="character" w:styleId="af1">
    <w:name w:val="endnote reference"/>
    <w:rPr>
      <w:vertAlign w:val="superscript"/>
    </w:rPr>
  </w:style>
  <w:style w:type="character" w:customStyle="1" w:styleId="WW8Num1z0">
    <w:name w:val="WW8Num1z0"/>
    <w:qFormat/>
    <w:rPr>
      <w:rFonts w:ascii="Symbol" w:eastAsia="Times New Roman" w:hAnsi="Symbol" w:cs="Symbol"/>
      <w:sz w:val="24"/>
      <w:szCs w:val="24"/>
      <w:lang w:eastAsia="ar-SA"/>
    </w:rPr>
  </w:style>
  <w:style w:type="character" w:customStyle="1" w:styleId="WW8Num1z1">
    <w:name w:val="WW8Num1z1"/>
    <w:qFormat/>
    <w:rPr>
      <w:rFonts w:ascii="Courier New" w:hAnsi="Courier New" w:cs="Courier New"/>
    </w:rPr>
  </w:style>
  <w:style w:type="character" w:customStyle="1" w:styleId="WW8Num1z2">
    <w:name w:val="WW8Num1z2"/>
    <w:qFormat/>
    <w:rPr>
      <w:rFonts w:ascii="Wingdings" w:hAnsi="Wingdings" w:cs="Wingdings"/>
    </w:rPr>
  </w:style>
  <w:style w:type="character" w:customStyle="1" w:styleId="WW8Num2z0">
    <w:name w:val="WW8Num2z0"/>
    <w:qFormat/>
    <w:rPr>
      <w:rFonts w:ascii="Symbol" w:hAnsi="Symbol" w:cs="Symbol"/>
    </w:rPr>
  </w:style>
  <w:style w:type="character" w:customStyle="1" w:styleId="WW8Num2z1">
    <w:name w:val="WW8Num2z1"/>
    <w:qFormat/>
    <w:rPr>
      <w:rFonts w:ascii="Courier New" w:hAnsi="Courier New" w:cs="Courier New"/>
    </w:rPr>
  </w:style>
  <w:style w:type="character" w:customStyle="1" w:styleId="WW8Num2z2">
    <w:name w:val="WW8Num2z2"/>
    <w:qFormat/>
    <w:rPr>
      <w:rFonts w:ascii="Wingdings" w:hAnsi="Wingdings" w:cs="Wingdings"/>
    </w:rPr>
  </w:style>
  <w:style w:type="character" w:customStyle="1" w:styleId="WW8Num3z0">
    <w:name w:val="WW8Num3z0"/>
    <w:qFormat/>
    <w:rPr>
      <w:rFonts w:ascii="Symbol" w:hAnsi="Symbol" w:cs="Symbol"/>
    </w:rPr>
  </w:style>
  <w:style w:type="character" w:customStyle="1" w:styleId="WW8Num3z1">
    <w:name w:val="WW8Num3z1"/>
    <w:qFormat/>
    <w:rPr>
      <w:rFonts w:ascii="Courier New" w:hAnsi="Courier New" w:cs="Courier New"/>
    </w:rPr>
  </w:style>
  <w:style w:type="character" w:customStyle="1" w:styleId="WW8Num3z2">
    <w:name w:val="WW8Num3z2"/>
    <w:qFormat/>
    <w:rPr>
      <w:rFonts w:ascii="Wingdings" w:hAnsi="Wingdings" w:cs="Wingdings"/>
    </w:rPr>
  </w:style>
  <w:style w:type="character" w:customStyle="1" w:styleId="WW8Num4z0">
    <w:name w:val="WW8Num4z0"/>
    <w:qFormat/>
    <w:rPr>
      <w:rFonts w:ascii="Symbol" w:eastAsia="Times New Roman" w:hAnsi="Symbol" w:cs="Symbol"/>
      <w:sz w:val="24"/>
      <w:szCs w:val="24"/>
      <w:lang w:val="en-US" w:eastAsia="ar-SA"/>
    </w:rPr>
  </w:style>
  <w:style w:type="character" w:customStyle="1" w:styleId="WW8Num4z1">
    <w:name w:val="WW8Num4z1"/>
    <w:qFormat/>
    <w:rPr>
      <w:rFonts w:ascii="Courier New" w:hAnsi="Courier New" w:cs="Courier New"/>
    </w:rPr>
  </w:style>
  <w:style w:type="character" w:customStyle="1" w:styleId="WW8Num4z2">
    <w:name w:val="WW8Num4z2"/>
    <w:qFormat/>
    <w:rPr>
      <w:rFonts w:ascii="Wingdings" w:hAnsi="Wingdings" w:cs="Wingdings"/>
    </w:rPr>
  </w:style>
  <w:style w:type="character" w:customStyle="1" w:styleId="WW8Num5z0">
    <w:name w:val="WW8Num5z0"/>
    <w:qFormat/>
    <w:rPr>
      <w:rFonts w:ascii="Symbol" w:hAnsi="Symbol" w:cs="Symbol"/>
    </w:rPr>
  </w:style>
  <w:style w:type="character" w:customStyle="1" w:styleId="WW8Num5z1">
    <w:name w:val="WW8Num5z1"/>
    <w:qFormat/>
    <w:rPr>
      <w:rFonts w:ascii="Courier New" w:hAnsi="Courier New" w:cs="Courier New"/>
    </w:rPr>
  </w:style>
  <w:style w:type="character" w:customStyle="1" w:styleId="WW8Num5z2">
    <w:name w:val="WW8Num5z2"/>
    <w:qFormat/>
    <w:rPr>
      <w:rFonts w:ascii="Wingdings" w:hAnsi="Wingdings" w:cs="Wingdings"/>
    </w:rPr>
  </w:style>
  <w:style w:type="character" w:customStyle="1" w:styleId="WW8Num6z0">
    <w:name w:val="WW8Num6z0"/>
    <w:qFormat/>
    <w:rPr>
      <w:rFonts w:ascii="Symbol" w:eastAsia="Times New Roman" w:hAnsi="Symbol" w:cs="Symbol"/>
      <w:color w:val="000000"/>
      <w:sz w:val="24"/>
      <w:szCs w:val="24"/>
      <w:lang w:eastAsia="ar-SA"/>
    </w:rPr>
  </w:style>
  <w:style w:type="character" w:customStyle="1" w:styleId="WW8Num6z1">
    <w:name w:val="WW8Num6z1"/>
    <w:qFormat/>
    <w:rPr>
      <w:rFonts w:ascii="Courier New" w:hAnsi="Courier New" w:cs="Courier New"/>
    </w:rPr>
  </w:style>
  <w:style w:type="character" w:customStyle="1" w:styleId="WW8Num6z2">
    <w:name w:val="WW8Num6z2"/>
    <w:qFormat/>
    <w:rPr>
      <w:rFonts w:ascii="Wingdings" w:hAnsi="Wingdings" w:cs="Wingdings"/>
    </w:rPr>
  </w:style>
  <w:style w:type="character" w:customStyle="1" w:styleId="WW8Num7z0">
    <w:name w:val="WW8Num7z0"/>
    <w:qFormat/>
    <w:rPr>
      <w:rFonts w:ascii="Symbol" w:hAnsi="Symbol" w:cs="Symbol"/>
    </w:rPr>
  </w:style>
  <w:style w:type="character" w:customStyle="1" w:styleId="WW8Num7z1">
    <w:name w:val="WW8Num7z1"/>
    <w:qFormat/>
    <w:rPr>
      <w:rFonts w:ascii="Courier New" w:hAnsi="Courier New" w:cs="Courier New"/>
    </w:rPr>
  </w:style>
  <w:style w:type="character" w:customStyle="1" w:styleId="WW8Num7z2">
    <w:name w:val="WW8Num7z2"/>
    <w:qFormat/>
    <w:rPr>
      <w:rFonts w:ascii="Wingdings" w:hAnsi="Wingdings" w:cs="Wingdings"/>
    </w:rPr>
  </w:style>
  <w:style w:type="character" w:customStyle="1" w:styleId="WW8Num8z0">
    <w:name w:val="WW8Num8z0"/>
    <w:qFormat/>
    <w:rPr>
      <w:rFonts w:ascii="Symbol" w:hAnsi="Symbol" w:cs="Symbol"/>
    </w:rPr>
  </w:style>
  <w:style w:type="character" w:customStyle="1" w:styleId="WW8Num8z1">
    <w:name w:val="WW8Num8z1"/>
    <w:qFormat/>
    <w:rPr>
      <w:rFonts w:ascii="Courier New" w:hAnsi="Courier New" w:cs="Courier New"/>
    </w:rPr>
  </w:style>
  <w:style w:type="character" w:customStyle="1" w:styleId="WW8Num8z2">
    <w:name w:val="WW8Num8z2"/>
    <w:qFormat/>
    <w:rPr>
      <w:rFonts w:ascii="Wingdings" w:hAnsi="Wingdings" w:cs="Wingdings"/>
    </w:rPr>
  </w:style>
  <w:style w:type="character" w:customStyle="1" w:styleId="WW8Num9z0">
    <w:name w:val="WW8Num9z0"/>
    <w:qFormat/>
    <w:rPr>
      <w:rFonts w:ascii="Symbol" w:hAnsi="Symbol" w:cs="Symbol"/>
    </w:rPr>
  </w:style>
  <w:style w:type="character" w:customStyle="1" w:styleId="WW8Num9z1">
    <w:name w:val="WW8Num9z1"/>
    <w:qFormat/>
    <w:rPr>
      <w:rFonts w:ascii="Courier New" w:hAnsi="Courier New" w:cs="Courier New"/>
    </w:rPr>
  </w:style>
  <w:style w:type="character" w:customStyle="1" w:styleId="WW8Num9z2">
    <w:name w:val="WW8Num9z2"/>
    <w:qFormat/>
    <w:rPr>
      <w:rFonts w:ascii="Wingdings" w:hAnsi="Wingdings" w:cs="Wingdings"/>
    </w:rPr>
  </w:style>
  <w:style w:type="character" w:customStyle="1" w:styleId="WW8Num10z0">
    <w:name w:val="WW8Num10z0"/>
    <w:qFormat/>
  </w:style>
  <w:style w:type="character" w:customStyle="1" w:styleId="WW8Num10z1">
    <w:name w:val="WW8Num10z1"/>
    <w:qFormat/>
  </w:style>
  <w:style w:type="character" w:customStyle="1" w:styleId="WW8Num10z2">
    <w:name w:val="WW8Num10z2"/>
    <w:qFormat/>
  </w:style>
  <w:style w:type="character" w:customStyle="1" w:styleId="WW8Num10z3">
    <w:name w:val="WW8Num10z3"/>
    <w:qFormat/>
  </w:style>
  <w:style w:type="character" w:customStyle="1" w:styleId="WW8Num10z4">
    <w:name w:val="WW8Num10z4"/>
    <w:qFormat/>
  </w:style>
  <w:style w:type="character" w:customStyle="1" w:styleId="WW8Num10z5">
    <w:name w:val="WW8Num10z5"/>
    <w:qFormat/>
  </w:style>
  <w:style w:type="character" w:customStyle="1" w:styleId="WW8Num10z6">
    <w:name w:val="WW8Num10z6"/>
    <w:qFormat/>
  </w:style>
  <w:style w:type="character" w:customStyle="1" w:styleId="WW8Num10z7">
    <w:name w:val="WW8Num10z7"/>
    <w:qFormat/>
  </w:style>
  <w:style w:type="character" w:customStyle="1" w:styleId="WW8Num10z8">
    <w:name w:val="WW8Num10z8"/>
    <w:qFormat/>
  </w:style>
  <w:style w:type="character" w:customStyle="1" w:styleId="WW8Num11z0">
    <w:name w:val="WW8Num11z0"/>
    <w:qFormat/>
    <w:rPr>
      <w:rFonts w:ascii="Symbol" w:eastAsia="Times New Roman" w:hAnsi="Symbol" w:cs="Symbol"/>
      <w:sz w:val="24"/>
      <w:szCs w:val="24"/>
      <w:lang w:eastAsia="ru-RU"/>
    </w:rPr>
  </w:style>
  <w:style w:type="character" w:customStyle="1" w:styleId="WW8Num11z1">
    <w:name w:val="WW8Num11z1"/>
    <w:qFormat/>
    <w:rPr>
      <w:rFonts w:ascii="Courier New" w:hAnsi="Courier New" w:cs="Courier New"/>
    </w:rPr>
  </w:style>
  <w:style w:type="character" w:customStyle="1" w:styleId="WW8Num11z2">
    <w:name w:val="WW8Num11z2"/>
    <w:qFormat/>
    <w:rPr>
      <w:rFonts w:ascii="Wingdings" w:hAnsi="Wingdings" w:cs="Wingdings"/>
    </w:rPr>
  </w:style>
  <w:style w:type="character" w:customStyle="1" w:styleId="WW8Num12z0">
    <w:name w:val="WW8Num12z0"/>
    <w:qFormat/>
    <w:rPr>
      <w:color w:val="000000"/>
      <w:position w:val="0"/>
      <w:sz w:val="22"/>
      <w:szCs w:val="22"/>
      <w:vertAlign w:val="baseline"/>
      <w:lang w:val="ru-RU"/>
    </w:rPr>
  </w:style>
  <w:style w:type="character" w:customStyle="1" w:styleId="WW8Num12z1">
    <w:name w:val="WW8Num12z1"/>
    <w:qFormat/>
    <w:rPr>
      <w:color w:val="000000"/>
      <w:position w:val="0"/>
      <w:sz w:val="28"/>
      <w:szCs w:val="28"/>
      <w:vertAlign w:val="baseline"/>
      <w:lang w:val="ru-RU"/>
    </w:rPr>
  </w:style>
  <w:style w:type="character" w:customStyle="1" w:styleId="WW8Num13z0">
    <w:name w:val="WW8Num13z0"/>
    <w:qFormat/>
    <w:rPr>
      <w:rFonts w:ascii="Symbol" w:hAnsi="Symbol" w:cs="Symbol"/>
    </w:rPr>
  </w:style>
  <w:style w:type="character" w:customStyle="1" w:styleId="WW8Num13z1">
    <w:name w:val="WW8Num13z1"/>
    <w:qFormat/>
    <w:rPr>
      <w:rFonts w:ascii="Courier New" w:hAnsi="Courier New" w:cs="Courier New"/>
    </w:rPr>
  </w:style>
  <w:style w:type="character" w:customStyle="1" w:styleId="WW8Num13z2">
    <w:name w:val="WW8Num13z2"/>
    <w:qFormat/>
    <w:rPr>
      <w:rFonts w:ascii="Wingdings" w:hAnsi="Wingdings" w:cs="Wingdings"/>
    </w:rPr>
  </w:style>
  <w:style w:type="character" w:customStyle="1" w:styleId="WW8Num14z0">
    <w:name w:val="WW8Num14z0"/>
    <w:qFormat/>
    <w:rPr>
      <w:rFonts w:ascii="Symbol" w:hAnsi="Symbol" w:cs="Symbol"/>
    </w:rPr>
  </w:style>
  <w:style w:type="character" w:customStyle="1" w:styleId="WW8Num14z1">
    <w:name w:val="WW8Num14z1"/>
    <w:qFormat/>
    <w:rPr>
      <w:rFonts w:ascii="Courier New" w:hAnsi="Courier New" w:cs="Courier New"/>
    </w:rPr>
  </w:style>
  <w:style w:type="character" w:customStyle="1" w:styleId="WW8Num14z2">
    <w:name w:val="WW8Num14z2"/>
    <w:qFormat/>
    <w:rPr>
      <w:rFonts w:ascii="Wingdings" w:hAnsi="Wingdings" w:cs="Wingdings"/>
    </w:rPr>
  </w:style>
  <w:style w:type="character" w:customStyle="1" w:styleId="WW8Num15z0">
    <w:name w:val="WW8Num15z0"/>
    <w:qFormat/>
    <w:rPr>
      <w:rFonts w:ascii="Symbol" w:hAnsi="Symbol" w:cs="Symbol"/>
    </w:rPr>
  </w:style>
  <w:style w:type="character" w:customStyle="1" w:styleId="WW8Num15z1">
    <w:name w:val="WW8Num15z1"/>
    <w:qFormat/>
    <w:rPr>
      <w:rFonts w:ascii="Courier New" w:hAnsi="Courier New" w:cs="Courier New"/>
    </w:rPr>
  </w:style>
  <w:style w:type="character" w:customStyle="1" w:styleId="WW8Num15z2">
    <w:name w:val="WW8Num15z2"/>
    <w:qFormat/>
    <w:rPr>
      <w:rFonts w:ascii="Wingdings" w:hAnsi="Wingdings" w:cs="Wingdings"/>
    </w:rPr>
  </w:style>
  <w:style w:type="character" w:customStyle="1" w:styleId="WW8Num16z0">
    <w:name w:val="WW8Num16z0"/>
    <w:qFormat/>
    <w:rPr>
      <w:rFonts w:ascii="Symbol" w:hAnsi="Symbol" w:cs="Symbol"/>
      <w:color w:val="000000"/>
    </w:rPr>
  </w:style>
  <w:style w:type="character" w:customStyle="1" w:styleId="WW8Num16z1">
    <w:name w:val="WW8Num16z1"/>
    <w:qFormat/>
    <w:rPr>
      <w:rFonts w:ascii="Courier New" w:hAnsi="Courier New" w:cs="Courier New"/>
      <w:color w:val="000000"/>
    </w:rPr>
  </w:style>
  <w:style w:type="character" w:customStyle="1" w:styleId="WW8Num16z4">
    <w:name w:val="WW8Num16z4"/>
    <w:qFormat/>
  </w:style>
  <w:style w:type="character" w:customStyle="1" w:styleId="WW8Num17z0">
    <w:name w:val="WW8Num17z0"/>
    <w:qFormat/>
    <w:rPr>
      <w:b w:val="0"/>
      <w:i w:val="0"/>
      <w:sz w:val="22"/>
    </w:rPr>
  </w:style>
  <w:style w:type="character" w:customStyle="1" w:styleId="WW8Num18z0">
    <w:name w:val="WW8Num18z0"/>
    <w:qFormat/>
    <w:rPr>
      <w:rFonts w:ascii="Times New Roman" w:hAnsi="Times New Roman" w:cs="Times New Roman"/>
      <w:sz w:val="24"/>
      <w:szCs w:val="24"/>
    </w:rPr>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rPr>
      <w:rFonts w:ascii="Symbol" w:hAnsi="Symbol" w:cs="Symbol"/>
      <w:color w:val="000000"/>
      <w:sz w:val="20"/>
      <w:szCs w:val="20"/>
    </w:rPr>
  </w:style>
  <w:style w:type="character" w:customStyle="1" w:styleId="WW8Num19z1">
    <w:name w:val="WW8Num19z1"/>
    <w:qFormat/>
    <w:rPr>
      <w:rFonts w:ascii="Courier New" w:hAnsi="Courier New" w:cs="Courier New"/>
    </w:rPr>
  </w:style>
  <w:style w:type="character" w:customStyle="1" w:styleId="WW8Num19z2">
    <w:name w:val="WW8Num19z2"/>
    <w:qFormat/>
    <w:rPr>
      <w:rFonts w:ascii="Wingdings" w:hAnsi="Wingdings" w:cs="Wingdings"/>
    </w:rPr>
  </w:style>
  <w:style w:type="character" w:customStyle="1" w:styleId="WW8Num20z0">
    <w:name w:val="WW8Num20z0"/>
    <w:qFormat/>
    <w:rPr>
      <w:rFonts w:ascii="Times New Roman" w:eastAsia="Times New Roman" w:hAnsi="Times New Roman" w:cs="Times New Roman"/>
    </w:rPr>
  </w:style>
  <w:style w:type="character" w:customStyle="1" w:styleId="WW8Num20z1">
    <w:name w:val="WW8Num20z1"/>
    <w:qFormat/>
    <w:rPr>
      <w:rFonts w:ascii="Courier New" w:hAnsi="Courier New" w:cs="Courier New"/>
    </w:rPr>
  </w:style>
  <w:style w:type="character" w:customStyle="1" w:styleId="WW8Num20z2">
    <w:name w:val="WW8Num20z2"/>
    <w:qFormat/>
    <w:rPr>
      <w:rFonts w:ascii="Wingdings" w:hAnsi="Wingdings" w:cs="Wingdings"/>
    </w:rPr>
  </w:style>
  <w:style w:type="character" w:customStyle="1" w:styleId="WW8Num20z3">
    <w:name w:val="WW8Num20z3"/>
    <w:qFormat/>
    <w:rPr>
      <w:rFonts w:ascii="Symbol" w:hAnsi="Symbol" w:cs="Symbol"/>
    </w:rPr>
  </w:style>
  <w:style w:type="character" w:customStyle="1" w:styleId="WW8Num21z0">
    <w:name w:val="WW8Num21z0"/>
    <w:qFormat/>
    <w:rPr>
      <w:rFonts w:ascii="Times New Roman" w:hAnsi="Times New Roman" w:cs="Times New Roman"/>
      <w:bCs/>
      <w:sz w:val="24"/>
      <w:szCs w:val="24"/>
    </w:rPr>
  </w:style>
  <w:style w:type="character" w:customStyle="1" w:styleId="WW8Num21z1">
    <w:name w:val="WW8Num21z1"/>
    <w:qFormat/>
  </w:style>
  <w:style w:type="character" w:customStyle="1" w:styleId="WW8Num21z2">
    <w:name w:val="WW8Num21z2"/>
    <w:qFormat/>
  </w:style>
  <w:style w:type="character" w:customStyle="1" w:styleId="WW8Num21z3">
    <w:name w:val="WW8Num21z3"/>
    <w:qFormat/>
  </w:style>
  <w:style w:type="character" w:customStyle="1" w:styleId="WW8Num21z4">
    <w:name w:val="WW8Num21z4"/>
    <w:qFormat/>
  </w:style>
  <w:style w:type="character" w:customStyle="1" w:styleId="WW8Num21z5">
    <w:name w:val="WW8Num21z5"/>
    <w:qFormat/>
  </w:style>
  <w:style w:type="character" w:customStyle="1" w:styleId="WW8Num21z6">
    <w:name w:val="WW8Num21z6"/>
    <w:qFormat/>
  </w:style>
  <w:style w:type="character" w:customStyle="1" w:styleId="WW8Num21z7">
    <w:name w:val="WW8Num21z7"/>
    <w:qFormat/>
  </w:style>
  <w:style w:type="character" w:customStyle="1" w:styleId="WW8Num21z8">
    <w:name w:val="WW8Num21z8"/>
    <w:qFormat/>
  </w:style>
  <w:style w:type="character" w:customStyle="1" w:styleId="WW8Num22z0">
    <w:name w:val="WW8Num22z0"/>
    <w:qFormat/>
  </w:style>
  <w:style w:type="character" w:customStyle="1" w:styleId="WW8Num22z1">
    <w:name w:val="WW8Num22z1"/>
    <w:qFormat/>
  </w:style>
  <w:style w:type="character" w:customStyle="1" w:styleId="WW8Num23z0">
    <w:name w:val="WW8Num23z0"/>
    <w:qFormat/>
    <w:rPr>
      <w:rFonts w:ascii="Symbol" w:hAnsi="Symbol" w:cs="Symbol"/>
    </w:rPr>
  </w:style>
  <w:style w:type="character" w:customStyle="1" w:styleId="WW8Num23z1">
    <w:name w:val="WW8Num23z1"/>
    <w:qFormat/>
    <w:rPr>
      <w:rFonts w:ascii="Courier New" w:hAnsi="Courier New" w:cs="Courier New"/>
    </w:rPr>
  </w:style>
  <w:style w:type="character" w:customStyle="1" w:styleId="WW8Num23z2">
    <w:name w:val="WW8Num23z2"/>
    <w:qFormat/>
    <w:rPr>
      <w:rFonts w:ascii="Wingdings" w:hAnsi="Wingdings" w:cs="Wingdings"/>
    </w:rPr>
  </w:style>
  <w:style w:type="character" w:customStyle="1" w:styleId="WW8Num24z0">
    <w:name w:val="WW8Num24z0"/>
    <w:qFormat/>
    <w:rPr>
      <w:color w:val="000000"/>
      <w:position w:val="0"/>
      <w:sz w:val="22"/>
      <w:szCs w:val="22"/>
      <w:vertAlign w:val="baseline"/>
      <w:lang w:val="ru-RU"/>
    </w:rPr>
  </w:style>
  <w:style w:type="character" w:customStyle="1" w:styleId="WW8Num24z1">
    <w:name w:val="WW8Num24z1"/>
    <w:qFormat/>
    <w:rPr>
      <w:color w:val="000000"/>
      <w:position w:val="0"/>
      <w:sz w:val="28"/>
      <w:szCs w:val="28"/>
      <w:vertAlign w:val="baseline"/>
      <w:lang w:val="ru-RU"/>
    </w:rPr>
  </w:style>
  <w:style w:type="character" w:customStyle="1" w:styleId="WW8Num25z0">
    <w:name w:val="WW8Num25z0"/>
    <w:qFormat/>
    <w:rPr>
      <w:rFonts w:ascii="Symbol" w:hAnsi="Symbol" w:cs="Symbol"/>
    </w:rPr>
  </w:style>
  <w:style w:type="character" w:customStyle="1" w:styleId="WW8Num25z1">
    <w:name w:val="WW8Num25z1"/>
    <w:qFormat/>
    <w:rPr>
      <w:rFonts w:ascii="Courier New" w:hAnsi="Courier New" w:cs="Courier New"/>
    </w:rPr>
  </w:style>
  <w:style w:type="character" w:customStyle="1" w:styleId="WW8Num25z2">
    <w:name w:val="WW8Num25z2"/>
    <w:qFormat/>
    <w:rPr>
      <w:rFonts w:ascii="Wingdings" w:hAnsi="Wingdings" w:cs="Wingdings"/>
    </w:rPr>
  </w:style>
  <w:style w:type="character" w:customStyle="1" w:styleId="WW8Num26z0">
    <w:name w:val="WW8Num26z0"/>
    <w:qFormat/>
    <w:rPr>
      <w:rFonts w:ascii="Symbol" w:hAnsi="Symbol" w:cs="Symbol"/>
      <w:sz w:val="20"/>
    </w:rPr>
  </w:style>
  <w:style w:type="character" w:customStyle="1" w:styleId="WW8Num26z1">
    <w:name w:val="WW8Num26z1"/>
    <w:qFormat/>
    <w:rPr>
      <w:rFonts w:ascii="Courier New" w:hAnsi="Courier New" w:cs="Courier New"/>
      <w:sz w:val="20"/>
    </w:rPr>
  </w:style>
  <w:style w:type="character" w:customStyle="1" w:styleId="WW8Num26z2">
    <w:name w:val="WW8Num26z2"/>
    <w:qFormat/>
    <w:rPr>
      <w:rFonts w:ascii="Wingdings" w:hAnsi="Wingdings" w:cs="Wingdings"/>
      <w:sz w:val="20"/>
    </w:rPr>
  </w:style>
  <w:style w:type="character" w:customStyle="1" w:styleId="WW8Num27z0">
    <w:name w:val="WW8Num27z0"/>
    <w:qFormat/>
    <w:rPr>
      <w:rFonts w:ascii="Symbol" w:hAnsi="Symbol" w:cs="Symbol"/>
      <w:b w:val="0"/>
      <w:i w:val="0"/>
      <w:sz w:val="28"/>
      <w:u w:val="none"/>
    </w:rPr>
  </w:style>
  <w:style w:type="character" w:customStyle="1" w:styleId="WW8Num27z1">
    <w:name w:val="WW8Num27z1"/>
    <w:qFormat/>
    <w:rPr>
      <w:rFonts w:ascii="Courier New" w:hAnsi="Courier New" w:cs="Courier New"/>
    </w:rPr>
  </w:style>
  <w:style w:type="character" w:customStyle="1" w:styleId="WW8Num27z2">
    <w:name w:val="WW8Num27z2"/>
    <w:qFormat/>
    <w:rPr>
      <w:rFonts w:ascii="Wingdings" w:hAnsi="Wingdings" w:cs="Wingdings"/>
    </w:rPr>
  </w:style>
  <w:style w:type="character" w:customStyle="1" w:styleId="WW8Num27z3">
    <w:name w:val="WW8Num27z3"/>
    <w:qFormat/>
    <w:rPr>
      <w:rFonts w:ascii="Symbol" w:hAnsi="Symbol" w:cs="Symbol"/>
    </w:rPr>
  </w:style>
  <w:style w:type="character" w:customStyle="1" w:styleId="WW8Num28z0">
    <w:name w:val="WW8Num28z0"/>
    <w:qFormat/>
    <w:rPr>
      <w:rFonts w:ascii="Wingdings" w:hAnsi="Wingdings" w:cs="Wingdings"/>
      <w:sz w:val="24"/>
      <w:szCs w:val="24"/>
    </w:rPr>
  </w:style>
  <w:style w:type="character" w:customStyle="1" w:styleId="WW8Num28z1">
    <w:name w:val="WW8Num28z1"/>
    <w:qFormat/>
    <w:rPr>
      <w:rFonts w:ascii="Courier New" w:hAnsi="Courier New" w:cs="Courier New"/>
    </w:rPr>
  </w:style>
  <w:style w:type="character" w:customStyle="1" w:styleId="WW8Num28z3">
    <w:name w:val="WW8Num28z3"/>
    <w:qFormat/>
    <w:rPr>
      <w:rFonts w:ascii="Symbol" w:hAnsi="Symbol" w:cs="Symbol"/>
    </w:rPr>
  </w:style>
  <w:style w:type="character" w:customStyle="1" w:styleId="WW8Num29z0">
    <w:name w:val="WW8Num29z0"/>
    <w:qFormat/>
    <w:rPr>
      <w:rFonts w:ascii="Symbol" w:eastAsia="Times New Roman" w:hAnsi="Symbol" w:cs="Symbol"/>
      <w:sz w:val="24"/>
      <w:szCs w:val="24"/>
      <w:lang w:eastAsia="ar-SA"/>
    </w:rPr>
  </w:style>
  <w:style w:type="character" w:customStyle="1" w:styleId="WW8Num29z1">
    <w:name w:val="WW8Num29z1"/>
    <w:qFormat/>
    <w:rPr>
      <w:rFonts w:ascii="Courier New" w:hAnsi="Courier New" w:cs="Courier New"/>
    </w:rPr>
  </w:style>
  <w:style w:type="character" w:customStyle="1" w:styleId="WW8Num29z2">
    <w:name w:val="WW8Num29z2"/>
    <w:qFormat/>
    <w:rPr>
      <w:rFonts w:ascii="Wingdings" w:hAnsi="Wingdings" w:cs="Wingdings"/>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Symbol" w:eastAsia="Times New Roman" w:hAnsi="Symbol" w:cs="Symbol"/>
      <w:sz w:val="24"/>
      <w:szCs w:val="24"/>
      <w:lang w:eastAsia="ru-RU"/>
    </w:rPr>
  </w:style>
  <w:style w:type="character" w:customStyle="1" w:styleId="WW8Num31z1">
    <w:name w:val="WW8Num31z1"/>
    <w:qFormat/>
    <w:rPr>
      <w:rFonts w:ascii="Courier New" w:hAnsi="Courier New" w:cs="Courier New"/>
    </w:rPr>
  </w:style>
  <w:style w:type="character" w:customStyle="1" w:styleId="WW8Num31z2">
    <w:name w:val="WW8Num31z2"/>
    <w:qFormat/>
    <w:rPr>
      <w:rFonts w:ascii="Wingdings" w:hAnsi="Wingdings" w:cs="Wingdings"/>
    </w:rPr>
  </w:style>
  <w:style w:type="character" w:customStyle="1" w:styleId="WW8Num32z0">
    <w:name w:val="WW8Num32z0"/>
    <w:qFormat/>
    <w:rPr>
      <w:rFonts w:ascii="Symbol" w:eastAsia="Times New Roman" w:hAnsi="Symbol" w:cs="Symbol"/>
      <w:sz w:val="24"/>
      <w:szCs w:val="24"/>
      <w:lang w:eastAsia="ru-RU"/>
    </w:rPr>
  </w:style>
  <w:style w:type="character" w:customStyle="1" w:styleId="WW8Num32z1">
    <w:name w:val="WW8Num32z1"/>
    <w:qFormat/>
    <w:rPr>
      <w:rFonts w:ascii="Courier New" w:hAnsi="Courier New" w:cs="Courier New"/>
    </w:rPr>
  </w:style>
  <w:style w:type="character" w:customStyle="1" w:styleId="WW8Num32z2">
    <w:name w:val="WW8Num32z2"/>
    <w:qFormat/>
    <w:rPr>
      <w:rFonts w:ascii="Wingdings" w:hAnsi="Wingdings" w:cs="Wingdings"/>
    </w:rPr>
  </w:style>
  <w:style w:type="character" w:customStyle="1" w:styleId="WW8Num33z0">
    <w:name w:val="WW8Num33z0"/>
    <w:qFormat/>
    <w:rPr>
      <w:rFonts w:ascii="Symbol" w:hAnsi="Symbol" w:cs="Symbol"/>
    </w:rPr>
  </w:style>
  <w:style w:type="character" w:customStyle="1" w:styleId="WW8Num33z1">
    <w:name w:val="WW8Num33z1"/>
    <w:qFormat/>
    <w:rPr>
      <w:rFonts w:ascii="Courier New" w:hAnsi="Courier New" w:cs="Courier New"/>
    </w:rPr>
  </w:style>
  <w:style w:type="character" w:customStyle="1" w:styleId="WW8Num33z2">
    <w:name w:val="WW8Num33z2"/>
    <w:qFormat/>
    <w:rPr>
      <w:rFonts w:ascii="Wingdings" w:hAnsi="Wingdings" w:cs="Wingdings"/>
    </w:rPr>
  </w:style>
  <w:style w:type="character" w:customStyle="1" w:styleId="WW8Num34z0">
    <w:name w:val="WW8Num34z0"/>
    <w:qFormat/>
    <w:rPr>
      <w:rFonts w:ascii="Arial" w:hAnsi="Arial" w:cs="Arial"/>
      <w:b w:val="0"/>
      <w:i w:val="0"/>
      <w:sz w:val="22"/>
    </w:rPr>
  </w:style>
  <w:style w:type="character" w:customStyle="1" w:styleId="WW8Num34z1">
    <w:name w:val="WW8Num34z1"/>
    <w:qFormat/>
  </w:style>
  <w:style w:type="character" w:customStyle="1" w:styleId="WW8Num35z0">
    <w:name w:val="WW8Num35z0"/>
    <w:qFormat/>
    <w:rPr>
      <w:rFonts w:ascii="Symbol" w:hAnsi="Symbol" w:cs="Symbol"/>
      <w:sz w:val="24"/>
      <w:szCs w:val="24"/>
    </w:rPr>
  </w:style>
  <w:style w:type="character" w:customStyle="1" w:styleId="WW8Num35z1">
    <w:name w:val="WW8Num35z1"/>
    <w:qFormat/>
    <w:rPr>
      <w:rFonts w:ascii="Courier New" w:hAnsi="Courier New" w:cs="Courier New"/>
    </w:rPr>
  </w:style>
  <w:style w:type="character" w:customStyle="1" w:styleId="WW8Num35z2">
    <w:name w:val="WW8Num35z2"/>
    <w:qFormat/>
    <w:rPr>
      <w:rFonts w:ascii="Wingdings" w:hAnsi="Wingdings" w:cs="Wingdings"/>
    </w:rPr>
  </w:style>
  <w:style w:type="character" w:customStyle="1" w:styleId="WW8Num36z0">
    <w:name w:val="WW8Num36z0"/>
    <w:qFormat/>
    <w:rPr>
      <w:rFonts w:ascii="Symbol" w:hAnsi="Symbol" w:cs="Symbol"/>
    </w:rPr>
  </w:style>
  <w:style w:type="character" w:customStyle="1" w:styleId="WW8Num36z1">
    <w:name w:val="WW8Num36z1"/>
    <w:qFormat/>
    <w:rPr>
      <w:rFonts w:ascii="Courier New" w:hAnsi="Courier New" w:cs="Courier New"/>
    </w:rPr>
  </w:style>
  <w:style w:type="character" w:customStyle="1" w:styleId="WW8Num36z2">
    <w:name w:val="WW8Num36z2"/>
    <w:qFormat/>
    <w:rPr>
      <w:rFonts w:ascii="Wingdings" w:hAnsi="Wingdings" w:cs="Wingdings"/>
    </w:rPr>
  </w:style>
  <w:style w:type="character" w:customStyle="1" w:styleId="WW8Num37z0">
    <w:name w:val="WW8Num37z0"/>
    <w:qFormat/>
    <w:rPr>
      <w:rFonts w:ascii="Symbol" w:hAnsi="Symbol" w:cs="Symbol"/>
    </w:rPr>
  </w:style>
  <w:style w:type="character" w:customStyle="1" w:styleId="WW8Num37z1">
    <w:name w:val="WW8Num37z1"/>
    <w:qFormat/>
    <w:rPr>
      <w:rFonts w:ascii="Courier New" w:hAnsi="Courier New" w:cs="Courier New"/>
    </w:rPr>
  </w:style>
  <w:style w:type="character" w:customStyle="1" w:styleId="WW8Num37z2">
    <w:name w:val="WW8Num37z2"/>
    <w:qFormat/>
    <w:rPr>
      <w:rFonts w:ascii="Wingdings" w:hAnsi="Wingdings" w:cs="Wingdings"/>
    </w:rPr>
  </w:style>
  <w:style w:type="character" w:customStyle="1" w:styleId="WW8Num38z0">
    <w:name w:val="WW8Num38z0"/>
    <w:qFormat/>
    <w:rPr>
      <w:rFonts w:ascii="Symbol" w:hAnsi="Symbol" w:cs="Symbol"/>
      <w:sz w:val="20"/>
    </w:rPr>
  </w:style>
  <w:style w:type="character" w:customStyle="1" w:styleId="WW8Num38z1">
    <w:name w:val="WW8Num38z1"/>
    <w:qFormat/>
    <w:rPr>
      <w:rFonts w:ascii="Courier New" w:hAnsi="Courier New" w:cs="Courier New"/>
      <w:sz w:val="20"/>
    </w:rPr>
  </w:style>
  <w:style w:type="character" w:customStyle="1" w:styleId="WW8Num38z2">
    <w:name w:val="WW8Num38z2"/>
    <w:qFormat/>
    <w:rPr>
      <w:rFonts w:ascii="Wingdings" w:hAnsi="Wingdings" w:cs="Wingdings"/>
      <w:sz w:val="20"/>
    </w:rPr>
  </w:style>
  <w:style w:type="character" w:customStyle="1" w:styleId="WW8Num39z0">
    <w:name w:val="WW8Num39z0"/>
    <w:qFormat/>
    <w:rPr>
      <w:rFonts w:ascii="Times New Roman" w:eastAsia="Times New Roman" w:hAnsi="Times New Roman" w:cs="Times New Roman"/>
      <w:sz w:val="24"/>
      <w:szCs w:val="24"/>
      <w:lang w:eastAsia="ar-SA"/>
    </w:rPr>
  </w:style>
  <w:style w:type="character" w:customStyle="1" w:styleId="WW8Num39z1">
    <w:name w:val="WW8Num39z1"/>
    <w:qFormat/>
    <w:rPr>
      <w:rFonts w:ascii="Courier New" w:hAnsi="Courier New" w:cs="Courier New"/>
    </w:rPr>
  </w:style>
  <w:style w:type="character" w:customStyle="1" w:styleId="WW8Num39z2">
    <w:name w:val="WW8Num39z2"/>
    <w:qFormat/>
    <w:rPr>
      <w:rFonts w:ascii="Wingdings" w:hAnsi="Wingdings" w:cs="Wingdings"/>
    </w:rPr>
  </w:style>
  <w:style w:type="character" w:customStyle="1" w:styleId="WW8Num39z3">
    <w:name w:val="WW8Num39z3"/>
    <w:qFormat/>
    <w:rPr>
      <w:rFonts w:ascii="Symbol" w:hAnsi="Symbol" w:cs="Symbol"/>
    </w:rPr>
  </w:style>
  <w:style w:type="character" w:customStyle="1" w:styleId="WW8Num40z0">
    <w:name w:val="WW8Num40z0"/>
    <w:qFormat/>
    <w:rPr>
      <w:rFonts w:ascii="Swis721 LtCn BT" w:hAnsi="Swis721 LtCn BT" w:cs="Swis721 LtCn BT"/>
    </w:rPr>
  </w:style>
  <w:style w:type="character" w:customStyle="1" w:styleId="WW8Num40z1">
    <w:name w:val="WW8Num40z1"/>
    <w:qFormat/>
    <w:rPr>
      <w:rFonts w:ascii="Courier New" w:hAnsi="Courier New" w:cs="Courier New"/>
    </w:rPr>
  </w:style>
  <w:style w:type="character" w:customStyle="1" w:styleId="WW8Num40z2">
    <w:name w:val="WW8Num40z2"/>
    <w:qFormat/>
    <w:rPr>
      <w:rFonts w:ascii="Wingdings" w:hAnsi="Wingdings" w:cs="Wingdings"/>
    </w:rPr>
  </w:style>
  <w:style w:type="character" w:customStyle="1" w:styleId="WW8Num40z3">
    <w:name w:val="WW8Num40z3"/>
    <w:qFormat/>
    <w:rPr>
      <w:rFonts w:ascii="Symbol" w:hAnsi="Symbol" w:cs="Symbol"/>
    </w:rPr>
  </w:style>
  <w:style w:type="character" w:customStyle="1" w:styleId="WW8Num41z0">
    <w:name w:val="WW8Num41z0"/>
    <w:qFormat/>
    <w:rPr>
      <w:rFonts w:ascii="Times New Roman" w:hAnsi="Times New Roman" w:cs="Times New Roman"/>
    </w:rPr>
  </w:style>
  <w:style w:type="character" w:customStyle="1" w:styleId="WW8Num41z1">
    <w:name w:val="WW8Num41z1"/>
    <w:qFormat/>
    <w:rPr>
      <w:rFonts w:ascii="Courier New" w:hAnsi="Courier New" w:cs="Courier New"/>
    </w:rPr>
  </w:style>
  <w:style w:type="character" w:customStyle="1" w:styleId="WW8Num41z2">
    <w:name w:val="WW8Num41z2"/>
    <w:qFormat/>
    <w:rPr>
      <w:rFonts w:ascii="Wingdings" w:hAnsi="Wingdings" w:cs="Wingdings"/>
    </w:rPr>
  </w:style>
  <w:style w:type="character" w:customStyle="1" w:styleId="WW8Num41z3">
    <w:name w:val="WW8Num41z3"/>
    <w:qFormat/>
    <w:rPr>
      <w:rFonts w:ascii="Symbol" w:hAnsi="Symbol" w:cs="Symbol"/>
    </w:rPr>
  </w:style>
  <w:style w:type="character" w:customStyle="1" w:styleId="WW8Num42z0">
    <w:name w:val="WW8Num42z0"/>
    <w:qFormat/>
    <w:rPr>
      <w:rFonts w:ascii="Symbol" w:hAnsi="Symbol" w:cs="Symbol"/>
      <w:sz w:val="24"/>
      <w:szCs w:val="24"/>
    </w:rPr>
  </w:style>
  <w:style w:type="character" w:customStyle="1" w:styleId="WW8Num42z1">
    <w:name w:val="WW8Num42z1"/>
    <w:qFormat/>
    <w:rPr>
      <w:rFonts w:ascii="Courier New" w:hAnsi="Courier New" w:cs="Courier New"/>
    </w:rPr>
  </w:style>
  <w:style w:type="character" w:customStyle="1" w:styleId="WW8Num42z2">
    <w:name w:val="WW8Num42z2"/>
    <w:qFormat/>
    <w:rPr>
      <w:rFonts w:ascii="Wingdings" w:hAnsi="Wingdings" w:cs="Wingdings"/>
    </w:rPr>
  </w:style>
  <w:style w:type="character" w:customStyle="1" w:styleId="WW8Num43z0">
    <w:name w:val="WW8Num43z0"/>
    <w:qFormat/>
    <w:rPr>
      <w:rFonts w:ascii="Symbol" w:hAnsi="Symbol" w:cs="Symbol"/>
    </w:rPr>
  </w:style>
  <w:style w:type="character" w:customStyle="1" w:styleId="WW8Num43z1">
    <w:name w:val="WW8Num43z1"/>
    <w:qFormat/>
    <w:rPr>
      <w:rFonts w:ascii="Courier New" w:hAnsi="Courier New" w:cs="Courier New"/>
    </w:rPr>
  </w:style>
  <w:style w:type="character" w:customStyle="1" w:styleId="WW8Num43z2">
    <w:name w:val="WW8Num43z2"/>
    <w:qFormat/>
    <w:rPr>
      <w:rFonts w:ascii="Wingdings" w:hAnsi="Wingdings" w:cs="Wingdings"/>
    </w:rPr>
  </w:style>
  <w:style w:type="character" w:customStyle="1" w:styleId="WW8Num44z0">
    <w:name w:val="WW8Num44z0"/>
    <w:qFormat/>
    <w:rPr>
      <w:rFonts w:ascii="Times New Roman" w:eastAsia="Times New Roman" w:hAnsi="Times New Roman" w:cs="Times New Roman"/>
    </w:rPr>
  </w:style>
  <w:style w:type="character" w:customStyle="1" w:styleId="WW8Num44z1">
    <w:name w:val="WW8Num44z1"/>
    <w:qFormat/>
    <w:rPr>
      <w:rFonts w:ascii="Courier New" w:hAnsi="Courier New" w:cs="Times New Roman"/>
    </w:rPr>
  </w:style>
  <w:style w:type="character" w:customStyle="1" w:styleId="WW8Num44z2">
    <w:name w:val="WW8Num44z2"/>
    <w:qFormat/>
    <w:rPr>
      <w:rFonts w:ascii="Wingdings" w:hAnsi="Wingdings" w:cs="Wingdings"/>
    </w:rPr>
  </w:style>
  <w:style w:type="character" w:customStyle="1" w:styleId="WW8Num44z3">
    <w:name w:val="WW8Num44z3"/>
    <w:qFormat/>
    <w:rPr>
      <w:rFonts w:ascii="Symbol" w:hAnsi="Symbol" w:cs="Symbol"/>
    </w:rPr>
  </w:style>
  <w:style w:type="character" w:customStyle="1" w:styleId="WW8Num45z0">
    <w:name w:val="WW8Num45z0"/>
    <w:qFormat/>
    <w:rPr>
      <w:rFonts w:ascii="Times New Roman" w:hAnsi="Times New Roman" w:cs="Times New Roman"/>
    </w:rPr>
  </w:style>
  <w:style w:type="character" w:customStyle="1" w:styleId="WW8Num45z1">
    <w:name w:val="WW8Num45z1"/>
    <w:qFormat/>
    <w:rPr>
      <w:rFonts w:ascii="Courier New" w:hAnsi="Courier New" w:cs="Courier New"/>
    </w:rPr>
  </w:style>
  <w:style w:type="character" w:customStyle="1" w:styleId="WW8Num45z2">
    <w:name w:val="WW8Num45z2"/>
    <w:qFormat/>
    <w:rPr>
      <w:rFonts w:ascii="Wingdings" w:hAnsi="Wingdings" w:cs="Wingdings"/>
    </w:rPr>
  </w:style>
  <w:style w:type="character" w:customStyle="1" w:styleId="WW8Num45z3">
    <w:name w:val="WW8Num45z3"/>
    <w:qFormat/>
    <w:rPr>
      <w:rFonts w:ascii="Symbol" w:hAnsi="Symbol" w:cs="Symbol"/>
    </w:rPr>
  </w:style>
  <w:style w:type="character" w:customStyle="1" w:styleId="WW8Num46z0">
    <w:name w:val="WW8Num46z0"/>
    <w:qFormat/>
    <w:rPr>
      <w:rFonts w:ascii="Symbol" w:hAnsi="Symbol" w:cs="Symbol"/>
    </w:rPr>
  </w:style>
  <w:style w:type="character" w:customStyle="1" w:styleId="WW8Num46z1">
    <w:name w:val="WW8Num46z1"/>
    <w:qFormat/>
    <w:rPr>
      <w:rFonts w:ascii="Courier New" w:hAnsi="Courier New" w:cs="Courier New"/>
    </w:rPr>
  </w:style>
  <w:style w:type="character" w:customStyle="1" w:styleId="WW8Num46z2">
    <w:name w:val="WW8Num46z2"/>
    <w:qFormat/>
    <w:rPr>
      <w:rFonts w:ascii="Wingdings" w:hAnsi="Wingdings" w:cs="Wingdings"/>
    </w:rPr>
  </w:style>
  <w:style w:type="character" w:customStyle="1" w:styleId="WW8Num47z0">
    <w:name w:val="WW8Num47z0"/>
    <w:qFormat/>
    <w:rPr>
      <w:rFonts w:ascii="Symbol" w:hAnsi="Symbol" w:cs="Symbol"/>
    </w:rPr>
  </w:style>
  <w:style w:type="character" w:customStyle="1" w:styleId="WW8Num47z1">
    <w:name w:val="WW8Num47z1"/>
    <w:qFormat/>
    <w:rPr>
      <w:rFonts w:ascii="Courier New" w:hAnsi="Courier New" w:cs="Courier New"/>
    </w:rPr>
  </w:style>
  <w:style w:type="character" w:customStyle="1" w:styleId="WW8Num47z2">
    <w:name w:val="WW8Num47z2"/>
    <w:qFormat/>
    <w:rPr>
      <w:rFonts w:ascii="Wingdings" w:hAnsi="Wingdings" w:cs="Wingdings"/>
    </w:rPr>
  </w:style>
  <w:style w:type="character" w:customStyle="1" w:styleId="WW8Num48z0">
    <w:name w:val="WW8Num48z0"/>
    <w:qFormat/>
    <w:rPr>
      <w:rFonts w:ascii="Times New Roman" w:eastAsia="Times New Roman" w:hAnsi="Times New Roman" w:cs="Times New Roman"/>
      <w:b w:val="0"/>
      <w:i w:val="0"/>
      <w:sz w:val="24"/>
      <w:szCs w:val="24"/>
      <w:lang w:eastAsia="ru-RU"/>
    </w:rPr>
  </w:style>
  <w:style w:type="character" w:customStyle="1" w:styleId="WW8Num48z1">
    <w:name w:val="WW8Num48z1"/>
    <w:qFormat/>
    <w:rPr>
      <w:rFonts w:cs="Times New Roman"/>
    </w:rPr>
  </w:style>
  <w:style w:type="character" w:customStyle="1" w:styleId="WW8Num49z0">
    <w:name w:val="WW8Num49z0"/>
    <w:qFormat/>
    <w:rPr>
      <w:rFonts w:ascii="Symbol" w:hAnsi="Symbol" w:cs="Symbol"/>
    </w:rPr>
  </w:style>
  <w:style w:type="character" w:customStyle="1" w:styleId="WW8Num49z1">
    <w:name w:val="WW8Num49z1"/>
    <w:qFormat/>
    <w:rPr>
      <w:rFonts w:ascii="Courier New" w:hAnsi="Courier New" w:cs="Courier New"/>
    </w:rPr>
  </w:style>
  <w:style w:type="character" w:customStyle="1" w:styleId="WW8Num49z2">
    <w:name w:val="WW8Num49z2"/>
    <w:qFormat/>
    <w:rPr>
      <w:rFonts w:ascii="Wingdings" w:hAnsi="Wingdings" w:cs="Wingdings"/>
    </w:rPr>
  </w:style>
  <w:style w:type="character" w:customStyle="1" w:styleId="WW8Num50z0">
    <w:name w:val="WW8Num50z0"/>
    <w:qFormat/>
    <w:rPr>
      <w:rFonts w:ascii="Symbol" w:eastAsia="Times New Roman" w:hAnsi="Symbol" w:cs="Symbol"/>
      <w:sz w:val="24"/>
      <w:szCs w:val="24"/>
      <w:lang w:eastAsia="ar-SA"/>
    </w:rPr>
  </w:style>
  <w:style w:type="character" w:customStyle="1" w:styleId="WW8Num50z1">
    <w:name w:val="WW8Num50z1"/>
    <w:qFormat/>
    <w:rPr>
      <w:rFonts w:ascii="Courier New" w:hAnsi="Courier New" w:cs="Courier New"/>
    </w:rPr>
  </w:style>
  <w:style w:type="character" w:customStyle="1" w:styleId="WW8Num50z2">
    <w:name w:val="WW8Num50z2"/>
    <w:qFormat/>
    <w:rPr>
      <w:rFonts w:ascii="Wingdings" w:hAnsi="Wingdings" w:cs="Wingdings"/>
    </w:rPr>
  </w:style>
  <w:style w:type="character" w:customStyle="1" w:styleId="WW8Num51z0">
    <w:name w:val="WW8Num51z0"/>
    <w:qFormat/>
    <w:rPr>
      <w:rFonts w:ascii="Symbol" w:hAnsi="Symbol" w:cs="Symbol"/>
    </w:rPr>
  </w:style>
  <w:style w:type="character" w:customStyle="1" w:styleId="WW8Num51z1">
    <w:name w:val="WW8Num51z1"/>
    <w:qFormat/>
    <w:rPr>
      <w:rFonts w:ascii="Courier New" w:hAnsi="Courier New" w:cs="Courier New"/>
    </w:rPr>
  </w:style>
  <w:style w:type="character" w:customStyle="1" w:styleId="WW8Num51z2">
    <w:name w:val="WW8Num51z2"/>
    <w:qFormat/>
    <w:rPr>
      <w:rFonts w:ascii="Wingdings" w:hAnsi="Wingdings" w:cs="Wingdings"/>
    </w:rPr>
  </w:style>
  <w:style w:type="character" w:customStyle="1" w:styleId="WW8Num52z0">
    <w:name w:val="WW8Num52z0"/>
    <w:qFormat/>
    <w:rPr>
      <w:rFonts w:ascii="Symbol" w:eastAsia="Times New Roman" w:hAnsi="Symbol" w:cs="Symbol"/>
      <w:sz w:val="24"/>
      <w:szCs w:val="24"/>
      <w:lang w:eastAsia="ar-SA"/>
    </w:rPr>
  </w:style>
  <w:style w:type="character" w:customStyle="1" w:styleId="WW8Num52z1">
    <w:name w:val="WW8Num52z1"/>
    <w:qFormat/>
    <w:rPr>
      <w:rFonts w:ascii="Courier New" w:hAnsi="Courier New" w:cs="Courier New"/>
    </w:rPr>
  </w:style>
  <w:style w:type="character" w:customStyle="1" w:styleId="WW8Num52z2">
    <w:name w:val="WW8Num52z2"/>
    <w:qFormat/>
    <w:rPr>
      <w:rFonts w:ascii="Wingdings" w:hAnsi="Wingdings" w:cs="Wingdings"/>
    </w:rPr>
  </w:style>
  <w:style w:type="character" w:customStyle="1" w:styleId="WW8Num53z0">
    <w:name w:val="WW8Num53z0"/>
    <w:qFormat/>
    <w:rPr>
      <w:rFonts w:ascii="Symbol" w:hAnsi="Symbol" w:cs="Symbol"/>
    </w:rPr>
  </w:style>
  <w:style w:type="character" w:customStyle="1" w:styleId="WW8Num53z2">
    <w:name w:val="WW8Num53z2"/>
    <w:qFormat/>
    <w:rPr>
      <w:rFonts w:ascii="Wingdings" w:hAnsi="Wingdings" w:cs="Wingdings"/>
    </w:rPr>
  </w:style>
  <w:style w:type="character" w:customStyle="1" w:styleId="WW8Num53z4">
    <w:name w:val="WW8Num53z4"/>
    <w:qFormat/>
    <w:rPr>
      <w:rFonts w:ascii="Courier New" w:hAnsi="Courier New" w:cs="Courier New"/>
    </w:rPr>
  </w:style>
  <w:style w:type="character" w:customStyle="1" w:styleId="WW8Num54z0">
    <w:name w:val="WW8Num54z0"/>
    <w:qFormat/>
    <w:rPr>
      <w:rFonts w:ascii="Times New Roman" w:eastAsia="Times New Roman" w:hAnsi="Times New Roman" w:cs="Times New Roman"/>
      <w:sz w:val="24"/>
      <w:szCs w:val="24"/>
      <w:lang w:eastAsia="ru-RU"/>
    </w:rPr>
  </w:style>
  <w:style w:type="character" w:customStyle="1" w:styleId="WW8Num54z1">
    <w:name w:val="WW8Num54z1"/>
    <w:qFormat/>
  </w:style>
  <w:style w:type="character" w:customStyle="1" w:styleId="WW8Num54z2">
    <w:name w:val="WW8Num54z2"/>
    <w:qFormat/>
  </w:style>
  <w:style w:type="character" w:customStyle="1" w:styleId="WW8Num54z3">
    <w:name w:val="WW8Num54z3"/>
    <w:qFormat/>
  </w:style>
  <w:style w:type="character" w:customStyle="1" w:styleId="WW8Num54z4">
    <w:name w:val="WW8Num54z4"/>
    <w:qFormat/>
  </w:style>
  <w:style w:type="character" w:customStyle="1" w:styleId="WW8Num54z5">
    <w:name w:val="WW8Num54z5"/>
    <w:qFormat/>
  </w:style>
  <w:style w:type="character" w:customStyle="1" w:styleId="WW8Num54z6">
    <w:name w:val="WW8Num54z6"/>
    <w:qFormat/>
  </w:style>
  <w:style w:type="character" w:customStyle="1" w:styleId="WW8Num54z7">
    <w:name w:val="WW8Num54z7"/>
    <w:qFormat/>
  </w:style>
  <w:style w:type="character" w:customStyle="1" w:styleId="WW8Num54z8">
    <w:name w:val="WW8Num54z8"/>
    <w:qFormat/>
  </w:style>
  <w:style w:type="character" w:customStyle="1" w:styleId="WW8Num55z0">
    <w:name w:val="WW8Num55z0"/>
    <w:qFormat/>
    <w:rPr>
      <w:rFonts w:ascii="Symbol" w:hAnsi="Symbol" w:cs="Symbol"/>
    </w:rPr>
  </w:style>
  <w:style w:type="character" w:customStyle="1" w:styleId="WW8Num55z1">
    <w:name w:val="WW8Num55z1"/>
    <w:qFormat/>
    <w:rPr>
      <w:rFonts w:ascii="Courier New" w:hAnsi="Courier New" w:cs="Courier New"/>
    </w:rPr>
  </w:style>
  <w:style w:type="character" w:customStyle="1" w:styleId="WW8Num55z2">
    <w:name w:val="WW8Num55z2"/>
    <w:qFormat/>
    <w:rPr>
      <w:rFonts w:ascii="Wingdings" w:hAnsi="Wingdings" w:cs="Wingdings"/>
    </w:rPr>
  </w:style>
  <w:style w:type="character" w:customStyle="1" w:styleId="WW8Num56z0">
    <w:name w:val="WW8Num56z0"/>
    <w:qFormat/>
  </w:style>
  <w:style w:type="character" w:customStyle="1" w:styleId="WW8Num56z2">
    <w:name w:val="WW8Num56z2"/>
    <w:qFormat/>
    <w:rPr>
      <w:rFonts w:ascii="Times New Roman" w:eastAsia="Times New Roman" w:hAnsi="Times New Roman" w:cs="Times New Roman"/>
    </w:rPr>
  </w:style>
  <w:style w:type="character" w:customStyle="1" w:styleId="WW8Num57z0">
    <w:name w:val="WW8Num57z0"/>
    <w:qFormat/>
    <w:rPr>
      <w:rFonts w:eastAsia="Times New Roman"/>
      <w:lang w:eastAsia="ru-RU"/>
    </w:rPr>
  </w:style>
  <w:style w:type="character" w:customStyle="1" w:styleId="WW8Num57z1">
    <w:name w:val="WW8Num57z1"/>
    <w:qFormat/>
  </w:style>
  <w:style w:type="character" w:customStyle="1" w:styleId="WW8Num57z2">
    <w:name w:val="WW8Num57z2"/>
    <w:qFormat/>
  </w:style>
  <w:style w:type="character" w:customStyle="1" w:styleId="WW8Num57z3">
    <w:name w:val="WW8Num57z3"/>
    <w:qFormat/>
  </w:style>
  <w:style w:type="character" w:customStyle="1" w:styleId="WW8Num57z4">
    <w:name w:val="WW8Num57z4"/>
    <w:qFormat/>
  </w:style>
  <w:style w:type="character" w:customStyle="1" w:styleId="WW8Num57z5">
    <w:name w:val="WW8Num57z5"/>
    <w:qFormat/>
  </w:style>
  <w:style w:type="character" w:customStyle="1" w:styleId="WW8Num57z6">
    <w:name w:val="WW8Num57z6"/>
    <w:qFormat/>
  </w:style>
  <w:style w:type="character" w:customStyle="1" w:styleId="WW8Num57z7">
    <w:name w:val="WW8Num57z7"/>
    <w:qFormat/>
  </w:style>
  <w:style w:type="character" w:customStyle="1" w:styleId="WW8Num57z8">
    <w:name w:val="WW8Num57z8"/>
    <w:qFormat/>
  </w:style>
  <w:style w:type="character" w:customStyle="1" w:styleId="WW8Num58z0">
    <w:name w:val="WW8Num58z0"/>
    <w:qFormat/>
    <w:rPr>
      <w:rFonts w:ascii="Times New Roman" w:eastAsia="Times New Roman" w:hAnsi="Times New Roman" w:cs="Times New Roman"/>
      <w:b w:val="0"/>
      <w:bCs w:val="0"/>
      <w:i w:val="0"/>
      <w:iCs w:val="0"/>
      <w:caps w:val="0"/>
      <w:smallCaps w:val="0"/>
      <w:strike w:val="0"/>
      <w:dstrike w:val="0"/>
      <w:color w:val="000000"/>
      <w:spacing w:val="0"/>
      <w:position w:val="0"/>
      <w:sz w:val="27"/>
      <w:szCs w:val="27"/>
      <w:u w:val="none"/>
      <w:vertAlign w:val="baseline"/>
    </w:rPr>
  </w:style>
  <w:style w:type="character" w:customStyle="1" w:styleId="WW8Num58z1">
    <w:name w:val="WW8Num58z1"/>
    <w:qFormat/>
  </w:style>
  <w:style w:type="character" w:customStyle="1" w:styleId="WW8Num58z2">
    <w:name w:val="WW8Num58z2"/>
    <w:qFormat/>
  </w:style>
  <w:style w:type="character" w:customStyle="1" w:styleId="WW8Num58z3">
    <w:name w:val="WW8Num58z3"/>
    <w:qFormat/>
  </w:style>
  <w:style w:type="character" w:customStyle="1" w:styleId="WW8Num58z4">
    <w:name w:val="WW8Num58z4"/>
    <w:qFormat/>
  </w:style>
  <w:style w:type="character" w:customStyle="1" w:styleId="WW8Num58z5">
    <w:name w:val="WW8Num58z5"/>
    <w:qFormat/>
  </w:style>
  <w:style w:type="character" w:customStyle="1" w:styleId="WW8Num58z6">
    <w:name w:val="WW8Num58z6"/>
    <w:qFormat/>
  </w:style>
  <w:style w:type="character" w:customStyle="1" w:styleId="WW8Num58z7">
    <w:name w:val="WW8Num58z7"/>
    <w:qFormat/>
  </w:style>
  <w:style w:type="character" w:customStyle="1" w:styleId="WW8Num58z8">
    <w:name w:val="WW8Num58z8"/>
    <w:qFormat/>
  </w:style>
  <w:style w:type="character" w:customStyle="1" w:styleId="WW8Num59z0">
    <w:name w:val="WW8Num59z0"/>
    <w:qFormat/>
    <w:rPr>
      <w:rFonts w:ascii="Symbol" w:eastAsia="Times New Roman" w:hAnsi="Symbol" w:cs="Symbol"/>
      <w:color w:val="000000"/>
      <w:lang w:eastAsia="ar-SA"/>
    </w:rPr>
  </w:style>
  <w:style w:type="character" w:customStyle="1" w:styleId="WW8Num59z1">
    <w:name w:val="WW8Num59z1"/>
    <w:qFormat/>
    <w:rPr>
      <w:rFonts w:ascii="Courier New" w:hAnsi="Courier New" w:cs="Courier New"/>
    </w:rPr>
  </w:style>
  <w:style w:type="character" w:customStyle="1" w:styleId="WW8Num59z2">
    <w:name w:val="WW8Num59z2"/>
    <w:qFormat/>
    <w:rPr>
      <w:rFonts w:ascii="Wingdings" w:hAnsi="Wingdings" w:cs="Wingdings"/>
    </w:rPr>
  </w:style>
  <w:style w:type="character" w:customStyle="1" w:styleId="WW8Num60z0">
    <w:name w:val="WW8Num60z0"/>
    <w:qFormat/>
    <w:rPr>
      <w:rFonts w:ascii="Symbol" w:hAnsi="Symbol" w:cs="Symbol"/>
      <w:color w:val="000000"/>
    </w:rPr>
  </w:style>
  <w:style w:type="character" w:customStyle="1" w:styleId="WW8Num61z0">
    <w:name w:val="WW8Num61z0"/>
    <w:qFormat/>
  </w:style>
  <w:style w:type="character" w:customStyle="1" w:styleId="WW8Num61z1">
    <w:name w:val="WW8Num61z1"/>
    <w:qFormat/>
  </w:style>
  <w:style w:type="character" w:customStyle="1" w:styleId="WW8Num61z2">
    <w:name w:val="WW8Num61z2"/>
    <w:qFormat/>
  </w:style>
  <w:style w:type="character" w:customStyle="1" w:styleId="WW8Num61z3">
    <w:name w:val="WW8Num61z3"/>
    <w:qFormat/>
  </w:style>
  <w:style w:type="character" w:customStyle="1" w:styleId="WW8Num61z4">
    <w:name w:val="WW8Num61z4"/>
    <w:qFormat/>
  </w:style>
  <w:style w:type="character" w:customStyle="1" w:styleId="WW8Num61z5">
    <w:name w:val="WW8Num61z5"/>
    <w:qFormat/>
  </w:style>
  <w:style w:type="character" w:customStyle="1" w:styleId="WW8Num61z6">
    <w:name w:val="WW8Num61z6"/>
    <w:qFormat/>
  </w:style>
  <w:style w:type="character" w:customStyle="1" w:styleId="WW8Num61z7">
    <w:name w:val="WW8Num61z7"/>
    <w:qFormat/>
  </w:style>
  <w:style w:type="character" w:customStyle="1" w:styleId="WW8Num61z8">
    <w:name w:val="WW8Num61z8"/>
    <w:qFormat/>
  </w:style>
  <w:style w:type="character" w:customStyle="1" w:styleId="WW8Num62z0">
    <w:name w:val="WW8Num62z0"/>
    <w:qFormat/>
  </w:style>
  <w:style w:type="character" w:customStyle="1" w:styleId="WW8Num63z0">
    <w:name w:val="WW8Num63z0"/>
    <w:qFormat/>
    <w:rPr>
      <w:rFonts w:ascii="Arial" w:hAnsi="Arial" w:cs="Arial"/>
    </w:rPr>
  </w:style>
  <w:style w:type="character" w:customStyle="1" w:styleId="WW8Num63z1">
    <w:name w:val="WW8Num63z1"/>
    <w:qFormat/>
  </w:style>
  <w:style w:type="character" w:customStyle="1" w:styleId="WW8Num64z0">
    <w:name w:val="WW8Num64z0"/>
    <w:qFormat/>
    <w:rPr>
      <w:rFonts w:ascii="Times New Roman" w:hAnsi="Times New Roman" w:cs="Times New Roman"/>
      <w:sz w:val="24"/>
      <w:szCs w:val="24"/>
    </w:rPr>
  </w:style>
  <w:style w:type="character" w:customStyle="1" w:styleId="WW8Num64z1">
    <w:name w:val="WW8Num64z1"/>
    <w:qFormat/>
  </w:style>
  <w:style w:type="character" w:customStyle="1" w:styleId="WW8Num64z2">
    <w:name w:val="WW8Num64z2"/>
    <w:qFormat/>
  </w:style>
  <w:style w:type="character" w:customStyle="1" w:styleId="WW8Num64z3">
    <w:name w:val="WW8Num64z3"/>
    <w:qFormat/>
  </w:style>
  <w:style w:type="character" w:customStyle="1" w:styleId="WW8Num64z4">
    <w:name w:val="WW8Num64z4"/>
    <w:qFormat/>
  </w:style>
  <w:style w:type="character" w:customStyle="1" w:styleId="WW8Num64z5">
    <w:name w:val="WW8Num64z5"/>
    <w:qFormat/>
  </w:style>
  <w:style w:type="character" w:customStyle="1" w:styleId="WW8Num64z6">
    <w:name w:val="WW8Num64z6"/>
    <w:qFormat/>
  </w:style>
  <w:style w:type="character" w:customStyle="1" w:styleId="WW8Num64z7">
    <w:name w:val="WW8Num64z7"/>
    <w:qFormat/>
  </w:style>
  <w:style w:type="character" w:customStyle="1" w:styleId="WW8Num64z8">
    <w:name w:val="WW8Num64z8"/>
    <w:qFormat/>
  </w:style>
  <w:style w:type="character" w:customStyle="1" w:styleId="WW8Num65z0">
    <w:name w:val="WW8Num65z0"/>
    <w:qFormat/>
    <w:rPr>
      <w:rFonts w:ascii="Times New Roman" w:eastAsia="Times New Roman" w:hAnsi="Times New Roman" w:cs="Times New Roman"/>
      <w:b w:val="0"/>
      <w:bCs w:val="0"/>
      <w:i w:val="0"/>
      <w:iCs w:val="0"/>
      <w:caps w:val="0"/>
      <w:smallCaps w:val="0"/>
      <w:strike w:val="0"/>
      <w:dstrike w:val="0"/>
      <w:color w:val="000000"/>
      <w:spacing w:val="0"/>
      <w:position w:val="0"/>
      <w:sz w:val="24"/>
      <w:szCs w:val="24"/>
      <w:u w:val="none"/>
      <w:vertAlign w:val="baseline"/>
      <w:lang w:val="ru-RU"/>
    </w:rPr>
  </w:style>
  <w:style w:type="character" w:customStyle="1" w:styleId="WW8Num65z1">
    <w:name w:val="WW8Num65z1"/>
    <w:qFormat/>
  </w:style>
  <w:style w:type="character" w:customStyle="1" w:styleId="WW8Num65z2">
    <w:name w:val="WW8Num65z2"/>
    <w:qFormat/>
  </w:style>
  <w:style w:type="character" w:customStyle="1" w:styleId="WW8Num65z3">
    <w:name w:val="WW8Num65z3"/>
    <w:qFormat/>
  </w:style>
  <w:style w:type="character" w:customStyle="1" w:styleId="WW8Num65z4">
    <w:name w:val="WW8Num65z4"/>
    <w:qFormat/>
  </w:style>
  <w:style w:type="character" w:customStyle="1" w:styleId="WW8Num65z5">
    <w:name w:val="WW8Num65z5"/>
    <w:qFormat/>
  </w:style>
  <w:style w:type="character" w:customStyle="1" w:styleId="WW8Num65z6">
    <w:name w:val="WW8Num65z6"/>
    <w:qFormat/>
  </w:style>
  <w:style w:type="character" w:customStyle="1" w:styleId="WW8Num65z7">
    <w:name w:val="WW8Num65z7"/>
    <w:qFormat/>
  </w:style>
  <w:style w:type="character" w:customStyle="1" w:styleId="WW8Num65z8">
    <w:name w:val="WW8Num65z8"/>
    <w:qFormat/>
  </w:style>
  <w:style w:type="character" w:customStyle="1" w:styleId="WW8Num66z0">
    <w:name w:val="WW8Num66z0"/>
    <w:qFormat/>
    <w:rPr>
      <w:rFonts w:ascii="Symbol" w:hAnsi="Symbol" w:cs="Symbol"/>
    </w:rPr>
  </w:style>
  <w:style w:type="character" w:customStyle="1" w:styleId="WW8Num66z1">
    <w:name w:val="WW8Num66z1"/>
    <w:qFormat/>
    <w:rPr>
      <w:rFonts w:ascii="Courier New" w:hAnsi="Courier New" w:cs="Courier New"/>
    </w:rPr>
  </w:style>
  <w:style w:type="character" w:customStyle="1" w:styleId="WW8Num66z2">
    <w:name w:val="WW8Num66z2"/>
    <w:qFormat/>
    <w:rPr>
      <w:rFonts w:ascii="Wingdings" w:hAnsi="Wingdings" w:cs="Wingdings"/>
    </w:rPr>
  </w:style>
  <w:style w:type="character" w:customStyle="1" w:styleId="WW8Num67z0">
    <w:name w:val="WW8Num67z0"/>
    <w:qFormat/>
    <w:rPr>
      <w:rFonts w:ascii="Symbol" w:hAnsi="Symbol" w:cs="Symbol"/>
    </w:rPr>
  </w:style>
  <w:style w:type="character" w:customStyle="1" w:styleId="WW8Num67z1">
    <w:name w:val="WW8Num67z1"/>
    <w:qFormat/>
    <w:rPr>
      <w:rFonts w:ascii="Courier New" w:hAnsi="Courier New" w:cs="Courier New"/>
    </w:rPr>
  </w:style>
  <w:style w:type="character" w:customStyle="1" w:styleId="WW8Num67z2">
    <w:name w:val="WW8Num67z2"/>
    <w:qFormat/>
    <w:rPr>
      <w:rFonts w:ascii="Wingdings" w:hAnsi="Wingdings" w:cs="Wingdings"/>
    </w:rPr>
  </w:style>
  <w:style w:type="character" w:customStyle="1" w:styleId="WW8Num68z0">
    <w:name w:val="WW8Num68z0"/>
    <w:qFormat/>
    <w:rPr>
      <w:b w:val="0"/>
      <w:color w:val="000000"/>
    </w:rPr>
  </w:style>
  <w:style w:type="character" w:customStyle="1" w:styleId="WW8Num68z1">
    <w:name w:val="WW8Num68z1"/>
    <w:qFormat/>
  </w:style>
  <w:style w:type="character" w:customStyle="1" w:styleId="WW8Num68z2">
    <w:name w:val="WW8Num68z2"/>
    <w:qFormat/>
  </w:style>
  <w:style w:type="character" w:customStyle="1" w:styleId="WW8Num68z3">
    <w:name w:val="WW8Num68z3"/>
    <w:qFormat/>
  </w:style>
  <w:style w:type="character" w:customStyle="1" w:styleId="WW8Num68z4">
    <w:name w:val="WW8Num68z4"/>
    <w:qFormat/>
  </w:style>
  <w:style w:type="character" w:customStyle="1" w:styleId="WW8Num68z5">
    <w:name w:val="WW8Num68z5"/>
    <w:qFormat/>
  </w:style>
  <w:style w:type="character" w:customStyle="1" w:styleId="WW8Num68z6">
    <w:name w:val="WW8Num68z6"/>
    <w:qFormat/>
  </w:style>
  <w:style w:type="character" w:customStyle="1" w:styleId="WW8Num68z7">
    <w:name w:val="WW8Num68z7"/>
    <w:qFormat/>
  </w:style>
  <w:style w:type="character" w:customStyle="1" w:styleId="WW8Num68z8">
    <w:name w:val="WW8Num68z8"/>
    <w:qFormat/>
  </w:style>
  <w:style w:type="character" w:customStyle="1" w:styleId="WW8Num69z0">
    <w:name w:val="WW8Num69z0"/>
    <w:qFormat/>
    <w:rPr>
      <w:rFonts w:ascii="Symbol" w:hAnsi="Symbol" w:cs="Symbol"/>
    </w:rPr>
  </w:style>
  <w:style w:type="character" w:customStyle="1" w:styleId="WW8Num69z1">
    <w:name w:val="WW8Num69z1"/>
    <w:qFormat/>
    <w:rPr>
      <w:rFonts w:ascii="Courier New" w:hAnsi="Courier New" w:cs="Courier New"/>
    </w:rPr>
  </w:style>
  <w:style w:type="character" w:customStyle="1" w:styleId="WW8Num69z2">
    <w:name w:val="WW8Num69z2"/>
    <w:qFormat/>
    <w:rPr>
      <w:rFonts w:ascii="Wingdings" w:hAnsi="Wingdings" w:cs="Wingdings"/>
    </w:rPr>
  </w:style>
  <w:style w:type="character" w:customStyle="1" w:styleId="WW8Num70z0">
    <w:name w:val="WW8Num70z0"/>
    <w:qFormat/>
    <w:rPr>
      <w:rFonts w:ascii="Symbol" w:hAnsi="Symbol" w:cs="Symbol"/>
    </w:rPr>
  </w:style>
  <w:style w:type="character" w:customStyle="1" w:styleId="WW8Num70z1">
    <w:name w:val="WW8Num70z1"/>
    <w:qFormat/>
    <w:rPr>
      <w:rFonts w:ascii="Courier New" w:hAnsi="Courier New" w:cs="Courier New"/>
    </w:rPr>
  </w:style>
  <w:style w:type="character" w:customStyle="1" w:styleId="WW8Num70z2">
    <w:name w:val="WW8Num70z2"/>
    <w:qFormat/>
    <w:rPr>
      <w:rFonts w:ascii="Wingdings" w:hAnsi="Wingdings" w:cs="Wingdings"/>
    </w:rPr>
  </w:style>
  <w:style w:type="character" w:customStyle="1" w:styleId="WW8Num71z0">
    <w:name w:val="WW8Num71z0"/>
    <w:qFormat/>
    <w:rPr>
      <w:rFonts w:ascii="Times New Roman" w:eastAsia="Times New Roman" w:hAnsi="Times New Roman" w:cs="Times New Roman"/>
    </w:rPr>
  </w:style>
  <w:style w:type="character" w:customStyle="1" w:styleId="WW8Num71z1">
    <w:name w:val="WW8Num71z1"/>
    <w:qFormat/>
    <w:rPr>
      <w:rFonts w:ascii="Courier New" w:hAnsi="Courier New" w:cs="Courier New"/>
    </w:rPr>
  </w:style>
  <w:style w:type="character" w:customStyle="1" w:styleId="WW8Num71z2">
    <w:name w:val="WW8Num71z2"/>
    <w:qFormat/>
    <w:rPr>
      <w:rFonts w:ascii="Wingdings" w:hAnsi="Wingdings" w:cs="Wingdings"/>
    </w:rPr>
  </w:style>
  <w:style w:type="character" w:customStyle="1" w:styleId="WW8Num71z3">
    <w:name w:val="WW8Num71z3"/>
    <w:qFormat/>
    <w:rPr>
      <w:rFonts w:ascii="Symbol" w:hAnsi="Symbol" w:cs="Symbol"/>
    </w:rPr>
  </w:style>
  <w:style w:type="character" w:customStyle="1" w:styleId="WW8Num72z0">
    <w:name w:val="WW8Num72z0"/>
    <w:qFormat/>
  </w:style>
  <w:style w:type="character" w:customStyle="1" w:styleId="WW8Num73z0">
    <w:name w:val="WW8Num73z0"/>
    <w:qFormat/>
    <w:rPr>
      <w:rFonts w:ascii="Symbol" w:hAnsi="Symbol" w:cs="Symbol"/>
    </w:rPr>
  </w:style>
  <w:style w:type="character" w:customStyle="1" w:styleId="WW8Num73z1">
    <w:name w:val="WW8Num73z1"/>
    <w:qFormat/>
    <w:rPr>
      <w:rFonts w:ascii="Courier New" w:hAnsi="Courier New" w:cs="Courier New"/>
    </w:rPr>
  </w:style>
  <w:style w:type="character" w:customStyle="1" w:styleId="WW8Num73z2">
    <w:name w:val="WW8Num73z2"/>
    <w:qFormat/>
    <w:rPr>
      <w:rFonts w:ascii="Wingdings" w:hAnsi="Wingdings" w:cs="Wingdings"/>
    </w:rPr>
  </w:style>
  <w:style w:type="character" w:customStyle="1" w:styleId="WW8Num74z0">
    <w:name w:val="WW8Num74z0"/>
    <w:qFormat/>
    <w:rPr>
      <w:rFonts w:ascii="Symbol" w:hAnsi="Symbol" w:cs="Symbol"/>
    </w:rPr>
  </w:style>
  <w:style w:type="character" w:customStyle="1" w:styleId="WW8Num74z1">
    <w:name w:val="WW8Num74z1"/>
    <w:qFormat/>
    <w:rPr>
      <w:rFonts w:ascii="Courier New" w:hAnsi="Courier New" w:cs="Courier New"/>
    </w:rPr>
  </w:style>
  <w:style w:type="character" w:customStyle="1" w:styleId="WW8Num74z2">
    <w:name w:val="WW8Num74z2"/>
    <w:qFormat/>
    <w:rPr>
      <w:rFonts w:ascii="Wingdings" w:hAnsi="Wingdings" w:cs="Wingdings"/>
    </w:rPr>
  </w:style>
  <w:style w:type="character" w:customStyle="1" w:styleId="WW8Num75z0">
    <w:name w:val="WW8Num75z0"/>
    <w:qFormat/>
  </w:style>
  <w:style w:type="character" w:customStyle="1" w:styleId="WW8Num75z1">
    <w:name w:val="WW8Num75z1"/>
    <w:qFormat/>
  </w:style>
  <w:style w:type="character" w:customStyle="1" w:styleId="WW8Num75z2">
    <w:name w:val="WW8Num75z2"/>
    <w:qFormat/>
  </w:style>
  <w:style w:type="character" w:customStyle="1" w:styleId="WW8Num75z3">
    <w:name w:val="WW8Num75z3"/>
    <w:qFormat/>
  </w:style>
  <w:style w:type="character" w:customStyle="1" w:styleId="WW8Num75z4">
    <w:name w:val="WW8Num75z4"/>
    <w:qFormat/>
  </w:style>
  <w:style w:type="character" w:customStyle="1" w:styleId="WW8Num75z5">
    <w:name w:val="WW8Num75z5"/>
    <w:qFormat/>
  </w:style>
  <w:style w:type="character" w:customStyle="1" w:styleId="WW8Num75z6">
    <w:name w:val="WW8Num75z6"/>
    <w:qFormat/>
  </w:style>
  <w:style w:type="character" w:customStyle="1" w:styleId="WW8Num75z7">
    <w:name w:val="WW8Num75z7"/>
    <w:qFormat/>
  </w:style>
  <w:style w:type="character" w:customStyle="1" w:styleId="WW8Num75z8">
    <w:name w:val="WW8Num75z8"/>
    <w:qFormat/>
  </w:style>
  <w:style w:type="character" w:customStyle="1" w:styleId="WW8Num76z0">
    <w:name w:val="WW8Num76z0"/>
    <w:qFormat/>
  </w:style>
  <w:style w:type="character" w:customStyle="1" w:styleId="WW8Num77z0">
    <w:name w:val="WW8Num77z0"/>
    <w:qFormat/>
    <w:rPr>
      <w:rFonts w:ascii="Symbol" w:hAnsi="Symbol" w:cs="Symbol"/>
    </w:rPr>
  </w:style>
  <w:style w:type="character" w:customStyle="1" w:styleId="WW8Num77z1">
    <w:name w:val="WW8Num77z1"/>
    <w:qFormat/>
    <w:rPr>
      <w:rFonts w:ascii="Courier New" w:hAnsi="Courier New" w:cs="Courier New"/>
    </w:rPr>
  </w:style>
  <w:style w:type="character" w:customStyle="1" w:styleId="WW8Num77z2">
    <w:name w:val="WW8Num77z2"/>
    <w:qFormat/>
    <w:rPr>
      <w:rFonts w:ascii="Wingdings" w:hAnsi="Wingdings" w:cs="Wingdings"/>
    </w:rPr>
  </w:style>
  <w:style w:type="character" w:customStyle="1" w:styleId="WW8Num78z0">
    <w:name w:val="WW8Num78z0"/>
    <w:qFormat/>
    <w:rPr>
      <w:rFonts w:ascii="Courier New" w:hAnsi="Courier New" w:cs="Courier New"/>
      <w:sz w:val="24"/>
      <w:szCs w:val="24"/>
    </w:rPr>
  </w:style>
  <w:style w:type="character" w:customStyle="1" w:styleId="WW8Num78z2">
    <w:name w:val="WW8Num78z2"/>
    <w:qFormat/>
    <w:rPr>
      <w:rFonts w:ascii="Wingdings" w:hAnsi="Wingdings" w:cs="Wingdings"/>
    </w:rPr>
  </w:style>
  <w:style w:type="character" w:customStyle="1" w:styleId="WW8Num78z3">
    <w:name w:val="WW8Num78z3"/>
    <w:qFormat/>
    <w:rPr>
      <w:rFonts w:ascii="Symbol" w:hAnsi="Symbol" w:cs="Symbol"/>
    </w:rPr>
  </w:style>
  <w:style w:type="character" w:customStyle="1" w:styleId="WW8Num79z0">
    <w:name w:val="WW8Num79z0"/>
    <w:qFormat/>
    <w:rPr>
      <w:rFonts w:ascii="Symbol" w:eastAsia="Times New Roman" w:hAnsi="Symbol" w:cs="Symbol"/>
      <w:sz w:val="24"/>
      <w:szCs w:val="24"/>
      <w:lang w:eastAsia="ru-RU"/>
    </w:rPr>
  </w:style>
  <w:style w:type="character" w:customStyle="1" w:styleId="WW8Num79z1">
    <w:name w:val="WW8Num79z1"/>
    <w:qFormat/>
    <w:rPr>
      <w:rFonts w:ascii="Courier New" w:hAnsi="Courier New" w:cs="Courier New"/>
    </w:rPr>
  </w:style>
  <w:style w:type="character" w:customStyle="1" w:styleId="WW8Num79z2">
    <w:name w:val="WW8Num79z2"/>
    <w:qFormat/>
    <w:rPr>
      <w:rFonts w:ascii="Wingdings" w:hAnsi="Wingdings" w:cs="Wingdings"/>
    </w:rPr>
  </w:style>
  <w:style w:type="character" w:customStyle="1" w:styleId="WW8Num80z0">
    <w:name w:val="WW8Num80z0"/>
    <w:qFormat/>
    <w:rPr>
      <w:rFonts w:ascii="Times New Roman" w:hAnsi="Times New Roman" w:cs="Times New Roman"/>
      <w:bCs/>
      <w:sz w:val="24"/>
      <w:szCs w:val="24"/>
    </w:rPr>
  </w:style>
  <w:style w:type="character" w:customStyle="1" w:styleId="WW8Num80z1">
    <w:name w:val="WW8Num80z1"/>
    <w:qFormat/>
  </w:style>
  <w:style w:type="character" w:customStyle="1" w:styleId="WW8Num80z2">
    <w:name w:val="WW8Num80z2"/>
    <w:qFormat/>
  </w:style>
  <w:style w:type="character" w:customStyle="1" w:styleId="WW8Num80z3">
    <w:name w:val="WW8Num80z3"/>
    <w:qFormat/>
  </w:style>
  <w:style w:type="character" w:customStyle="1" w:styleId="WW8Num80z4">
    <w:name w:val="WW8Num80z4"/>
    <w:qFormat/>
  </w:style>
  <w:style w:type="character" w:customStyle="1" w:styleId="WW8Num80z5">
    <w:name w:val="WW8Num80z5"/>
    <w:qFormat/>
  </w:style>
  <w:style w:type="character" w:customStyle="1" w:styleId="WW8Num80z6">
    <w:name w:val="WW8Num80z6"/>
    <w:qFormat/>
  </w:style>
  <w:style w:type="character" w:customStyle="1" w:styleId="WW8Num80z7">
    <w:name w:val="WW8Num80z7"/>
    <w:qFormat/>
  </w:style>
  <w:style w:type="character" w:customStyle="1" w:styleId="WW8Num80z8">
    <w:name w:val="WW8Num80z8"/>
    <w:qFormat/>
  </w:style>
  <w:style w:type="character" w:customStyle="1" w:styleId="WW8Num81z0">
    <w:name w:val="WW8Num81z0"/>
    <w:qFormat/>
    <w:rPr>
      <w:rFonts w:cs="Times New Roman"/>
    </w:rPr>
  </w:style>
  <w:style w:type="character" w:customStyle="1" w:styleId="WW8Num82z0">
    <w:name w:val="WW8Num82z0"/>
    <w:qFormat/>
    <w:rPr>
      <w:rFonts w:ascii="Symbol" w:hAnsi="Symbol" w:cs="Symbol"/>
    </w:rPr>
  </w:style>
  <w:style w:type="character" w:customStyle="1" w:styleId="WW8Num82z1">
    <w:name w:val="WW8Num82z1"/>
    <w:qFormat/>
    <w:rPr>
      <w:rFonts w:ascii="Courier New" w:hAnsi="Courier New" w:cs="Courier New"/>
    </w:rPr>
  </w:style>
  <w:style w:type="character" w:customStyle="1" w:styleId="WW8Num82z2">
    <w:name w:val="WW8Num82z2"/>
    <w:qFormat/>
    <w:rPr>
      <w:rFonts w:ascii="Wingdings" w:hAnsi="Wingdings" w:cs="Wingdings"/>
    </w:rPr>
  </w:style>
  <w:style w:type="character" w:customStyle="1" w:styleId="WW8Num83z0">
    <w:name w:val="WW8Num83z0"/>
    <w:qFormat/>
  </w:style>
  <w:style w:type="character" w:customStyle="1" w:styleId="WW8Num83z1">
    <w:name w:val="WW8Num83z1"/>
    <w:qFormat/>
  </w:style>
  <w:style w:type="character" w:customStyle="1" w:styleId="WW8Num83z2">
    <w:name w:val="WW8Num83z2"/>
    <w:qFormat/>
  </w:style>
  <w:style w:type="character" w:customStyle="1" w:styleId="WW8Num83z3">
    <w:name w:val="WW8Num83z3"/>
    <w:qFormat/>
  </w:style>
  <w:style w:type="character" w:customStyle="1" w:styleId="WW8Num83z4">
    <w:name w:val="WW8Num83z4"/>
    <w:qFormat/>
  </w:style>
  <w:style w:type="character" w:customStyle="1" w:styleId="WW8Num83z5">
    <w:name w:val="WW8Num83z5"/>
    <w:qFormat/>
  </w:style>
  <w:style w:type="character" w:customStyle="1" w:styleId="WW8Num83z6">
    <w:name w:val="WW8Num83z6"/>
    <w:qFormat/>
  </w:style>
  <w:style w:type="character" w:customStyle="1" w:styleId="WW8Num83z7">
    <w:name w:val="WW8Num83z7"/>
    <w:qFormat/>
  </w:style>
  <w:style w:type="character" w:customStyle="1" w:styleId="WW8Num83z8">
    <w:name w:val="WW8Num83z8"/>
    <w:qFormat/>
  </w:style>
  <w:style w:type="character" w:customStyle="1" w:styleId="WW8Num84z0">
    <w:name w:val="WW8Num84z0"/>
    <w:qFormat/>
  </w:style>
  <w:style w:type="character" w:customStyle="1" w:styleId="WW8Num85z0">
    <w:name w:val="WW8Num85z0"/>
    <w:qFormat/>
    <w:rPr>
      <w:rFonts w:ascii="Symbol" w:hAnsi="Symbol" w:cs="Symbol"/>
    </w:rPr>
  </w:style>
  <w:style w:type="character" w:customStyle="1" w:styleId="WW8Num85z1">
    <w:name w:val="WW8Num85z1"/>
    <w:qFormat/>
    <w:rPr>
      <w:rFonts w:ascii="Courier New" w:hAnsi="Courier New" w:cs="Courier New"/>
    </w:rPr>
  </w:style>
  <w:style w:type="character" w:customStyle="1" w:styleId="WW8Num85z2">
    <w:name w:val="WW8Num85z2"/>
    <w:qFormat/>
    <w:rPr>
      <w:rFonts w:ascii="Wingdings" w:hAnsi="Wingdings" w:cs="Wingdings"/>
    </w:rPr>
  </w:style>
  <w:style w:type="character" w:customStyle="1" w:styleId="WW8Num86z0">
    <w:name w:val="WW8Num86z0"/>
    <w:qFormat/>
    <w:rPr>
      <w:rFonts w:ascii="Symbol" w:hAnsi="Symbol" w:cs="Symbol"/>
    </w:rPr>
  </w:style>
  <w:style w:type="character" w:customStyle="1" w:styleId="WW8Num86z1">
    <w:name w:val="WW8Num86z1"/>
    <w:qFormat/>
    <w:rPr>
      <w:rFonts w:ascii="Courier New" w:hAnsi="Courier New" w:cs="Courier New"/>
    </w:rPr>
  </w:style>
  <w:style w:type="character" w:customStyle="1" w:styleId="WW8Num86z2">
    <w:name w:val="WW8Num86z2"/>
    <w:qFormat/>
    <w:rPr>
      <w:rFonts w:ascii="Wingdings" w:hAnsi="Wingdings" w:cs="Wingdings"/>
    </w:rPr>
  </w:style>
  <w:style w:type="character" w:customStyle="1" w:styleId="WW8Num87z0">
    <w:name w:val="WW8Num87z0"/>
    <w:qFormat/>
    <w:rPr>
      <w:rFonts w:ascii="Symbol" w:hAnsi="Symbol" w:cs="Symbol"/>
    </w:rPr>
  </w:style>
  <w:style w:type="character" w:customStyle="1" w:styleId="WW8Num87z1">
    <w:name w:val="WW8Num87z1"/>
    <w:qFormat/>
    <w:rPr>
      <w:rFonts w:ascii="Courier New" w:hAnsi="Courier New" w:cs="Courier New"/>
    </w:rPr>
  </w:style>
  <w:style w:type="character" w:customStyle="1" w:styleId="WW8Num87z2">
    <w:name w:val="WW8Num87z2"/>
    <w:qFormat/>
    <w:rPr>
      <w:rFonts w:ascii="Wingdings" w:hAnsi="Wingdings" w:cs="Wingdings"/>
    </w:rPr>
  </w:style>
  <w:style w:type="character" w:customStyle="1" w:styleId="WW8Num88z0">
    <w:name w:val="WW8Num88z0"/>
    <w:qFormat/>
    <w:rPr>
      <w:rFonts w:cs="Times New Roman"/>
      <w:color w:val="4F81BD"/>
      <w:sz w:val="18"/>
      <w:szCs w:val="18"/>
    </w:rPr>
  </w:style>
  <w:style w:type="character" w:customStyle="1" w:styleId="WW8Num88z1">
    <w:name w:val="WW8Num88z1"/>
    <w:qFormat/>
    <w:rPr>
      <w:rFonts w:ascii="Courier New" w:hAnsi="Courier New" w:cs="Courier New"/>
      <w:sz w:val="24"/>
    </w:rPr>
  </w:style>
  <w:style w:type="character" w:customStyle="1" w:styleId="WW8Num88z2">
    <w:name w:val="WW8Num88z2"/>
    <w:qFormat/>
    <w:rPr>
      <w:rFonts w:ascii="Arial Cyr" w:hAnsi="Arial Cyr" w:cs="Arial Cyr"/>
      <w:sz w:val="24"/>
    </w:rPr>
  </w:style>
  <w:style w:type="character" w:customStyle="1" w:styleId="WW8Num88z3">
    <w:name w:val="WW8Num88z3"/>
    <w:qFormat/>
    <w:rPr>
      <w:rFonts w:ascii="Times New Roman" w:hAnsi="Times New Roman" w:cs="Times New Roman"/>
      <w:sz w:val="24"/>
    </w:rPr>
  </w:style>
  <w:style w:type="character" w:customStyle="1" w:styleId="WW8Num89z0">
    <w:name w:val="WW8Num89z0"/>
    <w:qFormat/>
    <w:rPr>
      <w:rFonts w:ascii="Symbol" w:hAnsi="Symbol" w:cs="Symbol"/>
      <w:sz w:val="24"/>
      <w:szCs w:val="24"/>
    </w:rPr>
  </w:style>
  <w:style w:type="character" w:customStyle="1" w:styleId="WW8Num89z1">
    <w:name w:val="WW8Num89z1"/>
    <w:qFormat/>
    <w:rPr>
      <w:rFonts w:ascii="Courier New" w:hAnsi="Courier New" w:cs="Courier New"/>
    </w:rPr>
  </w:style>
  <w:style w:type="character" w:customStyle="1" w:styleId="WW8Num89z2">
    <w:name w:val="WW8Num89z2"/>
    <w:qFormat/>
    <w:rPr>
      <w:rFonts w:ascii="Wingdings" w:hAnsi="Wingdings" w:cs="Wingdings"/>
    </w:rPr>
  </w:style>
  <w:style w:type="character" w:customStyle="1" w:styleId="WW8Num90z0">
    <w:name w:val="WW8Num90z0"/>
    <w:qFormat/>
    <w:rPr>
      <w:rFonts w:ascii="Times New Roman" w:hAnsi="Times New Roman" w:cs="Times New Roman"/>
    </w:rPr>
  </w:style>
  <w:style w:type="character" w:customStyle="1" w:styleId="WW8Num90z1">
    <w:name w:val="WW8Num90z1"/>
    <w:qFormat/>
    <w:rPr>
      <w:rFonts w:ascii="Courier New" w:hAnsi="Courier New" w:cs="Courier New"/>
    </w:rPr>
  </w:style>
  <w:style w:type="character" w:customStyle="1" w:styleId="WW8Num90z2">
    <w:name w:val="WW8Num90z2"/>
    <w:qFormat/>
    <w:rPr>
      <w:rFonts w:ascii="Wingdings" w:hAnsi="Wingdings" w:cs="Wingdings"/>
    </w:rPr>
  </w:style>
  <w:style w:type="character" w:customStyle="1" w:styleId="WW8Num90z3">
    <w:name w:val="WW8Num90z3"/>
    <w:qFormat/>
    <w:rPr>
      <w:rFonts w:ascii="Symbol" w:hAnsi="Symbol" w:cs="Symbol"/>
    </w:rPr>
  </w:style>
  <w:style w:type="character" w:customStyle="1" w:styleId="WW8Num91z0">
    <w:name w:val="WW8Num91z0"/>
    <w:qFormat/>
    <w:rPr>
      <w:rFonts w:ascii="Symbol" w:hAnsi="Symbol" w:cs="Symbol"/>
    </w:rPr>
  </w:style>
  <w:style w:type="character" w:customStyle="1" w:styleId="WW8Num91z1">
    <w:name w:val="WW8Num91z1"/>
    <w:qFormat/>
    <w:rPr>
      <w:rFonts w:ascii="Courier New" w:hAnsi="Courier New" w:cs="Courier New"/>
      <w:sz w:val="24"/>
      <w:szCs w:val="24"/>
    </w:rPr>
  </w:style>
  <w:style w:type="character" w:customStyle="1" w:styleId="WW8Num91z2">
    <w:name w:val="WW8Num91z2"/>
    <w:qFormat/>
    <w:rPr>
      <w:rFonts w:ascii="Wingdings" w:hAnsi="Wingdings" w:cs="Wingdings"/>
    </w:rPr>
  </w:style>
  <w:style w:type="character" w:customStyle="1" w:styleId="WW8Num92z0">
    <w:name w:val="WW8Num92z0"/>
    <w:qFormat/>
    <w:rPr>
      <w:rFonts w:ascii="Times New Roman" w:hAnsi="Times New Roman" w:cs="Times New Roman"/>
    </w:rPr>
  </w:style>
  <w:style w:type="character" w:customStyle="1" w:styleId="WW8Num92z1">
    <w:name w:val="WW8Num92z1"/>
    <w:qFormat/>
    <w:rPr>
      <w:rFonts w:ascii="Courier New" w:hAnsi="Courier New" w:cs="Courier New"/>
    </w:rPr>
  </w:style>
  <w:style w:type="character" w:customStyle="1" w:styleId="WW8Num92z2">
    <w:name w:val="WW8Num92z2"/>
    <w:qFormat/>
    <w:rPr>
      <w:rFonts w:ascii="Wingdings" w:hAnsi="Wingdings" w:cs="Wingdings"/>
    </w:rPr>
  </w:style>
  <w:style w:type="character" w:customStyle="1" w:styleId="WW8Num92z3">
    <w:name w:val="WW8Num92z3"/>
    <w:qFormat/>
    <w:rPr>
      <w:rFonts w:ascii="Symbol" w:hAnsi="Symbol" w:cs="Symbol"/>
    </w:rPr>
  </w:style>
  <w:style w:type="character" w:customStyle="1" w:styleId="WW8Num93z0">
    <w:name w:val="WW8Num93z0"/>
    <w:qFormat/>
    <w:rPr>
      <w:rFonts w:ascii="Symbol" w:hAnsi="Symbol" w:cs="Symbol"/>
    </w:rPr>
  </w:style>
  <w:style w:type="character" w:customStyle="1" w:styleId="WW8Num93z1">
    <w:name w:val="WW8Num93z1"/>
    <w:qFormat/>
    <w:rPr>
      <w:rFonts w:ascii="Courier New" w:hAnsi="Courier New" w:cs="Courier New"/>
    </w:rPr>
  </w:style>
  <w:style w:type="character" w:customStyle="1" w:styleId="WW8Num93z2">
    <w:name w:val="WW8Num93z2"/>
    <w:qFormat/>
    <w:rPr>
      <w:rFonts w:ascii="Wingdings" w:hAnsi="Wingdings" w:cs="Wingdings"/>
    </w:rPr>
  </w:style>
  <w:style w:type="character" w:customStyle="1" w:styleId="WW8Num94z0">
    <w:name w:val="WW8Num94z0"/>
    <w:qFormat/>
    <w:rPr>
      <w:rFonts w:ascii="Times New Roman" w:eastAsia="Times New Roman" w:hAnsi="Times New Roman" w:cs="Times New Roman"/>
      <w:bCs/>
      <w:sz w:val="24"/>
      <w:szCs w:val="24"/>
      <w:lang w:eastAsia="ru-RU"/>
    </w:rPr>
  </w:style>
  <w:style w:type="character" w:customStyle="1" w:styleId="WW8Num94z1">
    <w:name w:val="WW8Num94z1"/>
    <w:qFormat/>
  </w:style>
  <w:style w:type="character" w:customStyle="1" w:styleId="WW8Num94z2">
    <w:name w:val="WW8Num94z2"/>
    <w:qFormat/>
  </w:style>
  <w:style w:type="character" w:customStyle="1" w:styleId="WW8Num94z3">
    <w:name w:val="WW8Num94z3"/>
    <w:qFormat/>
  </w:style>
  <w:style w:type="character" w:customStyle="1" w:styleId="WW8Num94z4">
    <w:name w:val="WW8Num94z4"/>
    <w:qFormat/>
  </w:style>
  <w:style w:type="character" w:customStyle="1" w:styleId="WW8Num94z5">
    <w:name w:val="WW8Num94z5"/>
    <w:qFormat/>
  </w:style>
  <w:style w:type="character" w:customStyle="1" w:styleId="WW8Num94z6">
    <w:name w:val="WW8Num94z6"/>
    <w:qFormat/>
  </w:style>
  <w:style w:type="character" w:customStyle="1" w:styleId="WW8Num94z7">
    <w:name w:val="WW8Num94z7"/>
    <w:qFormat/>
  </w:style>
  <w:style w:type="character" w:customStyle="1" w:styleId="WW8Num94z8">
    <w:name w:val="WW8Num94z8"/>
    <w:qFormat/>
  </w:style>
  <w:style w:type="character" w:customStyle="1" w:styleId="WW8Num95z0">
    <w:name w:val="WW8Num95z0"/>
    <w:qFormat/>
  </w:style>
  <w:style w:type="character" w:customStyle="1" w:styleId="WW8Num95z1">
    <w:name w:val="WW8Num95z1"/>
    <w:qFormat/>
  </w:style>
  <w:style w:type="character" w:customStyle="1" w:styleId="WW8Num95z2">
    <w:name w:val="WW8Num95z2"/>
    <w:qFormat/>
  </w:style>
  <w:style w:type="character" w:customStyle="1" w:styleId="WW8Num95z3">
    <w:name w:val="WW8Num95z3"/>
    <w:qFormat/>
  </w:style>
  <w:style w:type="character" w:customStyle="1" w:styleId="WW8Num95z4">
    <w:name w:val="WW8Num95z4"/>
    <w:qFormat/>
  </w:style>
  <w:style w:type="character" w:customStyle="1" w:styleId="WW8Num95z5">
    <w:name w:val="WW8Num95z5"/>
    <w:qFormat/>
  </w:style>
  <w:style w:type="character" w:customStyle="1" w:styleId="WW8Num95z6">
    <w:name w:val="WW8Num95z6"/>
    <w:qFormat/>
  </w:style>
  <w:style w:type="character" w:customStyle="1" w:styleId="WW8Num95z7">
    <w:name w:val="WW8Num95z7"/>
    <w:qFormat/>
  </w:style>
  <w:style w:type="character" w:customStyle="1" w:styleId="WW8Num95z8">
    <w:name w:val="WW8Num95z8"/>
    <w:qFormat/>
  </w:style>
  <w:style w:type="character" w:customStyle="1" w:styleId="WW8Num96z0">
    <w:name w:val="WW8Num96z0"/>
    <w:qFormat/>
    <w:rPr>
      <w:rFonts w:ascii="Swis721 LtCn BT" w:hAnsi="Swis721 LtCn BT" w:cs="Swis721 LtCn BT"/>
      <w:color w:val="171AA9"/>
    </w:rPr>
  </w:style>
  <w:style w:type="character" w:customStyle="1" w:styleId="WW8Num96z1">
    <w:name w:val="WW8Num96z1"/>
    <w:qFormat/>
    <w:rPr>
      <w:rFonts w:ascii="Courier New" w:hAnsi="Courier New" w:cs="Courier New"/>
    </w:rPr>
  </w:style>
  <w:style w:type="character" w:customStyle="1" w:styleId="WW8Num96z2">
    <w:name w:val="WW8Num96z2"/>
    <w:qFormat/>
    <w:rPr>
      <w:rFonts w:ascii="Wingdings" w:hAnsi="Wingdings" w:cs="Wingdings"/>
    </w:rPr>
  </w:style>
  <w:style w:type="character" w:customStyle="1" w:styleId="WW8Num96z3">
    <w:name w:val="WW8Num96z3"/>
    <w:qFormat/>
    <w:rPr>
      <w:rFonts w:ascii="Symbol" w:hAnsi="Symbol" w:cs="Symbol"/>
    </w:rPr>
  </w:style>
  <w:style w:type="character" w:customStyle="1" w:styleId="WW8Num97z0">
    <w:name w:val="WW8Num97z0"/>
    <w:qFormat/>
    <w:rPr>
      <w:rFonts w:ascii="Times New Roman" w:eastAsia="Calibri" w:hAnsi="Times New Roman" w:cs="Times New Roman"/>
      <w:b/>
      <w:color w:val="0069FB"/>
      <w:sz w:val="28"/>
      <w:szCs w:val="28"/>
      <w:lang w:eastAsia="ru-RU"/>
    </w:rPr>
  </w:style>
  <w:style w:type="character" w:customStyle="1" w:styleId="12">
    <w:name w:val="Основной шрифт абзаца1"/>
    <w:qFormat/>
  </w:style>
  <w:style w:type="character" w:customStyle="1" w:styleId="af2">
    <w:name w:val="Верхний колонтитул Знак"/>
    <w:qFormat/>
    <w:rPr>
      <w:rFonts w:ascii="Times New Roman" w:eastAsia="Times New Roman" w:hAnsi="Times New Roman" w:cs="Times New Roman"/>
      <w:sz w:val="24"/>
      <w:szCs w:val="24"/>
    </w:rPr>
  </w:style>
  <w:style w:type="character" w:customStyle="1" w:styleId="af3">
    <w:name w:val="Нижний колонтитул Знак"/>
    <w:uiPriority w:val="99"/>
    <w:qFormat/>
    <w:rPr>
      <w:rFonts w:ascii="Times New Roman" w:eastAsia="Times New Roman" w:hAnsi="Times New Roman" w:cs="Times New Roman"/>
      <w:sz w:val="24"/>
      <w:szCs w:val="24"/>
    </w:rPr>
  </w:style>
  <w:style w:type="character" w:customStyle="1" w:styleId="13">
    <w:name w:val="Заголовок 1 Знак"/>
    <w:qFormat/>
    <w:rPr>
      <w:rFonts w:ascii="Times New Roman" w:eastAsia="Times New Roman" w:hAnsi="Times New Roman" w:cs="Times New Roman"/>
      <w:b/>
      <w:sz w:val="24"/>
    </w:rPr>
  </w:style>
  <w:style w:type="character" w:customStyle="1" w:styleId="25">
    <w:name w:val="Заголовок 2 Знак"/>
    <w:qFormat/>
    <w:rPr>
      <w:rFonts w:ascii="Arial" w:eastAsia="Times New Roman" w:hAnsi="Arial" w:cs="Arial"/>
      <w:b/>
      <w:bCs/>
      <w:i/>
      <w:iCs/>
      <w:sz w:val="28"/>
      <w:szCs w:val="28"/>
    </w:rPr>
  </w:style>
  <w:style w:type="character" w:customStyle="1" w:styleId="30">
    <w:name w:val="Заголовок 3 Знак"/>
    <w:uiPriority w:val="9"/>
    <w:qFormat/>
    <w:rPr>
      <w:rFonts w:ascii="Arial" w:eastAsia="Times New Roman" w:hAnsi="Arial" w:cs="Arial"/>
      <w:b/>
      <w:bCs/>
      <w:sz w:val="26"/>
      <w:szCs w:val="26"/>
    </w:rPr>
  </w:style>
  <w:style w:type="character" w:customStyle="1" w:styleId="60">
    <w:name w:val="Заголовок 6 Знак"/>
    <w:qFormat/>
    <w:rPr>
      <w:rFonts w:ascii="Times New Roman" w:eastAsia="Times New Roman" w:hAnsi="Times New Roman" w:cs="Times New Roman"/>
      <w:b/>
      <w:bCs/>
      <w:sz w:val="22"/>
      <w:szCs w:val="22"/>
    </w:rPr>
  </w:style>
  <w:style w:type="character" w:customStyle="1" w:styleId="A60">
    <w:name w:val="A6"/>
    <w:qFormat/>
    <w:rPr>
      <w:rFonts w:cs="HeliosCompressed"/>
      <w:color w:val="000000"/>
      <w:sz w:val="72"/>
      <w:szCs w:val="72"/>
    </w:rPr>
  </w:style>
  <w:style w:type="character" w:customStyle="1" w:styleId="A12">
    <w:name w:val="A12"/>
    <w:qFormat/>
    <w:rPr>
      <w:rFonts w:cs="HeliosCond"/>
      <w:color w:val="000000"/>
      <w:sz w:val="14"/>
      <w:szCs w:val="14"/>
    </w:rPr>
  </w:style>
  <w:style w:type="character" w:customStyle="1" w:styleId="26">
    <w:name w:val="Основной текст с отступом 2 Знак"/>
    <w:link w:val="27"/>
    <w:qFormat/>
    <w:rPr>
      <w:rFonts w:ascii="Times New Roman" w:eastAsia="Times New Roman" w:hAnsi="Times New Roman" w:cs="Times New Roman"/>
      <w:sz w:val="24"/>
      <w:szCs w:val="24"/>
    </w:rPr>
  </w:style>
  <w:style w:type="character" w:customStyle="1" w:styleId="32">
    <w:name w:val="Основной текст 3 Знак"/>
    <w:link w:val="33"/>
    <w:qFormat/>
    <w:rPr>
      <w:rFonts w:ascii="Times New Roman" w:eastAsia="Times New Roman" w:hAnsi="Times New Roman" w:cs="Times New Roman"/>
      <w:sz w:val="28"/>
    </w:rPr>
  </w:style>
  <w:style w:type="character" w:customStyle="1" w:styleId="af4">
    <w:name w:val="Основной текст Знак"/>
    <w:qFormat/>
    <w:rPr>
      <w:rFonts w:ascii="Times New Roman" w:eastAsia="Times New Roman" w:hAnsi="Times New Roman" w:cs="Times New Roman"/>
      <w:sz w:val="24"/>
      <w:szCs w:val="24"/>
    </w:rPr>
  </w:style>
  <w:style w:type="character" w:customStyle="1" w:styleId="af5">
    <w:name w:val="Основной текст с отступом Знак"/>
    <w:qFormat/>
    <w:rPr>
      <w:rFonts w:ascii="Times New Roman" w:eastAsia="Times New Roman" w:hAnsi="Times New Roman" w:cs="Times New Roman"/>
      <w:sz w:val="24"/>
      <w:szCs w:val="24"/>
    </w:rPr>
  </w:style>
  <w:style w:type="character" w:customStyle="1" w:styleId="14">
    <w:name w:val="Знак Знак1"/>
    <w:qFormat/>
    <w:rPr>
      <w:sz w:val="24"/>
      <w:szCs w:val="24"/>
    </w:rPr>
  </w:style>
  <w:style w:type="character" w:styleId="af6">
    <w:name w:val="page number"/>
    <w:basedOn w:val="12"/>
  </w:style>
  <w:style w:type="character" w:customStyle="1" w:styleId="af7">
    <w:name w:val="Текст примечания Знак"/>
    <w:uiPriority w:val="99"/>
    <w:qFormat/>
    <w:rPr>
      <w:rFonts w:ascii="Times New Roman" w:eastAsia="Times New Roman" w:hAnsi="Times New Roman" w:cs="Times New Roman"/>
    </w:rPr>
  </w:style>
  <w:style w:type="character" w:customStyle="1" w:styleId="af8">
    <w:name w:val="Текст выноски Знак"/>
    <w:uiPriority w:val="99"/>
    <w:qFormat/>
    <w:rPr>
      <w:rFonts w:ascii="Tahoma" w:eastAsia="Times New Roman" w:hAnsi="Tahoma" w:cs="Tahoma"/>
      <w:sz w:val="16"/>
      <w:szCs w:val="16"/>
    </w:rPr>
  </w:style>
  <w:style w:type="character" w:customStyle="1" w:styleId="28">
    <w:name w:val="Основной текст 2 Знак"/>
    <w:qFormat/>
    <w:rPr>
      <w:rFonts w:ascii="Times New Roman" w:eastAsia="Times New Roman" w:hAnsi="Times New Roman" w:cs="Times New Roman"/>
      <w:sz w:val="24"/>
      <w:szCs w:val="24"/>
    </w:rPr>
  </w:style>
  <w:style w:type="character" w:customStyle="1" w:styleId="34">
    <w:name w:val="Основной текст с отступом 3 Знак"/>
    <w:qFormat/>
    <w:rPr>
      <w:rFonts w:ascii="Times New Roman" w:eastAsia="Times New Roman" w:hAnsi="Times New Roman" w:cs="Times New Roman"/>
      <w:sz w:val="16"/>
      <w:szCs w:val="16"/>
    </w:rPr>
  </w:style>
  <w:style w:type="character" w:customStyle="1" w:styleId="Web1Web1WebWeb2Web">
    <w:name w:val="Обычный (веб) Знак;Обычный (Web) Знак1;Обычный (Web) Знак Знак1;Обычный (Web) Знак Знак Знак;Обычный (Web) Знак Знак2;Обычный (Web) Знак Знак Знак Знак"/>
    <w:qFormat/>
    <w:rPr>
      <w:rFonts w:ascii="Times New Roman" w:hAnsi="Times New Roman" w:cs="Times New Roman"/>
      <w:sz w:val="24"/>
      <w:szCs w:val="24"/>
    </w:rPr>
  </w:style>
  <w:style w:type="character" w:customStyle="1" w:styleId="15">
    <w:name w:val="Знак примечания1"/>
    <w:qFormat/>
    <w:rPr>
      <w:sz w:val="16"/>
      <w:szCs w:val="16"/>
    </w:rPr>
  </w:style>
  <w:style w:type="character" w:customStyle="1" w:styleId="af9">
    <w:name w:val="Тема примечания Знак"/>
    <w:uiPriority w:val="99"/>
    <w:qFormat/>
    <w:rPr>
      <w:rFonts w:ascii="Times New Roman" w:eastAsia="Times New Roman" w:hAnsi="Times New Roman" w:cs="Times New Roman"/>
      <w:b/>
      <w:bCs/>
    </w:rPr>
  </w:style>
  <w:style w:type="character" w:customStyle="1" w:styleId="HTML">
    <w:name w:val="Стандартный HTML Знак"/>
    <w:qFormat/>
    <w:rPr>
      <w:rFonts w:ascii="Courier New" w:eastAsia="Times New Roman" w:hAnsi="Courier New" w:cs="Courier New"/>
    </w:rPr>
  </w:style>
  <w:style w:type="character" w:customStyle="1" w:styleId="ARMfootnoteTextFootnoteNewFootnoteTextChar1FootnoteTextChar11FootnoteTextChar12FootnoteTextChar2FootnoteTextChar21FootnoteTextChar3FootnoteTextChar4">
    <w:name w:val="Текст сноски Знак;ARM footnote Text Знак;Footnote New Знак;Footnote Text Char1 Знак;Footnote Text Char11 Знак;Footnote Text Char12 Знак;Footnote Text Char2 Знак;Footnote Text Char21 Знак;Footnote Text Char3 Знак;Footnote Text Char4 Знак"/>
    <w:qFormat/>
  </w:style>
  <w:style w:type="character" w:customStyle="1" w:styleId="afa">
    <w:name w:val="Текст Знак"/>
    <w:link w:val="afb"/>
    <w:uiPriority w:val="99"/>
    <w:qFormat/>
    <w:rPr>
      <w:sz w:val="22"/>
      <w:szCs w:val="21"/>
    </w:rPr>
  </w:style>
  <w:style w:type="character" w:customStyle="1" w:styleId="afc">
    <w:name w:val="Текст концевой сноски Знак"/>
    <w:uiPriority w:val="99"/>
    <w:qFormat/>
    <w:rPr>
      <w:rFonts w:ascii="Times New Roman" w:eastAsia="Times New Roman" w:hAnsi="Times New Roman" w:cs="Times New Roman"/>
    </w:rPr>
  </w:style>
  <w:style w:type="character" w:customStyle="1" w:styleId="afd">
    <w:name w:val="Символы концевой сноски"/>
    <w:qFormat/>
    <w:rPr>
      <w:vertAlign w:val="superscript"/>
    </w:rPr>
  </w:style>
  <w:style w:type="character" w:styleId="afe">
    <w:name w:val="Strong"/>
    <w:qFormat/>
    <w:rPr>
      <w:b/>
      <w:bCs/>
    </w:rPr>
  </w:style>
  <w:style w:type="character" w:customStyle="1" w:styleId="aff">
    <w:name w:val="Схема документа Знак"/>
    <w:qFormat/>
    <w:rPr>
      <w:rFonts w:ascii="Tahoma" w:eastAsia="Times New Roman" w:hAnsi="Tahoma" w:cs="Tahoma"/>
      <w:shd w:val="clear" w:color="auto" w:fill="000080"/>
    </w:rPr>
  </w:style>
  <w:style w:type="character" w:customStyle="1" w:styleId="40">
    <w:name w:val="Заголовок 4 Знак"/>
    <w:uiPriority w:val="9"/>
    <w:qFormat/>
    <w:rPr>
      <w:rFonts w:eastAsia="Times New Roman"/>
      <w:b/>
      <w:bCs/>
      <w:sz w:val="28"/>
      <w:szCs w:val="28"/>
      <w:lang w:val="en-US"/>
    </w:rPr>
  </w:style>
  <w:style w:type="character" w:customStyle="1" w:styleId="70">
    <w:name w:val="Заголовок 7 Знак"/>
    <w:qFormat/>
    <w:rPr>
      <w:rFonts w:ascii="Times New Roman" w:eastAsia="Times New Roman" w:hAnsi="Times New Roman" w:cs="Times New Roman"/>
      <w:sz w:val="22"/>
      <w:szCs w:val="22"/>
      <w:lang w:val="en-US"/>
    </w:rPr>
  </w:style>
  <w:style w:type="character" w:customStyle="1" w:styleId="80">
    <w:name w:val="Заголовок 8 Знак"/>
    <w:qFormat/>
    <w:rPr>
      <w:rFonts w:ascii="Times New Roman" w:eastAsia="Times New Roman" w:hAnsi="Times New Roman" w:cs="Times New Roman"/>
      <w:i/>
      <w:iCs/>
      <w:sz w:val="24"/>
      <w:szCs w:val="24"/>
    </w:rPr>
  </w:style>
  <w:style w:type="character" w:customStyle="1" w:styleId="90">
    <w:name w:val="Заголовок 9 Знак"/>
    <w:qFormat/>
    <w:rPr>
      <w:rFonts w:ascii="Arial" w:eastAsia="Times New Roman" w:hAnsi="Arial" w:cs="Arial"/>
      <w:sz w:val="22"/>
      <w:szCs w:val="22"/>
    </w:rPr>
  </w:style>
  <w:style w:type="character" w:customStyle="1" w:styleId="16">
    <w:name w:val="Верхний колонтитул Знак1"/>
    <w:qFormat/>
    <w:rPr>
      <w:rFonts w:ascii="Calibri" w:eastAsia="Calibri" w:hAnsi="Calibri" w:cs="Calibri"/>
    </w:rPr>
  </w:style>
  <w:style w:type="character" w:customStyle="1" w:styleId="SUBST">
    <w:name w:val="__SUBST"/>
    <w:qFormat/>
    <w:rPr>
      <w:b/>
      <w:bCs/>
      <w:i/>
      <w:iCs/>
      <w:sz w:val="22"/>
      <w:szCs w:val="22"/>
    </w:rPr>
  </w:style>
  <w:style w:type="character" w:customStyle="1" w:styleId="17">
    <w:name w:val="Нижний колонтитул Знак1"/>
    <w:qFormat/>
    <w:rPr>
      <w:rFonts w:ascii="Times New Roman" w:eastAsia="Times New Roman" w:hAnsi="Times New Roman" w:cs="Times New Roman"/>
    </w:rPr>
  </w:style>
  <w:style w:type="character" w:customStyle="1" w:styleId="A30">
    <w:name w:val="A3"/>
    <w:qFormat/>
    <w:rPr>
      <w:rFonts w:ascii="HeliosCond" w:hAnsi="HeliosCond" w:cs="HeliosCond"/>
      <w:color w:val="000000"/>
      <w:sz w:val="16"/>
      <w:szCs w:val="16"/>
    </w:rPr>
  </w:style>
  <w:style w:type="character" w:customStyle="1" w:styleId="A80">
    <w:name w:val="A8"/>
    <w:qFormat/>
    <w:rPr>
      <w:rFonts w:cs="Times CY"/>
      <w:color w:val="000000"/>
      <w:sz w:val="18"/>
      <w:szCs w:val="18"/>
    </w:rPr>
  </w:style>
  <w:style w:type="character" w:customStyle="1" w:styleId="ConsNormal">
    <w:name w:val="ConsNormal Знак"/>
    <w:qFormat/>
    <w:rPr>
      <w:rFonts w:ascii="Times New Roman" w:eastAsia="Times New Roman" w:hAnsi="Times New Roman" w:cs="Times New Roman"/>
      <w:sz w:val="28"/>
      <w:szCs w:val="28"/>
    </w:rPr>
  </w:style>
  <w:style w:type="character" w:customStyle="1" w:styleId="aff0">
    <w:name w:val="Знак Знак"/>
    <w:qFormat/>
    <w:rPr>
      <w:sz w:val="24"/>
      <w:szCs w:val="24"/>
      <w:lang w:val="ru-RU" w:bidi="ar-SA"/>
    </w:rPr>
  </w:style>
  <w:style w:type="character" w:customStyle="1" w:styleId="Subst0">
    <w:name w:val="Subst"/>
    <w:qFormat/>
    <w:rPr>
      <w:b/>
      <w:i/>
    </w:rPr>
  </w:style>
  <w:style w:type="character" w:styleId="HTML0">
    <w:name w:val="HTML Acronym"/>
    <w:qFormat/>
  </w:style>
  <w:style w:type="character" w:customStyle="1" w:styleId="z-">
    <w:name w:val="z-Начало формы Знак"/>
    <w:qFormat/>
    <w:rPr>
      <w:rFonts w:ascii="Arial" w:eastAsia="Times New Roman" w:hAnsi="Arial" w:cs="Arial"/>
      <w:vanish/>
      <w:sz w:val="16"/>
      <w:szCs w:val="16"/>
    </w:rPr>
  </w:style>
  <w:style w:type="character" w:customStyle="1" w:styleId="z-0">
    <w:name w:val="z-Конец формы Знак"/>
    <w:qFormat/>
    <w:rPr>
      <w:rFonts w:ascii="Arial" w:eastAsia="Times New Roman" w:hAnsi="Arial" w:cs="Arial"/>
      <w:vanish/>
      <w:sz w:val="16"/>
      <w:szCs w:val="16"/>
    </w:rPr>
  </w:style>
  <w:style w:type="character" w:customStyle="1" w:styleId="BodyTextChar">
    <w:name w:val="Body Text Char"/>
    <w:qFormat/>
    <w:rPr>
      <w:sz w:val="24"/>
      <w:szCs w:val="24"/>
      <w:lang w:val="ru-RU" w:bidi="ar-SA"/>
    </w:rPr>
  </w:style>
  <w:style w:type="character" w:customStyle="1" w:styleId="aff1">
    <w:name w:val="Название Знак"/>
    <w:qFormat/>
    <w:rPr>
      <w:rFonts w:ascii="Times New Roman" w:eastAsia="Times New Roman" w:hAnsi="Times New Roman" w:cs="Times New Roman"/>
      <w:b/>
      <w:bCs/>
      <w:sz w:val="28"/>
      <w:szCs w:val="24"/>
    </w:rPr>
  </w:style>
  <w:style w:type="character" w:styleId="aff2">
    <w:name w:val="FollowedHyperlink"/>
    <w:rPr>
      <w:color w:val="800080"/>
      <w:u w:val="single"/>
    </w:rPr>
  </w:style>
  <w:style w:type="character" w:customStyle="1" w:styleId="apple-style-span">
    <w:name w:val="apple-style-span"/>
    <w:qFormat/>
  </w:style>
  <w:style w:type="character" w:styleId="aff3">
    <w:name w:val="Emphasis"/>
    <w:qFormat/>
    <w:rPr>
      <w:i/>
      <w:iCs/>
    </w:rPr>
  </w:style>
  <w:style w:type="character" w:customStyle="1" w:styleId="aff4">
    <w:name w:val="Простой текст Знак"/>
    <w:qFormat/>
    <w:rPr>
      <w:rFonts w:ascii="Verdana" w:eastAsia="Times New Roman" w:hAnsi="Verdana" w:cs="Verdana"/>
    </w:rPr>
  </w:style>
  <w:style w:type="character" w:customStyle="1" w:styleId="50">
    <w:name w:val="Заголовок 5 Знак"/>
    <w:qFormat/>
    <w:rPr>
      <w:rFonts w:ascii="Times New Roman" w:eastAsia="Times New Roman" w:hAnsi="Times New Roman" w:cs="Times New Roman"/>
      <w:b/>
      <w:bCs/>
      <w:i/>
      <w:iCs/>
      <w:sz w:val="24"/>
      <w:szCs w:val="24"/>
    </w:rPr>
  </w:style>
  <w:style w:type="character" w:customStyle="1" w:styleId="aff5">
    <w:name w:val="Подзаголовок Знак"/>
    <w:qFormat/>
    <w:rPr>
      <w:rFonts w:ascii="Times New Roman" w:eastAsia="Times New Roman" w:hAnsi="Times New Roman" w:cs="Times New Roman"/>
      <w:b/>
      <w:bCs/>
      <w:sz w:val="28"/>
      <w:szCs w:val="28"/>
    </w:rPr>
  </w:style>
  <w:style w:type="character" w:customStyle="1" w:styleId="FontStyle38">
    <w:name w:val="Font Style38"/>
    <w:qFormat/>
    <w:rPr>
      <w:rFonts w:ascii="Times New Roman" w:hAnsi="Times New Roman" w:cs="Times New Roman"/>
      <w:sz w:val="24"/>
    </w:rPr>
  </w:style>
  <w:style w:type="character" w:customStyle="1" w:styleId="FontStyle41">
    <w:name w:val="Font Style41"/>
    <w:qFormat/>
    <w:rPr>
      <w:rFonts w:ascii="Times New Roman" w:hAnsi="Times New Roman" w:cs="Times New Roman"/>
      <w:b/>
      <w:sz w:val="22"/>
    </w:rPr>
  </w:style>
  <w:style w:type="character" w:customStyle="1" w:styleId="18">
    <w:name w:val="Текст Знак1"/>
    <w:qFormat/>
    <w:rPr>
      <w:rFonts w:ascii="Courier New" w:hAnsi="Courier New" w:cs="Courier New"/>
    </w:rPr>
  </w:style>
  <w:style w:type="character" w:customStyle="1" w:styleId="1130">
    <w:name w:val="Текст Знак1130"/>
    <w:qFormat/>
    <w:rPr>
      <w:rFonts w:ascii="Courier New" w:hAnsi="Courier New" w:cs="Courier New"/>
    </w:rPr>
  </w:style>
  <w:style w:type="character" w:customStyle="1" w:styleId="1129">
    <w:name w:val="Текст Знак1129"/>
    <w:qFormat/>
    <w:rPr>
      <w:rFonts w:ascii="Courier New" w:hAnsi="Courier New" w:cs="Courier New"/>
    </w:rPr>
  </w:style>
  <w:style w:type="character" w:customStyle="1" w:styleId="1128">
    <w:name w:val="Текст Знак1128"/>
    <w:qFormat/>
    <w:rPr>
      <w:rFonts w:ascii="Courier New" w:hAnsi="Courier New" w:cs="Courier New"/>
    </w:rPr>
  </w:style>
  <w:style w:type="character" w:customStyle="1" w:styleId="1127">
    <w:name w:val="Текст Знак1127"/>
    <w:qFormat/>
    <w:rPr>
      <w:rFonts w:ascii="Courier New" w:hAnsi="Courier New" w:cs="Courier New"/>
    </w:rPr>
  </w:style>
  <w:style w:type="character" w:customStyle="1" w:styleId="1126">
    <w:name w:val="Текст Знак1126"/>
    <w:qFormat/>
    <w:rPr>
      <w:rFonts w:ascii="Courier New" w:hAnsi="Courier New" w:cs="Courier New"/>
    </w:rPr>
  </w:style>
  <w:style w:type="character" w:customStyle="1" w:styleId="1125">
    <w:name w:val="Текст Знак1125"/>
    <w:qFormat/>
    <w:rPr>
      <w:rFonts w:ascii="Courier New" w:hAnsi="Courier New" w:cs="Courier New"/>
    </w:rPr>
  </w:style>
  <w:style w:type="character" w:customStyle="1" w:styleId="1124">
    <w:name w:val="Текст Знак1124"/>
    <w:qFormat/>
    <w:rPr>
      <w:rFonts w:ascii="Courier New" w:hAnsi="Courier New" w:cs="Courier New"/>
    </w:rPr>
  </w:style>
  <w:style w:type="character" w:customStyle="1" w:styleId="1123">
    <w:name w:val="Текст Знак1123"/>
    <w:qFormat/>
    <w:rPr>
      <w:rFonts w:ascii="Courier New" w:hAnsi="Courier New" w:cs="Courier New"/>
    </w:rPr>
  </w:style>
  <w:style w:type="character" w:customStyle="1" w:styleId="1122">
    <w:name w:val="Текст Знак1122"/>
    <w:qFormat/>
    <w:rPr>
      <w:rFonts w:ascii="Courier New" w:hAnsi="Courier New" w:cs="Courier New"/>
    </w:rPr>
  </w:style>
  <w:style w:type="character" w:customStyle="1" w:styleId="1121">
    <w:name w:val="Текст Знак1121"/>
    <w:qFormat/>
    <w:rPr>
      <w:rFonts w:ascii="Courier New" w:hAnsi="Courier New" w:cs="Courier New"/>
    </w:rPr>
  </w:style>
  <w:style w:type="character" w:customStyle="1" w:styleId="1120">
    <w:name w:val="Текст Знак1120"/>
    <w:qFormat/>
    <w:rPr>
      <w:rFonts w:ascii="Courier New" w:hAnsi="Courier New" w:cs="Courier New"/>
    </w:rPr>
  </w:style>
  <w:style w:type="character" w:customStyle="1" w:styleId="1119">
    <w:name w:val="Текст Знак1119"/>
    <w:qFormat/>
    <w:rPr>
      <w:rFonts w:ascii="Courier New" w:hAnsi="Courier New" w:cs="Courier New"/>
    </w:rPr>
  </w:style>
  <w:style w:type="character" w:customStyle="1" w:styleId="1118">
    <w:name w:val="Текст Знак1118"/>
    <w:qFormat/>
    <w:rPr>
      <w:rFonts w:ascii="Courier New" w:hAnsi="Courier New" w:cs="Courier New"/>
    </w:rPr>
  </w:style>
  <w:style w:type="character" w:customStyle="1" w:styleId="1117">
    <w:name w:val="Текст Знак1117"/>
    <w:qFormat/>
    <w:rPr>
      <w:rFonts w:ascii="Courier New" w:hAnsi="Courier New" w:cs="Courier New"/>
    </w:rPr>
  </w:style>
  <w:style w:type="character" w:customStyle="1" w:styleId="1116">
    <w:name w:val="Текст Знак1116"/>
    <w:qFormat/>
    <w:rPr>
      <w:rFonts w:ascii="Courier New" w:hAnsi="Courier New" w:cs="Courier New"/>
    </w:rPr>
  </w:style>
  <w:style w:type="character" w:customStyle="1" w:styleId="1115">
    <w:name w:val="Текст Знак1115"/>
    <w:qFormat/>
    <w:rPr>
      <w:rFonts w:ascii="Courier New" w:hAnsi="Courier New" w:cs="Courier New"/>
    </w:rPr>
  </w:style>
  <w:style w:type="character" w:customStyle="1" w:styleId="1114">
    <w:name w:val="Текст Знак1114"/>
    <w:qFormat/>
    <w:rPr>
      <w:rFonts w:ascii="Courier New" w:hAnsi="Courier New" w:cs="Courier New"/>
    </w:rPr>
  </w:style>
  <w:style w:type="character" w:customStyle="1" w:styleId="1113">
    <w:name w:val="Текст Знак1113"/>
    <w:qFormat/>
    <w:rPr>
      <w:rFonts w:ascii="Courier New" w:hAnsi="Courier New" w:cs="Courier New"/>
    </w:rPr>
  </w:style>
  <w:style w:type="character" w:customStyle="1" w:styleId="1112">
    <w:name w:val="Текст Знак1112"/>
    <w:qFormat/>
    <w:rPr>
      <w:rFonts w:ascii="Courier New" w:hAnsi="Courier New" w:cs="Courier New"/>
    </w:rPr>
  </w:style>
  <w:style w:type="character" w:customStyle="1" w:styleId="1111">
    <w:name w:val="Текст Знак1111"/>
    <w:qFormat/>
    <w:rPr>
      <w:rFonts w:ascii="Courier New" w:hAnsi="Courier New" w:cs="Courier New"/>
    </w:rPr>
  </w:style>
  <w:style w:type="character" w:customStyle="1" w:styleId="1110">
    <w:name w:val="Текст Знак1110"/>
    <w:qFormat/>
    <w:rPr>
      <w:rFonts w:ascii="Courier New" w:hAnsi="Courier New" w:cs="Courier New"/>
    </w:rPr>
  </w:style>
  <w:style w:type="character" w:customStyle="1" w:styleId="1109">
    <w:name w:val="Текст Знак1109"/>
    <w:qFormat/>
    <w:rPr>
      <w:rFonts w:ascii="Courier New" w:hAnsi="Courier New" w:cs="Courier New"/>
    </w:rPr>
  </w:style>
  <w:style w:type="character" w:customStyle="1" w:styleId="1108">
    <w:name w:val="Текст Знак1108"/>
    <w:qFormat/>
    <w:rPr>
      <w:rFonts w:ascii="Courier New" w:hAnsi="Courier New" w:cs="Courier New"/>
    </w:rPr>
  </w:style>
  <w:style w:type="character" w:customStyle="1" w:styleId="1107">
    <w:name w:val="Текст Знак1107"/>
    <w:qFormat/>
    <w:rPr>
      <w:rFonts w:ascii="Courier New" w:hAnsi="Courier New" w:cs="Courier New"/>
    </w:rPr>
  </w:style>
  <w:style w:type="character" w:customStyle="1" w:styleId="1106">
    <w:name w:val="Текст Знак1106"/>
    <w:qFormat/>
    <w:rPr>
      <w:rFonts w:ascii="Courier New" w:hAnsi="Courier New" w:cs="Courier New"/>
    </w:rPr>
  </w:style>
  <w:style w:type="character" w:customStyle="1" w:styleId="1105">
    <w:name w:val="Текст Знак1105"/>
    <w:qFormat/>
    <w:rPr>
      <w:rFonts w:ascii="Courier New" w:hAnsi="Courier New" w:cs="Courier New"/>
    </w:rPr>
  </w:style>
  <w:style w:type="character" w:customStyle="1" w:styleId="1104">
    <w:name w:val="Текст Знак1104"/>
    <w:qFormat/>
    <w:rPr>
      <w:rFonts w:ascii="Courier New" w:hAnsi="Courier New" w:cs="Courier New"/>
    </w:rPr>
  </w:style>
  <w:style w:type="character" w:customStyle="1" w:styleId="1103">
    <w:name w:val="Текст Знак1103"/>
    <w:qFormat/>
    <w:rPr>
      <w:rFonts w:ascii="Courier New" w:hAnsi="Courier New" w:cs="Courier New"/>
    </w:rPr>
  </w:style>
  <w:style w:type="character" w:customStyle="1" w:styleId="1102">
    <w:name w:val="Текст Знак1102"/>
    <w:qFormat/>
    <w:rPr>
      <w:rFonts w:ascii="Courier New" w:hAnsi="Courier New" w:cs="Courier New"/>
    </w:rPr>
  </w:style>
  <w:style w:type="character" w:customStyle="1" w:styleId="1101">
    <w:name w:val="Текст Знак1101"/>
    <w:qFormat/>
    <w:rPr>
      <w:rFonts w:ascii="Courier New" w:hAnsi="Courier New" w:cs="Courier New"/>
    </w:rPr>
  </w:style>
  <w:style w:type="character" w:customStyle="1" w:styleId="1100">
    <w:name w:val="Текст Знак1100"/>
    <w:qFormat/>
    <w:rPr>
      <w:rFonts w:ascii="Courier New" w:hAnsi="Courier New" w:cs="Courier New"/>
    </w:rPr>
  </w:style>
  <w:style w:type="character" w:customStyle="1" w:styleId="199">
    <w:name w:val="Текст Знак199"/>
    <w:qFormat/>
    <w:rPr>
      <w:rFonts w:ascii="Courier New" w:hAnsi="Courier New" w:cs="Courier New"/>
    </w:rPr>
  </w:style>
  <w:style w:type="character" w:customStyle="1" w:styleId="198">
    <w:name w:val="Текст Знак198"/>
    <w:qFormat/>
    <w:rPr>
      <w:rFonts w:ascii="Courier New" w:hAnsi="Courier New" w:cs="Courier New"/>
    </w:rPr>
  </w:style>
  <w:style w:type="character" w:customStyle="1" w:styleId="197">
    <w:name w:val="Текст Знак197"/>
    <w:qFormat/>
    <w:rPr>
      <w:rFonts w:ascii="Courier New" w:hAnsi="Courier New" w:cs="Courier New"/>
    </w:rPr>
  </w:style>
  <w:style w:type="character" w:customStyle="1" w:styleId="196">
    <w:name w:val="Текст Знак196"/>
    <w:qFormat/>
    <w:rPr>
      <w:rFonts w:ascii="Courier New" w:hAnsi="Courier New" w:cs="Courier New"/>
    </w:rPr>
  </w:style>
  <w:style w:type="character" w:customStyle="1" w:styleId="195">
    <w:name w:val="Текст Знак195"/>
    <w:qFormat/>
    <w:rPr>
      <w:rFonts w:ascii="Courier New" w:hAnsi="Courier New" w:cs="Courier New"/>
    </w:rPr>
  </w:style>
  <w:style w:type="character" w:customStyle="1" w:styleId="194">
    <w:name w:val="Текст Знак194"/>
    <w:qFormat/>
    <w:rPr>
      <w:rFonts w:ascii="Courier New" w:hAnsi="Courier New" w:cs="Courier New"/>
    </w:rPr>
  </w:style>
  <w:style w:type="character" w:customStyle="1" w:styleId="190">
    <w:name w:val="Текст Знак190"/>
    <w:qFormat/>
    <w:rPr>
      <w:rFonts w:ascii="Courier New" w:hAnsi="Courier New" w:cs="Courier New"/>
    </w:rPr>
  </w:style>
  <w:style w:type="character" w:customStyle="1" w:styleId="189">
    <w:name w:val="Текст Знак189"/>
    <w:qFormat/>
    <w:rPr>
      <w:rFonts w:ascii="Courier New" w:hAnsi="Courier New" w:cs="Courier New"/>
    </w:rPr>
  </w:style>
  <w:style w:type="character" w:customStyle="1" w:styleId="188">
    <w:name w:val="Текст Знак188"/>
    <w:qFormat/>
    <w:rPr>
      <w:rFonts w:ascii="Courier New" w:hAnsi="Courier New" w:cs="Courier New"/>
    </w:rPr>
  </w:style>
  <w:style w:type="character" w:customStyle="1" w:styleId="187">
    <w:name w:val="Текст Знак187"/>
    <w:qFormat/>
    <w:rPr>
      <w:rFonts w:ascii="Courier New" w:hAnsi="Courier New" w:cs="Courier New"/>
    </w:rPr>
  </w:style>
  <w:style w:type="character" w:customStyle="1" w:styleId="186">
    <w:name w:val="Текст Знак186"/>
    <w:qFormat/>
    <w:rPr>
      <w:rFonts w:ascii="Courier New" w:hAnsi="Courier New" w:cs="Courier New"/>
    </w:rPr>
  </w:style>
  <w:style w:type="character" w:customStyle="1" w:styleId="185">
    <w:name w:val="Текст Знак185"/>
    <w:qFormat/>
    <w:rPr>
      <w:rFonts w:ascii="Courier New" w:hAnsi="Courier New" w:cs="Courier New"/>
    </w:rPr>
  </w:style>
  <w:style w:type="character" w:customStyle="1" w:styleId="184">
    <w:name w:val="Текст Знак184"/>
    <w:qFormat/>
    <w:rPr>
      <w:rFonts w:ascii="Courier New" w:hAnsi="Courier New" w:cs="Courier New"/>
    </w:rPr>
  </w:style>
  <w:style w:type="character" w:customStyle="1" w:styleId="183">
    <w:name w:val="Текст Знак183"/>
    <w:qFormat/>
    <w:rPr>
      <w:rFonts w:ascii="Courier New" w:hAnsi="Courier New" w:cs="Courier New"/>
    </w:rPr>
  </w:style>
  <w:style w:type="character" w:customStyle="1" w:styleId="182">
    <w:name w:val="Текст Знак182"/>
    <w:qFormat/>
    <w:rPr>
      <w:rFonts w:ascii="Courier New" w:hAnsi="Courier New" w:cs="Courier New"/>
    </w:rPr>
  </w:style>
  <w:style w:type="character" w:customStyle="1" w:styleId="181">
    <w:name w:val="Текст Знак181"/>
    <w:qFormat/>
    <w:rPr>
      <w:rFonts w:ascii="Courier New" w:hAnsi="Courier New" w:cs="Courier New"/>
    </w:rPr>
  </w:style>
  <w:style w:type="character" w:customStyle="1" w:styleId="180">
    <w:name w:val="Текст Знак180"/>
    <w:qFormat/>
    <w:rPr>
      <w:rFonts w:ascii="Courier New" w:hAnsi="Courier New" w:cs="Courier New"/>
    </w:rPr>
  </w:style>
  <w:style w:type="character" w:customStyle="1" w:styleId="179">
    <w:name w:val="Текст Знак179"/>
    <w:qFormat/>
    <w:rPr>
      <w:rFonts w:ascii="Courier New" w:hAnsi="Courier New" w:cs="Courier New"/>
    </w:rPr>
  </w:style>
  <w:style w:type="character" w:customStyle="1" w:styleId="178">
    <w:name w:val="Текст Знак178"/>
    <w:qFormat/>
    <w:rPr>
      <w:rFonts w:ascii="Courier New" w:hAnsi="Courier New" w:cs="Courier New"/>
    </w:rPr>
  </w:style>
  <w:style w:type="character" w:customStyle="1" w:styleId="177">
    <w:name w:val="Текст Знак177"/>
    <w:qFormat/>
    <w:rPr>
      <w:rFonts w:ascii="Courier New" w:hAnsi="Courier New" w:cs="Courier New"/>
    </w:rPr>
  </w:style>
  <w:style w:type="character" w:customStyle="1" w:styleId="176">
    <w:name w:val="Текст Знак176"/>
    <w:qFormat/>
    <w:rPr>
      <w:rFonts w:ascii="Courier New" w:hAnsi="Courier New" w:cs="Courier New"/>
    </w:rPr>
  </w:style>
  <w:style w:type="character" w:customStyle="1" w:styleId="175">
    <w:name w:val="Текст Знак175"/>
    <w:qFormat/>
    <w:rPr>
      <w:rFonts w:ascii="Courier New" w:hAnsi="Courier New" w:cs="Courier New"/>
    </w:rPr>
  </w:style>
  <w:style w:type="character" w:customStyle="1" w:styleId="174">
    <w:name w:val="Текст Знак174"/>
    <w:qFormat/>
    <w:rPr>
      <w:rFonts w:ascii="Courier New" w:hAnsi="Courier New" w:cs="Courier New"/>
    </w:rPr>
  </w:style>
  <w:style w:type="character" w:customStyle="1" w:styleId="173">
    <w:name w:val="Текст Знак173"/>
    <w:qFormat/>
    <w:rPr>
      <w:rFonts w:ascii="Courier New" w:hAnsi="Courier New" w:cs="Courier New"/>
    </w:rPr>
  </w:style>
  <w:style w:type="character" w:customStyle="1" w:styleId="172">
    <w:name w:val="Текст Знак172"/>
    <w:qFormat/>
    <w:rPr>
      <w:rFonts w:ascii="Courier New" w:hAnsi="Courier New" w:cs="Courier New"/>
    </w:rPr>
  </w:style>
  <w:style w:type="character" w:customStyle="1" w:styleId="171">
    <w:name w:val="Текст Знак171"/>
    <w:qFormat/>
    <w:rPr>
      <w:rFonts w:ascii="Courier New" w:hAnsi="Courier New" w:cs="Courier New"/>
    </w:rPr>
  </w:style>
  <w:style w:type="character" w:customStyle="1" w:styleId="170">
    <w:name w:val="Текст Знак170"/>
    <w:qFormat/>
    <w:rPr>
      <w:rFonts w:ascii="Courier New" w:hAnsi="Courier New" w:cs="Courier New"/>
    </w:rPr>
  </w:style>
  <w:style w:type="character" w:customStyle="1" w:styleId="169">
    <w:name w:val="Текст Знак169"/>
    <w:qFormat/>
    <w:rPr>
      <w:rFonts w:ascii="Courier New" w:hAnsi="Courier New" w:cs="Courier New"/>
    </w:rPr>
  </w:style>
  <w:style w:type="character" w:customStyle="1" w:styleId="168">
    <w:name w:val="Текст Знак168"/>
    <w:qFormat/>
    <w:rPr>
      <w:rFonts w:ascii="Courier New" w:hAnsi="Courier New" w:cs="Courier New"/>
    </w:rPr>
  </w:style>
  <w:style w:type="character" w:customStyle="1" w:styleId="167">
    <w:name w:val="Текст Знак167"/>
    <w:qFormat/>
    <w:rPr>
      <w:rFonts w:ascii="Courier New" w:hAnsi="Courier New" w:cs="Courier New"/>
    </w:rPr>
  </w:style>
  <w:style w:type="character" w:customStyle="1" w:styleId="166">
    <w:name w:val="Текст Знак166"/>
    <w:qFormat/>
    <w:rPr>
      <w:rFonts w:ascii="Courier New" w:hAnsi="Courier New" w:cs="Courier New"/>
    </w:rPr>
  </w:style>
  <w:style w:type="character" w:customStyle="1" w:styleId="165">
    <w:name w:val="Текст Знак165"/>
    <w:qFormat/>
    <w:rPr>
      <w:rFonts w:ascii="Courier New" w:hAnsi="Courier New" w:cs="Courier New"/>
    </w:rPr>
  </w:style>
  <w:style w:type="character" w:customStyle="1" w:styleId="164">
    <w:name w:val="Текст Знак164"/>
    <w:qFormat/>
    <w:rPr>
      <w:rFonts w:ascii="Courier New" w:hAnsi="Courier New" w:cs="Courier New"/>
    </w:rPr>
  </w:style>
  <w:style w:type="character" w:customStyle="1" w:styleId="163">
    <w:name w:val="Текст Знак163"/>
    <w:qFormat/>
    <w:rPr>
      <w:rFonts w:ascii="Courier New" w:hAnsi="Courier New" w:cs="Courier New"/>
    </w:rPr>
  </w:style>
  <w:style w:type="character" w:customStyle="1" w:styleId="162">
    <w:name w:val="Текст Знак162"/>
    <w:qFormat/>
    <w:rPr>
      <w:rFonts w:ascii="Courier New" w:hAnsi="Courier New" w:cs="Courier New"/>
    </w:rPr>
  </w:style>
  <w:style w:type="character" w:customStyle="1" w:styleId="161">
    <w:name w:val="Текст Знак161"/>
    <w:qFormat/>
    <w:rPr>
      <w:rFonts w:ascii="Courier New" w:hAnsi="Courier New" w:cs="Courier New"/>
    </w:rPr>
  </w:style>
  <w:style w:type="character" w:customStyle="1" w:styleId="160">
    <w:name w:val="Текст Знак160"/>
    <w:qFormat/>
    <w:rPr>
      <w:rFonts w:ascii="Courier New" w:hAnsi="Courier New" w:cs="Courier New"/>
    </w:rPr>
  </w:style>
  <w:style w:type="character" w:customStyle="1" w:styleId="159">
    <w:name w:val="Текст Знак159"/>
    <w:qFormat/>
    <w:rPr>
      <w:rFonts w:ascii="Courier New" w:hAnsi="Courier New" w:cs="Courier New"/>
    </w:rPr>
  </w:style>
  <w:style w:type="character" w:customStyle="1" w:styleId="158">
    <w:name w:val="Текст Знак158"/>
    <w:qFormat/>
    <w:rPr>
      <w:rFonts w:ascii="Courier New" w:hAnsi="Courier New" w:cs="Courier New"/>
    </w:rPr>
  </w:style>
  <w:style w:type="character" w:customStyle="1" w:styleId="157">
    <w:name w:val="Текст Знак157"/>
    <w:qFormat/>
    <w:rPr>
      <w:rFonts w:ascii="Courier New" w:hAnsi="Courier New" w:cs="Courier New"/>
    </w:rPr>
  </w:style>
  <w:style w:type="character" w:customStyle="1" w:styleId="156">
    <w:name w:val="Текст Знак156"/>
    <w:qFormat/>
    <w:rPr>
      <w:rFonts w:ascii="Courier New" w:hAnsi="Courier New" w:cs="Courier New"/>
    </w:rPr>
  </w:style>
  <w:style w:type="character" w:customStyle="1" w:styleId="155">
    <w:name w:val="Текст Знак155"/>
    <w:qFormat/>
    <w:rPr>
      <w:rFonts w:ascii="Courier New" w:hAnsi="Courier New" w:cs="Courier New"/>
    </w:rPr>
  </w:style>
  <w:style w:type="character" w:customStyle="1" w:styleId="154">
    <w:name w:val="Текст Знак154"/>
    <w:qFormat/>
    <w:rPr>
      <w:rFonts w:ascii="Courier New" w:hAnsi="Courier New" w:cs="Courier New"/>
    </w:rPr>
  </w:style>
  <w:style w:type="character" w:customStyle="1" w:styleId="153">
    <w:name w:val="Текст Знак153"/>
    <w:qFormat/>
    <w:rPr>
      <w:rFonts w:ascii="Courier New" w:hAnsi="Courier New" w:cs="Courier New"/>
    </w:rPr>
  </w:style>
  <w:style w:type="character" w:customStyle="1" w:styleId="152">
    <w:name w:val="Текст Знак152"/>
    <w:qFormat/>
    <w:rPr>
      <w:rFonts w:ascii="Courier New" w:hAnsi="Courier New" w:cs="Courier New"/>
    </w:rPr>
  </w:style>
  <w:style w:type="character" w:customStyle="1" w:styleId="151">
    <w:name w:val="Текст Знак151"/>
    <w:qFormat/>
    <w:rPr>
      <w:rFonts w:ascii="Courier New" w:hAnsi="Courier New" w:cs="Courier New"/>
    </w:rPr>
  </w:style>
  <w:style w:type="character" w:customStyle="1" w:styleId="150">
    <w:name w:val="Текст Знак150"/>
    <w:qFormat/>
    <w:rPr>
      <w:rFonts w:ascii="Courier New" w:hAnsi="Courier New" w:cs="Courier New"/>
    </w:rPr>
  </w:style>
  <w:style w:type="character" w:customStyle="1" w:styleId="149">
    <w:name w:val="Текст Знак149"/>
    <w:qFormat/>
    <w:rPr>
      <w:rFonts w:ascii="Courier New" w:hAnsi="Courier New" w:cs="Courier New"/>
    </w:rPr>
  </w:style>
  <w:style w:type="character" w:customStyle="1" w:styleId="148">
    <w:name w:val="Текст Знак148"/>
    <w:qFormat/>
    <w:rPr>
      <w:rFonts w:ascii="Courier New" w:hAnsi="Courier New" w:cs="Courier New"/>
    </w:rPr>
  </w:style>
  <w:style w:type="character" w:customStyle="1" w:styleId="147">
    <w:name w:val="Текст Знак147"/>
    <w:qFormat/>
    <w:rPr>
      <w:rFonts w:ascii="Courier New" w:hAnsi="Courier New" w:cs="Courier New"/>
    </w:rPr>
  </w:style>
  <w:style w:type="character" w:customStyle="1" w:styleId="146">
    <w:name w:val="Текст Знак146"/>
    <w:qFormat/>
    <w:rPr>
      <w:rFonts w:ascii="Courier New" w:hAnsi="Courier New" w:cs="Courier New"/>
    </w:rPr>
  </w:style>
  <w:style w:type="character" w:customStyle="1" w:styleId="145">
    <w:name w:val="Текст Знак145"/>
    <w:qFormat/>
    <w:rPr>
      <w:rFonts w:ascii="Courier New" w:hAnsi="Courier New" w:cs="Courier New"/>
    </w:rPr>
  </w:style>
  <w:style w:type="character" w:customStyle="1" w:styleId="144">
    <w:name w:val="Текст Знак144"/>
    <w:qFormat/>
    <w:rPr>
      <w:rFonts w:ascii="Courier New" w:hAnsi="Courier New" w:cs="Courier New"/>
    </w:rPr>
  </w:style>
  <w:style w:type="character" w:customStyle="1" w:styleId="143">
    <w:name w:val="Текст Знак143"/>
    <w:qFormat/>
    <w:rPr>
      <w:rFonts w:ascii="Courier New" w:hAnsi="Courier New" w:cs="Courier New"/>
    </w:rPr>
  </w:style>
  <w:style w:type="character" w:customStyle="1" w:styleId="142">
    <w:name w:val="Текст Знак142"/>
    <w:qFormat/>
    <w:rPr>
      <w:rFonts w:ascii="Courier New" w:hAnsi="Courier New" w:cs="Courier New"/>
    </w:rPr>
  </w:style>
  <w:style w:type="character" w:customStyle="1" w:styleId="141">
    <w:name w:val="Текст Знак141"/>
    <w:qFormat/>
    <w:rPr>
      <w:rFonts w:ascii="Courier New" w:hAnsi="Courier New" w:cs="Courier New"/>
    </w:rPr>
  </w:style>
  <w:style w:type="character" w:customStyle="1" w:styleId="140">
    <w:name w:val="Текст Знак140"/>
    <w:qFormat/>
    <w:rPr>
      <w:rFonts w:ascii="Courier New" w:hAnsi="Courier New" w:cs="Courier New"/>
    </w:rPr>
  </w:style>
  <w:style w:type="character" w:customStyle="1" w:styleId="139">
    <w:name w:val="Текст Знак139"/>
    <w:qFormat/>
    <w:rPr>
      <w:rFonts w:ascii="Courier New" w:hAnsi="Courier New" w:cs="Courier New"/>
    </w:rPr>
  </w:style>
  <w:style w:type="character" w:customStyle="1" w:styleId="138">
    <w:name w:val="Текст Знак138"/>
    <w:qFormat/>
    <w:rPr>
      <w:rFonts w:ascii="Courier New" w:hAnsi="Courier New" w:cs="Courier New"/>
    </w:rPr>
  </w:style>
  <w:style w:type="character" w:customStyle="1" w:styleId="137">
    <w:name w:val="Текст Знак137"/>
    <w:qFormat/>
    <w:rPr>
      <w:rFonts w:ascii="Courier New" w:hAnsi="Courier New" w:cs="Courier New"/>
    </w:rPr>
  </w:style>
  <w:style w:type="character" w:customStyle="1" w:styleId="136">
    <w:name w:val="Текст Знак136"/>
    <w:qFormat/>
    <w:rPr>
      <w:rFonts w:ascii="Courier New" w:hAnsi="Courier New" w:cs="Courier New"/>
    </w:rPr>
  </w:style>
  <w:style w:type="character" w:customStyle="1" w:styleId="135">
    <w:name w:val="Текст Знак135"/>
    <w:qFormat/>
    <w:rPr>
      <w:rFonts w:ascii="Courier New" w:hAnsi="Courier New" w:cs="Courier New"/>
    </w:rPr>
  </w:style>
  <w:style w:type="character" w:customStyle="1" w:styleId="134">
    <w:name w:val="Текст Знак134"/>
    <w:qFormat/>
    <w:rPr>
      <w:rFonts w:ascii="Courier New" w:hAnsi="Courier New" w:cs="Courier New"/>
    </w:rPr>
  </w:style>
  <w:style w:type="character" w:customStyle="1" w:styleId="133">
    <w:name w:val="Текст Знак133"/>
    <w:qFormat/>
    <w:rPr>
      <w:rFonts w:ascii="Courier New" w:hAnsi="Courier New" w:cs="Courier New"/>
    </w:rPr>
  </w:style>
  <w:style w:type="character" w:customStyle="1" w:styleId="132">
    <w:name w:val="Текст Знак132"/>
    <w:qFormat/>
    <w:rPr>
      <w:rFonts w:ascii="Courier New" w:hAnsi="Courier New" w:cs="Courier New"/>
    </w:rPr>
  </w:style>
  <w:style w:type="character" w:customStyle="1" w:styleId="131">
    <w:name w:val="Текст Знак131"/>
    <w:qFormat/>
    <w:rPr>
      <w:rFonts w:ascii="Courier New" w:hAnsi="Courier New" w:cs="Courier New"/>
    </w:rPr>
  </w:style>
  <w:style w:type="character" w:customStyle="1" w:styleId="130">
    <w:name w:val="Текст Знак130"/>
    <w:qFormat/>
    <w:rPr>
      <w:rFonts w:ascii="Courier New" w:hAnsi="Courier New" w:cs="Courier New"/>
    </w:rPr>
  </w:style>
  <w:style w:type="character" w:customStyle="1" w:styleId="129">
    <w:name w:val="Текст Знак129"/>
    <w:qFormat/>
    <w:rPr>
      <w:rFonts w:ascii="Courier New" w:hAnsi="Courier New" w:cs="Courier New"/>
    </w:rPr>
  </w:style>
  <w:style w:type="character" w:customStyle="1" w:styleId="128">
    <w:name w:val="Текст Знак128"/>
    <w:qFormat/>
    <w:rPr>
      <w:rFonts w:ascii="Courier New" w:hAnsi="Courier New" w:cs="Courier New"/>
    </w:rPr>
  </w:style>
  <w:style w:type="character" w:customStyle="1" w:styleId="127">
    <w:name w:val="Текст Знак127"/>
    <w:qFormat/>
    <w:rPr>
      <w:rFonts w:ascii="Courier New" w:hAnsi="Courier New" w:cs="Courier New"/>
    </w:rPr>
  </w:style>
  <w:style w:type="character" w:customStyle="1" w:styleId="126">
    <w:name w:val="Текст Знак126"/>
    <w:qFormat/>
    <w:rPr>
      <w:rFonts w:ascii="Courier New" w:hAnsi="Courier New" w:cs="Courier New"/>
    </w:rPr>
  </w:style>
  <w:style w:type="character" w:customStyle="1" w:styleId="125">
    <w:name w:val="Текст Знак125"/>
    <w:qFormat/>
    <w:rPr>
      <w:rFonts w:ascii="Courier New" w:hAnsi="Courier New" w:cs="Courier New"/>
    </w:rPr>
  </w:style>
  <w:style w:type="character" w:customStyle="1" w:styleId="124">
    <w:name w:val="Текст Знак124"/>
    <w:qFormat/>
    <w:rPr>
      <w:rFonts w:ascii="Courier New" w:hAnsi="Courier New" w:cs="Courier New"/>
    </w:rPr>
  </w:style>
  <w:style w:type="character" w:customStyle="1" w:styleId="123">
    <w:name w:val="Текст Знак123"/>
    <w:qFormat/>
    <w:rPr>
      <w:rFonts w:ascii="Courier New" w:hAnsi="Courier New" w:cs="Courier New"/>
    </w:rPr>
  </w:style>
  <w:style w:type="character" w:customStyle="1" w:styleId="122">
    <w:name w:val="Текст Знак122"/>
    <w:qFormat/>
    <w:rPr>
      <w:rFonts w:ascii="Courier New" w:hAnsi="Courier New" w:cs="Courier New"/>
    </w:rPr>
  </w:style>
  <w:style w:type="character" w:customStyle="1" w:styleId="121">
    <w:name w:val="Текст Знак121"/>
    <w:qFormat/>
    <w:rPr>
      <w:rFonts w:ascii="Courier New" w:hAnsi="Courier New" w:cs="Courier New"/>
    </w:rPr>
  </w:style>
  <w:style w:type="character" w:customStyle="1" w:styleId="120">
    <w:name w:val="Текст Знак120"/>
    <w:qFormat/>
    <w:rPr>
      <w:rFonts w:ascii="Courier New" w:hAnsi="Courier New" w:cs="Courier New"/>
    </w:rPr>
  </w:style>
  <w:style w:type="character" w:customStyle="1" w:styleId="119">
    <w:name w:val="Текст Знак119"/>
    <w:qFormat/>
    <w:rPr>
      <w:rFonts w:ascii="Courier New" w:hAnsi="Courier New" w:cs="Courier New"/>
      <w:sz w:val="20"/>
    </w:rPr>
  </w:style>
  <w:style w:type="character" w:customStyle="1" w:styleId="118">
    <w:name w:val="Текст Знак118"/>
    <w:qFormat/>
    <w:rPr>
      <w:rFonts w:ascii="Courier New" w:hAnsi="Courier New" w:cs="Courier New"/>
      <w:sz w:val="20"/>
    </w:rPr>
  </w:style>
  <w:style w:type="character" w:customStyle="1" w:styleId="117">
    <w:name w:val="Текст Знак117"/>
    <w:qFormat/>
    <w:rPr>
      <w:rFonts w:ascii="Courier New" w:hAnsi="Courier New" w:cs="Courier New"/>
      <w:sz w:val="20"/>
    </w:rPr>
  </w:style>
  <w:style w:type="character" w:customStyle="1" w:styleId="116">
    <w:name w:val="Текст Знак116"/>
    <w:qFormat/>
    <w:rPr>
      <w:rFonts w:ascii="Courier New" w:hAnsi="Courier New" w:cs="Courier New"/>
      <w:sz w:val="20"/>
    </w:rPr>
  </w:style>
  <w:style w:type="character" w:customStyle="1" w:styleId="115">
    <w:name w:val="Текст Знак115"/>
    <w:qFormat/>
    <w:rPr>
      <w:rFonts w:ascii="Courier New" w:hAnsi="Courier New" w:cs="Courier New"/>
      <w:sz w:val="20"/>
    </w:rPr>
  </w:style>
  <w:style w:type="character" w:customStyle="1" w:styleId="114">
    <w:name w:val="Текст Знак114"/>
    <w:qFormat/>
    <w:rPr>
      <w:rFonts w:ascii="Courier New" w:hAnsi="Courier New" w:cs="Courier New"/>
      <w:sz w:val="20"/>
    </w:rPr>
  </w:style>
  <w:style w:type="character" w:customStyle="1" w:styleId="113">
    <w:name w:val="Текст Знак113"/>
    <w:qFormat/>
    <w:rPr>
      <w:rFonts w:ascii="Courier New" w:hAnsi="Courier New" w:cs="Courier New"/>
      <w:sz w:val="20"/>
    </w:rPr>
  </w:style>
  <w:style w:type="character" w:customStyle="1" w:styleId="112">
    <w:name w:val="Текст Знак112"/>
    <w:qFormat/>
    <w:rPr>
      <w:rFonts w:ascii="Courier New" w:hAnsi="Courier New" w:cs="Courier New"/>
      <w:sz w:val="20"/>
    </w:rPr>
  </w:style>
  <w:style w:type="character" w:customStyle="1" w:styleId="111">
    <w:name w:val="Текст Знак111"/>
    <w:qFormat/>
    <w:rPr>
      <w:rFonts w:ascii="Courier New" w:hAnsi="Courier New" w:cs="Courier New"/>
      <w:sz w:val="20"/>
    </w:rPr>
  </w:style>
  <w:style w:type="character" w:customStyle="1" w:styleId="110">
    <w:name w:val="Текст Знак110"/>
    <w:qFormat/>
    <w:rPr>
      <w:rFonts w:ascii="Courier New" w:hAnsi="Courier New" w:cs="Courier New"/>
      <w:sz w:val="20"/>
    </w:rPr>
  </w:style>
  <w:style w:type="character" w:customStyle="1" w:styleId="19">
    <w:name w:val="Текст Знак19"/>
    <w:qFormat/>
    <w:rPr>
      <w:rFonts w:ascii="Courier New" w:hAnsi="Courier New" w:cs="Courier New"/>
      <w:sz w:val="20"/>
    </w:rPr>
  </w:style>
  <w:style w:type="character" w:customStyle="1" w:styleId="18a">
    <w:name w:val="Текст Знак18"/>
    <w:qFormat/>
    <w:rPr>
      <w:rFonts w:ascii="Courier New" w:hAnsi="Courier New" w:cs="Courier New"/>
      <w:sz w:val="20"/>
    </w:rPr>
  </w:style>
  <w:style w:type="character" w:customStyle="1" w:styleId="17a">
    <w:name w:val="Текст Знак17"/>
    <w:qFormat/>
    <w:rPr>
      <w:rFonts w:ascii="Courier New" w:hAnsi="Courier New" w:cs="Courier New"/>
      <w:sz w:val="20"/>
    </w:rPr>
  </w:style>
  <w:style w:type="character" w:customStyle="1" w:styleId="16a">
    <w:name w:val="Текст Знак16"/>
    <w:qFormat/>
    <w:rPr>
      <w:rFonts w:ascii="Courier New" w:hAnsi="Courier New" w:cs="Courier New"/>
      <w:sz w:val="20"/>
    </w:rPr>
  </w:style>
  <w:style w:type="character" w:customStyle="1" w:styleId="15a">
    <w:name w:val="Текст Знак15"/>
    <w:qFormat/>
    <w:rPr>
      <w:rFonts w:ascii="Courier New" w:hAnsi="Courier New" w:cs="Courier New"/>
      <w:sz w:val="20"/>
    </w:rPr>
  </w:style>
  <w:style w:type="character" w:customStyle="1" w:styleId="14a">
    <w:name w:val="Текст Знак14"/>
    <w:qFormat/>
    <w:rPr>
      <w:rFonts w:ascii="Courier New" w:hAnsi="Courier New" w:cs="Courier New"/>
      <w:sz w:val="20"/>
    </w:rPr>
  </w:style>
  <w:style w:type="character" w:customStyle="1" w:styleId="13a">
    <w:name w:val="Текст Знак13"/>
    <w:qFormat/>
    <w:rPr>
      <w:rFonts w:ascii="Courier New" w:hAnsi="Courier New" w:cs="Courier New"/>
      <w:sz w:val="20"/>
    </w:rPr>
  </w:style>
  <w:style w:type="character" w:customStyle="1" w:styleId="12a">
    <w:name w:val="Текст Знак12"/>
    <w:qFormat/>
    <w:rPr>
      <w:rFonts w:ascii="Courier New" w:hAnsi="Courier New" w:cs="Courier New"/>
      <w:sz w:val="20"/>
    </w:rPr>
  </w:style>
  <w:style w:type="character" w:customStyle="1" w:styleId="11a">
    <w:name w:val="Текст Знак11"/>
    <w:qFormat/>
    <w:rPr>
      <w:rFonts w:ascii="Courier New" w:hAnsi="Courier New" w:cs="Courier New"/>
      <w:sz w:val="20"/>
    </w:rPr>
  </w:style>
  <w:style w:type="character" w:customStyle="1" w:styleId="193">
    <w:name w:val="Текст Знак193"/>
    <w:qFormat/>
    <w:rPr>
      <w:rFonts w:ascii="Courier New" w:hAnsi="Courier New" w:cs="Courier New"/>
    </w:rPr>
  </w:style>
  <w:style w:type="character" w:customStyle="1" w:styleId="192">
    <w:name w:val="Текст Знак192"/>
    <w:qFormat/>
    <w:rPr>
      <w:rFonts w:ascii="Courier New" w:hAnsi="Courier New" w:cs="Courier New"/>
    </w:rPr>
  </w:style>
  <w:style w:type="character" w:customStyle="1" w:styleId="191">
    <w:name w:val="Текст Знак191"/>
    <w:qFormat/>
    <w:rPr>
      <w:rFonts w:ascii="Courier New" w:hAnsi="Courier New" w:cs="Courier New"/>
    </w:rPr>
  </w:style>
  <w:style w:type="character" w:customStyle="1" w:styleId="defaultlabelstyle3">
    <w:name w:val="defaultlabelstyle3"/>
    <w:qFormat/>
    <w:rPr>
      <w:rFonts w:ascii="Verdana" w:hAnsi="Verdana" w:cs="Verdana"/>
      <w:color w:val="333333"/>
    </w:rPr>
  </w:style>
  <w:style w:type="character" w:customStyle="1" w:styleId="ListParagraph1SubtleEmphasishead5-31ListParagraphTable-NormalRSHBTable-Normal">
    <w:name w:val="Абзац списка Знак;Нумерованый список Знак;List Paragraph1 Знак;ПАРАГРАФ Знак;Нумерованный спиков Знак;Subtle Emphasis Знак;head 5 Знак;Светлая сетка - Акцент 31 Знак;List Paragraph Знак;Абзац маркированнный Знак;Table-Normal Знак;RSHB_Table-Normal Знак"/>
    <w:uiPriority w:val="34"/>
    <w:qFormat/>
    <w:rPr>
      <w:sz w:val="22"/>
      <w:szCs w:val="22"/>
    </w:rPr>
  </w:style>
  <w:style w:type="character" w:customStyle="1" w:styleId="35">
    <w:name w:val="нумерация 3 уровня Знак"/>
    <w:qFormat/>
    <w:rPr>
      <w:rFonts w:ascii="Times New Roman" w:eastAsia="Times New Roman" w:hAnsi="Times New Roman" w:cs="Times New Roman"/>
      <w:iCs/>
      <w:color w:val="000000"/>
      <w:sz w:val="28"/>
      <w:szCs w:val="28"/>
      <w:lang w:bidi="ru-RU"/>
    </w:rPr>
  </w:style>
  <w:style w:type="character" w:customStyle="1" w:styleId="aff6">
    <w:name w:val="Основной текст_"/>
    <w:qFormat/>
    <w:rPr>
      <w:rFonts w:ascii="Times New Roman" w:eastAsia="Times New Roman" w:hAnsi="Times New Roman" w:cs="Times New Roman"/>
      <w:b/>
      <w:i/>
      <w:sz w:val="28"/>
    </w:rPr>
  </w:style>
  <w:style w:type="character" w:customStyle="1" w:styleId="aff7">
    <w:name w:val="Основной текст + Курсив"/>
    <w:qFormat/>
    <w:rPr>
      <w:rFonts w:ascii="Times New Roman" w:eastAsia="Times New Roman" w:hAnsi="Times New Roman" w:cs="Times New Roman"/>
      <w:i/>
      <w:iCs/>
      <w:color w:val="000000"/>
      <w:spacing w:val="0"/>
      <w:position w:val="0"/>
      <w:sz w:val="27"/>
      <w:szCs w:val="27"/>
      <w:shd w:val="clear" w:color="auto" w:fill="FFFFFF"/>
      <w:vertAlign w:val="baseline"/>
      <w:lang w:val="ru-RU"/>
    </w:rPr>
  </w:style>
  <w:style w:type="character" w:customStyle="1" w:styleId="-FNCiaeniinee-FN1frUsedbyWordforHelpfootnotesymbols45FootnoteReferenceNumber16PointSuperscript6PointReferencianotaalpieCiaeniinee1OdwoanieprzypisuSUPERS">
    <w:name w:val="Знак сноски;текст сноски;Знак сноски-FN;Ciae niinee-FN;Знак сноски 1;fr;Used by Word for Help footnote symbols;Ссылка на сноску 45;Footnote Reference Number;16 Point;Superscript 6 Point;Referencia nota al pie;Ciae niinee 1;Odwołanie przypisu;SUPERS"/>
    <w:qFormat/>
    <w:rPr>
      <w:vertAlign w:val="superscript"/>
    </w:rPr>
  </w:style>
  <w:style w:type="character" w:customStyle="1" w:styleId="12b">
    <w:name w:val="Название Знак1;Заголовок Знак2"/>
    <w:link w:val="aff8"/>
    <w:qFormat/>
    <w:rPr>
      <w:b/>
      <w:bCs/>
      <w:sz w:val="28"/>
      <w:szCs w:val="24"/>
      <w:lang w:eastAsia="zh-CN"/>
    </w:rPr>
  </w:style>
  <w:style w:type="character" w:styleId="aff9">
    <w:name w:val="annotation reference"/>
    <w:uiPriority w:val="99"/>
    <w:semiHidden/>
    <w:unhideWhenUsed/>
    <w:qFormat/>
    <w:rPr>
      <w:sz w:val="16"/>
      <w:szCs w:val="16"/>
    </w:rPr>
  </w:style>
  <w:style w:type="character" w:customStyle="1" w:styleId="1a">
    <w:name w:val="Текст примечания Знак1"/>
    <w:link w:val="affa"/>
    <w:uiPriority w:val="99"/>
    <w:qFormat/>
    <w:rPr>
      <w:rFonts w:ascii="Calibri" w:eastAsia="Calibri" w:hAnsi="Calibri"/>
      <w:lang w:eastAsia="zh-CN"/>
    </w:rPr>
  </w:style>
  <w:style w:type="character" w:customStyle="1" w:styleId="310">
    <w:name w:val="Основной текст с отступом 3 Знак1"/>
    <w:link w:val="36"/>
    <w:uiPriority w:val="99"/>
    <w:semiHidden/>
    <w:qFormat/>
    <w:rPr>
      <w:rFonts w:ascii="Calibri" w:eastAsia="Calibri" w:hAnsi="Calibri"/>
      <w:sz w:val="16"/>
      <w:szCs w:val="16"/>
      <w:lang w:eastAsia="zh-CN"/>
    </w:rPr>
  </w:style>
  <w:style w:type="character" w:customStyle="1" w:styleId="210">
    <w:name w:val="Основной текст с отступом 2 Знак1"/>
    <w:uiPriority w:val="99"/>
    <w:semiHidden/>
    <w:qFormat/>
    <w:rPr>
      <w:rFonts w:ascii="Calibri" w:eastAsia="Calibri" w:hAnsi="Calibri"/>
      <w:sz w:val="22"/>
      <w:szCs w:val="22"/>
      <w:lang w:eastAsia="zh-CN"/>
    </w:rPr>
  </w:style>
  <w:style w:type="character" w:customStyle="1" w:styleId="1b">
    <w:name w:val="Основной текст Знак1"/>
    <w:link w:val="affb"/>
    <w:qFormat/>
    <w:rPr>
      <w:sz w:val="24"/>
      <w:szCs w:val="24"/>
      <w:lang w:eastAsia="zh-CN"/>
    </w:rPr>
  </w:style>
  <w:style w:type="character" w:customStyle="1" w:styleId="29">
    <w:name w:val="Верхний колонтитул Знак2"/>
    <w:link w:val="affc"/>
    <w:qFormat/>
    <w:rPr>
      <w:sz w:val="24"/>
      <w:szCs w:val="24"/>
      <w:lang w:eastAsia="zh-CN"/>
    </w:rPr>
  </w:style>
  <w:style w:type="character" w:customStyle="1" w:styleId="2a">
    <w:name w:val="Нижний колонтитул Знак2"/>
    <w:link w:val="affd"/>
    <w:uiPriority w:val="99"/>
    <w:qFormat/>
    <w:rPr>
      <w:sz w:val="24"/>
      <w:szCs w:val="24"/>
      <w:lang w:eastAsia="zh-CN"/>
    </w:rPr>
  </w:style>
  <w:style w:type="character" w:customStyle="1" w:styleId="1c">
    <w:name w:val="Основной текст с отступом Знак1"/>
    <w:link w:val="affe"/>
    <w:qFormat/>
    <w:rPr>
      <w:sz w:val="24"/>
      <w:szCs w:val="24"/>
      <w:lang w:eastAsia="zh-CN"/>
    </w:rPr>
  </w:style>
  <w:style w:type="character" w:customStyle="1" w:styleId="1d">
    <w:name w:val="Текст выноски Знак1"/>
    <w:link w:val="afff"/>
    <w:qFormat/>
    <w:rPr>
      <w:rFonts w:ascii="Tahoma" w:hAnsi="Tahoma" w:cs="Tahoma"/>
      <w:sz w:val="16"/>
      <w:szCs w:val="16"/>
      <w:lang w:eastAsia="zh-CN"/>
    </w:rPr>
  </w:style>
  <w:style w:type="character" w:customStyle="1" w:styleId="1e">
    <w:name w:val="Тема примечания Знак1"/>
    <w:link w:val="afff0"/>
    <w:qFormat/>
    <w:rPr>
      <w:b/>
      <w:bCs/>
      <w:lang w:eastAsia="zh-CN"/>
    </w:rPr>
  </w:style>
  <w:style w:type="character" w:customStyle="1" w:styleId="HTML1">
    <w:name w:val="Стандартный HTML Знак1"/>
    <w:link w:val="HTML2"/>
    <w:qFormat/>
    <w:rPr>
      <w:rFonts w:ascii="Courier New" w:hAnsi="Courier New" w:cs="Courier New"/>
      <w:lang w:eastAsia="zh-CN"/>
    </w:rPr>
  </w:style>
  <w:style w:type="character" w:customStyle="1" w:styleId="1ARMfootnoteText1FootnoteNew1FootnoteTextChar11FootnoteTextChar111FootnoteTextChar121FootnoteTextChar21FootnoteTextChar211FootnoteTextChar31FootnoteTextChar41f">
    <w:name w:val="Текст сноски Знак1;ARM footnote Text Знак1;Footnote New Знак1;Footnote Text Char1 Знак1;Footnote Text Char11 Знак1;Footnote Text Char12 Знак1;Footnote Text Char2 Знак1;Footnote Text Char21 Знак1;Footnote Text Char3 Знак1;Footnote Text Char4 Знак1;f Знак"/>
    <w:link w:val="ARMfootnoteTextFootnoteNewFootnoteTextChar1FootnoteTextChar11FootnoteTextChar12FootnoteTextChar2FootnoteTextChar21FootnoteTextChar3FootnoteTextChar4FootnoteTextChar5FootnoteTextChar6TableFootnotelastf"/>
    <w:qFormat/>
    <w:rPr>
      <w:rFonts w:ascii="Calibri" w:eastAsia="Calibri" w:hAnsi="Calibri"/>
      <w:lang w:eastAsia="zh-CN"/>
    </w:rPr>
  </w:style>
  <w:style w:type="character" w:customStyle="1" w:styleId="1f">
    <w:name w:val="Текст концевой сноски Знак1"/>
    <w:link w:val="afff1"/>
    <w:qFormat/>
    <w:rPr>
      <w:lang w:eastAsia="zh-CN"/>
    </w:rPr>
  </w:style>
  <w:style w:type="character" w:customStyle="1" w:styleId="z-1">
    <w:name w:val="z-Начало формы Знак1"/>
    <w:link w:val="z-2"/>
    <w:qFormat/>
    <w:rPr>
      <w:rFonts w:ascii="Arial" w:hAnsi="Arial" w:cs="Arial"/>
      <w:vanish/>
      <w:sz w:val="16"/>
      <w:szCs w:val="16"/>
      <w:lang w:eastAsia="zh-CN"/>
    </w:rPr>
  </w:style>
  <w:style w:type="character" w:customStyle="1" w:styleId="z-10">
    <w:name w:val="z-Конец формы Знак1"/>
    <w:link w:val="z-3"/>
    <w:qFormat/>
    <w:rPr>
      <w:rFonts w:ascii="Arial" w:hAnsi="Arial" w:cs="Arial"/>
      <w:vanish/>
      <w:sz w:val="16"/>
      <w:szCs w:val="16"/>
      <w:lang w:eastAsia="zh-CN"/>
    </w:rPr>
  </w:style>
  <w:style w:type="character" w:customStyle="1" w:styleId="1f0">
    <w:name w:val="Подзаголовок Знак1"/>
    <w:link w:val="afff2"/>
    <w:qFormat/>
    <w:rPr>
      <w:b/>
      <w:bCs/>
      <w:sz w:val="28"/>
      <w:szCs w:val="28"/>
      <w:lang w:eastAsia="zh-CN"/>
    </w:rPr>
  </w:style>
  <w:style w:type="character" w:customStyle="1" w:styleId="afff3">
    <w:name w:val="Заголовок Знак"/>
    <w:uiPriority w:val="10"/>
    <w:qFormat/>
    <w:rPr>
      <w:rFonts w:ascii="Calibri Light" w:eastAsia="Times New Roman" w:hAnsi="Calibri Light" w:cs="Times New Roman"/>
      <w:spacing w:val="-10"/>
      <w:sz w:val="56"/>
      <w:szCs w:val="56"/>
    </w:rPr>
  </w:style>
  <w:style w:type="character" w:customStyle="1" w:styleId="1f1">
    <w:name w:val="Заголовок Знак1"/>
    <w:qFormat/>
    <w:rPr>
      <w:rFonts w:ascii="Times New Roman" w:eastAsia="Times New Roman" w:hAnsi="Times New Roman" w:cs="Times New Roman"/>
      <w:b/>
      <w:bCs/>
      <w:sz w:val="28"/>
      <w:szCs w:val="24"/>
      <w:lang w:eastAsia="zh-CN"/>
    </w:rPr>
  </w:style>
  <w:style w:type="character" w:customStyle="1" w:styleId="afff4">
    <w:name w:val="Нумерованный ) Знак"/>
    <w:link w:val="a"/>
    <w:qFormat/>
    <w:rPr>
      <w:rFonts w:ascii="Arial" w:hAnsi="Arial"/>
      <w:sz w:val="24"/>
      <w:szCs w:val="28"/>
      <w:lang w:val="en-US" w:eastAsia="en-US"/>
    </w:rPr>
  </w:style>
  <w:style w:type="character" w:customStyle="1" w:styleId="311">
    <w:name w:val="Основной текст 3 Знак1"/>
    <w:uiPriority w:val="99"/>
    <w:semiHidden/>
    <w:qFormat/>
    <w:rPr>
      <w:rFonts w:ascii="Calibri" w:eastAsia="Calibri" w:hAnsi="Calibri"/>
      <w:sz w:val="16"/>
      <w:szCs w:val="16"/>
      <w:lang w:eastAsia="zh-CN"/>
    </w:rPr>
  </w:style>
  <w:style w:type="character" w:customStyle="1" w:styleId="afff5">
    <w:name w:val="Абзац списка Знак"/>
    <w:link w:val="afff6"/>
    <w:uiPriority w:val="34"/>
    <w:qFormat/>
    <w:locked/>
    <w:rsid w:val="002171A1"/>
    <w:rPr>
      <w:rFonts w:eastAsia="Calibri"/>
      <w:sz w:val="24"/>
      <w:szCs w:val="24"/>
    </w:rPr>
  </w:style>
  <w:style w:type="character" w:customStyle="1" w:styleId="1f2">
    <w:name w:val="Текст сноски Знак1"/>
    <w:qFormat/>
    <w:rsid w:val="008D6129"/>
    <w:rPr>
      <w:rFonts w:ascii="Calibri" w:eastAsia="Calibri" w:hAnsi="Calibri" w:cs="Times New Roman"/>
      <w:sz w:val="20"/>
      <w:szCs w:val="20"/>
      <w:lang w:eastAsia="zh-CN"/>
    </w:rPr>
  </w:style>
  <w:style w:type="character" w:customStyle="1" w:styleId="2b">
    <w:name w:val="Текст Знак2"/>
    <w:basedOn w:val="a3"/>
    <w:uiPriority w:val="99"/>
    <w:semiHidden/>
    <w:qFormat/>
    <w:rsid w:val="000E74D8"/>
    <w:rPr>
      <w:rFonts w:ascii="Consolas" w:eastAsia="Calibri" w:hAnsi="Consolas"/>
      <w:sz w:val="21"/>
      <w:szCs w:val="21"/>
    </w:rPr>
  </w:style>
  <w:style w:type="character" w:customStyle="1" w:styleId="afff7">
    <w:name w:val="Обычный (веб) Знак"/>
    <w:link w:val="afff8"/>
    <w:uiPriority w:val="99"/>
    <w:qFormat/>
    <w:rsid w:val="00F6618F"/>
    <w:rPr>
      <w:rFonts w:ascii="Calibri" w:hAnsi="Calibri"/>
      <w:sz w:val="24"/>
      <w:szCs w:val="24"/>
      <w:lang w:val="x-none" w:eastAsia="x-none"/>
    </w:rPr>
  </w:style>
  <w:style w:type="character" w:customStyle="1" w:styleId="afff9">
    <w:name w:val="Ссылка указателя"/>
    <w:qFormat/>
  </w:style>
  <w:style w:type="paragraph" w:styleId="a6">
    <w:name w:val="Title"/>
    <w:basedOn w:val="a2"/>
    <w:next w:val="affb"/>
    <w:link w:val="22"/>
    <w:uiPriority w:val="10"/>
    <w:qFormat/>
    <w:pPr>
      <w:spacing w:before="300"/>
      <w:contextualSpacing/>
    </w:pPr>
    <w:rPr>
      <w:sz w:val="48"/>
      <w:szCs w:val="48"/>
    </w:rPr>
  </w:style>
  <w:style w:type="paragraph" w:styleId="affb">
    <w:name w:val="Body Text"/>
    <w:basedOn w:val="a2"/>
    <w:link w:val="1b"/>
    <w:pPr>
      <w:spacing w:after="120" w:line="240" w:lineRule="auto"/>
    </w:pPr>
    <w:rPr>
      <w:rFonts w:ascii="Times New Roman" w:eastAsia="Times New Roman" w:hAnsi="Times New Roman"/>
      <w:sz w:val="24"/>
      <w:szCs w:val="24"/>
    </w:rPr>
  </w:style>
  <w:style w:type="paragraph" w:styleId="afffa">
    <w:name w:val="List"/>
    <w:basedOn w:val="affb"/>
    <w:rPr>
      <w:rFonts w:cs="FreeSans"/>
    </w:rPr>
  </w:style>
  <w:style w:type="paragraph" w:styleId="aa">
    <w:name w:val="caption"/>
    <w:basedOn w:val="a2"/>
    <w:link w:val="a9"/>
    <w:qFormat/>
    <w:pPr>
      <w:suppressLineNumbers/>
      <w:spacing w:before="120" w:after="120"/>
    </w:pPr>
    <w:rPr>
      <w:rFonts w:cs="FreeSans"/>
      <w:i/>
      <w:iCs/>
      <w:sz w:val="24"/>
      <w:szCs w:val="24"/>
    </w:rPr>
  </w:style>
  <w:style w:type="paragraph" w:styleId="afffb">
    <w:name w:val="index heading"/>
    <w:basedOn w:val="a6"/>
  </w:style>
  <w:style w:type="paragraph" w:customStyle="1" w:styleId="user">
    <w:name w:val="Заголовок (user)"/>
    <w:basedOn w:val="a2"/>
    <w:next w:val="affb"/>
    <w:qFormat/>
    <w:pPr>
      <w:keepNext/>
      <w:spacing w:before="240" w:after="120"/>
    </w:pPr>
    <w:rPr>
      <w:rFonts w:ascii="Liberation Sans" w:eastAsia="Tahoma" w:hAnsi="Liberation Sans" w:cs="Noto Sans"/>
      <w:sz w:val="28"/>
      <w:szCs w:val="28"/>
    </w:rPr>
  </w:style>
  <w:style w:type="paragraph" w:customStyle="1" w:styleId="user0">
    <w:name w:val="Указатель (user)"/>
    <w:basedOn w:val="a2"/>
    <w:qFormat/>
    <w:pPr>
      <w:suppressLineNumbers/>
    </w:pPr>
    <w:rPr>
      <w:rFonts w:cs="Noto Sans"/>
    </w:rPr>
  </w:style>
  <w:style w:type="paragraph" w:styleId="afffc">
    <w:name w:val="No Spacing"/>
    <w:qFormat/>
    <w:rPr>
      <w:rFonts w:ascii="Calibri" w:eastAsia="Calibri" w:hAnsi="Calibri"/>
      <w:sz w:val="22"/>
      <w:szCs w:val="22"/>
    </w:rPr>
  </w:style>
  <w:style w:type="paragraph" w:styleId="afff2">
    <w:name w:val="Subtitle"/>
    <w:basedOn w:val="a2"/>
    <w:next w:val="a2"/>
    <w:link w:val="1f0"/>
    <w:qFormat/>
    <w:pPr>
      <w:spacing w:after="0" w:line="240" w:lineRule="auto"/>
      <w:jc w:val="center"/>
    </w:pPr>
    <w:rPr>
      <w:rFonts w:ascii="Times New Roman" w:eastAsia="Times New Roman" w:hAnsi="Times New Roman"/>
      <w:b/>
      <w:bCs/>
      <w:sz w:val="28"/>
      <w:szCs w:val="28"/>
    </w:rPr>
  </w:style>
  <w:style w:type="paragraph" w:styleId="24">
    <w:name w:val="Quote"/>
    <w:basedOn w:val="a2"/>
    <w:next w:val="a2"/>
    <w:link w:val="23"/>
    <w:uiPriority w:val="29"/>
    <w:qFormat/>
    <w:pPr>
      <w:ind w:left="720" w:right="720"/>
    </w:pPr>
    <w:rPr>
      <w:i/>
    </w:rPr>
  </w:style>
  <w:style w:type="paragraph" w:styleId="a8">
    <w:name w:val="Intense Quote"/>
    <w:basedOn w:val="a2"/>
    <w:next w:val="a2"/>
    <w:link w:val="a7"/>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paragraph" w:customStyle="1" w:styleId="HeaderandFooter">
    <w:name w:val="Header and Footer"/>
    <w:basedOn w:val="a2"/>
    <w:qFormat/>
  </w:style>
  <w:style w:type="paragraph" w:styleId="affc">
    <w:name w:val="header"/>
    <w:basedOn w:val="a2"/>
    <w:link w:val="29"/>
    <w:pPr>
      <w:tabs>
        <w:tab w:val="center" w:pos="4677"/>
        <w:tab w:val="right" w:pos="9355"/>
      </w:tabs>
      <w:spacing w:after="0" w:line="240" w:lineRule="auto"/>
    </w:pPr>
    <w:rPr>
      <w:rFonts w:ascii="Times New Roman" w:eastAsia="Times New Roman" w:hAnsi="Times New Roman"/>
      <w:sz w:val="24"/>
      <w:szCs w:val="24"/>
    </w:rPr>
  </w:style>
  <w:style w:type="paragraph" w:styleId="affd">
    <w:name w:val="footer"/>
    <w:basedOn w:val="a2"/>
    <w:link w:val="2a"/>
    <w:uiPriority w:val="99"/>
    <w:pPr>
      <w:tabs>
        <w:tab w:val="center" w:pos="4677"/>
        <w:tab w:val="right" w:pos="9355"/>
      </w:tabs>
      <w:spacing w:after="0" w:line="240" w:lineRule="auto"/>
    </w:pPr>
    <w:rPr>
      <w:rFonts w:ascii="Times New Roman" w:eastAsia="Times New Roman" w:hAnsi="Times New Roman"/>
      <w:sz w:val="24"/>
      <w:szCs w:val="24"/>
    </w:rPr>
  </w:style>
  <w:style w:type="paragraph" w:styleId="ad">
    <w:name w:val="footnote text"/>
    <w:aliases w:val="single space,Footnote Text Char Знак,Текст сноски Знак1 Char Знак,Знак1 Знак1 Char Знак,Текст сноски Знак Знак1 Char Знак,Текст сноски Знак Знак Знак1 Char Знак,Текст сноски Знак Знак Знак Знак Char Знак,Table_Footnote_last"/>
    <w:basedOn w:val="a2"/>
    <w:link w:val="ac"/>
    <w:unhideWhenUsed/>
    <w:qFormat/>
    <w:pPr>
      <w:spacing w:after="40" w:line="240" w:lineRule="auto"/>
    </w:pPr>
    <w:rPr>
      <w:sz w:val="18"/>
    </w:rPr>
  </w:style>
  <w:style w:type="paragraph" w:styleId="afff1">
    <w:name w:val="endnote text"/>
    <w:basedOn w:val="a2"/>
    <w:link w:val="1f"/>
    <w:uiPriority w:val="99"/>
    <w:pPr>
      <w:spacing w:after="0" w:line="240" w:lineRule="auto"/>
    </w:pPr>
    <w:rPr>
      <w:rFonts w:ascii="Times New Roman" w:eastAsia="Times New Roman" w:hAnsi="Times New Roman"/>
      <w:sz w:val="20"/>
      <w:szCs w:val="20"/>
    </w:rPr>
  </w:style>
  <w:style w:type="paragraph" w:styleId="1f3">
    <w:name w:val="toc 1"/>
    <w:basedOn w:val="a2"/>
    <w:next w:val="a2"/>
    <w:uiPriority w:val="39"/>
    <w:pPr>
      <w:tabs>
        <w:tab w:val="left" w:pos="426"/>
        <w:tab w:val="right" w:leader="dot" w:pos="9487"/>
      </w:tabs>
      <w:spacing w:after="0" w:line="240" w:lineRule="auto"/>
    </w:pPr>
    <w:rPr>
      <w:rFonts w:ascii="Times New Roman" w:eastAsia="Times New Roman" w:hAnsi="Times New Roman"/>
      <w:b/>
      <w:sz w:val="24"/>
      <w:szCs w:val="24"/>
    </w:rPr>
  </w:style>
  <w:style w:type="paragraph" w:styleId="2c">
    <w:name w:val="toc 2"/>
    <w:basedOn w:val="a2"/>
    <w:next w:val="a2"/>
    <w:uiPriority w:val="39"/>
    <w:pPr>
      <w:spacing w:after="100"/>
      <w:ind w:left="220"/>
    </w:pPr>
    <w:rPr>
      <w:rFonts w:eastAsia="Times New Roman"/>
    </w:rPr>
  </w:style>
  <w:style w:type="paragraph" w:styleId="37">
    <w:name w:val="toc 3"/>
    <w:basedOn w:val="a2"/>
    <w:next w:val="a2"/>
    <w:uiPriority w:val="39"/>
    <w:pPr>
      <w:spacing w:after="100"/>
      <w:ind w:left="440"/>
    </w:pPr>
    <w:rPr>
      <w:rFonts w:eastAsia="Times New Roman"/>
    </w:rPr>
  </w:style>
  <w:style w:type="paragraph" w:styleId="42">
    <w:name w:val="toc 4"/>
    <w:basedOn w:val="a2"/>
    <w:next w:val="a2"/>
    <w:uiPriority w:val="39"/>
    <w:pPr>
      <w:spacing w:after="100"/>
      <w:ind w:left="660"/>
    </w:pPr>
    <w:rPr>
      <w:rFonts w:eastAsia="Times New Roman"/>
    </w:rPr>
  </w:style>
  <w:style w:type="paragraph" w:styleId="52">
    <w:name w:val="toc 5"/>
    <w:basedOn w:val="a2"/>
    <w:next w:val="a2"/>
    <w:uiPriority w:val="39"/>
    <w:pPr>
      <w:spacing w:after="100"/>
      <w:ind w:left="880"/>
    </w:pPr>
    <w:rPr>
      <w:rFonts w:eastAsia="Times New Roman"/>
    </w:rPr>
  </w:style>
  <w:style w:type="paragraph" w:styleId="62">
    <w:name w:val="toc 6"/>
    <w:basedOn w:val="a2"/>
    <w:next w:val="a2"/>
    <w:uiPriority w:val="39"/>
    <w:pPr>
      <w:spacing w:after="100"/>
      <w:ind w:left="1100"/>
    </w:pPr>
    <w:rPr>
      <w:rFonts w:eastAsia="Times New Roman"/>
    </w:rPr>
  </w:style>
  <w:style w:type="paragraph" w:styleId="72">
    <w:name w:val="toc 7"/>
    <w:basedOn w:val="a2"/>
    <w:next w:val="a2"/>
    <w:uiPriority w:val="39"/>
    <w:pPr>
      <w:spacing w:after="100"/>
      <w:ind w:left="1320"/>
    </w:pPr>
    <w:rPr>
      <w:rFonts w:eastAsia="Times New Roman"/>
    </w:rPr>
  </w:style>
  <w:style w:type="paragraph" w:styleId="82">
    <w:name w:val="toc 8"/>
    <w:basedOn w:val="a2"/>
    <w:next w:val="a2"/>
    <w:uiPriority w:val="39"/>
    <w:pPr>
      <w:spacing w:after="100"/>
      <w:ind w:left="1540"/>
    </w:pPr>
    <w:rPr>
      <w:rFonts w:eastAsia="Times New Roman"/>
    </w:rPr>
  </w:style>
  <w:style w:type="paragraph" w:styleId="92">
    <w:name w:val="toc 9"/>
    <w:basedOn w:val="a2"/>
    <w:next w:val="a2"/>
    <w:uiPriority w:val="39"/>
    <w:pPr>
      <w:spacing w:after="100"/>
      <w:ind w:left="1760"/>
    </w:pPr>
    <w:rPr>
      <w:rFonts w:eastAsia="Times New Roman"/>
    </w:rPr>
  </w:style>
  <w:style w:type="paragraph" w:styleId="afffd">
    <w:name w:val="TOC Heading"/>
    <w:basedOn w:val="10"/>
    <w:next w:val="a2"/>
    <w:uiPriority w:val="39"/>
    <w:unhideWhenUsed/>
    <w:qFormat/>
    <w:pPr>
      <w:keepLines/>
      <w:spacing w:before="480" w:line="276" w:lineRule="auto"/>
      <w:jc w:val="left"/>
      <w:outlineLvl w:val="9"/>
    </w:pPr>
    <w:rPr>
      <w:rFonts w:ascii="Cambria" w:hAnsi="Cambria"/>
      <w:color w:val="365F91"/>
      <w:lang w:eastAsia="ru-RU"/>
    </w:rPr>
  </w:style>
  <w:style w:type="paragraph" w:styleId="afffe">
    <w:name w:val="table of figures"/>
    <w:basedOn w:val="a2"/>
    <w:next w:val="a2"/>
    <w:uiPriority w:val="99"/>
    <w:unhideWhenUsed/>
    <w:pPr>
      <w:spacing w:after="0"/>
    </w:pPr>
  </w:style>
  <w:style w:type="paragraph" w:customStyle="1" w:styleId="1f4">
    <w:name w:val="Заголовок1"/>
    <w:basedOn w:val="a2"/>
    <w:next w:val="affb"/>
    <w:qFormat/>
    <w:pPr>
      <w:spacing w:after="0" w:line="240" w:lineRule="auto"/>
      <w:jc w:val="center"/>
    </w:pPr>
    <w:rPr>
      <w:rFonts w:ascii="Times New Roman" w:eastAsia="Times New Roman" w:hAnsi="Times New Roman"/>
      <w:b/>
      <w:bCs/>
      <w:sz w:val="28"/>
      <w:szCs w:val="24"/>
    </w:rPr>
  </w:style>
  <w:style w:type="paragraph" w:customStyle="1" w:styleId="1f5">
    <w:name w:val="Указатель1"/>
    <w:basedOn w:val="a2"/>
    <w:qFormat/>
    <w:pPr>
      <w:suppressLineNumbers/>
    </w:pPr>
    <w:rPr>
      <w:rFonts w:cs="FreeSans"/>
    </w:rPr>
  </w:style>
  <w:style w:type="paragraph" w:customStyle="1" w:styleId="ListParagraph1SubtleEmphasishead5-31Table-NormalRSHBTable-Normal2ACList011Tit">
    <w:name w:val="Абзац списка;Нумерованый список;List Paragraph1;ПАРАГРАФ;Нумерованный спиков;Subtle Emphasis;head 5;Светлая сетка - Акцент 31;Абзац маркированнный;Table-Normal;RSHB_Table-Normal;Ненумерованный список;Абзац списка2;AC List 01;Маркер;Слабое выделение1;Tit"/>
    <w:basedOn w:val="a2"/>
    <w:uiPriority w:val="34"/>
    <w:qFormat/>
    <w:pPr>
      <w:ind w:left="708"/>
    </w:pPr>
  </w:style>
  <w:style w:type="paragraph" w:customStyle="1" w:styleId="WebWebWeb">
    <w:name w:val="Обычный (веб);Обычный (Web);Обычный (Web) Знак;Обычный (Web) Знак Знак"/>
    <w:basedOn w:val="a2"/>
    <w:uiPriority w:val="99"/>
    <w:qFormat/>
    <w:rPr>
      <w:rFonts w:ascii="Times New Roman" w:hAnsi="Times New Roman"/>
      <w:sz w:val="24"/>
      <w:szCs w:val="24"/>
    </w:rPr>
  </w:style>
  <w:style w:type="paragraph" w:customStyle="1" w:styleId="CharChar">
    <w:name w:val="Знак Знак Знак Char Char"/>
    <w:basedOn w:val="a2"/>
    <w:qFormat/>
    <w:pPr>
      <w:tabs>
        <w:tab w:val="left" w:pos="1069"/>
      </w:tabs>
      <w:spacing w:after="160" w:line="240" w:lineRule="exact"/>
      <w:ind w:left="1069" w:hanging="360"/>
      <w:jc w:val="both"/>
    </w:pPr>
    <w:rPr>
      <w:rFonts w:ascii="Verdana" w:eastAsia="Times New Roman" w:hAnsi="Verdana" w:cs="Arial"/>
      <w:sz w:val="20"/>
      <w:szCs w:val="20"/>
      <w:lang w:val="en-US"/>
    </w:rPr>
  </w:style>
  <w:style w:type="paragraph" w:customStyle="1" w:styleId="Default">
    <w:name w:val="Default"/>
    <w:qFormat/>
    <w:rPr>
      <w:rFonts w:ascii="HeliosCompressed" w:hAnsi="HeliosCompressed" w:cs="HeliosCompressed"/>
      <w:color w:val="000000"/>
      <w:sz w:val="24"/>
      <w:szCs w:val="24"/>
    </w:rPr>
  </w:style>
  <w:style w:type="paragraph" w:customStyle="1" w:styleId="Pa16">
    <w:name w:val="Pa16"/>
    <w:basedOn w:val="Default"/>
    <w:next w:val="Default"/>
    <w:qFormat/>
    <w:pPr>
      <w:spacing w:line="241" w:lineRule="atLeast"/>
    </w:pPr>
    <w:rPr>
      <w:rFonts w:cs="Times New Roman"/>
    </w:rPr>
  </w:style>
  <w:style w:type="paragraph" w:customStyle="1" w:styleId="Pa5">
    <w:name w:val="Pa5"/>
    <w:basedOn w:val="Default"/>
    <w:next w:val="Default"/>
    <w:qFormat/>
    <w:pPr>
      <w:spacing w:line="441" w:lineRule="atLeast"/>
    </w:pPr>
    <w:rPr>
      <w:rFonts w:cs="Times New Roman"/>
    </w:rPr>
  </w:style>
  <w:style w:type="paragraph" w:customStyle="1" w:styleId="Pa6">
    <w:name w:val="Pa6"/>
    <w:basedOn w:val="Default"/>
    <w:next w:val="Default"/>
    <w:qFormat/>
    <w:pPr>
      <w:spacing w:line="171" w:lineRule="atLeast"/>
    </w:pPr>
    <w:rPr>
      <w:rFonts w:cs="Times New Roman"/>
    </w:rPr>
  </w:style>
  <w:style w:type="paragraph" w:customStyle="1" w:styleId="Pa3">
    <w:name w:val="Pa3"/>
    <w:basedOn w:val="Default"/>
    <w:next w:val="Default"/>
    <w:qFormat/>
    <w:pPr>
      <w:spacing w:line="171" w:lineRule="atLeast"/>
    </w:pPr>
    <w:rPr>
      <w:rFonts w:cs="Times New Roman"/>
    </w:rPr>
  </w:style>
  <w:style w:type="paragraph" w:customStyle="1" w:styleId="Pa4">
    <w:name w:val="Pa4"/>
    <w:basedOn w:val="Default"/>
    <w:next w:val="Default"/>
    <w:qFormat/>
    <w:pPr>
      <w:spacing w:line="171" w:lineRule="atLeast"/>
    </w:pPr>
    <w:rPr>
      <w:rFonts w:cs="Times New Roman"/>
    </w:rPr>
  </w:style>
  <w:style w:type="paragraph" w:customStyle="1" w:styleId="Pa7">
    <w:name w:val="Pa7"/>
    <w:basedOn w:val="Default"/>
    <w:next w:val="Default"/>
    <w:qFormat/>
    <w:pPr>
      <w:spacing w:line="171" w:lineRule="atLeast"/>
    </w:pPr>
    <w:rPr>
      <w:rFonts w:cs="Times New Roman"/>
    </w:rPr>
  </w:style>
  <w:style w:type="paragraph" w:customStyle="1" w:styleId="Pa2">
    <w:name w:val="Pa2"/>
    <w:basedOn w:val="Default"/>
    <w:next w:val="Default"/>
    <w:qFormat/>
    <w:pPr>
      <w:spacing w:line="171" w:lineRule="atLeast"/>
    </w:pPr>
    <w:rPr>
      <w:rFonts w:cs="Times New Roman"/>
    </w:rPr>
  </w:style>
  <w:style w:type="paragraph" w:customStyle="1" w:styleId="Pa20">
    <w:name w:val="Pa20"/>
    <w:basedOn w:val="Default"/>
    <w:next w:val="Default"/>
    <w:qFormat/>
    <w:pPr>
      <w:spacing w:line="171" w:lineRule="atLeast"/>
    </w:pPr>
    <w:rPr>
      <w:rFonts w:cs="Times New Roman"/>
    </w:rPr>
  </w:style>
  <w:style w:type="paragraph" w:customStyle="1" w:styleId="Pa26">
    <w:name w:val="Pa26"/>
    <w:basedOn w:val="Default"/>
    <w:next w:val="Default"/>
    <w:qFormat/>
    <w:pPr>
      <w:spacing w:line="171" w:lineRule="atLeast"/>
    </w:pPr>
    <w:rPr>
      <w:rFonts w:ascii="Georgia" w:hAnsi="Georgia" w:cs="Times New Roman"/>
    </w:rPr>
  </w:style>
  <w:style w:type="paragraph" w:customStyle="1" w:styleId="Pa40">
    <w:name w:val="Pa40"/>
    <w:basedOn w:val="Default"/>
    <w:next w:val="Default"/>
    <w:qFormat/>
    <w:pPr>
      <w:spacing w:line="171" w:lineRule="atLeast"/>
    </w:pPr>
    <w:rPr>
      <w:rFonts w:ascii="Georgia" w:hAnsi="Georgia" w:cs="Times New Roman"/>
    </w:rPr>
  </w:style>
  <w:style w:type="paragraph" w:customStyle="1" w:styleId="Pa21">
    <w:name w:val="Pa21"/>
    <w:basedOn w:val="Default"/>
    <w:next w:val="Default"/>
    <w:qFormat/>
    <w:pPr>
      <w:spacing w:line="241" w:lineRule="atLeast"/>
    </w:pPr>
    <w:rPr>
      <w:rFonts w:ascii="HeliosCond" w:hAnsi="HeliosCond" w:cs="Times New Roman"/>
    </w:rPr>
  </w:style>
  <w:style w:type="paragraph" w:customStyle="1" w:styleId="Pa1">
    <w:name w:val="Pa1"/>
    <w:basedOn w:val="Default"/>
    <w:next w:val="Default"/>
    <w:qFormat/>
    <w:pPr>
      <w:spacing w:line="221" w:lineRule="atLeast"/>
    </w:pPr>
    <w:rPr>
      <w:rFonts w:ascii="HeliosCond" w:hAnsi="HeliosCond" w:cs="Times New Roman"/>
    </w:rPr>
  </w:style>
  <w:style w:type="paragraph" w:customStyle="1" w:styleId="Pa22">
    <w:name w:val="Pa22"/>
    <w:basedOn w:val="Default"/>
    <w:next w:val="Default"/>
    <w:qFormat/>
    <w:pPr>
      <w:spacing w:line="191" w:lineRule="atLeast"/>
    </w:pPr>
    <w:rPr>
      <w:rFonts w:ascii="HeliosCond" w:hAnsi="HeliosCond" w:cs="Times New Roman"/>
    </w:rPr>
  </w:style>
  <w:style w:type="paragraph" w:customStyle="1" w:styleId="Pa23">
    <w:name w:val="Pa23"/>
    <w:basedOn w:val="Default"/>
    <w:next w:val="Default"/>
    <w:qFormat/>
    <w:pPr>
      <w:spacing w:line="171" w:lineRule="atLeast"/>
    </w:pPr>
    <w:rPr>
      <w:rFonts w:ascii="HeliosCond" w:hAnsi="HeliosCond" w:cs="Times New Roman"/>
    </w:rPr>
  </w:style>
  <w:style w:type="paragraph" w:customStyle="1" w:styleId="211">
    <w:name w:val="Основной текст с отступом 21"/>
    <w:basedOn w:val="a2"/>
    <w:qFormat/>
    <w:pPr>
      <w:spacing w:after="0" w:line="240" w:lineRule="auto"/>
      <w:ind w:firstLine="720"/>
    </w:pPr>
    <w:rPr>
      <w:rFonts w:ascii="Times New Roman" w:eastAsia="Times New Roman" w:hAnsi="Times New Roman"/>
      <w:sz w:val="24"/>
      <w:szCs w:val="24"/>
    </w:rPr>
  </w:style>
  <w:style w:type="paragraph" w:customStyle="1" w:styleId="320">
    <w:name w:val="Основной текст 32"/>
    <w:basedOn w:val="a2"/>
    <w:qFormat/>
    <w:pPr>
      <w:widowControl w:val="0"/>
      <w:spacing w:after="0" w:line="240" w:lineRule="auto"/>
      <w:jc w:val="both"/>
    </w:pPr>
    <w:rPr>
      <w:rFonts w:ascii="Times New Roman" w:eastAsia="Times New Roman" w:hAnsi="Times New Roman"/>
      <w:sz w:val="28"/>
      <w:szCs w:val="20"/>
    </w:rPr>
  </w:style>
  <w:style w:type="paragraph" w:customStyle="1" w:styleId="affff">
    <w:name w:val="Знак"/>
    <w:basedOn w:val="a2"/>
    <w:qFormat/>
    <w:pPr>
      <w:spacing w:after="160" w:line="240" w:lineRule="exact"/>
    </w:pPr>
    <w:rPr>
      <w:rFonts w:ascii="Verdana" w:eastAsia="Times New Roman" w:hAnsi="Verdana" w:cs="Verdana"/>
      <w:sz w:val="20"/>
      <w:szCs w:val="20"/>
      <w:lang w:val="en-US"/>
    </w:rPr>
  </w:style>
  <w:style w:type="paragraph" w:customStyle="1" w:styleId="CharChar0">
    <w:name w:val="Char Знак Знак Char Знак Знак Знак Знак Знак Знак Знак Знак Знак Знак Знак Знак Знак Знак Знак Знак"/>
    <w:basedOn w:val="a2"/>
    <w:qFormat/>
    <w:pPr>
      <w:spacing w:after="0" w:line="240" w:lineRule="auto"/>
    </w:pPr>
    <w:rPr>
      <w:rFonts w:ascii="Verdana" w:eastAsia="Times New Roman" w:hAnsi="Verdana" w:cs="Verdana"/>
      <w:sz w:val="20"/>
      <w:szCs w:val="20"/>
      <w:lang w:val="en-US"/>
    </w:rPr>
  </w:style>
  <w:style w:type="paragraph" w:styleId="affe">
    <w:name w:val="Body Text Indent"/>
    <w:basedOn w:val="a2"/>
    <w:link w:val="1c"/>
    <w:pPr>
      <w:spacing w:after="120" w:line="240" w:lineRule="auto"/>
      <w:ind w:left="283"/>
    </w:pPr>
    <w:rPr>
      <w:rFonts w:ascii="Times New Roman" w:eastAsia="Times New Roman" w:hAnsi="Times New Roman"/>
      <w:sz w:val="24"/>
      <w:szCs w:val="24"/>
    </w:rPr>
  </w:style>
  <w:style w:type="paragraph" w:customStyle="1" w:styleId="1f6">
    <w:name w:val="1 Знак"/>
    <w:basedOn w:val="a2"/>
    <w:qFormat/>
    <w:pPr>
      <w:tabs>
        <w:tab w:val="left" w:pos="1069"/>
      </w:tabs>
      <w:spacing w:after="160" w:line="240" w:lineRule="exact"/>
      <w:ind w:left="1069" w:hanging="360"/>
      <w:jc w:val="both"/>
    </w:pPr>
    <w:rPr>
      <w:rFonts w:ascii="Verdana" w:eastAsia="Times New Roman" w:hAnsi="Verdana" w:cs="Arial"/>
      <w:sz w:val="20"/>
      <w:szCs w:val="20"/>
      <w:lang w:val="en-US"/>
    </w:rPr>
  </w:style>
  <w:style w:type="paragraph" w:customStyle="1" w:styleId="1f7">
    <w:name w:val="Знак1"/>
    <w:basedOn w:val="a2"/>
    <w:qFormat/>
    <w:pPr>
      <w:spacing w:before="280" w:after="280" w:line="240" w:lineRule="auto"/>
    </w:pPr>
    <w:rPr>
      <w:rFonts w:ascii="Tahoma" w:eastAsia="Times New Roman" w:hAnsi="Tahoma" w:cs="Tahoma"/>
      <w:sz w:val="20"/>
      <w:szCs w:val="20"/>
      <w:lang w:val="en-US"/>
    </w:rPr>
  </w:style>
  <w:style w:type="paragraph" w:customStyle="1" w:styleId="312">
    <w:name w:val="Основной текст 31"/>
    <w:basedOn w:val="a2"/>
    <w:qFormat/>
    <w:pPr>
      <w:spacing w:before="20" w:after="0" w:line="240" w:lineRule="auto"/>
    </w:pPr>
    <w:rPr>
      <w:rFonts w:ascii="Times New Roman" w:eastAsia="Times New Roman" w:hAnsi="Times New Roman"/>
      <w:sz w:val="24"/>
      <w:szCs w:val="20"/>
    </w:rPr>
  </w:style>
  <w:style w:type="paragraph" w:customStyle="1" w:styleId="ConsPlusTitle">
    <w:name w:val="ConsPlusTitle"/>
    <w:qFormat/>
    <w:pPr>
      <w:widowControl w:val="0"/>
    </w:pPr>
    <w:rPr>
      <w:rFonts w:ascii="Arial" w:hAnsi="Arial" w:cs="Arial"/>
      <w:b/>
      <w:bCs/>
    </w:rPr>
  </w:style>
  <w:style w:type="paragraph" w:customStyle="1" w:styleId="ConsPlusNormal">
    <w:name w:val="ConsPlusNormal"/>
    <w:qFormat/>
    <w:pPr>
      <w:widowControl w:val="0"/>
      <w:ind w:firstLine="720"/>
    </w:pPr>
    <w:rPr>
      <w:rFonts w:ascii="Arial" w:hAnsi="Arial" w:cs="Arial"/>
    </w:rPr>
  </w:style>
  <w:style w:type="paragraph" w:customStyle="1" w:styleId="FR4">
    <w:name w:val="FR4"/>
    <w:qFormat/>
    <w:pPr>
      <w:widowControl w:val="0"/>
      <w:spacing w:before="160"/>
      <w:ind w:left="80" w:firstLine="380"/>
    </w:pPr>
    <w:rPr>
      <w:sz w:val="16"/>
    </w:rPr>
  </w:style>
  <w:style w:type="paragraph" w:customStyle="1" w:styleId="1">
    <w:name w:val="марк список 1"/>
    <w:basedOn w:val="a2"/>
    <w:qFormat/>
    <w:pPr>
      <w:numPr>
        <w:numId w:val="5"/>
      </w:numPr>
      <w:spacing w:before="120" w:after="120" w:line="240" w:lineRule="auto"/>
      <w:jc w:val="both"/>
    </w:pPr>
    <w:rPr>
      <w:rFonts w:ascii="Times New Roman" w:eastAsia="Times New Roman" w:hAnsi="Times New Roman"/>
      <w:sz w:val="24"/>
      <w:szCs w:val="24"/>
    </w:rPr>
  </w:style>
  <w:style w:type="paragraph" w:customStyle="1" w:styleId="1f8">
    <w:name w:val="Текст примечания1"/>
    <w:basedOn w:val="a2"/>
    <w:qFormat/>
    <w:pPr>
      <w:spacing w:after="0" w:line="240" w:lineRule="auto"/>
    </w:pPr>
    <w:rPr>
      <w:rFonts w:ascii="Times New Roman" w:eastAsia="Times New Roman" w:hAnsi="Times New Roman"/>
      <w:sz w:val="20"/>
      <w:szCs w:val="20"/>
    </w:rPr>
  </w:style>
  <w:style w:type="paragraph" w:styleId="afff">
    <w:name w:val="Balloon Text"/>
    <w:basedOn w:val="a2"/>
    <w:link w:val="1d"/>
    <w:uiPriority w:val="99"/>
    <w:qFormat/>
    <w:pPr>
      <w:spacing w:after="0" w:line="240" w:lineRule="auto"/>
    </w:pPr>
    <w:rPr>
      <w:rFonts w:ascii="Tahoma" w:eastAsia="Times New Roman" w:hAnsi="Tahoma" w:cs="Tahoma"/>
      <w:sz w:val="16"/>
      <w:szCs w:val="16"/>
    </w:rPr>
  </w:style>
  <w:style w:type="paragraph" w:customStyle="1" w:styleId="Pa10">
    <w:name w:val="Pa10"/>
    <w:basedOn w:val="Default"/>
    <w:next w:val="Default"/>
    <w:qFormat/>
    <w:pPr>
      <w:spacing w:line="201" w:lineRule="atLeast"/>
    </w:pPr>
    <w:rPr>
      <w:rFonts w:ascii="Times CY" w:hAnsi="Times CY" w:cs="Times New Roman"/>
    </w:rPr>
  </w:style>
  <w:style w:type="paragraph" w:customStyle="1" w:styleId="Pa9">
    <w:name w:val="Pa9"/>
    <w:basedOn w:val="Default"/>
    <w:next w:val="Default"/>
    <w:qFormat/>
    <w:pPr>
      <w:spacing w:line="201" w:lineRule="atLeast"/>
    </w:pPr>
    <w:rPr>
      <w:rFonts w:ascii="Times CY" w:hAnsi="Times CY" w:cs="Times New Roman"/>
    </w:rPr>
  </w:style>
  <w:style w:type="paragraph" w:customStyle="1" w:styleId="Pa13">
    <w:name w:val="Pa13"/>
    <w:basedOn w:val="Default"/>
    <w:next w:val="Default"/>
    <w:qFormat/>
    <w:pPr>
      <w:spacing w:line="201" w:lineRule="atLeast"/>
    </w:pPr>
    <w:rPr>
      <w:rFonts w:ascii="Times CY" w:hAnsi="Times CY" w:cs="Times New Roman"/>
    </w:rPr>
  </w:style>
  <w:style w:type="paragraph" w:customStyle="1" w:styleId="capttitle">
    <w:name w:val="capttitle"/>
    <w:basedOn w:val="a2"/>
    <w:qFormat/>
    <w:pPr>
      <w:spacing w:after="0" w:line="240" w:lineRule="auto"/>
      <w:jc w:val="center"/>
    </w:pPr>
    <w:rPr>
      <w:rFonts w:ascii="Arial" w:eastAsia="Times New Roman" w:hAnsi="Arial" w:cs="Arial"/>
      <w:color w:val="000000"/>
      <w:sz w:val="18"/>
      <w:szCs w:val="18"/>
    </w:rPr>
  </w:style>
  <w:style w:type="paragraph" w:customStyle="1" w:styleId="-3">
    <w:name w:val="пункт-3"/>
    <w:basedOn w:val="a2"/>
    <w:qFormat/>
    <w:pPr>
      <w:tabs>
        <w:tab w:val="left" w:pos="1985"/>
      </w:tabs>
      <w:spacing w:after="0" w:line="360" w:lineRule="auto"/>
      <w:ind w:left="1134"/>
      <w:jc w:val="both"/>
    </w:pPr>
    <w:rPr>
      <w:rFonts w:ascii="Times New Roman" w:eastAsia="Times New Roman" w:hAnsi="Times New Roman"/>
      <w:sz w:val="28"/>
      <w:szCs w:val="28"/>
    </w:rPr>
  </w:style>
  <w:style w:type="paragraph" w:customStyle="1" w:styleId="-4">
    <w:name w:val="пункт-4"/>
    <w:basedOn w:val="a2"/>
    <w:qFormat/>
    <w:pPr>
      <w:tabs>
        <w:tab w:val="left" w:pos="1985"/>
      </w:tabs>
      <w:spacing w:after="0" w:line="360" w:lineRule="auto"/>
      <w:ind w:left="1134"/>
      <w:jc w:val="both"/>
    </w:pPr>
    <w:rPr>
      <w:rFonts w:ascii="Times New Roman" w:eastAsia="Times New Roman" w:hAnsi="Times New Roman"/>
      <w:sz w:val="28"/>
      <w:szCs w:val="28"/>
    </w:rPr>
  </w:style>
  <w:style w:type="paragraph" w:customStyle="1" w:styleId="-5">
    <w:name w:val="пункт-5"/>
    <w:basedOn w:val="a2"/>
    <w:qFormat/>
    <w:pPr>
      <w:tabs>
        <w:tab w:val="left" w:pos="1985"/>
      </w:tabs>
      <w:spacing w:after="0" w:line="360" w:lineRule="auto"/>
      <w:ind w:left="1134"/>
      <w:jc w:val="both"/>
    </w:pPr>
    <w:rPr>
      <w:rFonts w:ascii="Times New Roman" w:eastAsia="Times New Roman" w:hAnsi="Times New Roman"/>
      <w:sz w:val="28"/>
      <w:szCs w:val="28"/>
    </w:rPr>
  </w:style>
  <w:style w:type="paragraph" w:customStyle="1" w:styleId="-6">
    <w:name w:val="пункт-6"/>
    <w:basedOn w:val="a2"/>
    <w:qFormat/>
    <w:pPr>
      <w:tabs>
        <w:tab w:val="left" w:pos="2552"/>
      </w:tabs>
      <w:spacing w:after="0" w:line="360" w:lineRule="auto"/>
      <w:ind w:left="2552" w:hanging="567"/>
      <w:jc w:val="both"/>
    </w:pPr>
    <w:rPr>
      <w:rFonts w:ascii="Times New Roman" w:eastAsia="Times New Roman" w:hAnsi="Times New Roman"/>
      <w:sz w:val="28"/>
      <w:szCs w:val="28"/>
    </w:rPr>
  </w:style>
  <w:style w:type="paragraph" w:customStyle="1" w:styleId="-7">
    <w:name w:val="пункт-7"/>
    <w:basedOn w:val="a2"/>
    <w:qFormat/>
    <w:pPr>
      <w:tabs>
        <w:tab w:val="left" w:pos="3119"/>
      </w:tabs>
      <w:spacing w:after="0" w:line="360" w:lineRule="auto"/>
      <w:ind w:left="3119" w:hanging="567"/>
      <w:jc w:val="both"/>
    </w:pPr>
    <w:rPr>
      <w:rFonts w:ascii="Times New Roman" w:eastAsia="Times New Roman" w:hAnsi="Times New Roman"/>
      <w:sz w:val="28"/>
      <w:szCs w:val="28"/>
    </w:rPr>
  </w:style>
  <w:style w:type="paragraph" w:customStyle="1" w:styleId="2">
    <w:name w:val="Пункт_2"/>
    <w:basedOn w:val="a2"/>
    <w:qFormat/>
    <w:pPr>
      <w:numPr>
        <w:numId w:val="4"/>
      </w:numPr>
      <w:spacing w:after="0" w:line="360" w:lineRule="auto"/>
      <w:jc w:val="both"/>
    </w:pPr>
    <w:rPr>
      <w:rFonts w:ascii="Times New Roman" w:eastAsia="Times New Roman" w:hAnsi="Times New Roman"/>
      <w:sz w:val="28"/>
      <w:szCs w:val="20"/>
    </w:rPr>
  </w:style>
  <w:style w:type="paragraph" w:customStyle="1" w:styleId="38">
    <w:name w:val="Пункт_3"/>
    <w:basedOn w:val="2"/>
    <w:qFormat/>
  </w:style>
  <w:style w:type="paragraph" w:customStyle="1" w:styleId="43">
    <w:name w:val="Пункт_4"/>
    <w:basedOn w:val="38"/>
    <w:qFormat/>
  </w:style>
  <w:style w:type="paragraph" w:customStyle="1" w:styleId="5ABCD">
    <w:name w:val="Пункт_5_ABCD"/>
    <w:basedOn w:val="a2"/>
    <w:qFormat/>
    <w:pPr>
      <w:tabs>
        <w:tab w:val="left" w:pos="568"/>
      </w:tabs>
      <w:spacing w:after="0" w:line="360" w:lineRule="auto"/>
      <w:ind w:left="568" w:hanging="568"/>
      <w:jc w:val="both"/>
    </w:pPr>
    <w:rPr>
      <w:rFonts w:ascii="Times New Roman" w:eastAsia="Times New Roman" w:hAnsi="Times New Roman"/>
      <w:sz w:val="28"/>
      <w:szCs w:val="20"/>
    </w:rPr>
  </w:style>
  <w:style w:type="paragraph" w:customStyle="1" w:styleId="1f9">
    <w:name w:val="Пункт_1"/>
    <w:basedOn w:val="a2"/>
    <w:qFormat/>
    <w:pPr>
      <w:keepNext/>
      <w:tabs>
        <w:tab w:val="left" w:pos="568"/>
      </w:tabs>
      <w:spacing w:before="480" w:after="240" w:line="240" w:lineRule="auto"/>
      <w:ind w:left="568" w:hanging="568"/>
      <w:jc w:val="center"/>
    </w:pPr>
    <w:rPr>
      <w:rFonts w:ascii="Arial" w:eastAsia="Times New Roman" w:hAnsi="Arial" w:cs="Arial"/>
      <w:b/>
      <w:sz w:val="32"/>
      <w:szCs w:val="28"/>
    </w:rPr>
  </w:style>
  <w:style w:type="paragraph" w:styleId="affff0">
    <w:name w:val="Revision"/>
    <w:qFormat/>
    <w:rPr>
      <w:sz w:val="24"/>
      <w:szCs w:val="24"/>
    </w:rPr>
  </w:style>
  <w:style w:type="paragraph" w:customStyle="1" w:styleId="212">
    <w:name w:val="Основной текст 21"/>
    <w:basedOn w:val="a2"/>
    <w:qFormat/>
    <w:pPr>
      <w:spacing w:after="120" w:line="480" w:lineRule="auto"/>
    </w:pPr>
    <w:rPr>
      <w:rFonts w:ascii="Times New Roman" w:eastAsia="Times New Roman" w:hAnsi="Times New Roman"/>
      <w:sz w:val="24"/>
      <w:szCs w:val="24"/>
    </w:rPr>
  </w:style>
  <w:style w:type="paragraph" w:customStyle="1" w:styleId="321">
    <w:name w:val="Основной текст с отступом 32"/>
    <w:basedOn w:val="a2"/>
    <w:qFormat/>
    <w:pPr>
      <w:spacing w:after="120" w:line="240" w:lineRule="auto"/>
      <w:ind w:left="283"/>
    </w:pPr>
    <w:rPr>
      <w:rFonts w:ascii="Times New Roman" w:eastAsia="Times New Roman" w:hAnsi="Times New Roman"/>
      <w:sz w:val="16"/>
      <w:szCs w:val="16"/>
    </w:rPr>
  </w:style>
  <w:style w:type="paragraph" w:styleId="afff6">
    <w:name w:val="List Paragraph"/>
    <w:basedOn w:val="a2"/>
    <w:link w:val="afff5"/>
    <w:uiPriority w:val="34"/>
    <w:qFormat/>
    <w:pPr>
      <w:spacing w:after="0" w:line="240" w:lineRule="auto"/>
      <w:ind w:left="720"/>
      <w:contextualSpacing/>
    </w:pPr>
    <w:rPr>
      <w:rFonts w:ascii="Times New Roman" w:hAnsi="Times New Roman"/>
      <w:sz w:val="24"/>
      <w:szCs w:val="24"/>
    </w:rPr>
  </w:style>
  <w:style w:type="paragraph" w:styleId="afff0">
    <w:name w:val="annotation subject"/>
    <w:basedOn w:val="1f8"/>
    <w:next w:val="1f8"/>
    <w:link w:val="1e"/>
    <w:uiPriority w:val="99"/>
    <w:qFormat/>
    <w:rPr>
      <w:b/>
      <w:bCs/>
    </w:rPr>
  </w:style>
  <w:style w:type="paragraph" w:styleId="HTML2">
    <w:name w:val="HTML Preformatted"/>
    <w:basedOn w:val="a2"/>
    <w:link w:val="HTML1"/>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ARMfootnoteTextFootnoteNewFootnoteTextChar1FootnoteTextChar11FootnoteTextChar12FootnoteTextChar2FootnoteTextChar21FootnoteTextChar3FootnoteTextChar4FootnoteTextChar5FootnoteTextChar6TableFootnotelastf">
    <w:name w:val="Текст сноски;ARM footnote Text;Footnote New;Footnote Text Char1;Footnote Text Char11;Footnote Text Char12;Footnote Text Char2;Footnote Text Char21;Footnote Text Char3;Footnote Text Char4;Footnote Text Char5;Footnote Text Char6;Table_Footnote_last;f"/>
    <w:basedOn w:val="a2"/>
    <w:link w:val="1ARMfootnoteText1FootnoteNew1FootnoteTextChar11FootnoteTextChar111FootnoteTextChar121FootnoteTextChar21FootnoteTextChar211FootnoteTextChar31FootnoteTextChar41f"/>
    <w:qFormat/>
    <w:pPr>
      <w:spacing w:after="0" w:line="240" w:lineRule="auto"/>
    </w:pPr>
    <w:rPr>
      <w:sz w:val="20"/>
      <w:szCs w:val="20"/>
    </w:rPr>
  </w:style>
  <w:style w:type="paragraph" w:customStyle="1" w:styleId="affff1">
    <w:name w:val="ГС_Основной_текст"/>
    <w:qFormat/>
    <w:pPr>
      <w:tabs>
        <w:tab w:val="left" w:pos="851"/>
      </w:tabs>
      <w:spacing w:after="60" w:line="360" w:lineRule="auto"/>
      <w:ind w:firstLine="851"/>
      <w:jc w:val="both"/>
    </w:pPr>
    <w:rPr>
      <w:sz w:val="24"/>
      <w:szCs w:val="24"/>
    </w:rPr>
  </w:style>
  <w:style w:type="paragraph" w:customStyle="1" w:styleId="a1">
    <w:name w:val="ГС_Список_марк"/>
    <w:qFormat/>
    <w:pPr>
      <w:numPr>
        <w:numId w:val="2"/>
      </w:numPr>
      <w:spacing w:after="60" w:line="360" w:lineRule="auto"/>
      <w:jc w:val="both"/>
    </w:pPr>
    <w:rPr>
      <w:sz w:val="24"/>
    </w:rPr>
  </w:style>
  <w:style w:type="paragraph" w:customStyle="1" w:styleId="1fa">
    <w:name w:val="Текст1"/>
    <w:basedOn w:val="a2"/>
    <w:qFormat/>
    <w:pPr>
      <w:spacing w:after="0" w:line="240" w:lineRule="auto"/>
    </w:pPr>
    <w:rPr>
      <w:szCs w:val="21"/>
    </w:rPr>
  </w:style>
  <w:style w:type="paragraph" w:customStyle="1" w:styleId="213">
    <w:name w:val="Заголовок 21"/>
    <w:qFormat/>
    <w:pPr>
      <w:widowControl w:val="0"/>
      <w:spacing w:before="240" w:after="120"/>
      <w:jc w:val="center"/>
    </w:pPr>
    <w:rPr>
      <w:b/>
      <w:bCs/>
      <w:sz w:val="24"/>
      <w:szCs w:val="24"/>
    </w:rPr>
  </w:style>
  <w:style w:type="paragraph" w:customStyle="1" w:styleId="1fb">
    <w:name w:val="Схема документа1"/>
    <w:basedOn w:val="a2"/>
    <w:qFormat/>
    <w:pPr>
      <w:shd w:val="clear" w:color="auto" w:fill="000080"/>
      <w:spacing w:after="0" w:line="240" w:lineRule="auto"/>
    </w:pPr>
    <w:rPr>
      <w:rFonts w:ascii="Tahoma" w:eastAsia="Times New Roman" w:hAnsi="Tahoma" w:cs="Tahoma"/>
      <w:sz w:val="20"/>
      <w:szCs w:val="20"/>
    </w:rPr>
  </w:style>
  <w:style w:type="paragraph" w:customStyle="1" w:styleId="affff2">
    <w:name w:val="Знак Знак Знак Знак"/>
    <w:basedOn w:val="a2"/>
    <w:qFormat/>
    <w:pPr>
      <w:spacing w:after="160" w:line="240" w:lineRule="exact"/>
    </w:pPr>
    <w:rPr>
      <w:rFonts w:ascii="Verdana" w:eastAsia="Times New Roman" w:hAnsi="Verdana" w:cs="Verdana"/>
      <w:sz w:val="20"/>
      <w:szCs w:val="20"/>
      <w:lang w:val="en-US"/>
    </w:rPr>
  </w:style>
  <w:style w:type="paragraph" w:customStyle="1" w:styleId="affff3">
    <w:name w:val="Список с точкой"/>
    <w:basedOn w:val="a2"/>
    <w:qFormat/>
    <w:pPr>
      <w:tabs>
        <w:tab w:val="left" w:pos="357"/>
      </w:tabs>
      <w:spacing w:before="60" w:after="60" w:line="240" w:lineRule="auto"/>
      <w:jc w:val="both"/>
    </w:pPr>
    <w:rPr>
      <w:rFonts w:ascii="Times New Roman" w:eastAsia="Times New Roman" w:hAnsi="Times New Roman"/>
      <w:sz w:val="24"/>
      <w:szCs w:val="24"/>
    </w:rPr>
  </w:style>
  <w:style w:type="paragraph" w:customStyle="1" w:styleId="1fc">
    <w:name w:val="Абзац списка1"/>
    <w:basedOn w:val="a2"/>
    <w:qFormat/>
    <w:pPr>
      <w:spacing w:after="0" w:line="240" w:lineRule="auto"/>
      <w:ind w:left="720"/>
      <w:contextualSpacing/>
    </w:pPr>
    <w:rPr>
      <w:rFonts w:ascii="Times New Roman" w:hAnsi="Times New Roman"/>
      <w:sz w:val="24"/>
      <w:szCs w:val="24"/>
    </w:rPr>
  </w:style>
  <w:style w:type="paragraph" w:customStyle="1" w:styleId="410">
    <w:name w:val="Заголовок 41"/>
    <w:qFormat/>
    <w:pPr>
      <w:widowControl w:val="0"/>
      <w:spacing w:before="160" w:after="80"/>
    </w:pPr>
    <w:rPr>
      <w:b/>
      <w:bCs/>
      <w:sz w:val="22"/>
      <w:szCs w:val="22"/>
    </w:rPr>
  </w:style>
  <w:style w:type="paragraph" w:customStyle="1" w:styleId="TableText">
    <w:name w:val="Table Text"/>
    <w:qFormat/>
    <w:pPr>
      <w:widowControl w:val="0"/>
    </w:pPr>
    <w:rPr>
      <w:sz w:val="18"/>
      <w:szCs w:val="18"/>
    </w:rPr>
  </w:style>
  <w:style w:type="paragraph" w:customStyle="1" w:styleId="Iauiue">
    <w:name w:val="Iau?iue"/>
    <w:qFormat/>
  </w:style>
  <w:style w:type="paragraph" w:customStyle="1" w:styleId="SubHeading1">
    <w:name w:val="Sub Heading 1"/>
    <w:qFormat/>
    <w:pPr>
      <w:widowControl w:val="0"/>
      <w:spacing w:before="240" w:after="40"/>
    </w:pPr>
    <w:rPr>
      <w:sz w:val="22"/>
      <w:szCs w:val="22"/>
    </w:rPr>
  </w:style>
  <w:style w:type="paragraph" w:customStyle="1" w:styleId="ConsNonformat">
    <w:name w:val="ConsNonformat"/>
    <w:qFormat/>
    <w:pPr>
      <w:widowControl w:val="0"/>
    </w:pPr>
    <w:rPr>
      <w:rFonts w:ascii="Courier New" w:hAnsi="Courier New" w:cs="Courier New"/>
    </w:rPr>
  </w:style>
  <w:style w:type="paragraph" w:customStyle="1" w:styleId="1fd">
    <w:name w:val="заголовок 1"/>
    <w:basedOn w:val="a2"/>
    <w:next w:val="a2"/>
    <w:qFormat/>
    <w:pPr>
      <w:keepNext/>
      <w:widowControl w:val="0"/>
      <w:spacing w:after="0" w:line="240" w:lineRule="auto"/>
      <w:jc w:val="both"/>
    </w:pPr>
    <w:rPr>
      <w:rFonts w:ascii="Times New Roman" w:eastAsia="Times New Roman" w:hAnsi="Times New Roman"/>
      <w:i/>
      <w:iCs/>
      <w:color w:val="FF00FF"/>
      <w:sz w:val="24"/>
      <w:szCs w:val="24"/>
    </w:rPr>
  </w:style>
  <w:style w:type="paragraph" w:customStyle="1" w:styleId="TableHeaderNumbers">
    <w:name w:val="Table Header Numbers"/>
    <w:qFormat/>
    <w:pPr>
      <w:widowControl w:val="0"/>
      <w:jc w:val="center"/>
    </w:pPr>
    <w:rPr>
      <w:sz w:val="18"/>
      <w:szCs w:val="18"/>
    </w:rPr>
  </w:style>
  <w:style w:type="paragraph" w:customStyle="1" w:styleId="TableHeader3">
    <w:name w:val="Table Header 3"/>
    <w:qFormat/>
    <w:pPr>
      <w:widowControl w:val="0"/>
      <w:spacing w:before="20" w:after="20"/>
    </w:pPr>
    <w:rPr>
      <w:b/>
      <w:bCs/>
      <w:sz w:val="18"/>
      <w:szCs w:val="18"/>
    </w:rPr>
  </w:style>
  <w:style w:type="paragraph" w:customStyle="1" w:styleId="Pa15">
    <w:name w:val="Pa15"/>
    <w:basedOn w:val="Default"/>
    <w:next w:val="Default"/>
    <w:qFormat/>
    <w:pPr>
      <w:spacing w:line="201" w:lineRule="atLeast"/>
    </w:pPr>
    <w:rPr>
      <w:rFonts w:ascii="Times CY" w:hAnsi="Times CY" w:cs="Times New Roman"/>
    </w:rPr>
  </w:style>
  <w:style w:type="paragraph" w:customStyle="1" w:styleId="Pa11">
    <w:name w:val="Pa11"/>
    <w:basedOn w:val="Default"/>
    <w:next w:val="Default"/>
    <w:qFormat/>
    <w:pPr>
      <w:spacing w:line="201" w:lineRule="atLeast"/>
    </w:pPr>
    <w:rPr>
      <w:rFonts w:ascii="Times CY" w:hAnsi="Times CY" w:cs="Times New Roman"/>
    </w:rPr>
  </w:style>
  <w:style w:type="paragraph" w:customStyle="1" w:styleId="Pa17">
    <w:name w:val="Pa17"/>
    <w:basedOn w:val="Default"/>
    <w:next w:val="Default"/>
    <w:qFormat/>
    <w:pPr>
      <w:spacing w:line="201" w:lineRule="atLeast"/>
    </w:pPr>
    <w:rPr>
      <w:rFonts w:ascii="Times CY" w:hAnsi="Times CY" w:cs="Times New Roman"/>
    </w:rPr>
  </w:style>
  <w:style w:type="paragraph" w:customStyle="1" w:styleId="Pa8">
    <w:name w:val="Pa8"/>
    <w:basedOn w:val="Default"/>
    <w:next w:val="Default"/>
    <w:qFormat/>
    <w:pPr>
      <w:spacing w:line="261" w:lineRule="atLeast"/>
    </w:pPr>
    <w:rPr>
      <w:rFonts w:ascii="Times CY" w:hAnsi="Times CY" w:cs="Times New Roman"/>
    </w:rPr>
  </w:style>
  <w:style w:type="paragraph" w:customStyle="1" w:styleId="CharCharCarCarCharCharCarCarCharCharCarCarCharChar3">
    <w:name w:val="Char Char Car Car Char Char Car Car Char Char Car Car Char Char3"/>
    <w:basedOn w:val="a2"/>
    <w:qFormat/>
    <w:pPr>
      <w:spacing w:after="160" w:line="240" w:lineRule="exact"/>
    </w:pPr>
    <w:rPr>
      <w:rFonts w:ascii="Verdana" w:eastAsia="Times New Roman" w:hAnsi="Verdana" w:cs="Verdana"/>
      <w:sz w:val="20"/>
      <w:szCs w:val="20"/>
      <w:lang w:val="en-US"/>
    </w:rPr>
  </w:style>
  <w:style w:type="paragraph" w:customStyle="1" w:styleId="ConsNormal0">
    <w:name w:val="ConsNormal"/>
    <w:qFormat/>
    <w:pPr>
      <w:widowControl w:val="0"/>
      <w:ind w:firstLine="720"/>
    </w:pPr>
    <w:rPr>
      <w:sz w:val="28"/>
      <w:szCs w:val="28"/>
    </w:rPr>
  </w:style>
  <w:style w:type="paragraph" w:customStyle="1" w:styleId="2d">
    <w:name w:val="Обычный2"/>
    <w:qFormat/>
  </w:style>
  <w:style w:type="paragraph" w:customStyle="1" w:styleId="affff4">
    <w:name w:val="Знак Знак Знак Знак Знак Знак"/>
    <w:basedOn w:val="a2"/>
    <w:qFormat/>
    <w:pPr>
      <w:spacing w:after="160" w:line="240" w:lineRule="exact"/>
      <w:jc w:val="both"/>
    </w:pPr>
    <w:rPr>
      <w:rFonts w:ascii="Verdana" w:eastAsia="Times New Roman" w:hAnsi="Verdana" w:cs="Verdana"/>
      <w:sz w:val="20"/>
      <w:szCs w:val="20"/>
      <w:lang w:val="en-US"/>
    </w:rPr>
  </w:style>
  <w:style w:type="paragraph" w:customStyle="1" w:styleId="ThinDelim">
    <w:name w:val="Thin Delim"/>
    <w:qFormat/>
    <w:pPr>
      <w:widowControl w:val="0"/>
    </w:pPr>
    <w:rPr>
      <w:sz w:val="16"/>
      <w:szCs w:val="16"/>
    </w:rPr>
  </w:style>
  <w:style w:type="paragraph" w:customStyle="1" w:styleId="CharChar1">
    <w:name w:val="Знак Знак Знак Char Char1"/>
    <w:basedOn w:val="a2"/>
    <w:qFormat/>
    <w:pPr>
      <w:tabs>
        <w:tab w:val="left" w:pos="1069"/>
      </w:tabs>
      <w:spacing w:after="160" w:line="240" w:lineRule="exact"/>
      <w:ind w:left="1069" w:hanging="360"/>
      <w:jc w:val="both"/>
    </w:pPr>
    <w:rPr>
      <w:rFonts w:ascii="Verdana" w:eastAsia="Times New Roman" w:hAnsi="Verdana" w:cs="Verdana"/>
      <w:sz w:val="20"/>
      <w:szCs w:val="20"/>
      <w:lang w:val="en-US"/>
    </w:rPr>
  </w:style>
  <w:style w:type="paragraph" w:customStyle="1" w:styleId="11b">
    <w:name w:val="Заголовок 11"/>
    <w:qFormat/>
    <w:pPr>
      <w:widowControl w:val="0"/>
      <w:spacing w:before="240" w:after="120"/>
      <w:jc w:val="center"/>
    </w:pPr>
    <w:rPr>
      <w:b/>
      <w:bCs/>
      <w:sz w:val="28"/>
      <w:szCs w:val="28"/>
    </w:rPr>
  </w:style>
  <w:style w:type="paragraph" w:customStyle="1" w:styleId="affff5">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2"/>
    <w:qFormat/>
    <w:pPr>
      <w:spacing w:after="160" w:line="240" w:lineRule="exact"/>
    </w:pPr>
    <w:rPr>
      <w:rFonts w:ascii="Verdana" w:eastAsia="Times New Roman" w:hAnsi="Verdana" w:cs="Verdana"/>
      <w:sz w:val="20"/>
      <w:szCs w:val="20"/>
      <w:lang w:val="en-US"/>
    </w:rPr>
  </w:style>
  <w:style w:type="paragraph" w:styleId="z-2">
    <w:name w:val="HTML Top of Form"/>
    <w:basedOn w:val="a2"/>
    <w:next w:val="a2"/>
    <w:link w:val="z-1"/>
    <w:qFormat/>
    <w:pPr>
      <w:pBdr>
        <w:bottom w:val="single" w:sz="6" w:space="1" w:color="000000"/>
      </w:pBdr>
      <w:spacing w:after="0" w:line="240" w:lineRule="auto"/>
      <w:jc w:val="center"/>
    </w:pPr>
    <w:rPr>
      <w:rFonts w:ascii="Arial" w:eastAsia="Times New Roman" w:hAnsi="Arial" w:cs="Arial"/>
      <w:vanish/>
      <w:sz w:val="16"/>
      <w:szCs w:val="16"/>
    </w:rPr>
  </w:style>
  <w:style w:type="paragraph" w:styleId="z-3">
    <w:name w:val="HTML Bottom of Form"/>
    <w:basedOn w:val="a2"/>
    <w:next w:val="a2"/>
    <w:link w:val="z-10"/>
    <w:qFormat/>
    <w:pPr>
      <w:pBdr>
        <w:top w:val="single" w:sz="6" w:space="1" w:color="000000"/>
      </w:pBdr>
      <w:spacing w:after="0" w:line="240" w:lineRule="auto"/>
      <w:jc w:val="center"/>
    </w:pPr>
    <w:rPr>
      <w:rFonts w:ascii="Arial" w:eastAsia="Times New Roman" w:hAnsi="Arial" w:cs="Arial"/>
      <w:vanish/>
      <w:sz w:val="16"/>
      <w:szCs w:val="16"/>
    </w:rPr>
  </w:style>
  <w:style w:type="paragraph" w:customStyle="1" w:styleId="2e">
    <w:name w:val="Знак2"/>
    <w:basedOn w:val="a2"/>
    <w:qFormat/>
    <w:pPr>
      <w:spacing w:after="160" w:line="240" w:lineRule="exact"/>
    </w:pPr>
    <w:rPr>
      <w:rFonts w:ascii="Verdana" w:eastAsia="Times New Roman" w:hAnsi="Verdana" w:cs="Verdana"/>
      <w:sz w:val="20"/>
      <w:szCs w:val="20"/>
      <w:lang w:val="en-US"/>
    </w:rPr>
  </w:style>
  <w:style w:type="paragraph" w:customStyle="1" w:styleId="1fe">
    <w:name w:val="Цитата1"/>
    <w:basedOn w:val="a2"/>
    <w:qFormat/>
    <w:pPr>
      <w:spacing w:after="0" w:line="240" w:lineRule="auto"/>
      <w:ind w:left="-284" w:right="-70" w:firstLine="568"/>
      <w:jc w:val="both"/>
    </w:pPr>
    <w:rPr>
      <w:rFonts w:ascii="Times New Roman" w:eastAsia="Times New Roman" w:hAnsi="Times New Roman"/>
      <w:b/>
      <w:bCs/>
      <w:i/>
      <w:spacing w:val="-2"/>
      <w:sz w:val="20"/>
      <w:szCs w:val="24"/>
    </w:rPr>
  </w:style>
  <w:style w:type="paragraph" w:customStyle="1" w:styleId="text-zag03">
    <w:name w:val="text-zag03"/>
    <w:basedOn w:val="a2"/>
    <w:next w:val="a2"/>
    <w:qFormat/>
    <w:pPr>
      <w:keepNext/>
      <w:spacing w:after="150" w:line="240" w:lineRule="auto"/>
      <w:ind w:firstLine="540"/>
      <w:jc w:val="both"/>
    </w:pPr>
    <w:rPr>
      <w:rFonts w:ascii="Times New Roman" w:eastAsia="Times New Roman" w:hAnsi="Times New Roman"/>
      <w:b/>
      <w:i/>
      <w:szCs w:val="24"/>
    </w:rPr>
  </w:style>
  <w:style w:type="paragraph" w:customStyle="1" w:styleId="text">
    <w:name w:val="text"/>
    <w:basedOn w:val="a2"/>
    <w:qFormat/>
    <w:pPr>
      <w:spacing w:after="0" w:line="240" w:lineRule="auto"/>
      <w:ind w:firstLine="709"/>
      <w:jc w:val="both"/>
    </w:pPr>
    <w:rPr>
      <w:rFonts w:ascii="Times New Roman" w:eastAsia="Times New Roman" w:hAnsi="Times New Roman"/>
    </w:rPr>
  </w:style>
  <w:style w:type="paragraph" w:customStyle="1" w:styleId="1ff">
    <w:name w:val="Основной текст1"/>
    <w:basedOn w:val="a2"/>
    <w:qFormat/>
    <w:pPr>
      <w:spacing w:after="0" w:line="240" w:lineRule="auto"/>
      <w:jc w:val="both"/>
    </w:pPr>
    <w:rPr>
      <w:rFonts w:ascii="Times New Roman" w:eastAsia="Times New Roman" w:hAnsi="Times New Roman"/>
      <w:b/>
      <w:i/>
      <w:sz w:val="28"/>
      <w:szCs w:val="20"/>
    </w:rPr>
  </w:style>
  <w:style w:type="paragraph" w:customStyle="1" w:styleId="ConsTitle">
    <w:name w:val="ConsTitle"/>
    <w:qFormat/>
    <w:pPr>
      <w:widowControl w:val="0"/>
    </w:pPr>
    <w:rPr>
      <w:rFonts w:ascii="Arial" w:hAnsi="Arial" w:cs="Arial"/>
      <w:b/>
      <w:bCs/>
    </w:rPr>
  </w:style>
  <w:style w:type="paragraph" w:customStyle="1" w:styleId="1ff0">
    <w:name w:val="Название объекта1"/>
    <w:basedOn w:val="a2"/>
    <w:next w:val="a2"/>
    <w:qFormat/>
    <w:pPr>
      <w:spacing w:line="240" w:lineRule="auto"/>
    </w:pPr>
    <w:rPr>
      <w:rFonts w:ascii="Times New Roman" w:eastAsia="Times New Roman" w:hAnsi="Times New Roman"/>
      <w:b/>
      <w:bCs/>
      <w:color w:val="4F81BD"/>
      <w:sz w:val="18"/>
      <w:szCs w:val="18"/>
    </w:rPr>
  </w:style>
  <w:style w:type="paragraph" w:customStyle="1" w:styleId="affff6">
    <w:name w:val="Простой текст"/>
    <w:basedOn w:val="a2"/>
    <w:qFormat/>
    <w:pPr>
      <w:suppressLineNumbers/>
      <w:spacing w:before="120" w:after="120" w:line="240" w:lineRule="auto"/>
      <w:jc w:val="both"/>
    </w:pPr>
    <w:rPr>
      <w:rFonts w:ascii="Verdana" w:eastAsia="Times New Roman" w:hAnsi="Verdana" w:cs="Verdana"/>
      <w:sz w:val="20"/>
      <w:szCs w:val="20"/>
    </w:rPr>
  </w:style>
  <w:style w:type="paragraph" w:customStyle="1" w:styleId="FR2">
    <w:name w:val="FR2"/>
    <w:qFormat/>
    <w:pPr>
      <w:widowControl w:val="0"/>
      <w:spacing w:line="300" w:lineRule="auto"/>
      <w:ind w:firstLine="480"/>
      <w:jc w:val="both"/>
    </w:pPr>
    <w:rPr>
      <w:rFonts w:ascii="Arial" w:hAnsi="Arial" w:cs="Arial"/>
      <w:sz w:val="16"/>
      <w:szCs w:val="16"/>
    </w:rPr>
  </w:style>
  <w:style w:type="paragraph" w:customStyle="1" w:styleId="Header3">
    <w:name w:val="Header 3"/>
    <w:basedOn w:val="a2"/>
    <w:next w:val="a2"/>
    <w:qFormat/>
    <w:pPr>
      <w:keepLines/>
      <w:spacing w:before="80" w:after="80" w:line="240" w:lineRule="auto"/>
    </w:pPr>
    <w:rPr>
      <w:rFonts w:ascii="Futura Bk" w:eastAsia="Times New Roman" w:hAnsi="Futura Bk" w:cs="Futura Bk"/>
      <w:sz w:val="20"/>
      <w:szCs w:val="20"/>
      <w:lang w:val="en-US"/>
    </w:rPr>
  </w:style>
  <w:style w:type="paragraph" w:customStyle="1" w:styleId="affff7">
    <w:name w:val="Стиль начало"/>
    <w:basedOn w:val="a2"/>
    <w:qFormat/>
    <w:pPr>
      <w:spacing w:after="0" w:line="264" w:lineRule="auto"/>
    </w:pPr>
    <w:rPr>
      <w:rFonts w:ascii="Times New Roman" w:eastAsia="Times New Roman" w:hAnsi="Times New Roman"/>
      <w:sz w:val="28"/>
      <w:szCs w:val="28"/>
    </w:rPr>
  </w:style>
  <w:style w:type="paragraph" w:customStyle="1" w:styleId="39">
    <w:name w:val="Знак Знак Знак Знак3"/>
    <w:basedOn w:val="a2"/>
    <w:qFormat/>
    <w:pPr>
      <w:spacing w:after="160" w:line="240" w:lineRule="exact"/>
      <w:jc w:val="both"/>
    </w:pPr>
    <w:rPr>
      <w:rFonts w:ascii="Verdana" w:eastAsia="Times New Roman" w:hAnsi="Verdana" w:cs="Verdana"/>
      <w:sz w:val="20"/>
      <w:szCs w:val="20"/>
      <w:lang w:val="en-US"/>
    </w:rPr>
  </w:style>
  <w:style w:type="paragraph" w:customStyle="1" w:styleId="BodyText22">
    <w:name w:val="Body Text 22"/>
    <w:basedOn w:val="a2"/>
    <w:qFormat/>
    <w:pPr>
      <w:spacing w:before="140" w:after="0" w:line="218" w:lineRule="auto"/>
      <w:ind w:left="400"/>
      <w:jc w:val="both"/>
    </w:pPr>
    <w:rPr>
      <w:rFonts w:ascii="Times New Roman" w:eastAsia="Times New Roman" w:hAnsi="Times New Roman"/>
      <w:sz w:val="24"/>
      <w:szCs w:val="24"/>
    </w:rPr>
  </w:style>
  <w:style w:type="paragraph" w:customStyle="1" w:styleId="affff8">
    <w:name w:val="Содержимое таблицы"/>
    <w:basedOn w:val="a2"/>
    <w:qFormat/>
    <w:pPr>
      <w:widowControl w:val="0"/>
      <w:suppressLineNumbers/>
      <w:spacing w:after="0" w:line="240" w:lineRule="auto"/>
    </w:pPr>
    <w:rPr>
      <w:rFonts w:ascii="Times New Roman" w:eastAsia="Times New Roman" w:hAnsi="Times New Roman"/>
      <w:sz w:val="24"/>
      <w:szCs w:val="24"/>
    </w:rPr>
  </w:style>
  <w:style w:type="paragraph" w:customStyle="1" w:styleId="affff9">
    <w:name w:val="Знак Знак Знак Знак Знак Знак Знак Знак Знак Знак Знак Знак Знак"/>
    <w:basedOn w:val="a2"/>
    <w:qFormat/>
    <w:pPr>
      <w:spacing w:after="160" w:line="240" w:lineRule="exact"/>
      <w:jc w:val="both"/>
    </w:pPr>
    <w:rPr>
      <w:rFonts w:ascii="Verdana" w:eastAsia="Times New Roman" w:hAnsi="Verdana" w:cs="Verdana"/>
      <w:sz w:val="20"/>
      <w:szCs w:val="20"/>
      <w:lang w:val="en-US"/>
    </w:rPr>
  </w:style>
  <w:style w:type="paragraph" w:customStyle="1" w:styleId="313">
    <w:name w:val="Основной текст с отступом 31"/>
    <w:basedOn w:val="a2"/>
    <w:qFormat/>
    <w:pPr>
      <w:tabs>
        <w:tab w:val="left" w:pos="851"/>
      </w:tabs>
      <w:spacing w:before="120" w:after="0" w:line="252" w:lineRule="auto"/>
      <w:ind w:firstLine="425"/>
      <w:jc w:val="both"/>
    </w:pPr>
    <w:rPr>
      <w:rFonts w:ascii="Times New Roman" w:eastAsia="Times New Roman" w:hAnsi="Times New Roman"/>
      <w:sz w:val="24"/>
      <w:szCs w:val="24"/>
    </w:rPr>
  </w:style>
  <w:style w:type="paragraph" w:customStyle="1" w:styleId="Style7">
    <w:name w:val="Style7"/>
    <w:basedOn w:val="a2"/>
    <w:qFormat/>
    <w:pPr>
      <w:widowControl w:val="0"/>
      <w:spacing w:after="0" w:line="307" w:lineRule="exact"/>
      <w:jc w:val="center"/>
    </w:pPr>
    <w:rPr>
      <w:rFonts w:ascii="Times New Roman" w:eastAsia="Times New Roman" w:hAnsi="Times New Roman"/>
      <w:sz w:val="24"/>
      <w:szCs w:val="24"/>
    </w:rPr>
  </w:style>
  <w:style w:type="paragraph" w:customStyle="1" w:styleId="Style16">
    <w:name w:val="Style16"/>
    <w:basedOn w:val="a2"/>
    <w:qFormat/>
    <w:pPr>
      <w:widowControl w:val="0"/>
      <w:spacing w:after="0" w:line="326" w:lineRule="exact"/>
      <w:ind w:hanging="365"/>
    </w:pPr>
    <w:rPr>
      <w:rFonts w:ascii="Times New Roman" w:eastAsia="Times New Roman" w:hAnsi="Times New Roman"/>
      <w:sz w:val="24"/>
      <w:szCs w:val="24"/>
    </w:rPr>
  </w:style>
  <w:style w:type="paragraph" w:customStyle="1" w:styleId="Style17">
    <w:name w:val="Style17"/>
    <w:basedOn w:val="a2"/>
    <w:qFormat/>
    <w:pPr>
      <w:widowControl w:val="0"/>
      <w:spacing w:after="0" w:line="317" w:lineRule="exact"/>
      <w:ind w:hanging="538"/>
      <w:jc w:val="both"/>
    </w:pPr>
    <w:rPr>
      <w:rFonts w:ascii="Times New Roman" w:eastAsia="Times New Roman" w:hAnsi="Times New Roman"/>
      <w:sz w:val="24"/>
      <w:szCs w:val="24"/>
    </w:rPr>
  </w:style>
  <w:style w:type="paragraph" w:customStyle="1" w:styleId="Style19">
    <w:name w:val="Style19"/>
    <w:basedOn w:val="a2"/>
    <w:qFormat/>
    <w:pPr>
      <w:widowControl w:val="0"/>
      <w:spacing w:after="0" w:line="240" w:lineRule="auto"/>
    </w:pPr>
    <w:rPr>
      <w:rFonts w:ascii="Times New Roman" w:eastAsia="Times New Roman" w:hAnsi="Times New Roman"/>
      <w:sz w:val="24"/>
      <w:szCs w:val="24"/>
    </w:rPr>
  </w:style>
  <w:style w:type="paragraph" w:customStyle="1" w:styleId="Style28">
    <w:name w:val="Style28"/>
    <w:basedOn w:val="a2"/>
    <w:qFormat/>
    <w:pPr>
      <w:widowControl w:val="0"/>
      <w:spacing w:after="0" w:line="240" w:lineRule="auto"/>
    </w:pPr>
    <w:rPr>
      <w:rFonts w:ascii="Times New Roman" w:eastAsia="Times New Roman" w:hAnsi="Times New Roman"/>
      <w:sz w:val="24"/>
      <w:szCs w:val="24"/>
    </w:rPr>
  </w:style>
  <w:style w:type="paragraph" w:customStyle="1" w:styleId="affffa">
    <w:name w:val="МРСК_таблица_название"/>
    <w:basedOn w:val="1ff0"/>
    <w:qFormat/>
    <w:pPr>
      <w:spacing w:before="120" w:after="60"/>
      <w:contextualSpacing/>
    </w:pPr>
    <w:rPr>
      <w:b w:val="0"/>
      <w:color w:val="000000"/>
      <w:sz w:val="26"/>
      <w:szCs w:val="26"/>
    </w:rPr>
  </w:style>
  <w:style w:type="paragraph" w:styleId="affffb">
    <w:name w:val="toa heading"/>
    <w:basedOn w:val="10"/>
    <w:next w:val="a2"/>
    <w:qFormat/>
    <w:pPr>
      <w:keepLines/>
      <w:spacing w:before="480" w:after="0" w:line="276" w:lineRule="auto"/>
      <w:jc w:val="left"/>
    </w:pPr>
    <w:rPr>
      <w:rFonts w:ascii="Cambria" w:hAnsi="Cambria" w:cs="Cambria"/>
      <w:color w:val="365F91"/>
    </w:rPr>
  </w:style>
  <w:style w:type="paragraph" w:customStyle="1" w:styleId="1ff1">
    <w:name w:val="Обычный1"/>
    <w:qFormat/>
  </w:style>
  <w:style w:type="paragraph" w:customStyle="1" w:styleId="affffc">
    <w:name w:val="ОСНОВНОЙ ТЕКСТ"/>
    <w:basedOn w:val="a2"/>
    <w:next w:val="a0"/>
    <w:qFormat/>
    <w:pPr>
      <w:tabs>
        <w:tab w:val="left" w:pos="1080"/>
        <w:tab w:val="left" w:pos="1320"/>
      </w:tabs>
      <w:spacing w:after="0" w:line="240" w:lineRule="auto"/>
      <w:ind w:firstLine="567"/>
      <w:jc w:val="both"/>
    </w:pPr>
    <w:rPr>
      <w:rFonts w:ascii="Arial Narrow" w:eastAsia="Times New Roman" w:hAnsi="Arial Narrow" w:cs="Arial Narrow"/>
      <w:sz w:val="26"/>
      <w:szCs w:val="24"/>
    </w:rPr>
  </w:style>
  <w:style w:type="paragraph" w:customStyle="1" w:styleId="a0">
    <w:name w:val="ГПО"/>
    <w:basedOn w:val="10"/>
    <w:qFormat/>
    <w:pPr>
      <w:numPr>
        <w:numId w:val="3"/>
      </w:numPr>
      <w:spacing w:after="480"/>
      <w:ind w:left="786" w:firstLine="0"/>
    </w:pPr>
    <w:rPr>
      <w:rFonts w:ascii="Arial Narrow" w:hAnsi="Arial Narrow" w:cs="Arial Narrow"/>
    </w:rPr>
  </w:style>
  <w:style w:type="paragraph" w:customStyle="1" w:styleId="3a">
    <w:name w:val="нумерация 3 уровня"/>
    <w:basedOn w:val="ListParagraph1SubtleEmphasishead5-31Table-NormalRSHBTable-Normal2ACList011Tit"/>
    <w:qFormat/>
    <w:pPr>
      <w:tabs>
        <w:tab w:val="left" w:pos="1560"/>
      </w:tabs>
      <w:spacing w:before="120" w:after="0" w:line="240" w:lineRule="auto"/>
      <w:ind w:left="0" w:firstLine="720"/>
      <w:jc w:val="both"/>
    </w:pPr>
    <w:rPr>
      <w:rFonts w:ascii="Times New Roman" w:eastAsia="Times New Roman" w:hAnsi="Times New Roman"/>
      <w:iCs/>
      <w:color w:val="000000"/>
      <w:sz w:val="28"/>
      <w:szCs w:val="28"/>
      <w:lang w:bidi="ru-RU"/>
    </w:rPr>
  </w:style>
  <w:style w:type="paragraph" w:customStyle="1" w:styleId="affffd">
    <w:name w:val="РИСУНОК"/>
    <w:basedOn w:val="a2"/>
    <w:next w:val="a2"/>
    <w:qFormat/>
    <w:pPr>
      <w:tabs>
        <w:tab w:val="left" w:pos="0"/>
      </w:tabs>
      <w:spacing w:after="280" w:line="240" w:lineRule="auto"/>
      <w:jc w:val="both"/>
    </w:pPr>
    <w:rPr>
      <w:rFonts w:ascii="Arial Narrow" w:eastAsia="Times New Roman" w:hAnsi="Arial Narrow" w:cs="Arial Narrow"/>
      <w:b/>
      <w:i/>
      <w:color w:val="000000"/>
      <w:sz w:val="24"/>
      <w:szCs w:val="20"/>
    </w:rPr>
  </w:style>
  <w:style w:type="paragraph" w:styleId="affffe">
    <w:name w:val="Block Text"/>
    <w:basedOn w:val="a2"/>
    <w:qFormat/>
    <w:pPr>
      <w:widowControl w:val="0"/>
      <w:spacing w:after="0" w:line="300" w:lineRule="auto"/>
      <w:ind w:left="760" w:right="1004" w:hanging="420"/>
      <w:jc w:val="both"/>
    </w:pPr>
    <w:rPr>
      <w:rFonts w:ascii="Times New Roman" w:eastAsia="Times New Roman" w:hAnsi="Times New Roman"/>
      <w:sz w:val="24"/>
      <w:szCs w:val="20"/>
    </w:rPr>
  </w:style>
  <w:style w:type="paragraph" w:customStyle="1" w:styleId="1ff2">
    <w:name w:val="?????1"/>
    <w:basedOn w:val="a2"/>
    <w:qFormat/>
    <w:pPr>
      <w:spacing w:after="0" w:line="240" w:lineRule="auto"/>
      <w:jc w:val="both"/>
    </w:pPr>
    <w:rPr>
      <w:rFonts w:ascii="Arial Narrow" w:eastAsia="Times New Roman" w:hAnsi="Arial Narrow" w:cs="Times"/>
      <w:b/>
      <w:bCs/>
      <w:sz w:val="28"/>
      <w:szCs w:val="28"/>
    </w:rPr>
  </w:style>
  <w:style w:type="paragraph" w:customStyle="1" w:styleId="afffff">
    <w:name w:val="Заголовок таблицы"/>
    <w:basedOn w:val="affff8"/>
    <w:qFormat/>
    <w:pPr>
      <w:jc w:val="center"/>
    </w:pPr>
    <w:rPr>
      <w:b/>
      <w:bCs/>
    </w:rPr>
  </w:style>
  <w:style w:type="paragraph" w:customStyle="1" w:styleId="afffff0">
    <w:name w:val="Содержимое врезки"/>
    <w:basedOn w:val="a2"/>
    <w:qFormat/>
  </w:style>
  <w:style w:type="paragraph" w:customStyle="1" w:styleId="aff8">
    <w:name w:val="Заголовок;Название"/>
    <w:basedOn w:val="a2"/>
    <w:next w:val="affb"/>
    <w:link w:val="12b"/>
    <w:qFormat/>
    <w:pPr>
      <w:spacing w:after="0" w:line="240" w:lineRule="auto"/>
      <w:jc w:val="center"/>
    </w:pPr>
    <w:rPr>
      <w:rFonts w:ascii="Times New Roman" w:eastAsia="Times New Roman" w:hAnsi="Times New Roman"/>
      <w:b/>
      <w:bCs/>
      <w:sz w:val="28"/>
      <w:szCs w:val="24"/>
    </w:rPr>
  </w:style>
  <w:style w:type="paragraph" w:styleId="affa">
    <w:name w:val="annotation text"/>
    <w:basedOn w:val="a2"/>
    <w:link w:val="1a"/>
    <w:uiPriority w:val="99"/>
    <w:unhideWhenUsed/>
    <w:rPr>
      <w:sz w:val="20"/>
      <w:szCs w:val="20"/>
    </w:rPr>
  </w:style>
  <w:style w:type="paragraph" w:customStyle="1" w:styleId="E">
    <w:name w:val="E_Обычный"/>
    <w:basedOn w:val="a2"/>
    <w:qFormat/>
    <w:pPr>
      <w:spacing w:after="0" w:line="240" w:lineRule="auto"/>
      <w:ind w:firstLine="567"/>
      <w:jc w:val="both"/>
    </w:pPr>
    <w:rPr>
      <w:rFonts w:ascii="Times New Roman" w:eastAsia="Times New Roman" w:hAnsi="Times New Roman"/>
      <w:sz w:val="24"/>
      <w:szCs w:val="24"/>
      <w:lang w:eastAsia="ru-RU"/>
    </w:rPr>
  </w:style>
  <w:style w:type="paragraph" w:styleId="36">
    <w:name w:val="Body Text Indent 3"/>
    <w:basedOn w:val="a2"/>
    <w:link w:val="310"/>
    <w:uiPriority w:val="99"/>
    <w:semiHidden/>
    <w:unhideWhenUsed/>
    <w:qFormat/>
    <w:pPr>
      <w:spacing w:after="120"/>
      <w:ind w:left="283"/>
    </w:pPr>
    <w:rPr>
      <w:sz w:val="16"/>
      <w:szCs w:val="16"/>
    </w:rPr>
  </w:style>
  <w:style w:type="paragraph" w:styleId="27">
    <w:name w:val="Body Text Indent 2"/>
    <w:basedOn w:val="a2"/>
    <w:link w:val="26"/>
    <w:qFormat/>
    <w:pPr>
      <w:spacing w:after="120" w:line="480" w:lineRule="auto"/>
      <w:ind w:left="283"/>
    </w:pPr>
    <w:rPr>
      <w:rFonts w:ascii="Times New Roman" w:eastAsia="Times New Roman" w:hAnsi="Times New Roman"/>
      <w:sz w:val="24"/>
      <w:szCs w:val="24"/>
      <w:lang w:eastAsia="ru-RU"/>
    </w:rPr>
  </w:style>
  <w:style w:type="paragraph" w:customStyle="1" w:styleId="2f">
    <w:name w:val="Цитата2"/>
    <w:basedOn w:val="a2"/>
    <w:qFormat/>
    <w:pPr>
      <w:widowControl w:val="0"/>
      <w:spacing w:after="0" w:line="300" w:lineRule="auto"/>
      <w:ind w:left="760" w:right="1004" w:hanging="420"/>
      <w:jc w:val="both"/>
    </w:pPr>
    <w:rPr>
      <w:rFonts w:ascii="Times New Roman" w:eastAsia="Times New Roman" w:hAnsi="Times New Roman"/>
      <w:sz w:val="24"/>
      <w:szCs w:val="20"/>
    </w:rPr>
  </w:style>
  <w:style w:type="paragraph" w:customStyle="1" w:styleId="3b">
    <w:name w:val="Знак3"/>
    <w:basedOn w:val="a2"/>
    <w:qFormat/>
    <w:pPr>
      <w:spacing w:after="160" w:line="240" w:lineRule="exact"/>
    </w:pPr>
    <w:rPr>
      <w:rFonts w:ascii="Verdana" w:eastAsia="Times New Roman" w:hAnsi="Verdana" w:cs="Verdana"/>
      <w:sz w:val="20"/>
      <w:szCs w:val="20"/>
      <w:lang w:val="en-US"/>
    </w:rPr>
  </w:style>
  <w:style w:type="paragraph" w:customStyle="1" w:styleId="2110">
    <w:name w:val="Заголовок 211"/>
    <w:qFormat/>
    <w:pPr>
      <w:widowControl w:val="0"/>
      <w:spacing w:before="240" w:after="120"/>
      <w:jc w:val="center"/>
    </w:pPr>
    <w:rPr>
      <w:b/>
      <w:bCs/>
      <w:sz w:val="24"/>
      <w:szCs w:val="24"/>
    </w:rPr>
  </w:style>
  <w:style w:type="paragraph" w:customStyle="1" w:styleId="11c">
    <w:name w:val="Абзац списка11"/>
    <w:basedOn w:val="a2"/>
    <w:qFormat/>
    <w:pPr>
      <w:spacing w:after="0" w:line="240" w:lineRule="auto"/>
      <w:ind w:left="720"/>
      <w:contextualSpacing/>
    </w:pPr>
    <w:rPr>
      <w:rFonts w:ascii="Times New Roman" w:hAnsi="Times New Roman"/>
      <w:sz w:val="24"/>
      <w:szCs w:val="24"/>
    </w:rPr>
  </w:style>
  <w:style w:type="paragraph" w:customStyle="1" w:styleId="111a">
    <w:name w:val="Заголовок 111"/>
    <w:qFormat/>
    <w:pPr>
      <w:widowControl w:val="0"/>
      <w:spacing w:before="240" w:after="120"/>
      <w:jc w:val="center"/>
    </w:pPr>
    <w:rPr>
      <w:b/>
      <w:bCs/>
      <w:sz w:val="28"/>
      <w:szCs w:val="28"/>
    </w:rPr>
  </w:style>
  <w:style w:type="paragraph" w:customStyle="1" w:styleId="214">
    <w:name w:val="Цитата21"/>
    <w:basedOn w:val="a2"/>
    <w:qFormat/>
    <w:pPr>
      <w:widowControl w:val="0"/>
      <w:spacing w:after="0" w:line="300" w:lineRule="auto"/>
      <w:ind w:left="760" w:right="1004" w:hanging="420"/>
      <w:jc w:val="both"/>
    </w:pPr>
    <w:rPr>
      <w:rFonts w:ascii="Times New Roman" w:eastAsia="Times New Roman" w:hAnsi="Times New Roman"/>
      <w:sz w:val="24"/>
      <w:szCs w:val="20"/>
    </w:rPr>
  </w:style>
  <w:style w:type="paragraph" w:customStyle="1" w:styleId="a">
    <w:name w:val="Нумерованный )"/>
    <w:basedOn w:val="a2"/>
    <w:link w:val="afff4"/>
    <w:qFormat/>
    <w:pPr>
      <w:numPr>
        <w:numId w:val="25"/>
      </w:numPr>
      <w:spacing w:after="0" w:line="240" w:lineRule="auto"/>
      <w:jc w:val="both"/>
    </w:pPr>
    <w:rPr>
      <w:rFonts w:ascii="Arial" w:eastAsia="Times New Roman" w:hAnsi="Arial"/>
      <w:sz w:val="24"/>
      <w:szCs w:val="28"/>
      <w:lang w:val="en-US" w:eastAsia="en-US"/>
    </w:rPr>
  </w:style>
  <w:style w:type="paragraph" w:styleId="33">
    <w:name w:val="Body Text 3"/>
    <w:basedOn w:val="a2"/>
    <w:link w:val="32"/>
    <w:qFormat/>
    <w:pPr>
      <w:spacing w:after="120" w:line="240" w:lineRule="auto"/>
    </w:pPr>
    <w:rPr>
      <w:rFonts w:ascii="Times New Roman" w:eastAsia="Times New Roman" w:hAnsi="Times New Roman"/>
      <w:sz w:val="28"/>
      <w:szCs w:val="20"/>
      <w:lang w:eastAsia="ru-RU"/>
    </w:rPr>
  </w:style>
  <w:style w:type="paragraph" w:customStyle="1" w:styleId="afffff1">
    <w:name w:val="таблица текст"/>
    <w:basedOn w:val="a2"/>
    <w:qFormat/>
    <w:pPr>
      <w:spacing w:after="0" w:line="240" w:lineRule="auto"/>
      <w:jc w:val="both"/>
    </w:pPr>
    <w:rPr>
      <w:rFonts w:ascii="Arial" w:eastAsia="Times New Roman" w:hAnsi="Arial" w:cs="Arial"/>
      <w:color w:val="000000"/>
      <w:sz w:val="20"/>
      <w:szCs w:val="20"/>
      <w:lang w:eastAsia="ru-RU"/>
    </w:rPr>
  </w:style>
  <w:style w:type="paragraph" w:styleId="afb">
    <w:name w:val="Plain Text"/>
    <w:basedOn w:val="a2"/>
    <w:link w:val="afa"/>
    <w:uiPriority w:val="99"/>
    <w:semiHidden/>
    <w:unhideWhenUsed/>
    <w:qFormat/>
    <w:rsid w:val="000E74D8"/>
    <w:pPr>
      <w:spacing w:after="0" w:line="240" w:lineRule="auto"/>
    </w:pPr>
    <w:rPr>
      <w:rFonts w:ascii="Times New Roman" w:eastAsia="Times New Roman" w:hAnsi="Times New Roman"/>
      <w:szCs w:val="21"/>
    </w:rPr>
  </w:style>
  <w:style w:type="paragraph" w:styleId="afff8">
    <w:name w:val="Normal (Web)"/>
    <w:basedOn w:val="a2"/>
    <w:link w:val="afff7"/>
    <w:uiPriority w:val="99"/>
    <w:qFormat/>
    <w:rsid w:val="00F6618F"/>
    <w:pPr>
      <w:spacing w:beforeAutospacing="1" w:afterAutospacing="1" w:line="240" w:lineRule="auto"/>
      <w:ind w:firstLine="360"/>
    </w:pPr>
    <w:rPr>
      <w:rFonts w:eastAsia="Times New Roman"/>
      <w:sz w:val="24"/>
      <w:szCs w:val="24"/>
      <w:lang w:val="x-none" w:eastAsia="x-none"/>
    </w:rPr>
  </w:style>
  <w:style w:type="paragraph" w:customStyle="1" w:styleId="user1">
    <w:name w:val="Содержимое врезки (user)"/>
    <w:basedOn w:val="a2"/>
    <w:qFormat/>
  </w:style>
  <w:style w:type="numbering" w:customStyle="1" w:styleId="afffff2">
    <w:name w:val="Без списка"/>
    <w:uiPriority w:val="99"/>
    <w:semiHidden/>
    <w:unhideWhenUsed/>
    <w:qFormat/>
  </w:style>
  <w:style w:type="numbering" w:customStyle="1" w:styleId="2120">
    <w:name w:val="Список 212"/>
    <w:qFormat/>
  </w:style>
  <w:style w:type="numbering" w:customStyle="1" w:styleId="3121">
    <w:name w:val="Список 3121"/>
    <w:qFormat/>
  </w:style>
  <w:style w:type="numbering" w:customStyle="1" w:styleId="1ff3">
    <w:name w:val="Нет списка1"/>
    <w:uiPriority w:val="99"/>
    <w:semiHidden/>
    <w:unhideWhenUsed/>
    <w:qFormat/>
  </w:style>
  <w:style w:type="numbering" w:customStyle="1" w:styleId="11d">
    <w:name w:val="Нет списка11"/>
    <w:uiPriority w:val="99"/>
    <w:semiHidden/>
    <w:unhideWhenUsed/>
    <w:qFormat/>
  </w:style>
  <w:style w:type="numbering" w:customStyle="1" w:styleId="2121">
    <w:name w:val="Список 2121"/>
    <w:qFormat/>
  </w:style>
  <w:style w:type="numbering" w:customStyle="1" w:styleId="31211">
    <w:name w:val="Список 31211"/>
    <w:qFormat/>
  </w:style>
  <w:style w:type="numbering" w:customStyle="1" w:styleId="2f0">
    <w:name w:val="Нет списка2"/>
    <w:uiPriority w:val="99"/>
    <w:semiHidden/>
    <w:unhideWhenUsed/>
    <w:qFormat/>
  </w:style>
  <w:style w:type="table" w:styleId="afffff3">
    <w:name w:val="Table Grid"/>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Light">
    <w:name w:val="Table Grid Light"/>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styleId="1ff4">
    <w:name w:val="Plain Table 1"/>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b/>
        <w:sz w:val="22"/>
      </w:rPr>
    </w:tblStylePr>
    <w:tblStylePr w:type="lastRow">
      <w:rPr>
        <w:b/>
        <w:sz w:val="22"/>
      </w:rPr>
    </w:tblStylePr>
    <w:tblStylePr w:type="firstCol">
      <w:rPr>
        <w:b/>
        <w:sz w:val="22"/>
      </w:rPr>
    </w:tblStylePr>
    <w:tblStylePr w:type="lastCol">
      <w:rPr>
        <w:b/>
        <w:sz w:val="22"/>
      </w:rPr>
    </w:tblStylePr>
    <w:tblStylePr w:type="band1Vert">
      <w:tblPr/>
      <w:tcPr>
        <w:shd w:val="clear" w:color="F2F2F2" w:fill="F2F2F2" w:themeFill="text1" w:themeFillTint="0D"/>
      </w:tcPr>
    </w:tblStylePr>
    <w:tblStylePr w:type="band1Horz">
      <w:tblPr/>
      <w:tcPr>
        <w:shd w:val="clear" w:color="F2F2F2" w:fill="F2F2F2" w:themeFill="text1" w:themeFillTint="0D"/>
      </w:tcPr>
    </w:tblStylePr>
  </w:style>
  <w:style w:type="table" w:styleId="2f1">
    <w:name w:val="Plain Table 2"/>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b/>
        <w:sz w:val="22"/>
      </w:rPr>
      <w:tblPr/>
      <w:tcPr>
        <w:tcBorders>
          <w:top w:val="single" w:sz="4" w:space="0" w:color="000000" w:themeColor="text1"/>
          <w:bottom w:val="single" w:sz="4" w:space="0" w:color="000000" w:themeColor="text1"/>
        </w:tcBorders>
      </w:tcPr>
    </w:tblStylePr>
    <w:tblStylePr w:type="lastRow">
      <w:rPr>
        <w:b/>
        <w:sz w:val="22"/>
      </w:rPr>
    </w:tblStylePr>
    <w:tblStylePr w:type="firstCol">
      <w:rPr>
        <w:b/>
        <w:sz w:val="22"/>
      </w:rPr>
    </w:tblStylePr>
    <w:tblStylePr w:type="lastCol">
      <w:rPr>
        <w:b/>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c">
    <w:name w:val="Plain Table 3"/>
    <w:uiPriority w:val="99"/>
    <w:tblPr>
      <w:tblStyleRowBandSize w:val="1"/>
      <w:tblStyleColBandSize w:val="1"/>
      <w:tblCellMar>
        <w:top w:w="0" w:type="dxa"/>
        <w:left w:w="0" w:type="dxa"/>
        <w:bottom w:w="0" w:type="dxa"/>
        <w:right w:w="0" w:type="dxa"/>
      </w:tblCellMar>
    </w:tblPr>
    <w:tblStylePr w:type="firstRow">
      <w:rPr>
        <w:b/>
        <w:caps/>
      </w:rPr>
      <w:tblPr/>
      <w:tcPr>
        <w:tcBorders>
          <w:top w:val="none" w:sz="4" w:space="0" w:color="000000"/>
          <w:left w:val="none" w:sz="4" w:space="0" w:color="000000"/>
          <w:bottom w:val="single" w:sz="4" w:space="0" w:color="404040"/>
          <w:right w:val="none" w:sz="4" w:space="0" w:color="000000"/>
        </w:tcBorders>
      </w:tcPr>
    </w:tblStylePr>
    <w:tblStylePr w:type="lastRow">
      <w:rPr>
        <w:b/>
        <w:caps/>
      </w:rPr>
    </w:tblStylePr>
    <w:tblStylePr w:type="firstCol">
      <w:rPr>
        <w:b/>
        <w:caps/>
      </w:rPr>
      <w:tblPr/>
      <w:tcPr>
        <w:tcBorders>
          <w:top w:val="none" w:sz="4" w:space="0" w:color="000000"/>
          <w:left w:val="none" w:sz="4" w:space="0" w:color="000000"/>
          <w:bottom w:val="none" w:sz="4" w:space="0" w:color="000000"/>
          <w:right w:val="single" w:sz="4" w:space="0" w:color="404040"/>
        </w:tcBorders>
      </w:tcPr>
    </w:tblStylePr>
    <w:tblStylePr w:type="lastCol">
      <w:rPr>
        <w:b/>
        <w:caps/>
      </w:rPr>
    </w:tblStylePr>
    <w:tblStylePr w:type="band1Vert">
      <w:rPr>
        <w:sz w:val="22"/>
      </w:rPr>
      <w:tblPr/>
      <w:tcPr>
        <w:shd w:val="clear" w:color="F2F2F2" w:fill="F2F2F2" w:themeFill="text1" w:themeFillTint="0D"/>
      </w:tcPr>
    </w:tblStylePr>
    <w:tblStylePr w:type="band1Horz">
      <w:rPr>
        <w:sz w:val="22"/>
      </w:rPr>
      <w:tblPr/>
      <w:tcPr>
        <w:shd w:val="clear" w:color="F2F2F2" w:fill="F2F2F2" w:themeFill="text1" w:themeFillTint="0D"/>
      </w:tcPr>
    </w:tblStylePr>
  </w:style>
  <w:style w:type="table" w:styleId="44">
    <w:name w:val="Plain Table 4"/>
    <w:uiPriority w:val="99"/>
    <w:tblPr>
      <w:tblStyleRowBandSize w:val="1"/>
      <w:tblStyleColBandSize w:val="1"/>
      <w:tblCellMar>
        <w:top w:w="0" w:type="dxa"/>
        <w:left w:w="0" w:type="dxa"/>
        <w:bottom w:w="0" w:type="dxa"/>
        <w:right w:w="0" w:type="dxa"/>
      </w:tblCellMar>
    </w:tblPr>
    <w:tblStylePr w:type="firstRow">
      <w:rPr>
        <w:b/>
      </w:rPr>
    </w:tblStylePr>
    <w:tblStylePr w:type="lastRow">
      <w:rPr>
        <w:b/>
      </w:rPr>
    </w:tblStylePr>
    <w:tblStylePr w:type="firstCol">
      <w:rPr>
        <w:b/>
      </w:rPr>
    </w:tblStylePr>
    <w:tblStylePr w:type="lastCol">
      <w:rPr>
        <w:b/>
      </w:rPr>
    </w:tblStylePr>
    <w:tblStylePr w:type="band1Vert">
      <w:rPr>
        <w:sz w:val="22"/>
      </w:rPr>
      <w:tblPr/>
      <w:tcPr>
        <w:shd w:val="clear" w:color="F2F2F2" w:fill="F2F2F2" w:themeFill="text1" w:themeFillTint="0D"/>
      </w:tcPr>
    </w:tblStylePr>
    <w:tblStylePr w:type="band1Horz">
      <w:rPr>
        <w:sz w:val="22"/>
      </w:rPr>
      <w:tblPr/>
      <w:tcPr>
        <w:shd w:val="clear" w:color="F2F2F2" w:fill="F2F2F2" w:themeFill="text1" w:themeFillTint="0D"/>
      </w:tcPr>
    </w:tblStylePr>
  </w:style>
  <w:style w:type="table" w:styleId="53">
    <w:name w:val="Plain Table 5"/>
    <w:uiPriority w:val="99"/>
    <w:tblPr>
      <w:tblStyleRowBandSize w:val="1"/>
      <w:tblStyleColBandSize w:val="1"/>
      <w:tblCellMar>
        <w:top w:w="0" w:type="dxa"/>
        <w:left w:w="0" w:type="dxa"/>
        <w:bottom w:w="0" w:type="dxa"/>
        <w:right w:w="0" w:type="dxa"/>
      </w:tblCellMar>
    </w:tblPr>
    <w:tblStylePr w:type="firstRow">
      <w:rPr>
        <w:i/>
      </w:rPr>
      <w:tblPr/>
      <w:tcPr>
        <w:tcBorders>
          <w:left w:val="none" w:sz="4" w:space="0" w:color="000000"/>
          <w:bottom w:val="single" w:sz="4" w:space="0" w:color="404040"/>
          <w:right w:val="none" w:sz="4" w:space="0" w:color="000000"/>
        </w:tcBorders>
        <w:shd w:val="clear" w:color="FFFFFF" w:fill="auto"/>
      </w:tcPr>
    </w:tblStylePr>
    <w:tblStylePr w:type="lastRow">
      <w:rPr>
        <w:i/>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rPr>
      <w:tblPr/>
      <w:tcPr>
        <w:tcBorders>
          <w:right w:val="single" w:sz="4" w:space="0" w:color="404040"/>
        </w:tcBorders>
        <w:shd w:val="clear" w:color="FFFFFF" w:fill="auto"/>
      </w:tcPr>
    </w:tblStylePr>
    <w:tblStylePr w:type="lastCol">
      <w:rPr>
        <w:i/>
      </w:rPr>
      <w:tblPr/>
      <w:tcPr>
        <w:tcBorders>
          <w:left w:val="single" w:sz="4" w:space="0" w:color="404040"/>
        </w:tcBorders>
        <w:shd w:val="clear" w:color="FFFFFF" w:fill="auto"/>
      </w:tcPr>
    </w:tblStylePr>
    <w:tblStylePr w:type="band1Vert">
      <w:rPr>
        <w:sz w:val="22"/>
      </w:rPr>
      <w:tblPr/>
      <w:tcPr>
        <w:shd w:val="clear" w:color="F2F2F2" w:fill="F2F2F2" w:themeFill="text1" w:themeFillTint="0D"/>
      </w:tcPr>
    </w:tblStylePr>
    <w:tblStylePr w:type="band1Horz">
      <w:rPr>
        <w:sz w:val="22"/>
      </w:rPr>
      <w:tblPr/>
      <w:tcPr>
        <w:shd w:val="clear" w:color="F2F2F2" w:fill="F2F2F2" w:themeFill="text1" w:themeFillTint="0D"/>
      </w:tcPr>
    </w:tblStylePr>
  </w:style>
  <w:style w:type="table" w:styleId="-1">
    <w:name w:val="Grid Table 1 Light"/>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0" w:type="dxa"/>
        <w:bottom w:w="0" w:type="dxa"/>
        <w:right w:w="0" w:type="dxa"/>
      </w:tblCellMar>
    </w:tblPr>
    <w:tblStylePr w:type="firstRow">
      <w:rPr>
        <w:b/>
      </w:rPr>
      <w:tblPr/>
      <w:tcPr>
        <w:tcBorders>
          <w:bottom w:val="single" w:sz="12" w:space="0" w:color="000000" w:themeColor="text1"/>
        </w:tcBorders>
      </w:tcPr>
    </w:tblStylePr>
    <w:tblStylePr w:type="lastRow">
      <w:rPr>
        <w:b/>
      </w:rPr>
    </w:tblStylePr>
    <w:tblStylePr w:type="firstCol">
      <w:rPr>
        <w:b/>
      </w:rPr>
    </w:tblStylePr>
    <w:tblStylePr w:type="lastCol">
      <w:rPr>
        <w:b/>
      </w:rPr>
    </w:tblStylePr>
    <w:tblStylePr w:type="band1Horz">
      <w:rPr>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tcPr>
    </w:tblStylePr>
  </w:style>
  <w:style w:type="table" w:customStyle="1" w:styleId="GridTable1Light-Accent1">
    <w:name w:val="Grid Table 1 Light - Accent 1"/>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0" w:type="dxa"/>
        <w:bottom w:w="0" w:type="dxa"/>
        <w:right w:w="0" w:type="dxa"/>
      </w:tblCellMar>
    </w:tblPr>
    <w:tblStylePr w:type="firstRow">
      <w:rPr>
        <w:b/>
      </w:rPr>
      <w:tblPr/>
      <w:tcPr>
        <w:tcBorders>
          <w:bottom w:val="single" w:sz="12" w:space="0" w:color="4F81BD" w:themeColor="accent1"/>
        </w:tcBorders>
      </w:tcPr>
    </w:tblStylePr>
    <w:tblStylePr w:type="lastRow">
      <w:rPr>
        <w:b/>
      </w:rPr>
    </w:tblStylePr>
    <w:tblStylePr w:type="firstCol">
      <w:rPr>
        <w:b/>
      </w:rPr>
    </w:tblStylePr>
    <w:tblStylePr w:type="lastCol">
      <w:rPr>
        <w:b/>
      </w:rPr>
    </w:tblStylePr>
    <w:tblStylePr w:type="band1Horz">
      <w:rPr>
        <w:sz w:val="22"/>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tblStylePr>
  </w:style>
  <w:style w:type="table" w:customStyle="1" w:styleId="GridTable1Light-Accent2">
    <w:name w:val="Grid Table 1 Light - Accent 2"/>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0" w:type="dxa"/>
        <w:bottom w:w="0" w:type="dxa"/>
        <w:right w:w="0" w:type="dxa"/>
      </w:tblCellMar>
    </w:tblPr>
    <w:tblStylePr w:type="firstRow">
      <w:rPr>
        <w:b/>
      </w:rPr>
      <w:tblPr/>
      <w:tcPr>
        <w:tcBorders>
          <w:bottom w:val="single" w:sz="12" w:space="0" w:color="C0504D" w:themeColor="accent2"/>
        </w:tcBorders>
      </w:tcPr>
    </w:tblStylePr>
    <w:tblStylePr w:type="lastRow">
      <w:rPr>
        <w:b/>
      </w:rPr>
    </w:tblStylePr>
    <w:tblStylePr w:type="firstCol">
      <w:rPr>
        <w:b/>
      </w:rPr>
    </w:tblStylePr>
    <w:tblStylePr w:type="lastCol">
      <w:rPr>
        <w:b/>
      </w:rPr>
    </w:tblStylePr>
    <w:tblStylePr w:type="band1Horz">
      <w:rPr>
        <w:sz w:val="22"/>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tcBorders>
      </w:tcPr>
    </w:tblStylePr>
  </w:style>
  <w:style w:type="table" w:customStyle="1" w:styleId="GridTable1Light-Accent3">
    <w:name w:val="Grid Table 1 Light - Accent 3"/>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0" w:type="dxa"/>
        <w:bottom w:w="0" w:type="dxa"/>
        <w:right w:w="0" w:type="dxa"/>
      </w:tblCellMar>
    </w:tblPr>
    <w:tblStylePr w:type="firstRow">
      <w:rPr>
        <w:b/>
      </w:rPr>
      <w:tblPr/>
      <w:tcPr>
        <w:tcBorders>
          <w:bottom w:val="single" w:sz="12" w:space="0" w:color="9BBB59" w:themeColor="accent3"/>
        </w:tcBorders>
      </w:tcPr>
    </w:tblStylePr>
    <w:tblStylePr w:type="lastRow">
      <w:rPr>
        <w:b/>
      </w:rPr>
    </w:tblStylePr>
    <w:tblStylePr w:type="firstCol">
      <w:rPr>
        <w:b/>
      </w:rPr>
    </w:tblStylePr>
    <w:tblStylePr w:type="lastCol">
      <w:rPr>
        <w:b/>
      </w:rPr>
    </w:tblStylePr>
    <w:tblStylePr w:type="band1Horz">
      <w:rPr>
        <w:sz w:val="22"/>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tcBorders>
      </w:tcPr>
    </w:tblStylePr>
  </w:style>
  <w:style w:type="table" w:customStyle="1" w:styleId="GridTable1Light-Accent4">
    <w:name w:val="Grid Table 1 Light - Accent 4"/>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0" w:type="dxa"/>
        <w:bottom w:w="0" w:type="dxa"/>
        <w:right w:w="0" w:type="dxa"/>
      </w:tblCellMar>
    </w:tblPr>
    <w:tblStylePr w:type="firstRow">
      <w:rPr>
        <w:b/>
      </w:rPr>
      <w:tblPr/>
      <w:tcPr>
        <w:tcBorders>
          <w:bottom w:val="single" w:sz="12" w:space="0" w:color="8064A2" w:themeColor="accent4"/>
        </w:tcBorders>
      </w:tcPr>
    </w:tblStylePr>
    <w:tblStylePr w:type="lastRow">
      <w:rPr>
        <w:b/>
      </w:rPr>
    </w:tblStylePr>
    <w:tblStylePr w:type="firstCol">
      <w:rPr>
        <w:b/>
      </w:rPr>
    </w:tblStylePr>
    <w:tblStylePr w:type="lastCol">
      <w:rPr>
        <w:b/>
      </w:rPr>
    </w:tblStylePr>
    <w:tblStylePr w:type="band1Horz">
      <w:rPr>
        <w:sz w:val="22"/>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tblStylePr>
  </w:style>
  <w:style w:type="table" w:customStyle="1" w:styleId="GridTable1Light-Accent5">
    <w:name w:val="Grid Table 1 Light - Accent 5"/>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0" w:type="dxa"/>
        <w:bottom w:w="0" w:type="dxa"/>
        <w:right w:w="0" w:type="dxa"/>
      </w:tblCellMar>
    </w:tblPr>
    <w:tblStylePr w:type="firstRow">
      <w:rPr>
        <w:b/>
      </w:rPr>
      <w:tblPr/>
      <w:tcPr>
        <w:tcBorders>
          <w:bottom w:val="single" w:sz="12" w:space="0" w:color="4BACC6" w:themeColor="accent5"/>
        </w:tcBorders>
      </w:tcPr>
    </w:tblStylePr>
    <w:tblStylePr w:type="lastRow">
      <w:rPr>
        <w:b/>
      </w:rPr>
    </w:tblStylePr>
    <w:tblStylePr w:type="firstCol">
      <w:rPr>
        <w:b/>
      </w:rPr>
    </w:tblStylePr>
    <w:tblStylePr w:type="lastCol">
      <w:rPr>
        <w:b/>
      </w:rPr>
    </w:tblStylePr>
    <w:tblStylePr w:type="band1Horz">
      <w:rPr>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tcPr>
    </w:tblStylePr>
  </w:style>
  <w:style w:type="table" w:customStyle="1" w:styleId="GridTable1Light-Accent6">
    <w:name w:val="Grid Table 1 Light - Accent 6"/>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0" w:type="dxa"/>
        <w:bottom w:w="0" w:type="dxa"/>
        <w:right w:w="0" w:type="dxa"/>
      </w:tblCellMar>
    </w:tblPr>
    <w:tblStylePr w:type="firstRow">
      <w:rPr>
        <w:b/>
      </w:rPr>
      <w:tblPr/>
      <w:tcPr>
        <w:tcBorders>
          <w:bottom w:val="single" w:sz="12" w:space="0" w:color="F79646" w:themeColor="accent6"/>
        </w:tcBorders>
      </w:tcPr>
    </w:tblStylePr>
    <w:tblStylePr w:type="lastRow">
      <w:rPr>
        <w:b/>
      </w:rPr>
    </w:tblStylePr>
    <w:tblStylePr w:type="firstCol">
      <w:rPr>
        <w:b/>
      </w:rPr>
    </w:tblStylePr>
    <w:tblStylePr w:type="lastCol">
      <w:rPr>
        <w:b/>
      </w:rPr>
    </w:tblStylePr>
    <w:tblStylePr w:type="band1Horz">
      <w:rPr>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tcPr>
    </w:tblStylePr>
  </w:style>
  <w:style w:type="table" w:styleId="-2">
    <w:name w:val="Grid Table 2"/>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0" w:type="dxa"/>
        <w:bottom w:w="0" w:type="dxa"/>
        <w:right w:w="0" w:type="dxa"/>
      </w:tblCellMar>
    </w:tblPr>
    <w:tblStylePr w:type="firstRow">
      <w:rPr>
        <w:b/>
      </w:rPr>
      <w:tblPr/>
      <w:tcPr>
        <w:tcBorders>
          <w:top w:val="none" w:sz="4" w:space="0" w:color="000000"/>
          <w:left w:val="none" w:sz="4" w:space="0" w:color="000000"/>
          <w:bottom w:val="single" w:sz="12" w:space="0" w:color="000000" w:themeColor="text1"/>
          <w:right w:val="none" w:sz="4" w:space="0" w:color="000000"/>
        </w:tcBorders>
        <w:shd w:val="clear" w:color="FFFFFF" w:fill="auto"/>
      </w:tcPr>
    </w:tblStylePr>
    <w:tblStylePr w:type="lastRow">
      <w:rPr>
        <w:b/>
      </w:rPr>
      <w:tblPr/>
      <w:tcPr>
        <w:tcBorders>
          <w:top w:val="single" w:sz="4" w:space="0" w:color="000000" w:themeColor="text1"/>
          <w:left w:val="none" w:sz="4" w:space="0" w:color="000000"/>
          <w:bottom w:val="none" w:sz="4" w:space="0" w:color="000000"/>
          <w:right w:val="none" w:sz="4" w:space="0" w:color="000000"/>
        </w:tcBorders>
        <w:shd w:val="clear" w:color="FFFFFF" w:fill="auto"/>
      </w:tcPr>
    </w:tblStylePr>
    <w:tblStylePr w:type="firstCol">
      <w:rPr>
        <w:b/>
      </w:rPr>
    </w:tblStylePr>
    <w:tblStylePr w:type="lastCol">
      <w:rPr>
        <w:b/>
      </w:rPr>
    </w:tblStylePr>
    <w:tblStylePr w:type="band1Vert">
      <w:rPr>
        <w:sz w:val="22"/>
      </w:rPr>
      <w:tblPr/>
      <w:tcPr>
        <w:shd w:val="clear" w:color="CBCBCB" w:fill="CBCBCB" w:themeFill="text1" w:themeFillTint="34"/>
      </w:tcPr>
    </w:tblStylePr>
    <w:tblStylePr w:type="band1Horz">
      <w:rPr>
        <w:sz w:val="22"/>
      </w:rPr>
      <w:tblPr/>
      <w:tcPr>
        <w:shd w:val="clear" w:color="CBCBCB" w:fill="CBCBCB" w:themeFill="text1" w:themeFillTint="34"/>
      </w:tcPr>
    </w:tblStylePr>
  </w:style>
  <w:style w:type="table" w:customStyle="1" w:styleId="GridTable2-Accent1">
    <w:name w:val="Grid Table 2 - Accent 1"/>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0" w:type="dxa"/>
        <w:bottom w:w="0" w:type="dxa"/>
        <w:right w:w="0" w:type="dxa"/>
      </w:tblCellMar>
    </w:tblPr>
    <w:tblStylePr w:type="firstRow">
      <w:rPr>
        <w:b/>
      </w:rPr>
      <w:tblPr/>
      <w:tcPr>
        <w:tcBorders>
          <w:top w:val="none" w:sz="4" w:space="0" w:color="000000"/>
          <w:left w:val="none" w:sz="4" w:space="0" w:color="000000"/>
          <w:bottom w:val="single" w:sz="12" w:space="0" w:color="4F81BD" w:themeColor="accent1"/>
          <w:right w:val="none" w:sz="4" w:space="0" w:color="000000"/>
        </w:tcBorders>
        <w:shd w:val="clear" w:color="FFFFFF" w:fill="auto"/>
      </w:tcPr>
    </w:tblStylePr>
    <w:tblStylePr w:type="lastRow">
      <w:rPr>
        <w:b/>
      </w:rPr>
      <w:tblPr/>
      <w:tcPr>
        <w:tcBorders>
          <w:top w:val="single" w:sz="4" w:space="0" w:color="4F81BD" w:themeColor="accent1"/>
          <w:left w:val="none" w:sz="4" w:space="0" w:color="000000"/>
          <w:bottom w:val="none" w:sz="4" w:space="0" w:color="000000"/>
          <w:right w:val="none" w:sz="4" w:space="0" w:color="000000"/>
        </w:tcBorders>
        <w:shd w:val="clear" w:color="FFFFFF" w:fill="auto"/>
      </w:tcPr>
    </w:tblStylePr>
    <w:tblStylePr w:type="firstCol">
      <w:rPr>
        <w:b/>
      </w:rPr>
    </w:tblStylePr>
    <w:tblStylePr w:type="lastCol">
      <w:rPr>
        <w:b/>
      </w:rPr>
    </w:tblStylePr>
    <w:tblStylePr w:type="band1Vert">
      <w:rPr>
        <w:sz w:val="22"/>
      </w:rPr>
      <w:tblPr/>
      <w:tcPr>
        <w:shd w:val="clear" w:color="DAE5F1" w:fill="DAE5F1" w:themeFill="accent1" w:themeFillTint="34"/>
      </w:tcPr>
    </w:tblStylePr>
    <w:tblStylePr w:type="band1Horz">
      <w:rPr>
        <w:sz w:val="22"/>
      </w:rPr>
      <w:tblPr/>
      <w:tcPr>
        <w:shd w:val="clear" w:color="DAE5F1" w:fill="DAE5F1" w:themeFill="accent1" w:themeFillTint="34"/>
      </w:tcPr>
    </w:tblStylePr>
  </w:style>
  <w:style w:type="table" w:customStyle="1" w:styleId="GridTable2-Accent2">
    <w:name w:val="Grid Table 2 - Accent 2"/>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0" w:type="dxa"/>
        <w:bottom w:w="0" w:type="dxa"/>
        <w:right w:w="0" w:type="dxa"/>
      </w:tblCellMar>
    </w:tblPr>
    <w:tblStylePr w:type="firstRow">
      <w:rPr>
        <w:b/>
      </w:rPr>
      <w:tblPr/>
      <w:tcPr>
        <w:tcBorders>
          <w:top w:val="none" w:sz="4" w:space="0" w:color="000000"/>
          <w:left w:val="none" w:sz="4" w:space="0" w:color="000000"/>
          <w:bottom w:val="single" w:sz="12" w:space="0" w:color="C0504D" w:themeColor="accent2"/>
          <w:right w:val="none" w:sz="4" w:space="0" w:color="000000"/>
        </w:tcBorders>
        <w:shd w:val="clear" w:color="FFFFFF" w:fill="auto"/>
      </w:tcPr>
    </w:tblStylePr>
    <w:tblStylePr w:type="lastRow">
      <w:rPr>
        <w:b/>
      </w:rPr>
      <w:tblPr/>
      <w:tcPr>
        <w:tcBorders>
          <w:top w:val="single" w:sz="4" w:space="0" w:color="C0504D" w:themeColor="accent2"/>
          <w:left w:val="none" w:sz="4" w:space="0" w:color="000000"/>
          <w:bottom w:val="none" w:sz="4" w:space="0" w:color="000000"/>
          <w:right w:val="none" w:sz="4" w:space="0" w:color="000000"/>
        </w:tcBorders>
        <w:shd w:val="clear" w:color="FFFFFF" w:fill="auto"/>
      </w:tcPr>
    </w:tblStylePr>
    <w:tblStylePr w:type="firstCol">
      <w:rPr>
        <w:b/>
      </w:rPr>
    </w:tblStylePr>
    <w:tblStylePr w:type="lastCol">
      <w:rPr>
        <w:b/>
      </w:rPr>
    </w:tblStylePr>
    <w:tblStylePr w:type="band1Vert">
      <w:rPr>
        <w:sz w:val="22"/>
      </w:rPr>
      <w:tblPr/>
      <w:tcPr>
        <w:shd w:val="clear" w:color="F2DCDC" w:fill="F2DCDC" w:themeFill="accent2" w:themeFillTint="32"/>
      </w:tcPr>
    </w:tblStylePr>
    <w:tblStylePr w:type="band1Horz">
      <w:rPr>
        <w:sz w:val="22"/>
      </w:rPr>
      <w:tblPr/>
      <w:tcPr>
        <w:shd w:val="clear" w:color="F2DCDC" w:fill="F2DCDC" w:themeFill="accent2" w:themeFillTint="32"/>
      </w:tcPr>
    </w:tblStylePr>
  </w:style>
  <w:style w:type="table" w:customStyle="1" w:styleId="GridTable2-Accent3">
    <w:name w:val="Grid Table 2 - Accent 3"/>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0" w:type="dxa"/>
        <w:bottom w:w="0" w:type="dxa"/>
        <w:right w:w="0" w:type="dxa"/>
      </w:tblCellMar>
    </w:tblPr>
    <w:tblStylePr w:type="firstRow">
      <w:rPr>
        <w:b/>
      </w:rPr>
      <w:tblPr/>
      <w:tcPr>
        <w:tcBorders>
          <w:top w:val="none" w:sz="4" w:space="0" w:color="000000"/>
          <w:left w:val="none" w:sz="4" w:space="0" w:color="000000"/>
          <w:bottom w:val="single" w:sz="12" w:space="0" w:color="9BBB59" w:themeColor="accent3"/>
          <w:right w:val="none" w:sz="4" w:space="0" w:color="000000"/>
        </w:tcBorders>
        <w:shd w:val="clear" w:color="FFFFFF" w:fill="auto"/>
      </w:tcPr>
    </w:tblStylePr>
    <w:tblStylePr w:type="lastRow">
      <w:rPr>
        <w:b/>
      </w:rPr>
      <w:tblPr/>
      <w:tcPr>
        <w:tcBorders>
          <w:top w:val="single" w:sz="4" w:space="0" w:color="9BBB59" w:themeColor="accent3"/>
          <w:left w:val="none" w:sz="4" w:space="0" w:color="000000"/>
          <w:bottom w:val="none" w:sz="4" w:space="0" w:color="000000"/>
          <w:right w:val="none" w:sz="4" w:space="0" w:color="000000"/>
        </w:tcBorders>
        <w:shd w:val="clear" w:color="FFFFFF" w:fill="auto"/>
      </w:tcPr>
    </w:tblStylePr>
    <w:tblStylePr w:type="firstCol">
      <w:rPr>
        <w:b/>
      </w:rPr>
    </w:tblStylePr>
    <w:tblStylePr w:type="lastCol">
      <w:rPr>
        <w:b/>
      </w:rPr>
    </w:tblStylePr>
    <w:tblStylePr w:type="band1Vert">
      <w:rPr>
        <w:sz w:val="22"/>
      </w:rPr>
      <w:tblPr/>
      <w:tcPr>
        <w:shd w:val="clear" w:color="EAF1DC" w:fill="EAF1DC" w:themeFill="accent3" w:themeFillTint="34"/>
      </w:tcPr>
    </w:tblStylePr>
    <w:tblStylePr w:type="band1Horz">
      <w:rPr>
        <w:sz w:val="22"/>
      </w:rPr>
      <w:tblPr/>
      <w:tcPr>
        <w:shd w:val="clear" w:color="EAF1DC" w:fill="EAF1DC" w:themeFill="accent3" w:themeFillTint="34"/>
      </w:tcPr>
    </w:tblStylePr>
  </w:style>
  <w:style w:type="table" w:customStyle="1" w:styleId="GridTable2-Accent4">
    <w:name w:val="Grid Table 2 - Accent 4"/>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0" w:type="dxa"/>
        <w:bottom w:w="0" w:type="dxa"/>
        <w:right w:w="0" w:type="dxa"/>
      </w:tblCellMar>
    </w:tblPr>
    <w:tblStylePr w:type="firstRow">
      <w:rPr>
        <w:b/>
      </w:rPr>
      <w:tblPr/>
      <w:tcPr>
        <w:tcBorders>
          <w:top w:val="none" w:sz="4" w:space="0" w:color="000000"/>
          <w:left w:val="none" w:sz="4" w:space="0" w:color="000000"/>
          <w:bottom w:val="single" w:sz="12" w:space="0" w:color="8064A2" w:themeColor="accent4"/>
          <w:right w:val="none" w:sz="4" w:space="0" w:color="000000"/>
        </w:tcBorders>
        <w:shd w:val="clear" w:color="FFFFFF" w:fill="auto"/>
      </w:tcPr>
    </w:tblStylePr>
    <w:tblStylePr w:type="lastRow">
      <w:rPr>
        <w:b/>
      </w:rPr>
      <w:tblPr/>
      <w:tcPr>
        <w:tcBorders>
          <w:top w:val="single" w:sz="4" w:space="0" w:color="8064A2" w:themeColor="accent4"/>
          <w:left w:val="none" w:sz="4" w:space="0" w:color="000000"/>
          <w:bottom w:val="none" w:sz="4" w:space="0" w:color="000000"/>
          <w:right w:val="none" w:sz="4" w:space="0" w:color="000000"/>
        </w:tcBorders>
        <w:shd w:val="clear" w:color="FFFFFF" w:fill="auto"/>
      </w:tcPr>
    </w:tblStylePr>
    <w:tblStylePr w:type="firstCol">
      <w:rPr>
        <w:b/>
      </w:rPr>
    </w:tblStylePr>
    <w:tblStylePr w:type="lastCol">
      <w:rPr>
        <w:b/>
      </w:rPr>
    </w:tblStylePr>
    <w:tblStylePr w:type="band1Vert">
      <w:rPr>
        <w:sz w:val="22"/>
      </w:rPr>
      <w:tblPr/>
      <w:tcPr>
        <w:shd w:val="clear" w:color="E5DFEC" w:fill="E5DFEC" w:themeFill="accent4" w:themeFillTint="34"/>
      </w:tcPr>
    </w:tblStylePr>
    <w:tblStylePr w:type="band1Horz">
      <w:rPr>
        <w:sz w:val="22"/>
      </w:rPr>
      <w:tblPr/>
      <w:tcPr>
        <w:shd w:val="clear" w:color="E5DFEC" w:fill="E5DFEC" w:themeFill="accent4" w:themeFillTint="34"/>
      </w:tcPr>
    </w:tblStylePr>
  </w:style>
  <w:style w:type="table" w:customStyle="1" w:styleId="GridTable2-Accent5">
    <w:name w:val="Grid Table 2 - Accent 5"/>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CellMar>
        <w:top w:w="0" w:type="dxa"/>
        <w:left w:w="0" w:type="dxa"/>
        <w:bottom w:w="0" w:type="dxa"/>
        <w:right w:w="0" w:type="dxa"/>
      </w:tblCellMar>
    </w:tblPr>
    <w:tblStylePr w:type="firstRow">
      <w:rPr>
        <w:b/>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rPr>
    </w:tblStylePr>
    <w:tblStylePr w:type="lastCol">
      <w:rPr>
        <w:b/>
      </w:rPr>
    </w:tblStylePr>
    <w:tblStylePr w:type="band1Vert">
      <w:rPr>
        <w:sz w:val="22"/>
      </w:rPr>
      <w:tblPr/>
      <w:tcPr>
        <w:shd w:val="clear" w:color="DAEEF3" w:fill="DAEEF3" w:themeFill="accent5" w:themeFillTint="34"/>
      </w:tcPr>
    </w:tblStylePr>
    <w:tblStylePr w:type="band1Horz">
      <w:rPr>
        <w:sz w:val="22"/>
      </w:rPr>
      <w:tblPr/>
      <w:tcPr>
        <w:shd w:val="clear" w:color="DAEEF3" w:fill="DAEEF3" w:themeFill="accent5" w:themeFillTint="34"/>
      </w:tcPr>
    </w:tblStylePr>
  </w:style>
  <w:style w:type="table" w:customStyle="1" w:styleId="GridTable2-Accent6">
    <w:name w:val="Grid Table 2 - Accent 6"/>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CellMar>
        <w:top w:w="0" w:type="dxa"/>
        <w:left w:w="0" w:type="dxa"/>
        <w:bottom w:w="0" w:type="dxa"/>
        <w:right w:w="0" w:type="dxa"/>
      </w:tblCellMar>
    </w:tblPr>
    <w:tblStylePr w:type="firstRow">
      <w:rPr>
        <w:b/>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rPr>
    </w:tblStylePr>
    <w:tblStylePr w:type="lastCol">
      <w:rPr>
        <w:b/>
      </w:rPr>
    </w:tblStylePr>
    <w:tblStylePr w:type="band1Vert">
      <w:rPr>
        <w:sz w:val="22"/>
      </w:rPr>
      <w:tblPr/>
      <w:tcPr>
        <w:shd w:val="clear" w:color="FDE9D8" w:fill="FDE9D8" w:themeFill="accent6" w:themeFillTint="34"/>
      </w:tcPr>
    </w:tblStylePr>
    <w:tblStylePr w:type="band1Horz">
      <w:rPr>
        <w:sz w:val="22"/>
      </w:rPr>
      <w:tblPr/>
      <w:tcPr>
        <w:shd w:val="clear" w:color="FDE9D8" w:fill="FDE9D8" w:themeFill="accent6" w:themeFillTint="34"/>
      </w:tcPr>
    </w:tblStylePr>
  </w:style>
  <w:style w:type="table" w:styleId="-30">
    <w:name w:val="Grid Table 3"/>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0" w:type="dxa"/>
        <w:bottom w:w="0" w:type="dxa"/>
        <w:right w:w="0" w:type="dxa"/>
      </w:tblCellMar>
    </w:tblPr>
    <w:tblStylePr w:type="fir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sz w:val="22"/>
      </w:rPr>
      <w:tblPr/>
      <w:tcPr>
        <w:shd w:val="clear" w:color="CBCBCB" w:fill="CBCBCB" w:themeFill="text1" w:themeFillTint="34"/>
      </w:tcPr>
    </w:tblStylePr>
    <w:tblStylePr w:type="band1Horz">
      <w:rPr>
        <w:sz w:val="22"/>
      </w:rPr>
      <w:tblPr/>
      <w:tcPr>
        <w:shd w:val="clear" w:color="CBCBCB" w:fill="CBCBCB" w:themeFill="text1" w:themeFillTint="34"/>
      </w:tcPr>
    </w:tblStylePr>
  </w:style>
  <w:style w:type="table" w:customStyle="1" w:styleId="GridTable3-Accent1">
    <w:name w:val="Grid Table 3 - Accent 1"/>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0" w:type="dxa"/>
        <w:bottom w:w="0" w:type="dxa"/>
        <w:right w:w="0" w:type="dxa"/>
      </w:tblCellMar>
    </w:tblPr>
    <w:tblStylePr w:type="fir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sz w:val="22"/>
      </w:rPr>
      <w:tblPr/>
      <w:tcPr>
        <w:shd w:val="clear" w:color="DAE5F1" w:fill="DAE5F1" w:themeFill="accent1" w:themeFillTint="34"/>
      </w:tcPr>
    </w:tblStylePr>
    <w:tblStylePr w:type="band1Horz">
      <w:rPr>
        <w:sz w:val="22"/>
      </w:rPr>
      <w:tblPr/>
      <w:tcPr>
        <w:shd w:val="clear" w:color="DAE5F1" w:fill="DAE5F1" w:themeFill="accent1" w:themeFillTint="34"/>
      </w:tcPr>
    </w:tblStylePr>
  </w:style>
  <w:style w:type="table" w:customStyle="1" w:styleId="GridTable3-Accent2">
    <w:name w:val="Grid Table 3 - Accent 2"/>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0" w:type="dxa"/>
        <w:bottom w:w="0" w:type="dxa"/>
        <w:right w:w="0" w:type="dxa"/>
      </w:tblCellMar>
    </w:tblPr>
    <w:tblStylePr w:type="fir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sz w:val="22"/>
      </w:rPr>
      <w:tblPr/>
      <w:tcPr>
        <w:shd w:val="clear" w:color="F2DCDC" w:fill="F2DCDC" w:themeFill="accent2" w:themeFillTint="32"/>
      </w:tcPr>
    </w:tblStylePr>
    <w:tblStylePr w:type="band1Horz">
      <w:rPr>
        <w:sz w:val="22"/>
      </w:rPr>
      <w:tblPr/>
      <w:tcPr>
        <w:shd w:val="clear" w:color="F2DCDC" w:fill="F2DCDC" w:themeFill="accent2" w:themeFillTint="32"/>
      </w:tcPr>
    </w:tblStylePr>
  </w:style>
  <w:style w:type="table" w:customStyle="1" w:styleId="GridTable3-Accent3">
    <w:name w:val="Grid Table 3 - Accent 3"/>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0" w:type="dxa"/>
        <w:bottom w:w="0" w:type="dxa"/>
        <w:right w:w="0" w:type="dxa"/>
      </w:tblCellMar>
    </w:tblPr>
    <w:tblStylePr w:type="fir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sz w:val="22"/>
      </w:rPr>
      <w:tblPr/>
      <w:tcPr>
        <w:shd w:val="clear" w:color="EAF1DC" w:fill="EAF1DC" w:themeFill="accent3" w:themeFillTint="34"/>
      </w:tcPr>
    </w:tblStylePr>
    <w:tblStylePr w:type="band1Horz">
      <w:rPr>
        <w:sz w:val="22"/>
      </w:rPr>
      <w:tblPr/>
      <w:tcPr>
        <w:shd w:val="clear" w:color="EAF1DC" w:fill="EAF1DC" w:themeFill="accent3" w:themeFillTint="34"/>
      </w:tcPr>
    </w:tblStylePr>
  </w:style>
  <w:style w:type="table" w:customStyle="1" w:styleId="GridTable3-Accent4">
    <w:name w:val="Grid Table 3 - Accent 4"/>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0" w:type="dxa"/>
        <w:bottom w:w="0" w:type="dxa"/>
        <w:right w:w="0" w:type="dxa"/>
      </w:tblCellMar>
    </w:tblPr>
    <w:tblStylePr w:type="fir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sz w:val="22"/>
      </w:rPr>
      <w:tblPr/>
      <w:tcPr>
        <w:shd w:val="clear" w:color="E5DFEC" w:fill="E5DFEC" w:themeFill="accent4" w:themeFillTint="34"/>
      </w:tcPr>
    </w:tblStylePr>
    <w:tblStylePr w:type="band1Horz">
      <w:rPr>
        <w:sz w:val="22"/>
      </w:rPr>
      <w:tblPr/>
      <w:tcPr>
        <w:shd w:val="clear" w:color="E5DFEC" w:fill="E5DFEC" w:themeFill="accent4" w:themeFillTint="34"/>
      </w:tcPr>
    </w:tblStylePr>
  </w:style>
  <w:style w:type="table" w:customStyle="1" w:styleId="GridTable3-Accent5">
    <w:name w:val="Grid Table 3 - Accent 5"/>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CellMar>
        <w:top w:w="0" w:type="dxa"/>
        <w:left w:w="0" w:type="dxa"/>
        <w:bottom w:w="0" w:type="dxa"/>
        <w:right w:w="0" w:type="dxa"/>
      </w:tblCellMar>
    </w:tblPr>
    <w:tblStylePr w:type="fir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sz w:val="22"/>
      </w:rPr>
      <w:tblPr/>
      <w:tcPr>
        <w:shd w:val="clear" w:color="DAEEF3" w:fill="DAEEF3" w:themeFill="accent5" w:themeFillTint="34"/>
      </w:tcPr>
    </w:tblStylePr>
    <w:tblStylePr w:type="band1Horz">
      <w:rPr>
        <w:sz w:val="22"/>
      </w:rPr>
      <w:tblPr/>
      <w:tcPr>
        <w:shd w:val="clear" w:color="DAEEF3" w:fill="DAEEF3" w:themeFill="accent5" w:themeFillTint="34"/>
      </w:tcPr>
    </w:tblStylePr>
  </w:style>
  <w:style w:type="table" w:customStyle="1" w:styleId="GridTable3-Accent6">
    <w:name w:val="Grid Table 3 - Accent 6"/>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CellMar>
        <w:top w:w="0" w:type="dxa"/>
        <w:left w:w="0" w:type="dxa"/>
        <w:bottom w:w="0" w:type="dxa"/>
        <w:right w:w="0" w:type="dxa"/>
      </w:tblCellMar>
    </w:tblPr>
    <w:tblStylePr w:type="fir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sz w:val="22"/>
      </w:rPr>
      <w:tblPr/>
      <w:tcPr>
        <w:shd w:val="clear" w:color="FDE9D8" w:fill="FDE9D8" w:themeFill="accent6" w:themeFillTint="34"/>
      </w:tcPr>
    </w:tblStylePr>
    <w:tblStylePr w:type="band1Horz">
      <w:rPr>
        <w:sz w:val="22"/>
      </w:rPr>
      <w:tblPr/>
      <w:tcPr>
        <w:shd w:val="clear" w:color="FDE9D8" w:fill="FDE9D8" w:themeFill="accent6" w:themeFillTint="34"/>
      </w:tcPr>
    </w:tblStylePr>
  </w:style>
  <w:style w:type="table" w:styleId="-40">
    <w:name w:val="Grid Table 4"/>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0" w:type="dxa"/>
        <w:bottom w:w="0" w:type="dxa"/>
        <w:right w:w="0" w:type="dxa"/>
      </w:tblCellMar>
    </w:tblPr>
    <w:tblStylePr w:type="firstRow">
      <w:rPr>
        <w:b/>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fill="000000" w:themeFill="text1"/>
      </w:tcPr>
    </w:tblStylePr>
    <w:tblStylePr w:type="lastRow">
      <w:rPr>
        <w:b/>
      </w:rPr>
      <w:tblPr/>
      <w:tcPr>
        <w:tcBorders>
          <w:top w:val="single" w:sz="4" w:space="0" w:color="000000" w:themeColor="text1"/>
        </w:tcBorders>
      </w:tcPr>
    </w:tblStylePr>
    <w:tblStylePr w:type="firstCol">
      <w:rPr>
        <w:b/>
      </w:rPr>
    </w:tblStylePr>
    <w:tblStylePr w:type="lastCol">
      <w:rPr>
        <w:b/>
      </w:rPr>
    </w:tblStylePr>
    <w:tblStylePr w:type="band1Vert">
      <w:rPr>
        <w:sz w:val="22"/>
      </w:rPr>
      <w:tblPr/>
      <w:tcPr>
        <w:shd w:val="clear" w:color="CBCBCB" w:fill="CBCBCB" w:themeFill="text1" w:themeFillTint="34"/>
      </w:tcPr>
    </w:tblStylePr>
    <w:tblStylePr w:type="band1Horz">
      <w:rPr>
        <w:sz w:val="22"/>
      </w:rPr>
      <w:tblPr/>
      <w:tcPr>
        <w:shd w:val="clear" w:color="CBCBCB" w:fill="CBCBCB" w:themeFill="text1" w:themeFillTint="34"/>
      </w:tcPr>
    </w:tblStylePr>
  </w:style>
  <w:style w:type="table" w:customStyle="1" w:styleId="GridTable4-Accent1">
    <w:name w:val="Grid Table 4 - Accent 1"/>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CellMar>
        <w:top w:w="0" w:type="dxa"/>
        <w:left w:w="0" w:type="dxa"/>
        <w:bottom w:w="0" w:type="dxa"/>
        <w:right w:w="0" w:type="dxa"/>
      </w:tblCellMar>
    </w:tblPr>
    <w:tblStylePr w:type="firstRow">
      <w:rPr>
        <w:b/>
        <w:sz w:val="22"/>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5D8AC2" w:fill="5D8AC2" w:themeFill="accent1" w:themeFillTint="EA"/>
      </w:tcPr>
    </w:tblStylePr>
    <w:tblStylePr w:type="lastRow">
      <w:rPr>
        <w:b/>
      </w:rPr>
      <w:tblPr/>
      <w:tcPr>
        <w:tcBorders>
          <w:top w:val="single" w:sz="4" w:space="0" w:color="4F81BD" w:themeColor="accent1"/>
        </w:tcBorders>
      </w:tcPr>
    </w:tblStylePr>
    <w:tblStylePr w:type="firstCol">
      <w:rPr>
        <w:b/>
      </w:rPr>
    </w:tblStylePr>
    <w:tblStylePr w:type="lastCol">
      <w:rPr>
        <w:b/>
      </w:rPr>
    </w:tblStylePr>
    <w:tblStylePr w:type="band1Vert">
      <w:rPr>
        <w:sz w:val="22"/>
      </w:rPr>
      <w:tblPr/>
      <w:tcPr>
        <w:shd w:val="clear" w:color="DCE6F2" w:fill="DCE6F2" w:themeFill="accent1" w:themeFillTint="32"/>
      </w:tcPr>
    </w:tblStylePr>
    <w:tblStylePr w:type="band1Horz">
      <w:rPr>
        <w:sz w:val="22"/>
      </w:rPr>
      <w:tblPr/>
      <w:tcPr>
        <w:shd w:val="clear" w:color="DCE6F2" w:fill="DCE6F2" w:themeFill="accent1" w:themeFillTint="32"/>
      </w:tcPr>
    </w:tblStylePr>
  </w:style>
  <w:style w:type="table" w:customStyle="1" w:styleId="GridTable4-Accent2">
    <w:name w:val="Grid Table 4 - Accent 2"/>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CellMar>
        <w:top w:w="0" w:type="dxa"/>
        <w:left w:w="0" w:type="dxa"/>
        <w:bottom w:w="0" w:type="dxa"/>
        <w:right w:w="0" w:type="dxa"/>
      </w:tblCellMar>
    </w:tblPr>
    <w:tblStylePr w:type="firstRow">
      <w:rPr>
        <w:b/>
        <w:sz w:val="22"/>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tcBorders>
        <w:shd w:val="clear" w:color="D99695" w:fill="D99695" w:themeFill="accent2" w:themeFillTint="97"/>
      </w:tcPr>
    </w:tblStylePr>
    <w:tblStylePr w:type="lastRow">
      <w:rPr>
        <w:b/>
      </w:rPr>
      <w:tblPr/>
      <w:tcPr>
        <w:tcBorders>
          <w:top w:val="single" w:sz="4" w:space="0" w:color="C0504D" w:themeColor="accent2"/>
        </w:tcBorders>
      </w:tcPr>
    </w:tblStylePr>
    <w:tblStylePr w:type="firstCol">
      <w:rPr>
        <w:b/>
      </w:rPr>
    </w:tblStylePr>
    <w:tblStylePr w:type="lastCol">
      <w:rPr>
        <w:b/>
      </w:rPr>
    </w:tblStylePr>
    <w:tblStylePr w:type="band1Vert">
      <w:rPr>
        <w:sz w:val="22"/>
      </w:rPr>
      <w:tblPr/>
      <w:tcPr>
        <w:shd w:val="clear" w:color="F2DCDC" w:fill="F2DCDC" w:themeFill="accent2" w:themeFillTint="32"/>
      </w:tcPr>
    </w:tblStylePr>
    <w:tblStylePr w:type="band1Horz">
      <w:rPr>
        <w:sz w:val="22"/>
      </w:rPr>
      <w:tblPr/>
      <w:tcPr>
        <w:shd w:val="clear" w:color="F2DCDC" w:fill="F2DCDC" w:themeFill="accent2" w:themeFillTint="32"/>
      </w:tcPr>
    </w:tblStylePr>
  </w:style>
  <w:style w:type="table" w:customStyle="1" w:styleId="GridTable4-Accent3">
    <w:name w:val="Grid Table 4 - Accent 3"/>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CellMar>
        <w:top w:w="0" w:type="dxa"/>
        <w:left w:w="0" w:type="dxa"/>
        <w:bottom w:w="0" w:type="dxa"/>
        <w:right w:w="0" w:type="dxa"/>
      </w:tblCellMar>
    </w:tblPr>
    <w:tblStylePr w:type="firstRow">
      <w:rPr>
        <w:b/>
        <w:sz w:val="22"/>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tcBorders>
        <w:shd w:val="clear" w:color="9ABB59" w:fill="9ABB59" w:themeFill="accent3" w:themeFillTint="FE"/>
      </w:tcPr>
    </w:tblStylePr>
    <w:tblStylePr w:type="lastRow">
      <w:rPr>
        <w:b/>
      </w:rPr>
      <w:tblPr/>
      <w:tcPr>
        <w:tcBorders>
          <w:top w:val="single" w:sz="4" w:space="0" w:color="9BBB59" w:themeColor="accent3"/>
        </w:tcBorders>
      </w:tcPr>
    </w:tblStylePr>
    <w:tblStylePr w:type="firstCol">
      <w:rPr>
        <w:b/>
      </w:rPr>
    </w:tblStylePr>
    <w:tblStylePr w:type="lastCol">
      <w:rPr>
        <w:b/>
      </w:rPr>
    </w:tblStylePr>
    <w:tblStylePr w:type="band1Vert">
      <w:rPr>
        <w:sz w:val="22"/>
      </w:rPr>
      <w:tblPr/>
      <w:tcPr>
        <w:shd w:val="clear" w:color="EAF1DC" w:fill="EAF1DC" w:themeFill="accent3" w:themeFillTint="34"/>
      </w:tcPr>
    </w:tblStylePr>
    <w:tblStylePr w:type="band1Horz">
      <w:rPr>
        <w:sz w:val="22"/>
      </w:rPr>
      <w:tblPr/>
      <w:tcPr>
        <w:shd w:val="clear" w:color="EAF1DC" w:fill="EAF1DC" w:themeFill="accent3" w:themeFillTint="34"/>
      </w:tcPr>
    </w:tblStylePr>
  </w:style>
  <w:style w:type="table" w:customStyle="1" w:styleId="GridTable4-Accent4">
    <w:name w:val="Grid Table 4 - Accent 4"/>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CellMar>
        <w:top w:w="0" w:type="dxa"/>
        <w:left w:w="0" w:type="dxa"/>
        <w:bottom w:w="0" w:type="dxa"/>
        <w:right w:w="0" w:type="dxa"/>
      </w:tblCellMar>
    </w:tblPr>
    <w:tblStylePr w:type="firstRow">
      <w:rPr>
        <w:b/>
        <w:sz w:val="22"/>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tcBorders>
        <w:shd w:val="clear" w:color="B2A1C6" w:fill="B2A1C6" w:themeFill="accent4" w:themeFillTint="9A"/>
      </w:tcPr>
    </w:tblStylePr>
    <w:tblStylePr w:type="lastRow">
      <w:rPr>
        <w:b/>
      </w:rPr>
      <w:tblPr/>
      <w:tcPr>
        <w:tcBorders>
          <w:top w:val="single" w:sz="4" w:space="0" w:color="8064A2" w:themeColor="accent4"/>
        </w:tcBorders>
      </w:tcPr>
    </w:tblStylePr>
    <w:tblStylePr w:type="firstCol">
      <w:rPr>
        <w:b/>
      </w:rPr>
    </w:tblStylePr>
    <w:tblStylePr w:type="lastCol">
      <w:rPr>
        <w:b/>
      </w:rPr>
    </w:tblStylePr>
    <w:tblStylePr w:type="band1Vert">
      <w:rPr>
        <w:sz w:val="22"/>
      </w:rPr>
      <w:tblPr/>
      <w:tcPr>
        <w:shd w:val="clear" w:color="E5DFEC" w:fill="E5DFEC" w:themeFill="accent4" w:themeFillTint="34"/>
      </w:tcPr>
    </w:tblStylePr>
    <w:tblStylePr w:type="band1Horz">
      <w:rPr>
        <w:sz w:val="22"/>
      </w:rPr>
      <w:tblPr/>
      <w:tcPr>
        <w:shd w:val="clear" w:color="E5DFEC" w:fill="E5DFEC" w:themeFill="accent4" w:themeFillTint="34"/>
      </w:tcPr>
    </w:tblStylePr>
  </w:style>
  <w:style w:type="table" w:customStyle="1" w:styleId="GridTable4-Accent5">
    <w:name w:val="Grid Table 4 - Accent 5"/>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0" w:type="dxa"/>
        <w:bottom w:w="0" w:type="dxa"/>
        <w:right w:w="0" w:type="dxa"/>
      </w:tblCellMar>
    </w:tblPr>
    <w:tblStylePr w:type="firstRow">
      <w:rPr>
        <w:b/>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fill="4BACC6" w:themeFill="accent5"/>
      </w:tcPr>
    </w:tblStylePr>
    <w:tblStylePr w:type="lastRow">
      <w:rPr>
        <w:b/>
      </w:rPr>
      <w:tblPr/>
      <w:tcPr>
        <w:tcBorders>
          <w:top w:val="single" w:sz="4" w:space="0" w:color="4BACC6" w:themeColor="accent5"/>
        </w:tcBorders>
      </w:tcPr>
    </w:tblStylePr>
    <w:tblStylePr w:type="firstCol">
      <w:rPr>
        <w:b/>
      </w:rPr>
    </w:tblStylePr>
    <w:tblStylePr w:type="lastCol">
      <w:rPr>
        <w:b/>
      </w:rPr>
    </w:tblStylePr>
    <w:tblStylePr w:type="band1Vert">
      <w:rPr>
        <w:sz w:val="22"/>
      </w:rPr>
      <w:tblPr/>
      <w:tcPr>
        <w:shd w:val="clear" w:color="DAEEF3" w:fill="DAEEF3" w:themeFill="accent5" w:themeFillTint="34"/>
      </w:tcPr>
    </w:tblStylePr>
    <w:tblStylePr w:type="band1Horz">
      <w:rPr>
        <w:sz w:val="22"/>
      </w:rPr>
      <w:tblPr/>
      <w:tcPr>
        <w:shd w:val="clear" w:color="DAEEF3" w:fill="DAEEF3" w:themeFill="accent5" w:themeFillTint="34"/>
      </w:tcPr>
    </w:tblStylePr>
  </w:style>
  <w:style w:type="table" w:customStyle="1" w:styleId="GridTable4-Accent6">
    <w:name w:val="Grid Table 4 - Accent 6"/>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0" w:type="dxa"/>
        <w:bottom w:w="0" w:type="dxa"/>
        <w:right w:w="0" w:type="dxa"/>
      </w:tblCellMar>
    </w:tblPr>
    <w:tblStylePr w:type="firstRow">
      <w:rPr>
        <w:b/>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fill="F79646" w:themeFill="accent6"/>
      </w:tcPr>
    </w:tblStylePr>
    <w:tblStylePr w:type="lastRow">
      <w:rPr>
        <w:b/>
      </w:rPr>
      <w:tblPr/>
      <w:tcPr>
        <w:tcBorders>
          <w:top w:val="single" w:sz="4" w:space="0" w:color="F79646" w:themeColor="accent6"/>
        </w:tcBorders>
      </w:tcPr>
    </w:tblStylePr>
    <w:tblStylePr w:type="firstCol">
      <w:rPr>
        <w:b/>
      </w:rPr>
    </w:tblStylePr>
    <w:tblStylePr w:type="lastCol">
      <w:rPr>
        <w:b/>
      </w:rPr>
    </w:tblStylePr>
    <w:tblStylePr w:type="band1Vert">
      <w:rPr>
        <w:sz w:val="22"/>
      </w:rPr>
      <w:tblPr/>
      <w:tcPr>
        <w:shd w:val="clear" w:color="FDE9D8" w:fill="FDE9D8" w:themeFill="accent6" w:themeFillTint="34"/>
      </w:tcPr>
    </w:tblStylePr>
    <w:tblStylePr w:type="band1Horz">
      <w:rPr>
        <w:sz w:val="22"/>
      </w:rPr>
      <w:tblPr/>
      <w:tcPr>
        <w:shd w:val="clear" w:color="FDE9D8" w:fill="FDE9D8" w:themeFill="accent6" w:themeFillTint="34"/>
      </w:tcPr>
    </w:tblStylePr>
  </w:style>
  <w:style w:type="table" w:styleId="-50">
    <w:name w:val="Grid Table 5 Dark"/>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0" w:type="dxa"/>
        <w:bottom w:w="0" w:type="dxa"/>
        <w:right w:w="0" w:type="dxa"/>
      </w:tblCellMar>
    </w:tblPr>
    <w:tblStylePr w:type="firstRow">
      <w:rPr>
        <w:b/>
        <w:sz w:val="22"/>
      </w:rPr>
      <w:tblPr/>
      <w:tcPr>
        <w:shd w:val="clear" w:color="000000" w:fill="000000" w:themeFill="text1"/>
      </w:tcPr>
    </w:tblStylePr>
    <w:tblStylePr w:type="lastRow">
      <w:rPr>
        <w:b/>
        <w:sz w:val="22"/>
      </w:rPr>
      <w:tblPr/>
      <w:tcPr>
        <w:tcBorders>
          <w:top w:val="single" w:sz="4" w:space="0" w:color="FFFFFF" w:themeColor="light1"/>
        </w:tcBorders>
        <w:shd w:val="clear" w:color="000000" w:fill="000000" w:themeFill="text1"/>
      </w:tcPr>
    </w:tblStylePr>
    <w:tblStylePr w:type="firstCol">
      <w:rPr>
        <w:b/>
        <w:sz w:val="22"/>
      </w:rPr>
      <w:tblPr/>
      <w:tcPr>
        <w:shd w:val="clear" w:color="000000" w:fill="000000" w:themeFill="text1"/>
      </w:tcPr>
    </w:tblStylePr>
    <w:tblStylePr w:type="lastCol">
      <w:rPr>
        <w:b/>
        <w:sz w:val="22"/>
      </w:rPr>
      <w:tblPr/>
      <w:tcPr>
        <w:shd w:val="clear" w:color="000000" w:fill="000000" w:themeFill="text1"/>
      </w:tcPr>
    </w:tblStylePr>
    <w:tblStylePr w:type="band1Vert">
      <w:tblPr/>
      <w:tcPr>
        <w:shd w:val="clear" w:color="8A8A8A" w:fill="8A8A8A" w:themeFill="text1" w:themeFillTint="75"/>
      </w:tcPr>
    </w:tblStylePr>
    <w:tblStylePr w:type="band1Horz">
      <w:tblPr/>
      <w:tcPr>
        <w:shd w:val="clear" w:color="8A8A8A" w:fill="8A8A8A" w:themeFill="text1" w:themeFillTint="75"/>
      </w:tcPr>
    </w:tblStylePr>
  </w:style>
  <w:style w:type="table" w:customStyle="1" w:styleId="GridTable5Dark-Accent1">
    <w:name w:val="Grid Table 5 Dark- Accent 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0" w:type="dxa"/>
        <w:bottom w:w="0" w:type="dxa"/>
        <w:right w:w="0" w:type="dxa"/>
      </w:tblCellMar>
    </w:tblPr>
    <w:tblStylePr w:type="firstRow">
      <w:rPr>
        <w:b/>
        <w:sz w:val="22"/>
      </w:rPr>
      <w:tblPr/>
      <w:tcPr>
        <w:shd w:val="clear" w:color="4F81BD" w:fill="4F81BD" w:themeFill="accent1"/>
      </w:tcPr>
    </w:tblStylePr>
    <w:tblStylePr w:type="lastRow">
      <w:rPr>
        <w:b/>
        <w:sz w:val="22"/>
      </w:rPr>
      <w:tblPr/>
      <w:tcPr>
        <w:tcBorders>
          <w:top w:val="single" w:sz="4" w:space="0" w:color="FFFFFF" w:themeColor="light1"/>
        </w:tcBorders>
        <w:shd w:val="clear" w:color="4F81BD" w:fill="4F81BD" w:themeFill="accent1"/>
      </w:tcPr>
    </w:tblStylePr>
    <w:tblStylePr w:type="firstCol">
      <w:rPr>
        <w:b/>
        <w:sz w:val="22"/>
      </w:rPr>
      <w:tblPr/>
      <w:tcPr>
        <w:shd w:val="clear" w:color="4F81BD" w:fill="4F81BD" w:themeFill="accent1"/>
      </w:tcPr>
    </w:tblStylePr>
    <w:tblStylePr w:type="lastCol">
      <w:rPr>
        <w:b/>
        <w:sz w:val="22"/>
      </w:rPr>
      <w:tblPr/>
      <w:tcPr>
        <w:shd w:val="clear" w:color="4F81BD" w:fill="4F81BD" w:themeFill="accent1"/>
      </w:tcPr>
    </w:tblStylePr>
    <w:tblStylePr w:type="band1Vert">
      <w:tblPr/>
      <w:tcPr>
        <w:shd w:val="clear" w:color="AEC4E0" w:fill="AEC4E0" w:themeFill="accent1" w:themeFillTint="75"/>
      </w:tcPr>
    </w:tblStylePr>
    <w:tblStylePr w:type="band1Horz">
      <w:tblPr/>
      <w:tcPr>
        <w:shd w:val="clear" w:color="AEC4E0" w:fill="AEC4E0" w:themeFill="accent1" w:themeFillTint="75"/>
      </w:tcPr>
    </w:tblStylePr>
  </w:style>
  <w:style w:type="table" w:customStyle="1" w:styleId="GridTable5Dark-Accent2">
    <w:name w:val="Grid Table 5 Dark - Accent 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0" w:type="dxa"/>
        <w:bottom w:w="0" w:type="dxa"/>
        <w:right w:w="0" w:type="dxa"/>
      </w:tblCellMar>
    </w:tblPr>
    <w:tblStylePr w:type="firstRow">
      <w:rPr>
        <w:b/>
        <w:sz w:val="22"/>
      </w:rPr>
      <w:tblPr/>
      <w:tcPr>
        <w:shd w:val="clear" w:color="C0504D" w:fill="C0504D" w:themeFill="accent2"/>
      </w:tcPr>
    </w:tblStylePr>
    <w:tblStylePr w:type="lastRow">
      <w:rPr>
        <w:b/>
        <w:sz w:val="22"/>
      </w:rPr>
      <w:tblPr/>
      <w:tcPr>
        <w:tcBorders>
          <w:top w:val="single" w:sz="4" w:space="0" w:color="FFFFFF" w:themeColor="light1"/>
        </w:tcBorders>
        <w:shd w:val="clear" w:color="C0504D" w:fill="C0504D" w:themeFill="accent2"/>
      </w:tcPr>
    </w:tblStylePr>
    <w:tblStylePr w:type="firstCol">
      <w:rPr>
        <w:b/>
        <w:sz w:val="22"/>
      </w:rPr>
      <w:tblPr/>
      <w:tcPr>
        <w:shd w:val="clear" w:color="C0504D" w:fill="C0504D" w:themeFill="accent2"/>
      </w:tcPr>
    </w:tblStylePr>
    <w:tblStylePr w:type="lastCol">
      <w:rPr>
        <w:b/>
        <w:sz w:val="22"/>
      </w:rPr>
      <w:tblPr/>
      <w:tcPr>
        <w:shd w:val="clear" w:color="C0504D" w:fill="C0504D" w:themeFill="accent2"/>
      </w:tcPr>
    </w:tblStylePr>
    <w:tblStylePr w:type="band1Vert">
      <w:tblPr/>
      <w:tcPr>
        <w:shd w:val="clear" w:color="E2AEAD" w:fill="E2AEAD" w:themeFill="accent2" w:themeFillTint="75"/>
      </w:tcPr>
    </w:tblStylePr>
    <w:tblStylePr w:type="band1Horz">
      <w:tblPr/>
      <w:tcPr>
        <w:shd w:val="clear" w:color="E2AEAD" w:fill="E2AEAD" w:themeFill="accent2" w:themeFillTint="75"/>
      </w:tcPr>
    </w:tblStylePr>
  </w:style>
  <w:style w:type="table" w:customStyle="1" w:styleId="GridTable5Dark-Accent3">
    <w:name w:val="Grid Table 5 Dark - Accent 3"/>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0" w:type="dxa"/>
        <w:bottom w:w="0" w:type="dxa"/>
        <w:right w:w="0" w:type="dxa"/>
      </w:tblCellMar>
    </w:tblPr>
    <w:tblStylePr w:type="firstRow">
      <w:rPr>
        <w:b/>
        <w:sz w:val="22"/>
      </w:rPr>
      <w:tblPr/>
      <w:tcPr>
        <w:shd w:val="clear" w:color="9BBB59" w:fill="9BBB59" w:themeFill="accent3"/>
      </w:tcPr>
    </w:tblStylePr>
    <w:tblStylePr w:type="lastRow">
      <w:rPr>
        <w:b/>
        <w:sz w:val="22"/>
      </w:rPr>
      <w:tblPr/>
      <w:tcPr>
        <w:tcBorders>
          <w:top w:val="single" w:sz="4" w:space="0" w:color="FFFFFF" w:themeColor="light1"/>
        </w:tcBorders>
        <w:shd w:val="clear" w:color="9BBB59" w:fill="9BBB59" w:themeFill="accent3"/>
      </w:tcPr>
    </w:tblStylePr>
    <w:tblStylePr w:type="firstCol">
      <w:rPr>
        <w:b/>
        <w:sz w:val="22"/>
      </w:rPr>
      <w:tblPr/>
      <w:tcPr>
        <w:shd w:val="clear" w:color="9BBB59" w:fill="9BBB59" w:themeFill="accent3"/>
      </w:tcPr>
    </w:tblStylePr>
    <w:tblStylePr w:type="lastCol">
      <w:rPr>
        <w:b/>
        <w:sz w:val="22"/>
      </w:rPr>
      <w:tblPr/>
      <w:tcPr>
        <w:shd w:val="clear" w:color="9BBB59" w:fill="9BBB59" w:themeFill="accent3"/>
      </w:tcPr>
    </w:tblStylePr>
    <w:tblStylePr w:type="band1Vert">
      <w:tblPr/>
      <w:tcPr>
        <w:shd w:val="clear" w:color="D0DFB2" w:fill="D0DFB2" w:themeFill="accent3" w:themeFillTint="75"/>
      </w:tcPr>
    </w:tblStylePr>
    <w:tblStylePr w:type="band1Horz">
      <w:tblPr/>
      <w:tcPr>
        <w:shd w:val="clear" w:color="D0DFB2" w:fill="D0DFB2" w:themeFill="accent3" w:themeFillTint="75"/>
      </w:tcPr>
    </w:tblStylePr>
  </w:style>
  <w:style w:type="table" w:customStyle="1" w:styleId="GridTable5Dark-Accent4">
    <w:name w:val="Grid Table 5 Dark- Accent 4"/>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0" w:type="dxa"/>
        <w:bottom w:w="0" w:type="dxa"/>
        <w:right w:w="0" w:type="dxa"/>
      </w:tblCellMar>
    </w:tblPr>
    <w:tblStylePr w:type="firstRow">
      <w:rPr>
        <w:b/>
        <w:sz w:val="22"/>
      </w:rPr>
      <w:tblPr/>
      <w:tcPr>
        <w:shd w:val="clear" w:color="8064A2" w:fill="8064A2" w:themeFill="accent4"/>
      </w:tcPr>
    </w:tblStylePr>
    <w:tblStylePr w:type="lastRow">
      <w:rPr>
        <w:b/>
        <w:sz w:val="22"/>
      </w:rPr>
      <w:tblPr/>
      <w:tcPr>
        <w:tcBorders>
          <w:top w:val="single" w:sz="4" w:space="0" w:color="FFFFFF" w:themeColor="light1"/>
        </w:tcBorders>
        <w:shd w:val="clear" w:color="8064A2" w:fill="8064A2" w:themeFill="accent4"/>
      </w:tcPr>
    </w:tblStylePr>
    <w:tblStylePr w:type="firstCol">
      <w:rPr>
        <w:b/>
        <w:sz w:val="22"/>
      </w:rPr>
      <w:tblPr/>
      <w:tcPr>
        <w:shd w:val="clear" w:color="8064A2" w:fill="8064A2" w:themeFill="accent4"/>
      </w:tcPr>
    </w:tblStylePr>
    <w:tblStylePr w:type="lastCol">
      <w:rPr>
        <w:b/>
        <w:sz w:val="22"/>
      </w:rPr>
      <w:tblPr/>
      <w:tcPr>
        <w:shd w:val="clear" w:color="8064A2" w:fill="8064A2" w:themeFill="accent4"/>
      </w:tcPr>
    </w:tblStylePr>
    <w:tblStylePr w:type="band1Vert">
      <w:tblPr/>
      <w:tcPr>
        <w:shd w:val="clear" w:color="C4B7D4" w:fill="C4B7D4" w:themeFill="accent4" w:themeFillTint="75"/>
      </w:tcPr>
    </w:tblStylePr>
    <w:tblStylePr w:type="band1Horz">
      <w:tblPr/>
      <w:tcPr>
        <w:shd w:val="clear" w:color="C4B7D4" w:fill="C4B7D4" w:themeFill="accent4" w:themeFillTint="75"/>
      </w:tcPr>
    </w:tblStylePr>
  </w:style>
  <w:style w:type="table" w:customStyle="1" w:styleId="GridTable5Dark-Accent5">
    <w:name w:val="Grid Table 5 Dark - Accent 5"/>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0" w:type="dxa"/>
        <w:bottom w:w="0" w:type="dxa"/>
        <w:right w:w="0" w:type="dxa"/>
      </w:tblCellMar>
    </w:tblPr>
    <w:tblStylePr w:type="firstRow">
      <w:rPr>
        <w:b/>
        <w:sz w:val="22"/>
      </w:rPr>
      <w:tblPr/>
      <w:tcPr>
        <w:shd w:val="clear" w:color="4BACC6" w:fill="4BACC6" w:themeFill="accent5"/>
      </w:tcPr>
    </w:tblStylePr>
    <w:tblStylePr w:type="lastRow">
      <w:rPr>
        <w:b/>
        <w:sz w:val="22"/>
      </w:rPr>
      <w:tblPr/>
      <w:tcPr>
        <w:tcBorders>
          <w:top w:val="single" w:sz="4" w:space="0" w:color="FFFFFF" w:themeColor="light1"/>
        </w:tcBorders>
        <w:shd w:val="clear" w:color="4BACC6" w:fill="4BACC6" w:themeFill="accent5"/>
      </w:tcPr>
    </w:tblStylePr>
    <w:tblStylePr w:type="firstCol">
      <w:rPr>
        <w:b/>
        <w:sz w:val="22"/>
      </w:rPr>
      <w:tblPr/>
      <w:tcPr>
        <w:shd w:val="clear" w:color="4BACC6" w:fill="4BACC6" w:themeFill="accent5"/>
      </w:tcPr>
    </w:tblStylePr>
    <w:tblStylePr w:type="lastCol">
      <w:rPr>
        <w:b/>
        <w:sz w:val="22"/>
      </w:rPr>
      <w:tblPr/>
      <w:tcPr>
        <w:shd w:val="clear" w:color="4BACC6" w:fill="4BACC6" w:themeFill="accent5"/>
      </w:tcPr>
    </w:tblStylePr>
    <w:tblStylePr w:type="band1Vert">
      <w:tblPr/>
      <w:tcPr>
        <w:shd w:val="clear" w:color="ACD8E4" w:fill="ACD8E4" w:themeFill="accent5" w:themeFillTint="75"/>
      </w:tcPr>
    </w:tblStylePr>
    <w:tblStylePr w:type="band1Horz">
      <w:tblPr/>
      <w:tcPr>
        <w:shd w:val="clear" w:color="ACD8E4" w:fill="ACD8E4" w:themeFill="accent5" w:themeFillTint="75"/>
      </w:tcPr>
    </w:tblStylePr>
  </w:style>
  <w:style w:type="table" w:customStyle="1" w:styleId="GridTable5Dark-Accent6">
    <w:name w:val="Grid Table 5 Dark - Accent 6"/>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0" w:type="dxa"/>
        <w:bottom w:w="0" w:type="dxa"/>
        <w:right w:w="0" w:type="dxa"/>
      </w:tblCellMar>
    </w:tblPr>
    <w:tblStylePr w:type="firstRow">
      <w:rPr>
        <w:b/>
        <w:sz w:val="22"/>
      </w:rPr>
      <w:tblPr/>
      <w:tcPr>
        <w:shd w:val="clear" w:color="F79646" w:fill="F79646" w:themeFill="accent6"/>
      </w:tcPr>
    </w:tblStylePr>
    <w:tblStylePr w:type="lastRow">
      <w:rPr>
        <w:b/>
        <w:sz w:val="22"/>
      </w:rPr>
      <w:tblPr/>
      <w:tcPr>
        <w:tcBorders>
          <w:top w:val="single" w:sz="4" w:space="0" w:color="FFFFFF" w:themeColor="light1"/>
        </w:tcBorders>
        <w:shd w:val="clear" w:color="F79646" w:fill="F79646" w:themeFill="accent6"/>
      </w:tcPr>
    </w:tblStylePr>
    <w:tblStylePr w:type="firstCol">
      <w:rPr>
        <w:b/>
        <w:sz w:val="22"/>
      </w:rPr>
      <w:tblPr/>
      <w:tcPr>
        <w:shd w:val="clear" w:color="F79646" w:fill="F79646" w:themeFill="accent6"/>
      </w:tcPr>
    </w:tblStylePr>
    <w:tblStylePr w:type="lastCol">
      <w:rPr>
        <w:b/>
        <w:sz w:val="22"/>
      </w:rPr>
      <w:tblPr/>
      <w:tcPr>
        <w:shd w:val="clear" w:color="F79646" w:fill="F79646" w:themeFill="accent6"/>
      </w:tcPr>
    </w:tblStylePr>
    <w:tblStylePr w:type="band1Vert">
      <w:tblPr/>
      <w:tcPr>
        <w:shd w:val="clear" w:color="FBCEAA" w:fill="FBCEAA" w:themeFill="accent6" w:themeFillTint="75"/>
      </w:tcPr>
    </w:tblStylePr>
    <w:tblStylePr w:type="band1Horz">
      <w:tblPr/>
      <w:tcPr>
        <w:shd w:val="clear" w:color="FBCEAA" w:fill="FBCEAA" w:themeFill="accent6" w:themeFillTint="75"/>
      </w:tcPr>
    </w:tblStylePr>
  </w:style>
  <w:style w:type="table" w:styleId="-60">
    <w:name w:val="Grid Table 6 Colorfu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0" w:type="dxa"/>
        <w:bottom w:w="0" w:type="dxa"/>
        <w:right w:w="0" w:type="dxa"/>
      </w:tblCellMar>
    </w:tblPr>
    <w:tblStylePr w:type="firstRow">
      <w:rPr>
        <w:b/>
        <w:color w:val="7F7F7F" w:themeColor="text1" w:themeTint="80" w:themeShade="95"/>
      </w:rPr>
      <w:tblPr/>
      <w:tcPr>
        <w:tcBorders>
          <w:bottom w:val="single" w:sz="12" w:space="0" w:color="000000" w:themeColor="text1"/>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fill="CBCBCB" w:themeFill="text1" w:themeFillTint="34"/>
      </w:tcPr>
    </w:tblStylePr>
    <w:tblStylePr w:type="band1Horz">
      <w:rPr>
        <w:color w:val="7F7F7F" w:themeColor="text1" w:themeTint="80" w:themeShade="95"/>
        <w:sz w:val="22"/>
      </w:rPr>
      <w:tblPr/>
      <w:tcPr>
        <w:shd w:val="clear" w:color="CBCBCB" w:fill="CBCBCB" w:themeFill="text1" w:themeFillTint="34"/>
      </w:tcPr>
    </w:tblStylePr>
    <w:tblStylePr w:type="band2Horz">
      <w:rPr>
        <w:color w:val="7F7F7F" w:themeColor="text1" w:themeTint="80" w:themeShade="95"/>
        <w:sz w:val="22"/>
      </w:rPr>
    </w:tblStylePr>
  </w:style>
  <w:style w:type="table" w:customStyle="1" w:styleId="GridTable6Colorful-Accent1">
    <w:name w:val="Grid Table 6 Colorful - Accent 1"/>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0" w:type="dxa"/>
        <w:bottom w:w="0" w:type="dxa"/>
        <w:right w:w="0" w:type="dxa"/>
      </w:tblCellMar>
    </w:tblPr>
    <w:tblStylePr w:type="firstRow">
      <w:rPr>
        <w:b/>
        <w:color w:val="A6BFDD" w:themeColor="accent1" w:themeTint="80" w:themeShade="95"/>
      </w:rPr>
      <w:tblPr/>
      <w:tcPr>
        <w:tcBorders>
          <w:bottom w:val="single" w:sz="12" w:space="0" w:color="4F81BD" w:themeColor="accent1"/>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fill="DAE5F1" w:themeFill="accent1" w:themeFillTint="34"/>
      </w:tcPr>
    </w:tblStylePr>
    <w:tblStylePr w:type="band1Horz">
      <w:rPr>
        <w:color w:val="A6BFDD" w:themeColor="accent1" w:themeTint="80" w:themeShade="95"/>
        <w:sz w:val="22"/>
      </w:rPr>
      <w:tblPr/>
      <w:tcPr>
        <w:shd w:val="clear" w:color="DAE5F1" w:fill="DAE5F1" w:themeFill="accent1" w:themeFillTint="34"/>
      </w:tcPr>
    </w:tblStylePr>
    <w:tblStylePr w:type="band2Horz">
      <w:rPr>
        <w:color w:val="A6BFDD" w:themeColor="accent1" w:themeTint="80" w:themeShade="95"/>
        <w:sz w:val="22"/>
      </w:rPr>
    </w:tblStylePr>
  </w:style>
  <w:style w:type="table" w:customStyle="1" w:styleId="GridTable6Colorful-Accent2">
    <w:name w:val="Grid Table 6 Colorful - Accent 2"/>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0" w:type="dxa"/>
        <w:bottom w:w="0" w:type="dxa"/>
        <w:right w:w="0" w:type="dxa"/>
      </w:tblCellMar>
    </w:tblPr>
    <w:tblStylePr w:type="firstRow">
      <w:rPr>
        <w:b/>
        <w:color w:val="D99695" w:themeColor="accent2" w:themeTint="97" w:themeShade="95"/>
      </w:rPr>
      <w:tblPr/>
      <w:tcPr>
        <w:tcBorders>
          <w:bottom w:val="single" w:sz="12" w:space="0" w:color="C0504D" w:themeColor="accent2"/>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fill="F2DCDC" w:themeFill="accent2" w:themeFillTint="32"/>
      </w:tcPr>
    </w:tblStylePr>
    <w:tblStylePr w:type="band1Horz">
      <w:rPr>
        <w:color w:val="D99695" w:themeColor="accent2" w:themeTint="97" w:themeShade="95"/>
        <w:sz w:val="22"/>
      </w:rPr>
      <w:tblPr/>
      <w:tcPr>
        <w:shd w:val="clear" w:color="F2DCDC" w:fill="F2DCDC" w:themeFill="accent2" w:themeFillTint="32"/>
      </w:tcPr>
    </w:tblStylePr>
    <w:tblStylePr w:type="band2Horz">
      <w:rPr>
        <w:color w:val="D99695" w:themeColor="accent2" w:themeTint="97" w:themeShade="95"/>
        <w:sz w:val="22"/>
      </w:rPr>
    </w:tblStylePr>
  </w:style>
  <w:style w:type="table" w:customStyle="1" w:styleId="GridTable6Colorful-Accent3">
    <w:name w:val="Grid Table 6 Colorful - Accent 3"/>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0" w:type="dxa"/>
        <w:bottom w:w="0" w:type="dxa"/>
        <w:right w:w="0" w:type="dxa"/>
      </w:tblCellMar>
    </w:tblPr>
    <w:tblStylePr w:type="firstRow">
      <w:rPr>
        <w:b/>
        <w:color w:val="9ABB59" w:themeColor="accent3" w:themeTint="FE" w:themeShade="95"/>
      </w:rPr>
      <w:tblPr/>
      <w:tcPr>
        <w:tcBorders>
          <w:bottom w:val="single" w:sz="12" w:space="0" w:color="9BBB59" w:themeColor="accent3"/>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fill="EAF1DC" w:themeFill="accent3" w:themeFillTint="34"/>
      </w:tcPr>
    </w:tblStylePr>
    <w:tblStylePr w:type="band1Horz">
      <w:rPr>
        <w:color w:val="9ABB59" w:themeColor="accent3" w:themeTint="FE" w:themeShade="95"/>
        <w:sz w:val="22"/>
      </w:rPr>
      <w:tblPr/>
      <w:tcPr>
        <w:shd w:val="clear" w:color="EAF1DC" w:fill="EAF1DC" w:themeFill="accent3" w:themeFillTint="34"/>
      </w:tcPr>
    </w:tblStylePr>
    <w:tblStylePr w:type="band2Horz">
      <w:rPr>
        <w:color w:val="9ABB59" w:themeColor="accent3" w:themeTint="FE" w:themeShade="95"/>
        <w:sz w:val="22"/>
      </w:rPr>
    </w:tblStylePr>
  </w:style>
  <w:style w:type="table" w:customStyle="1" w:styleId="GridTable6Colorful-Accent4">
    <w:name w:val="Grid Table 6 Colorful - Accent 4"/>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0" w:type="dxa"/>
        <w:bottom w:w="0" w:type="dxa"/>
        <w:right w:w="0" w:type="dxa"/>
      </w:tblCellMar>
    </w:tblPr>
    <w:tblStylePr w:type="firstRow">
      <w:rPr>
        <w:b/>
        <w:color w:val="B2A1C6" w:themeColor="accent4" w:themeTint="9A" w:themeShade="95"/>
      </w:rPr>
      <w:tblPr/>
      <w:tcPr>
        <w:tcBorders>
          <w:bottom w:val="single" w:sz="12" w:space="0" w:color="8064A2" w:themeColor="accent4"/>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fill="E5DFEC" w:themeFill="accent4" w:themeFillTint="34"/>
      </w:tcPr>
    </w:tblStylePr>
    <w:tblStylePr w:type="band1Horz">
      <w:rPr>
        <w:color w:val="B2A1C6" w:themeColor="accent4" w:themeTint="9A" w:themeShade="95"/>
        <w:sz w:val="22"/>
      </w:rPr>
      <w:tblPr/>
      <w:tcPr>
        <w:shd w:val="clear" w:color="E5DFEC" w:fill="E5DFEC" w:themeFill="accent4" w:themeFillTint="34"/>
      </w:tcPr>
    </w:tblStylePr>
    <w:tblStylePr w:type="band2Horz">
      <w:rPr>
        <w:color w:val="B2A1C6" w:themeColor="accent4" w:themeTint="9A" w:themeShade="95"/>
        <w:sz w:val="22"/>
      </w:rPr>
    </w:tblStylePr>
  </w:style>
  <w:style w:type="table" w:customStyle="1" w:styleId="GridTable6Colorful-Accent5">
    <w:name w:val="Grid Table 6 Colorful - Accent 5"/>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CellMar>
        <w:top w:w="0" w:type="dxa"/>
        <w:left w:w="0" w:type="dxa"/>
        <w:bottom w:w="0" w:type="dxa"/>
        <w:right w:w="0" w:type="dxa"/>
      </w:tblCellMar>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fill="DAEEF3" w:themeFill="accent5" w:themeFillTint="34"/>
      </w:tcPr>
    </w:tblStylePr>
    <w:tblStylePr w:type="band1Horz">
      <w:rPr>
        <w:color w:val="266779" w:themeColor="accent5" w:themeShade="95"/>
        <w:sz w:val="22"/>
      </w:rPr>
      <w:tblPr/>
      <w:tcPr>
        <w:shd w:val="clear" w:color="DAEEF3" w:fill="DAEEF3" w:themeFill="accent5" w:themeFillTint="34"/>
      </w:tcPr>
    </w:tblStylePr>
    <w:tblStylePr w:type="band2Horz">
      <w:rPr>
        <w:color w:val="266779" w:themeColor="accent5" w:themeShade="95"/>
        <w:sz w:val="22"/>
      </w:rPr>
    </w:tblStylePr>
  </w:style>
  <w:style w:type="table" w:customStyle="1" w:styleId="GridTable6Colorful-Accent6">
    <w:name w:val="Grid Table 6 Colorful - Accent 6"/>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CellMar>
        <w:top w:w="0" w:type="dxa"/>
        <w:left w:w="0" w:type="dxa"/>
        <w:bottom w:w="0" w:type="dxa"/>
        <w:right w:w="0" w:type="dxa"/>
      </w:tblCellMar>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fill="FDE9D8" w:themeFill="accent6" w:themeFillTint="34"/>
      </w:tcPr>
    </w:tblStylePr>
    <w:tblStylePr w:type="band1Horz">
      <w:rPr>
        <w:color w:val="266779" w:themeColor="accent5" w:themeShade="95"/>
        <w:sz w:val="22"/>
      </w:rPr>
      <w:tblPr/>
      <w:tcPr>
        <w:shd w:val="clear" w:color="FDE9D8" w:fill="FDE9D8" w:themeFill="accent6" w:themeFillTint="34"/>
      </w:tcPr>
    </w:tblStylePr>
    <w:tblStylePr w:type="band2Horz">
      <w:rPr>
        <w:color w:val="266779" w:themeColor="accent5" w:themeShade="95"/>
        <w:sz w:val="22"/>
      </w:rPr>
    </w:tblStylePr>
  </w:style>
  <w:style w:type="table" w:styleId="-70">
    <w:name w:val="Grid Table 7 Colorfu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0" w:type="dxa"/>
        <w:bottom w:w="0" w:type="dxa"/>
        <w:right w:w="0" w:type="dxa"/>
      </w:tblCellMar>
    </w:tblPr>
    <w:tblStylePr w:type="firstRow">
      <w:rPr>
        <w:b/>
        <w:color w:val="7F7F7F" w:themeColor="text1" w:themeTint="80" w:themeShade="95"/>
        <w:sz w:val="22"/>
      </w:rPr>
      <w:tblPr/>
      <w:tcPr>
        <w:tcBorders>
          <w:top w:val="none" w:sz="0" w:space="0" w:color="auto"/>
          <w:left w:val="none" w:sz="0" w:space="0" w:color="auto"/>
          <w:bottom w:val="single" w:sz="4" w:space="0" w:color="000000" w:themeColor="text1"/>
          <w:right w:val="none" w:sz="0" w:space="0" w:color="auto"/>
        </w:tcBorders>
        <w:shd w:val="clear" w:color="FFFFFF" w:fill="FFFFFF" w:themeFill="light1"/>
      </w:tcPr>
    </w:tblStylePr>
    <w:tblStylePr w:type="lastRow">
      <w:rPr>
        <w:b/>
        <w:color w:val="7F7F7F" w:themeColor="text1" w:themeTint="80" w:themeShade="95"/>
        <w:sz w:val="22"/>
      </w:rPr>
      <w:tblPr/>
      <w:tcPr>
        <w:tcBorders>
          <w:top w:val="single" w:sz="4" w:space="0" w:color="000000" w:themeColor="text1"/>
          <w:left w:val="none" w:sz="0" w:space="0" w:color="auto"/>
          <w:bottom w:val="none" w:sz="0" w:space="0" w:color="auto"/>
          <w:right w:val="none" w:sz="0" w:space="0" w:color="auto"/>
        </w:tcBorders>
        <w:shd w:val="clear" w:color="FFFFFF" w:fill="FFFFFF" w:themeFill="light1"/>
      </w:tcPr>
    </w:tblStylePr>
    <w:tblStylePr w:type="firstCol">
      <w:pPr>
        <w:jc w:val="right"/>
      </w:pPr>
      <w:rPr>
        <w:i/>
        <w:color w:val="7F7F7F" w:themeColor="text1" w:themeTint="80" w:themeShade="95"/>
        <w:sz w:val="22"/>
      </w:rPr>
      <w:tblPr/>
      <w:tcPr>
        <w:tcBorders>
          <w:top w:val="none" w:sz="0" w:space="0" w:color="auto"/>
          <w:left w:val="none" w:sz="0" w:space="0" w:color="auto"/>
          <w:bottom w:val="none" w:sz="0" w:space="0" w:color="auto"/>
          <w:right w:val="single" w:sz="4" w:space="0" w:color="000000" w:themeColor="text1"/>
        </w:tcBorders>
        <w:shd w:val="clear" w:color="FFFFFF" w:fill="auto"/>
      </w:tcPr>
    </w:tblStylePr>
    <w:tblStylePr w:type="lastCol">
      <w:rPr>
        <w:i/>
        <w:color w:val="7F7F7F" w:themeColor="text1" w:themeTint="80" w:themeShade="95"/>
        <w:sz w:val="22"/>
      </w:rPr>
      <w:tblPr/>
      <w:tcPr>
        <w:tcBorders>
          <w:top w:val="none" w:sz="0" w:space="0" w:color="auto"/>
          <w:left w:val="single" w:sz="4" w:space="0" w:color="000000" w:themeColor="text1"/>
          <w:bottom w:val="none" w:sz="0" w:space="0" w:color="auto"/>
          <w:right w:val="none" w:sz="0" w:space="0" w:color="auto"/>
        </w:tcBorders>
        <w:shd w:val="clear" w:color="FFFFFF" w:fill="auto"/>
      </w:tcPr>
    </w:tblStylePr>
    <w:tblStylePr w:type="band1Vert">
      <w:tblPr/>
      <w:tcPr>
        <w:shd w:val="clear" w:color="F2F2F2" w:fill="F2F2F2" w:themeFill="text1" w:themeFillTint="0D"/>
      </w:tcPr>
    </w:tblStylePr>
    <w:tblStylePr w:type="band1Horz">
      <w:rPr>
        <w:color w:val="7F7F7F" w:themeColor="text1" w:themeTint="80" w:themeShade="95"/>
        <w:sz w:val="22"/>
      </w:rPr>
      <w:tblPr/>
      <w:tcPr>
        <w:shd w:val="clear" w:color="F2F2F2" w:fill="F2F2F2" w:themeFill="text1" w:themeFillTint="0D"/>
      </w:tcPr>
    </w:tblStylePr>
    <w:tblStylePr w:type="band2Horz">
      <w:rPr>
        <w:color w:val="7F7F7F" w:themeColor="text1" w:themeTint="80" w:themeShade="95"/>
        <w:sz w:val="22"/>
      </w:rPr>
    </w:tblStylePr>
  </w:style>
  <w:style w:type="table" w:customStyle="1" w:styleId="GridTable7Colorful-Accent1">
    <w:name w:val="Grid Table 7 Colorful - Accent 1"/>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0" w:type="dxa"/>
        <w:bottom w:w="0" w:type="dxa"/>
        <w:right w:w="0" w:type="dxa"/>
      </w:tblCellMar>
    </w:tblPr>
    <w:tblStylePr w:type="firstRow">
      <w:rPr>
        <w:b/>
        <w:color w:val="A6BFDD" w:themeColor="accent1" w:themeTint="80" w:themeShade="95"/>
        <w:sz w:val="22"/>
      </w:rPr>
      <w:tblPr/>
      <w:tcPr>
        <w:tcBorders>
          <w:top w:val="none" w:sz="0" w:space="0" w:color="auto"/>
          <w:left w:val="none" w:sz="0" w:space="0" w:color="auto"/>
          <w:bottom w:val="single" w:sz="4" w:space="0" w:color="4F81BD" w:themeColor="accent1"/>
          <w:right w:val="none" w:sz="0" w:space="0" w:color="auto"/>
        </w:tcBorders>
        <w:shd w:val="clear" w:color="FFFFFF" w:fill="FFFFFF" w:themeFill="light1"/>
      </w:tcPr>
    </w:tblStylePr>
    <w:tblStylePr w:type="lastRow">
      <w:rPr>
        <w:b/>
        <w:color w:val="A6BFDD" w:themeColor="accent1" w:themeTint="80" w:themeShade="95"/>
        <w:sz w:val="22"/>
      </w:rPr>
      <w:tblPr/>
      <w:tcPr>
        <w:tcBorders>
          <w:top w:val="single" w:sz="4" w:space="0" w:color="4F81BD" w:themeColor="accent1"/>
          <w:left w:val="none" w:sz="0" w:space="0" w:color="auto"/>
          <w:bottom w:val="none" w:sz="0" w:space="0" w:color="auto"/>
          <w:right w:val="none" w:sz="0" w:space="0" w:color="auto"/>
        </w:tcBorders>
        <w:shd w:val="clear" w:color="FFFFFF" w:fill="FFFFFF" w:themeFill="light1"/>
      </w:tcPr>
    </w:tblStylePr>
    <w:tblStylePr w:type="firstCol">
      <w:pPr>
        <w:jc w:val="right"/>
      </w:pPr>
      <w:rPr>
        <w:i/>
        <w:color w:val="A6BFDD" w:themeColor="accent1" w:themeTint="80"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i/>
        <w:color w:val="A6BFDD" w:themeColor="accent1" w:themeTint="80"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AE5F1" w:fill="DAE5F1" w:themeFill="accent1" w:themeFillTint="34"/>
      </w:tcPr>
    </w:tblStylePr>
    <w:tblStylePr w:type="band1Horz">
      <w:rPr>
        <w:color w:val="A6BFDD" w:themeColor="accent1" w:themeTint="80" w:themeShade="95"/>
        <w:sz w:val="22"/>
      </w:rPr>
      <w:tblPr/>
      <w:tcPr>
        <w:shd w:val="clear" w:color="DAE5F1" w:fill="DAE5F1" w:themeFill="accent1" w:themeFillTint="34"/>
      </w:tcPr>
    </w:tblStylePr>
    <w:tblStylePr w:type="band2Horz">
      <w:rPr>
        <w:color w:val="A6BFDD" w:themeColor="accent1" w:themeTint="80" w:themeShade="95"/>
        <w:sz w:val="22"/>
      </w:rPr>
    </w:tblStylePr>
  </w:style>
  <w:style w:type="table" w:customStyle="1" w:styleId="GridTable7Colorful-Accent2">
    <w:name w:val="Grid Table 7 Colorful - Accent 2"/>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0" w:type="dxa"/>
        <w:bottom w:w="0" w:type="dxa"/>
        <w:right w:w="0" w:type="dxa"/>
      </w:tblCellMar>
    </w:tblPr>
    <w:tblStylePr w:type="firstRow">
      <w:rPr>
        <w:b/>
        <w:color w:val="D99695" w:themeColor="accent2" w:themeTint="97" w:themeShade="95"/>
        <w:sz w:val="22"/>
      </w:rPr>
      <w:tblPr/>
      <w:tcPr>
        <w:tcBorders>
          <w:top w:val="none" w:sz="0" w:space="0" w:color="auto"/>
          <w:left w:val="none" w:sz="0" w:space="0" w:color="auto"/>
          <w:bottom w:val="single" w:sz="4" w:space="0" w:color="C0504D" w:themeColor="accent2"/>
          <w:right w:val="none" w:sz="0" w:space="0" w:color="auto"/>
        </w:tcBorders>
        <w:shd w:val="clear" w:color="FFFFFF" w:fill="FFFFFF" w:themeFill="light1"/>
      </w:tcPr>
    </w:tblStylePr>
    <w:tblStylePr w:type="lastRow">
      <w:rPr>
        <w:b/>
        <w:color w:val="D99695" w:themeColor="accent2" w:themeTint="97" w:themeShade="95"/>
        <w:sz w:val="22"/>
      </w:rPr>
      <w:tblPr/>
      <w:tcPr>
        <w:tcBorders>
          <w:top w:val="single" w:sz="4" w:space="0" w:color="C0504D" w:themeColor="accent2"/>
          <w:left w:val="none" w:sz="0" w:space="0" w:color="auto"/>
          <w:bottom w:val="none" w:sz="0" w:space="0" w:color="auto"/>
          <w:right w:val="none" w:sz="0" w:space="0" w:color="auto"/>
        </w:tcBorders>
        <w:shd w:val="clear" w:color="FFFFFF" w:fill="FFFFFF" w:themeFill="light1"/>
      </w:tcPr>
    </w:tblStylePr>
    <w:tblStylePr w:type="firstCol">
      <w:pPr>
        <w:jc w:val="right"/>
      </w:pPr>
      <w:rPr>
        <w:i/>
        <w:color w:val="D99695" w:themeColor="accent2" w:themeTint="97" w:themeShade="95"/>
        <w:sz w:val="22"/>
      </w:rPr>
      <w:tblPr/>
      <w:tcPr>
        <w:tcBorders>
          <w:top w:val="none" w:sz="0" w:space="0" w:color="auto"/>
          <w:left w:val="none" w:sz="0" w:space="0" w:color="auto"/>
          <w:bottom w:val="none" w:sz="0" w:space="0" w:color="auto"/>
          <w:right w:val="single" w:sz="4" w:space="0" w:color="C0504D" w:themeColor="accent2"/>
        </w:tcBorders>
        <w:shd w:val="clear" w:color="FFFFFF" w:fill="auto"/>
      </w:tcPr>
    </w:tblStylePr>
    <w:tblStylePr w:type="lastCol">
      <w:rPr>
        <w:i/>
        <w:color w:val="D99695" w:themeColor="accent2" w:themeTint="97" w:themeShade="95"/>
        <w:sz w:val="22"/>
      </w:rPr>
      <w:tblPr/>
      <w:tcPr>
        <w:tcBorders>
          <w:top w:val="none" w:sz="0" w:space="0" w:color="auto"/>
          <w:left w:val="single" w:sz="4" w:space="0" w:color="C0504D" w:themeColor="accent2"/>
          <w:bottom w:val="none" w:sz="0" w:space="0" w:color="auto"/>
          <w:right w:val="none" w:sz="0" w:space="0" w:color="auto"/>
        </w:tcBorders>
        <w:shd w:val="clear" w:color="FFFFFF" w:fill="auto"/>
      </w:tcPr>
    </w:tblStylePr>
    <w:tblStylePr w:type="band1Vert">
      <w:tblPr/>
      <w:tcPr>
        <w:shd w:val="clear" w:color="F2DCDC" w:fill="F2DCDC" w:themeFill="accent2" w:themeFillTint="32"/>
      </w:tcPr>
    </w:tblStylePr>
    <w:tblStylePr w:type="band1Horz">
      <w:rPr>
        <w:color w:val="D99695" w:themeColor="accent2" w:themeTint="97" w:themeShade="95"/>
        <w:sz w:val="22"/>
      </w:rPr>
      <w:tblPr/>
      <w:tcPr>
        <w:shd w:val="clear" w:color="F2DCDC" w:fill="F2DCDC" w:themeFill="accent2" w:themeFillTint="32"/>
      </w:tcPr>
    </w:tblStylePr>
    <w:tblStylePr w:type="band2Horz">
      <w:rPr>
        <w:color w:val="D99695" w:themeColor="accent2" w:themeTint="97" w:themeShade="95"/>
        <w:sz w:val="22"/>
      </w:rPr>
    </w:tblStylePr>
  </w:style>
  <w:style w:type="table" w:customStyle="1" w:styleId="GridTable7Colorful-Accent3">
    <w:name w:val="Grid Table 7 Colorful - Accent 3"/>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0" w:type="dxa"/>
        <w:bottom w:w="0" w:type="dxa"/>
        <w:right w:w="0" w:type="dxa"/>
      </w:tblCellMar>
    </w:tblPr>
    <w:tblStylePr w:type="firstRow">
      <w:rPr>
        <w:b/>
        <w:color w:val="9ABB59" w:themeColor="accent3" w:themeTint="FE" w:themeShade="95"/>
        <w:sz w:val="22"/>
      </w:rPr>
      <w:tblPr/>
      <w:tcPr>
        <w:tcBorders>
          <w:top w:val="none" w:sz="0" w:space="0" w:color="auto"/>
          <w:left w:val="none" w:sz="0" w:space="0" w:color="auto"/>
          <w:bottom w:val="single" w:sz="4" w:space="0" w:color="9BBB59" w:themeColor="accent3"/>
          <w:right w:val="none" w:sz="0" w:space="0" w:color="auto"/>
        </w:tcBorders>
        <w:shd w:val="clear" w:color="FFFFFF" w:fill="FFFFFF" w:themeFill="light1"/>
      </w:tcPr>
    </w:tblStylePr>
    <w:tblStylePr w:type="lastRow">
      <w:rPr>
        <w:b/>
        <w:color w:val="9ABB59" w:themeColor="accent3" w:themeTint="FE" w:themeShade="95"/>
        <w:sz w:val="22"/>
      </w:rPr>
      <w:tblPr/>
      <w:tcPr>
        <w:tcBorders>
          <w:top w:val="single" w:sz="4" w:space="0" w:color="9BBB59" w:themeColor="accent3"/>
          <w:left w:val="none" w:sz="0" w:space="0" w:color="auto"/>
          <w:bottom w:val="none" w:sz="0" w:space="0" w:color="auto"/>
          <w:right w:val="none" w:sz="0" w:space="0" w:color="auto"/>
        </w:tcBorders>
        <w:shd w:val="clear" w:color="FFFFFF" w:fill="FFFFFF" w:themeFill="light1"/>
      </w:tcPr>
    </w:tblStylePr>
    <w:tblStylePr w:type="firstCol">
      <w:pPr>
        <w:jc w:val="right"/>
      </w:pPr>
      <w:rPr>
        <w:i/>
        <w:color w:val="9ABB59" w:themeColor="accent3" w:themeTint="FE" w:themeShade="95"/>
        <w:sz w:val="22"/>
      </w:rPr>
      <w:tblPr/>
      <w:tcPr>
        <w:tcBorders>
          <w:top w:val="none" w:sz="0" w:space="0" w:color="auto"/>
          <w:left w:val="none" w:sz="0" w:space="0" w:color="auto"/>
          <w:bottom w:val="none" w:sz="0" w:space="0" w:color="auto"/>
          <w:right w:val="single" w:sz="4" w:space="0" w:color="9BBB59" w:themeColor="accent3"/>
        </w:tcBorders>
        <w:shd w:val="clear" w:color="FFFFFF" w:fill="auto"/>
      </w:tcPr>
    </w:tblStylePr>
    <w:tblStylePr w:type="lastCol">
      <w:rPr>
        <w:i/>
        <w:color w:val="9ABB59" w:themeColor="accent3" w:themeTint="FE" w:themeShade="95"/>
        <w:sz w:val="22"/>
      </w:rPr>
      <w:tblPr/>
      <w:tcPr>
        <w:tcBorders>
          <w:top w:val="none" w:sz="0" w:space="0" w:color="auto"/>
          <w:left w:val="single" w:sz="4" w:space="0" w:color="9BBB59" w:themeColor="accent3"/>
          <w:bottom w:val="none" w:sz="0" w:space="0" w:color="auto"/>
          <w:right w:val="none" w:sz="0" w:space="0" w:color="auto"/>
        </w:tcBorders>
        <w:shd w:val="clear" w:color="FFFFFF" w:fill="auto"/>
      </w:tcPr>
    </w:tblStylePr>
    <w:tblStylePr w:type="band1Vert">
      <w:tblPr/>
      <w:tcPr>
        <w:shd w:val="clear" w:color="EAF1DC" w:fill="EAF1DC" w:themeFill="accent3" w:themeFillTint="34"/>
      </w:tcPr>
    </w:tblStylePr>
    <w:tblStylePr w:type="band1Horz">
      <w:rPr>
        <w:color w:val="9ABB59" w:themeColor="accent3" w:themeTint="FE" w:themeShade="95"/>
        <w:sz w:val="22"/>
      </w:rPr>
      <w:tblPr/>
      <w:tcPr>
        <w:shd w:val="clear" w:color="EAF1DC" w:fill="EAF1DC" w:themeFill="accent3" w:themeFillTint="34"/>
      </w:tcPr>
    </w:tblStylePr>
    <w:tblStylePr w:type="band2Horz">
      <w:rPr>
        <w:color w:val="9ABB59" w:themeColor="accent3" w:themeTint="FE" w:themeShade="95"/>
        <w:sz w:val="22"/>
      </w:rPr>
    </w:tblStylePr>
  </w:style>
  <w:style w:type="table" w:customStyle="1" w:styleId="GridTable7Colorful-Accent4">
    <w:name w:val="Grid Table 7 Colorful - Accent 4"/>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0" w:type="dxa"/>
        <w:bottom w:w="0" w:type="dxa"/>
        <w:right w:w="0" w:type="dxa"/>
      </w:tblCellMar>
    </w:tblPr>
    <w:tblStylePr w:type="firstRow">
      <w:rPr>
        <w:b/>
        <w:color w:val="B2A1C6" w:themeColor="accent4" w:themeTint="9A" w:themeShade="95"/>
        <w:sz w:val="22"/>
      </w:rPr>
      <w:tblPr/>
      <w:tcPr>
        <w:tcBorders>
          <w:top w:val="none" w:sz="0" w:space="0" w:color="auto"/>
          <w:left w:val="none" w:sz="0" w:space="0" w:color="auto"/>
          <w:bottom w:val="single" w:sz="4" w:space="0" w:color="8064A2" w:themeColor="accent4"/>
          <w:right w:val="none" w:sz="0" w:space="0" w:color="auto"/>
        </w:tcBorders>
        <w:shd w:val="clear" w:color="FFFFFF" w:fill="FFFFFF" w:themeFill="light1"/>
      </w:tcPr>
    </w:tblStylePr>
    <w:tblStylePr w:type="lastRow">
      <w:rPr>
        <w:b/>
        <w:color w:val="B2A1C6" w:themeColor="accent4" w:themeTint="9A" w:themeShade="95"/>
        <w:sz w:val="22"/>
      </w:rPr>
      <w:tblPr/>
      <w:tcPr>
        <w:tcBorders>
          <w:top w:val="single" w:sz="4" w:space="0" w:color="8064A2" w:themeColor="accent4"/>
          <w:left w:val="none" w:sz="0" w:space="0" w:color="auto"/>
          <w:bottom w:val="none" w:sz="0" w:space="0" w:color="auto"/>
          <w:right w:val="none" w:sz="0" w:space="0" w:color="auto"/>
        </w:tcBorders>
        <w:shd w:val="clear" w:color="FFFFFF" w:fill="FFFFFF" w:themeFill="light1"/>
      </w:tcPr>
    </w:tblStylePr>
    <w:tblStylePr w:type="firstCol">
      <w:pPr>
        <w:jc w:val="right"/>
      </w:pPr>
      <w:rPr>
        <w:i/>
        <w:color w:val="B2A1C6" w:themeColor="accent4" w:themeTint="9A" w:themeShade="95"/>
        <w:sz w:val="22"/>
      </w:rPr>
      <w:tblPr/>
      <w:tcPr>
        <w:tcBorders>
          <w:top w:val="none" w:sz="0" w:space="0" w:color="auto"/>
          <w:left w:val="none" w:sz="0" w:space="0" w:color="auto"/>
          <w:bottom w:val="none" w:sz="0" w:space="0" w:color="auto"/>
          <w:right w:val="single" w:sz="4" w:space="0" w:color="8064A2" w:themeColor="accent4"/>
        </w:tcBorders>
        <w:shd w:val="clear" w:color="FFFFFF" w:fill="auto"/>
      </w:tcPr>
    </w:tblStylePr>
    <w:tblStylePr w:type="lastCol">
      <w:rPr>
        <w:i/>
        <w:color w:val="B2A1C6" w:themeColor="accent4" w:themeTint="9A" w:themeShade="95"/>
        <w:sz w:val="22"/>
      </w:rPr>
      <w:tblPr/>
      <w:tcPr>
        <w:tcBorders>
          <w:top w:val="none" w:sz="0" w:space="0" w:color="auto"/>
          <w:left w:val="single" w:sz="4" w:space="0" w:color="8064A2" w:themeColor="accent4"/>
          <w:bottom w:val="none" w:sz="0" w:space="0" w:color="auto"/>
          <w:right w:val="none" w:sz="0" w:space="0" w:color="auto"/>
        </w:tcBorders>
        <w:shd w:val="clear" w:color="FFFFFF" w:fill="auto"/>
      </w:tcPr>
    </w:tblStylePr>
    <w:tblStylePr w:type="band1Vert">
      <w:tblPr/>
      <w:tcPr>
        <w:shd w:val="clear" w:color="E5DFEC" w:fill="E5DFEC" w:themeFill="accent4" w:themeFillTint="34"/>
      </w:tcPr>
    </w:tblStylePr>
    <w:tblStylePr w:type="band1Horz">
      <w:rPr>
        <w:color w:val="B2A1C6" w:themeColor="accent4" w:themeTint="9A" w:themeShade="95"/>
        <w:sz w:val="22"/>
      </w:rPr>
      <w:tblPr/>
      <w:tcPr>
        <w:shd w:val="clear" w:color="E5DFEC" w:fill="E5DFEC" w:themeFill="accent4" w:themeFillTint="34"/>
      </w:tcPr>
    </w:tblStylePr>
    <w:tblStylePr w:type="band2Horz">
      <w:rPr>
        <w:color w:val="B2A1C6" w:themeColor="accent4" w:themeTint="9A" w:themeShade="95"/>
        <w:sz w:val="22"/>
      </w:rPr>
    </w:tblStylePr>
  </w:style>
  <w:style w:type="table" w:customStyle="1" w:styleId="GridTable7Colorful-Accent5">
    <w:name w:val="Grid Table 7 Colorful - Accent 5"/>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0" w:type="dxa"/>
        <w:bottom w:w="0" w:type="dxa"/>
        <w:right w:w="0" w:type="dxa"/>
      </w:tblCellMar>
    </w:tblPr>
    <w:tblStylePr w:type="firstRow">
      <w:rPr>
        <w:b/>
        <w:color w:val="266779" w:themeColor="accent5" w:themeShade="95"/>
        <w:sz w:val="22"/>
      </w:rPr>
      <w:tblPr/>
      <w:tcPr>
        <w:tcBorders>
          <w:top w:val="none" w:sz="0" w:space="0" w:color="auto"/>
          <w:left w:val="none" w:sz="0" w:space="0" w:color="auto"/>
          <w:bottom w:val="single" w:sz="4" w:space="0" w:color="4BACC6" w:themeColor="accent5"/>
          <w:right w:val="none" w:sz="0" w:space="0" w:color="auto"/>
        </w:tcBorders>
        <w:shd w:val="clear" w:color="FFFFFF" w:fill="FFFFFF" w:themeFill="light1"/>
      </w:tcPr>
    </w:tblStylePr>
    <w:tblStylePr w:type="lastRow">
      <w:rPr>
        <w:b/>
        <w:color w:val="266779" w:themeColor="accent5" w:themeShade="95"/>
        <w:sz w:val="22"/>
      </w:rPr>
      <w:tblPr/>
      <w:tcPr>
        <w:tcBorders>
          <w:top w:val="single" w:sz="4" w:space="0" w:color="4BACC6" w:themeColor="accent5"/>
          <w:left w:val="none" w:sz="0" w:space="0" w:color="auto"/>
          <w:bottom w:val="none" w:sz="0" w:space="0" w:color="auto"/>
          <w:right w:val="none" w:sz="0" w:space="0" w:color="auto"/>
        </w:tcBorders>
        <w:shd w:val="clear" w:color="FFFFFF" w:fill="FFFFFF" w:themeFill="light1"/>
      </w:tcPr>
    </w:tblStylePr>
    <w:tblStylePr w:type="firstCol">
      <w:pPr>
        <w:jc w:val="right"/>
      </w:pPr>
      <w:rPr>
        <w:i/>
        <w:color w:val="266779" w:themeColor="accent5" w:themeShade="95"/>
        <w:sz w:val="22"/>
      </w:rPr>
      <w:tblPr/>
      <w:tcPr>
        <w:tcBorders>
          <w:top w:val="none" w:sz="0" w:space="0" w:color="auto"/>
          <w:left w:val="none" w:sz="0" w:space="0" w:color="auto"/>
          <w:bottom w:val="none" w:sz="0" w:space="0" w:color="auto"/>
          <w:right w:val="single" w:sz="4" w:space="0" w:color="4BACC6" w:themeColor="accent5"/>
        </w:tcBorders>
        <w:shd w:val="clear" w:color="FFFFFF" w:fill="auto"/>
      </w:tcPr>
    </w:tblStylePr>
    <w:tblStylePr w:type="lastCol">
      <w:rPr>
        <w:i/>
        <w:color w:val="266779" w:themeColor="accent5" w:themeShade="95"/>
        <w:sz w:val="22"/>
      </w:rPr>
      <w:tblPr/>
      <w:tcPr>
        <w:tcBorders>
          <w:top w:val="none" w:sz="0" w:space="0" w:color="auto"/>
          <w:left w:val="single" w:sz="4" w:space="0" w:color="4BACC6" w:themeColor="accent5"/>
          <w:bottom w:val="none" w:sz="0" w:space="0" w:color="auto"/>
          <w:right w:val="none" w:sz="0" w:space="0" w:color="auto"/>
        </w:tcBorders>
        <w:shd w:val="clear" w:color="FFFFFF" w:fill="auto"/>
      </w:tcPr>
    </w:tblStylePr>
    <w:tblStylePr w:type="band1Vert">
      <w:tblPr/>
      <w:tcPr>
        <w:shd w:val="clear" w:color="DAEEF3" w:fill="DAEEF3" w:themeFill="accent5" w:themeFillTint="34"/>
      </w:tcPr>
    </w:tblStylePr>
    <w:tblStylePr w:type="band1Horz">
      <w:rPr>
        <w:color w:val="266779" w:themeColor="accent5" w:themeShade="95"/>
        <w:sz w:val="22"/>
      </w:rPr>
      <w:tblPr/>
      <w:tcPr>
        <w:shd w:val="clear" w:color="DAEEF3" w:fill="DAEEF3" w:themeFill="accent5" w:themeFillTint="34"/>
      </w:tcPr>
    </w:tblStylePr>
    <w:tblStylePr w:type="band2Horz">
      <w:rPr>
        <w:color w:val="266779" w:themeColor="accent5" w:themeShade="95"/>
        <w:sz w:val="22"/>
      </w:rPr>
    </w:tblStylePr>
  </w:style>
  <w:style w:type="table" w:customStyle="1" w:styleId="GridTable7Colorful-Accent6">
    <w:name w:val="Grid Table 7 Colorful - Accent 6"/>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0" w:type="dxa"/>
        <w:bottom w:w="0" w:type="dxa"/>
        <w:right w:w="0" w:type="dxa"/>
      </w:tblCellMar>
    </w:tblPr>
    <w:tblStylePr w:type="firstRow">
      <w:rPr>
        <w:b/>
        <w:color w:val="B15407" w:themeColor="accent6" w:themeShade="95"/>
        <w:sz w:val="22"/>
      </w:rPr>
      <w:tblPr/>
      <w:tcPr>
        <w:tcBorders>
          <w:top w:val="none" w:sz="0" w:space="0" w:color="auto"/>
          <w:left w:val="none" w:sz="0" w:space="0" w:color="auto"/>
          <w:bottom w:val="single" w:sz="4" w:space="0" w:color="F79646" w:themeColor="accent6"/>
          <w:right w:val="none" w:sz="0" w:space="0" w:color="auto"/>
        </w:tcBorders>
        <w:shd w:val="clear" w:color="FFFFFF" w:fill="FFFFFF" w:themeFill="light1"/>
      </w:tcPr>
    </w:tblStylePr>
    <w:tblStylePr w:type="lastRow">
      <w:rPr>
        <w:b/>
        <w:color w:val="B15407" w:themeColor="accent6" w:themeShade="95"/>
        <w:sz w:val="22"/>
      </w:rPr>
      <w:tblPr/>
      <w:tcPr>
        <w:tcBorders>
          <w:top w:val="single" w:sz="4" w:space="0" w:color="F79646" w:themeColor="accent6"/>
          <w:left w:val="none" w:sz="0" w:space="0" w:color="auto"/>
          <w:bottom w:val="none" w:sz="0" w:space="0" w:color="auto"/>
          <w:right w:val="none" w:sz="0" w:space="0" w:color="auto"/>
        </w:tcBorders>
        <w:shd w:val="clear" w:color="FFFFFF" w:fill="FFFFFF" w:themeFill="light1"/>
      </w:tcPr>
    </w:tblStylePr>
    <w:tblStylePr w:type="firstCol">
      <w:pPr>
        <w:jc w:val="right"/>
      </w:pPr>
      <w:rPr>
        <w:i/>
        <w:color w:val="B15407" w:themeColor="accent6" w:themeShade="95"/>
        <w:sz w:val="22"/>
      </w:rPr>
      <w:tblPr/>
      <w:tcPr>
        <w:tcBorders>
          <w:top w:val="none" w:sz="0" w:space="0" w:color="auto"/>
          <w:left w:val="none" w:sz="0" w:space="0" w:color="auto"/>
          <w:bottom w:val="none" w:sz="0" w:space="0" w:color="auto"/>
          <w:right w:val="single" w:sz="4" w:space="0" w:color="F79646" w:themeColor="accent6"/>
        </w:tcBorders>
        <w:shd w:val="clear" w:color="FFFFFF" w:fill="auto"/>
      </w:tcPr>
    </w:tblStylePr>
    <w:tblStylePr w:type="lastCol">
      <w:rPr>
        <w:i/>
        <w:color w:val="B15407" w:themeColor="accent6" w:themeShade="95"/>
        <w:sz w:val="22"/>
      </w:rPr>
      <w:tblPr/>
      <w:tcPr>
        <w:tcBorders>
          <w:top w:val="none" w:sz="0" w:space="0" w:color="auto"/>
          <w:left w:val="single" w:sz="4" w:space="0" w:color="F79646" w:themeColor="accent6"/>
          <w:bottom w:val="none" w:sz="0" w:space="0" w:color="auto"/>
          <w:right w:val="none" w:sz="0" w:space="0" w:color="auto"/>
        </w:tcBorders>
        <w:shd w:val="clear" w:color="FFFFFF" w:fill="auto"/>
      </w:tcPr>
    </w:tblStylePr>
    <w:tblStylePr w:type="band1Vert">
      <w:tblPr/>
      <w:tcPr>
        <w:shd w:val="clear" w:color="FDE9D8" w:fill="FDE9D8" w:themeFill="accent6" w:themeFillTint="34"/>
      </w:tcPr>
    </w:tblStylePr>
    <w:tblStylePr w:type="band1Horz">
      <w:rPr>
        <w:color w:val="B15407" w:themeColor="accent6" w:themeShade="95"/>
        <w:sz w:val="22"/>
      </w:rPr>
      <w:tblPr/>
      <w:tcPr>
        <w:shd w:val="clear" w:color="FDE9D8" w:fill="FDE9D8" w:themeFill="accent6" w:themeFillTint="34"/>
      </w:tcPr>
    </w:tblStylePr>
    <w:tblStylePr w:type="band2Horz">
      <w:rPr>
        <w:color w:val="B15407" w:themeColor="accent6" w:themeShade="95"/>
        <w:sz w:val="22"/>
      </w:rPr>
    </w:tblStylePr>
  </w:style>
  <w:style w:type="table" w:styleId="-10">
    <w:name w:val="List Table 1 Light"/>
    <w:uiPriority w:val="99"/>
    <w:tblPr>
      <w:tblStyleRowBandSize w:val="1"/>
      <w:tblStyleColBandSize w:val="1"/>
      <w:tblCellMar>
        <w:top w:w="0" w:type="dxa"/>
        <w:left w:w="0" w:type="dxa"/>
        <w:bottom w:w="0" w:type="dxa"/>
        <w:right w:w="0" w:type="dxa"/>
      </w:tblCellMar>
    </w:tblPr>
    <w:tblStylePr w:type="firstRow">
      <w:rPr>
        <w:b/>
      </w:rPr>
      <w:tblPr/>
      <w:tcPr>
        <w:tcBorders>
          <w:top w:val="none" w:sz="4" w:space="0" w:color="000000"/>
          <w:left w:val="none" w:sz="4" w:space="0" w:color="000000"/>
          <w:bottom w:val="single" w:sz="4" w:space="0" w:color="000000" w:themeColor="text1"/>
          <w:right w:val="none" w:sz="4" w:space="0" w:color="000000"/>
        </w:tcBorders>
      </w:tcPr>
    </w:tblStylePr>
    <w:tblStylePr w:type="lastRow">
      <w:rPr>
        <w:b/>
      </w:rPr>
      <w:tblPr/>
      <w:tcPr>
        <w:tcBorders>
          <w:top w:val="single" w:sz="4" w:space="0" w:color="000000" w:themeColor="text1"/>
          <w:left w:val="none" w:sz="4" w:space="0" w:color="000000"/>
          <w:bottom w:val="none" w:sz="4" w:space="0" w:color="000000"/>
          <w:right w:val="none" w:sz="4" w:space="0" w:color="000000"/>
        </w:tcBorders>
      </w:tcPr>
    </w:tblStylePr>
    <w:tblStylePr w:type="firstCol">
      <w:rPr>
        <w:b/>
      </w:rPr>
    </w:tblStylePr>
    <w:tblStylePr w:type="lastCol">
      <w:rPr>
        <w:b/>
      </w:rPr>
    </w:tblStylePr>
    <w:tblStylePr w:type="band1Vert">
      <w:tblPr/>
      <w:tcPr>
        <w:shd w:val="clear" w:color="BFBFBF" w:fill="BFBFBF" w:themeFill="text1" w:themeFillTint="40"/>
      </w:tcPr>
    </w:tblStylePr>
    <w:tblStylePr w:type="band1Horz">
      <w:tblPr/>
      <w:tcPr>
        <w:shd w:val="clear" w:color="BFBFBF" w:fill="BFBFBF" w:themeFill="text1" w:themeFillTint="40"/>
      </w:tcPr>
    </w:tblStylePr>
  </w:style>
  <w:style w:type="table" w:customStyle="1" w:styleId="ListTable1Light-Accent1">
    <w:name w:val="List Table 1 Light - Accent 1"/>
    <w:uiPriority w:val="99"/>
    <w:tblPr>
      <w:tblStyleRowBandSize w:val="1"/>
      <w:tblStyleColBandSize w:val="1"/>
      <w:tblCellMar>
        <w:top w:w="0" w:type="dxa"/>
        <w:left w:w="0" w:type="dxa"/>
        <w:bottom w:w="0" w:type="dxa"/>
        <w:right w:w="0" w:type="dxa"/>
      </w:tblCellMar>
    </w:tblPr>
    <w:tblStylePr w:type="firstRow">
      <w:rPr>
        <w:b/>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rPr>
    </w:tblStylePr>
    <w:tblStylePr w:type="lastCol">
      <w:rPr>
        <w:b/>
      </w:rPr>
    </w:tblStylePr>
    <w:tblStylePr w:type="band1Vert">
      <w:tblPr/>
      <w:tcPr>
        <w:shd w:val="clear" w:color="D2DFEE" w:fill="D2DFEE" w:themeFill="accent1" w:themeFillTint="40"/>
      </w:tcPr>
    </w:tblStylePr>
    <w:tblStylePr w:type="band1Horz">
      <w:tblPr/>
      <w:tcPr>
        <w:shd w:val="clear" w:color="D2DFEE" w:fill="D2DFEE" w:themeFill="accent1" w:themeFillTint="40"/>
      </w:tcPr>
    </w:tblStylePr>
  </w:style>
  <w:style w:type="table" w:customStyle="1" w:styleId="ListTable1Light-Accent2">
    <w:name w:val="List Table 1 Light - Accent 2"/>
    <w:uiPriority w:val="99"/>
    <w:tblPr>
      <w:tblStyleRowBandSize w:val="1"/>
      <w:tblStyleColBandSize w:val="1"/>
      <w:tblCellMar>
        <w:top w:w="0" w:type="dxa"/>
        <w:left w:w="0" w:type="dxa"/>
        <w:bottom w:w="0" w:type="dxa"/>
        <w:right w:w="0" w:type="dxa"/>
      </w:tblCellMar>
    </w:tblPr>
    <w:tblStylePr w:type="firstRow">
      <w:rPr>
        <w:b/>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rPr>
    </w:tblStylePr>
    <w:tblStylePr w:type="lastCol">
      <w:rPr>
        <w:b/>
      </w:rPr>
    </w:tblStylePr>
    <w:tblStylePr w:type="band1Vert">
      <w:tblPr/>
      <w:tcPr>
        <w:shd w:val="clear" w:color="EFD2D2" w:fill="EFD2D2" w:themeFill="accent2" w:themeFillTint="40"/>
      </w:tcPr>
    </w:tblStylePr>
    <w:tblStylePr w:type="band1Horz">
      <w:tblPr/>
      <w:tcPr>
        <w:shd w:val="clear" w:color="EFD2D2" w:fill="EFD2D2" w:themeFill="accent2" w:themeFillTint="40"/>
      </w:tcPr>
    </w:tblStylePr>
  </w:style>
  <w:style w:type="table" w:customStyle="1" w:styleId="ListTable1Light-Accent3">
    <w:name w:val="List Table 1 Light - Accent 3"/>
    <w:uiPriority w:val="99"/>
    <w:tblPr>
      <w:tblStyleRowBandSize w:val="1"/>
      <w:tblStyleColBandSize w:val="1"/>
      <w:tblCellMar>
        <w:top w:w="0" w:type="dxa"/>
        <w:left w:w="0" w:type="dxa"/>
        <w:bottom w:w="0" w:type="dxa"/>
        <w:right w:w="0" w:type="dxa"/>
      </w:tblCellMar>
    </w:tblPr>
    <w:tblStylePr w:type="firstRow">
      <w:rPr>
        <w:b/>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rPr>
    </w:tblStylePr>
    <w:tblStylePr w:type="lastCol">
      <w:rPr>
        <w:b/>
      </w:rPr>
    </w:tblStylePr>
    <w:tblStylePr w:type="band1Vert">
      <w:tblPr/>
      <w:tcPr>
        <w:shd w:val="clear" w:color="E5EED5" w:fill="E5EED5" w:themeFill="accent3" w:themeFillTint="40"/>
      </w:tcPr>
    </w:tblStylePr>
    <w:tblStylePr w:type="band1Horz">
      <w:tblPr/>
      <w:tcPr>
        <w:shd w:val="clear" w:color="E5EED5" w:fill="E5EED5" w:themeFill="accent3" w:themeFillTint="40"/>
      </w:tcPr>
    </w:tblStylePr>
  </w:style>
  <w:style w:type="table" w:customStyle="1" w:styleId="ListTable1Light-Accent4">
    <w:name w:val="List Table 1 Light - Accent 4"/>
    <w:uiPriority w:val="99"/>
    <w:tblPr>
      <w:tblStyleRowBandSize w:val="1"/>
      <w:tblStyleColBandSize w:val="1"/>
      <w:tblCellMar>
        <w:top w:w="0" w:type="dxa"/>
        <w:left w:w="0" w:type="dxa"/>
        <w:bottom w:w="0" w:type="dxa"/>
        <w:right w:w="0" w:type="dxa"/>
      </w:tblCellMar>
    </w:tblPr>
    <w:tblStylePr w:type="firstRow">
      <w:rPr>
        <w:b/>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rPr>
    </w:tblStylePr>
    <w:tblStylePr w:type="lastCol">
      <w:rPr>
        <w:b/>
      </w:rPr>
    </w:tblStylePr>
    <w:tblStylePr w:type="band1Vert">
      <w:tblPr/>
      <w:tcPr>
        <w:shd w:val="clear" w:color="DFD8E7" w:fill="DFD8E7" w:themeFill="accent4" w:themeFillTint="40"/>
      </w:tcPr>
    </w:tblStylePr>
    <w:tblStylePr w:type="band1Horz">
      <w:tblPr/>
      <w:tcPr>
        <w:shd w:val="clear" w:color="DFD8E7" w:fill="DFD8E7" w:themeFill="accent4" w:themeFillTint="40"/>
      </w:tcPr>
    </w:tblStylePr>
  </w:style>
  <w:style w:type="table" w:customStyle="1" w:styleId="ListTable1Light-Accent5">
    <w:name w:val="List Table 1 Light - Accent 5"/>
    <w:uiPriority w:val="99"/>
    <w:tblPr>
      <w:tblStyleRowBandSize w:val="1"/>
      <w:tblStyleColBandSize w:val="1"/>
      <w:tblCellMar>
        <w:top w:w="0" w:type="dxa"/>
        <w:left w:w="0" w:type="dxa"/>
        <w:bottom w:w="0" w:type="dxa"/>
        <w:right w:w="0" w:type="dxa"/>
      </w:tblCellMar>
    </w:tblPr>
    <w:tblStylePr w:type="firstRow">
      <w:rPr>
        <w:b/>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rPr>
    </w:tblStylePr>
    <w:tblStylePr w:type="lastCol">
      <w:rPr>
        <w:b/>
      </w:rPr>
    </w:tblStylePr>
    <w:tblStylePr w:type="band1Vert">
      <w:tblPr/>
      <w:tcPr>
        <w:shd w:val="clear" w:color="D1EAF0" w:fill="D1EAF0" w:themeFill="accent5" w:themeFillTint="40"/>
      </w:tcPr>
    </w:tblStylePr>
    <w:tblStylePr w:type="band1Horz">
      <w:tblPr/>
      <w:tcPr>
        <w:shd w:val="clear" w:color="D1EAF0" w:fill="D1EAF0" w:themeFill="accent5" w:themeFillTint="40"/>
      </w:tcPr>
    </w:tblStylePr>
  </w:style>
  <w:style w:type="table" w:customStyle="1" w:styleId="ListTable1Light-Accent6">
    <w:name w:val="List Table 1 Light - Accent 6"/>
    <w:uiPriority w:val="99"/>
    <w:tblPr>
      <w:tblStyleRowBandSize w:val="1"/>
      <w:tblStyleColBandSize w:val="1"/>
      <w:tblCellMar>
        <w:top w:w="0" w:type="dxa"/>
        <w:left w:w="0" w:type="dxa"/>
        <w:bottom w:w="0" w:type="dxa"/>
        <w:right w:w="0" w:type="dxa"/>
      </w:tblCellMar>
    </w:tblPr>
    <w:tblStylePr w:type="firstRow">
      <w:rPr>
        <w:b/>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rPr>
    </w:tblStylePr>
    <w:tblStylePr w:type="lastCol">
      <w:rPr>
        <w:b/>
      </w:rPr>
    </w:tblStylePr>
    <w:tblStylePr w:type="band1Vert">
      <w:tblPr/>
      <w:tcPr>
        <w:shd w:val="clear" w:color="FDE4D0" w:fill="FDE4D0" w:themeFill="accent6" w:themeFillTint="40"/>
      </w:tcPr>
    </w:tblStylePr>
    <w:tblStylePr w:type="band1Horz">
      <w:tblPr/>
      <w:tcPr>
        <w:shd w:val="clear" w:color="FDE4D0" w:fill="FDE4D0" w:themeFill="accent6" w:themeFillTint="40"/>
      </w:tcPr>
    </w:tblStylePr>
  </w:style>
  <w:style w:type="table" w:styleId="-20">
    <w:name w:val="List Table 2"/>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0" w:type="dxa"/>
        <w:bottom w:w="0" w:type="dxa"/>
        <w:right w:w="0" w:type="dxa"/>
      </w:tblCellMar>
    </w:tblPr>
    <w:tblStylePr w:type="firstRow">
      <w:rPr>
        <w:b/>
        <w:sz w:val="22"/>
      </w:rPr>
      <w:tblPr/>
      <w:tcPr>
        <w:tcBorders>
          <w:top w:val="single" w:sz="4" w:space="0" w:color="000000" w:themeColor="text1"/>
          <w:left w:val="none" w:sz="4" w:space="0" w:color="000000"/>
          <w:bottom w:val="single" w:sz="4" w:space="0" w:color="000000" w:themeColor="text1"/>
          <w:right w:val="none" w:sz="4" w:space="0" w:color="000000"/>
        </w:tcBorders>
      </w:tcPr>
    </w:tblStylePr>
    <w:tblStylePr w:type="lastRow">
      <w:rPr>
        <w:b/>
        <w:sz w:val="22"/>
      </w:rPr>
      <w:tblPr/>
      <w:tcPr>
        <w:tcBorders>
          <w:top w:val="single" w:sz="4" w:space="0" w:color="000000" w:themeColor="text1"/>
          <w:left w:val="none" w:sz="4" w:space="0" w:color="000000"/>
          <w:bottom w:val="single" w:sz="4" w:space="0" w:color="000000" w:themeColor="text1"/>
          <w:right w:val="none" w:sz="4" w:space="0" w:color="000000"/>
        </w:tcBorders>
      </w:tcPr>
    </w:tblStylePr>
    <w:tblStylePr w:type="firstCol">
      <w:rPr>
        <w:b/>
        <w:sz w:val="22"/>
      </w:rPr>
    </w:tblStylePr>
    <w:tblStylePr w:type="lastCol">
      <w:rPr>
        <w:b/>
        <w:sz w:val="22"/>
      </w:rPr>
    </w:tblStylePr>
    <w:tblStylePr w:type="band1Vert">
      <w:rPr>
        <w:sz w:val="22"/>
      </w:rPr>
      <w:tblPr/>
      <w:tcPr>
        <w:shd w:val="clear" w:color="BFBFBF" w:fill="BFBFBF" w:themeFill="text1" w:themeFillTint="40"/>
      </w:tcPr>
    </w:tblStylePr>
    <w:tblStylePr w:type="band1Horz">
      <w:rPr>
        <w:sz w:val="22"/>
      </w:rPr>
      <w:tblPr/>
      <w:tcPr>
        <w:shd w:val="clear" w:color="BFBFBF" w:fill="BFBFBF" w:themeFill="text1" w:themeFillTint="40"/>
      </w:tcPr>
    </w:tblStylePr>
  </w:style>
  <w:style w:type="table" w:customStyle="1" w:styleId="ListTable2-Accent1">
    <w:name w:val="List Table 2 - Accent 1"/>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CellMar>
        <w:top w:w="0" w:type="dxa"/>
        <w:left w:w="0" w:type="dxa"/>
        <w:bottom w:w="0" w:type="dxa"/>
        <w:right w:w="0" w:type="dxa"/>
      </w:tblCellMar>
    </w:tblPr>
    <w:tblStylePr w:type="firstRow">
      <w:rPr>
        <w:b/>
        <w:sz w:val="22"/>
      </w:rPr>
      <w:tblPr/>
      <w:tcPr>
        <w:tcBorders>
          <w:top w:val="single" w:sz="4" w:space="0" w:color="4F81BD" w:themeColor="accent1"/>
          <w:left w:val="none" w:sz="4" w:space="0" w:color="000000"/>
          <w:bottom w:val="single" w:sz="4" w:space="0" w:color="4F81BD" w:themeColor="accent1"/>
          <w:right w:val="none" w:sz="4" w:space="0" w:color="000000"/>
        </w:tcBorders>
      </w:tcPr>
    </w:tblStylePr>
    <w:tblStylePr w:type="lastRow">
      <w:rPr>
        <w:b/>
        <w:sz w:val="22"/>
      </w:rPr>
      <w:tblPr/>
      <w:tcPr>
        <w:tcBorders>
          <w:top w:val="single" w:sz="4" w:space="0" w:color="4F81BD" w:themeColor="accent1"/>
          <w:left w:val="none" w:sz="4" w:space="0" w:color="000000"/>
          <w:bottom w:val="single" w:sz="4" w:space="0" w:color="4F81BD" w:themeColor="accent1"/>
          <w:right w:val="none" w:sz="4" w:space="0" w:color="000000"/>
        </w:tcBorders>
      </w:tcPr>
    </w:tblStylePr>
    <w:tblStylePr w:type="firstCol">
      <w:rPr>
        <w:b/>
        <w:sz w:val="22"/>
      </w:rPr>
    </w:tblStylePr>
    <w:tblStylePr w:type="lastCol">
      <w:rPr>
        <w:b/>
        <w:sz w:val="22"/>
      </w:rPr>
    </w:tblStylePr>
    <w:tblStylePr w:type="band1Vert">
      <w:rPr>
        <w:sz w:val="22"/>
      </w:rPr>
      <w:tblPr/>
      <w:tcPr>
        <w:shd w:val="clear" w:color="D2DFEE" w:fill="D2DFEE" w:themeFill="accent1" w:themeFillTint="40"/>
      </w:tcPr>
    </w:tblStylePr>
    <w:tblStylePr w:type="band1Horz">
      <w:rPr>
        <w:sz w:val="22"/>
      </w:rPr>
      <w:tblPr/>
      <w:tcPr>
        <w:shd w:val="clear" w:color="D2DFEE" w:fill="D2DFEE" w:themeFill="accent1" w:themeFillTint="40"/>
      </w:tcPr>
    </w:tblStylePr>
  </w:style>
  <w:style w:type="table" w:customStyle="1" w:styleId="ListTable2-Accent2">
    <w:name w:val="List Table 2 - Accent 2"/>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CellMar>
        <w:top w:w="0" w:type="dxa"/>
        <w:left w:w="0" w:type="dxa"/>
        <w:bottom w:w="0" w:type="dxa"/>
        <w:right w:w="0" w:type="dxa"/>
      </w:tblCellMar>
    </w:tblPr>
    <w:tblStylePr w:type="firstRow">
      <w:rPr>
        <w:b/>
        <w:sz w:val="22"/>
      </w:rPr>
      <w:tblPr/>
      <w:tcPr>
        <w:tcBorders>
          <w:top w:val="single" w:sz="4" w:space="0" w:color="C0504D" w:themeColor="accent2"/>
          <w:left w:val="none" w:sz="4" w:space="0" w:color="000000"/>
          <w:bottom w:val="single" w:sz="4" w:space="0" w:color="C0504D" w:themeColor="accent2"/>
          <w:right w:val="none" w:sz="4" w:space="0" w:color="000000"/>
        </w:tcBorders>
      </w:tcPr>
    </w:tblStylePr>
    <w:tblStylePr w:type="lastRow">
      <w:rPr>
        <w:b/>
        <w:sz w:val="22"/>
      </w:rPr>
      <w:tblPr/>
      <w:tcPr>
        <w:tcBorders>
          <w:top w:val="single" w:sz="4" w:space="0" w:color="C0504D" w:themeColor="accent2"/>
          <w:left w:val="none" w:sz="4" w:space="0" w:color="000000"/>
          <w:bottom w:val="single" w:sz="4" w:space="0" w:color="C0504D" w:themeColor="accent2"/>
          <w:right w:val="none" w:sz="4" w:space="0" w:color="000000"/>
        </w:tcBorders>
      </w:tcPr>
    </w:tblStylePr>
    <w:tblStylePr w:type="firstCol">
      <w:rPr>
        <w:b/>
        <w:sz w:val="22"/>
      </w:rPr>
    </w:tblStylePr>
    <w:tblStylePr w:type="lastCol">
      <w:rPr>
        <w:b/>
        <w:sz w:val="22"/>
      </w:rPr>
    </w:tblStylePr>
    <w:tblStylePr w:type="band1Vert">
      <w:rPr>
        <w:sz w:val="22"/>
      </w:rPr>
      <w:tblPr/>
      <w:tcPr>
        <w:shd w:val="clear" w:color="EFD2D2" w:fill="EFD2D2" w:themeFill="accent2" w:themeFillTint="40"/>
      </w:tcPr>
    </w:tblStylePr>
    <w:tblStylePr w:type="band1Horz">
      <w:rPr>
        <w:sz w:val="22"/>
      </w:rPr>
      <w:tblPr/>
      <w:tcPr>
        <w:shd w:val="clear" w:color="EFD2D2" w:fill="EFD2D2" w:themeFill="accent2" w:themeFillTint="40"/>
      </w:tcPr>
    </w:tblStylePr>
  </w:style>
  <w:style w:type="table" w:customStyle="1" w:styleId="ListTable2-Accent3">
    <w:name w:val="List Table 2 - Accent 3"/>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CellMar>
        <w:top w:w="0" w:type="dxa"/>
        <w:left w:w="0" w:type="dxa"/>
        <w:bottom w:w="0" w:type="dxa"/>
        <w:right w:w="0" w:type="dxa"/>
      </w:tblCellMar>
    </w:tblPr>
    <w:tblStylePr w:type="firstRow">
      <w:rPr>
        <w:b/>
        <w:sz w:val="22"/>
      </w:rPr>
      <w:tblPr/>
      <w:tcPr>
        <w:tcBorders>
          <w:top w:val="single" w:sz="4" w:space="0" w:color="9BBB59" w:themeColor="accent3"/>
          <w:left w:val="none" w:sz="4" w:space="0" w:color="000000"/>
          <w:bottom w:val="single" w:sz="4" w:space="0" w:color="9BBB59" w:themeColor="accent3"/>
          <w:right w:val="none" w:sz="4" w:space="0" w:color="000000"/>
        </w:tcBorders>
      </w:tcPr>
    </w:tblStylePr>
    <w:tblStylePr w:type="lastRow">
      <w:rPr>
        <w:b/>
        <w:sz w:val="22"/>
      </w:rPr>
      <w:tblPr/>
      <w:tcPr>
        <w:tcBorders>
          <w:top w:val="single" w:sz="4" w:space="0" w:color="9BBB59" w:themeColor="accent3"/>
          <w:left w:val="none" w:sz="4" w:space="0" w:color="000000"/>
          <w:bottom w:val="single" w:sz="4" w:space="0" w:color="9BBB59" w:themeColor="accent3"/>
          <w:right w:val="none" w:sz="4" w:space="0" w:color="000000"/>
        </w:tcBorders>
      </w:tcPr>
    </w:tblStylePr>
    <w:tblStylePr w:type="firstCol">
      <w:rPr>
        <w:b/>
        <w:sz w:val="22"/>
      </w:rPr>
    </w:tblStylePr>
    <w:tblStylePr w:type="lastCol">
      <w:rPr>
        <w:b/>
        <w:sz w:val="22"/>
      </w:rPr>
    </w:tblStylePr>
    <w:tblStylePr w:type="band1Vert">
      <w:rPr>
        <w:sz w:val="22"/>
      </w:rPr>
      <w:tblPr/>
      <w:tcPr>
        <w:shd w:val="clear" w:color="E5EED5" w:fill="E5EED5" w:themeFill="accent3" w:themeFillTint="40"/>
      </w:tcPr>
    </w:tblStylePr>
    <w:tblStylePr w:type="band1Horz">
      <w:rPr>
        <w:sz w:val="22"/>
      </w:rPr>
      <w:tblPr/>
      <w:tcPr>
        <w:shd w:val="clear" w:color="E5EED5" w:fill="E5EED5" w:themeFill="accent3" w:themeFillTint="40"/>
      </w:tcPr>
    </w:tblStylePr>
  </w:style>
  <w:style w:type="table" w:customStyle="1" w:styleId="ListTable2-Accent4">
    <w:name w:val="List Table 2 - Accent 4"/>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CellMar>
        <w:top w:w="0" w:type="dxa"/>
        <w:left w:w="0" w:type="dxa"/>
        <w:bottom w:w="0" w:type="dxa"/>
        <w:right w:w="0" w:type="dxa"/>
      </w:tblCellMar>
    </w:tblPr>
    <w:tblStylePr w:type="firstRow">
      <w:rPr>
        <w:b/>
        <w:sz w:val="22"/>
      </w:rPr>
      <w:tblPr/>
      <w:tcPr>
        <w:tcBorders>
          <w:top w:val="single" w:sz="4" w:space="0" w:color="8064A2" w:themeColor="accent4"/>
          <w:left w:val="none" w:sz="4" w:space="0" w:color="000000"/>
          <w:bottom w:val="single" w:sz="4" w:space="0" w:color="8064A2" w:themeColor="accent4"/>
          <w:right w:val="none" w:sz="4" w:space="0" w:color="000000"/>
        </w:tcBorders>
      </w:tcPr>
    </w:tblStylePr>
    <w:tblStylePr w:type="lastRow">
      <w:rPr>
        <w:b/>
        <w:sz w:val="22"/>
      </w:rPr>
      <w:tblPr/>
      <w:tcPr>
        <w:tcBorders>
          <w:top w:val="single" w:sz="4" w:space="0" w:color="8064A2" w:themeColor="accent4"/>
          <w:left w:val="none" w:sz="4" w:space="0" w:color="000000"/>
          <w:bottom w:val="single" w:sz="4" w:space="0" w:color="8064A2" w:themeColor="accent4"/>
          <w:right w:val="none" w:sz="4" w:space="0" w:color="000000"/>
        </w:tcBorders>
      </w:tcPr>
    </w:tblStylePr>
    <w:tblStylePr w:type="firstCol">
      <w:rPr>
        <w:b/>
        <w:sz w:val="22"/>
      </w:rPr>
    </w:tblStylePr>
    <w:tblStylePr w:type="lastCol">
      <w:rPr>
        <w:b/>
        <w:sz w:val="22"/>
      </w:rPr>
    </w:tblStylePr>
    <w:tblStylePr w:type="band1Vert">
      <w:rPr>
        <w:sz w:val="22"/>
      </w:rPr>
      <w:tblPr/>
      <w:tcPr>
        <w:shd w:val="clear" w:color="DFD8E7" w:fill="DFD8E7" w:themeFill="accent4" w:themeFillTint="40"/>
      </w:tcPr>
    </w:tblStylePr>
    <w:tblStylePr w:type="band1Horz">
      <w:rPr>
        <w:sz w:val="22"/>
      </w:rPr>
      <w:tblPr/>
      <w:tcPr>
        <w:shd w:val="clear" w:color="DFD8E7" w:fill="DFD8E7" w:themeFill="accent4" w:themeFillTint="40"/>
      </w:tcPr>
    </w:tblStylePr>
  </w:style>
  <w:style w:type="table" w:customStyle="1" w:styleId="ListTable2-Accent5">
    <w:name w:val="List Table 2 - Accent 5"/>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CellMar>
        <w:top w:w="0" w:type="dxa"/>
        <w:left w:w="0" w:type="dxa"/>
        <w:bottom w:w="0" w:type="dxa"/>
        <w:right w:w="0" w:type="dxa"/>
      </w:tblCellMar>
    </w:tblPr>
    <w:tblStylePr w:type="firstRow">
      <w:rPr>
        <w:b/>
        <w:sz w:val="22"/>
      </w:rPr>
      <w:tblPr/>
      <w:tcPr>
        <w:tcBorders>
          <w:top w:val="single" w:sz="4" w:space="0" w:color="4BACC6" w:themeColor="accent5"/>
          <w:left w:val="none" w:sz="4" w:space="0" w:color="000000"/>
          <w:bottom w:val="single" w:sz="4" w:space="0" w:color="4BACC6" w:themeColor="accent5"/>
          <w:right w:val="none" w:sz="4" w:space="0" w:color="000000"/>
        </w:tcBorders>
      </w:tcPr>
    </w:tblStylePr>
    <w:tblStylePr w:type="lastRow">
      <w:rPr>
        <w:b/>
        <w:sz w:val="22"/>
      </w:rPr>
      <w:tblPr/>
      <w:tcPr>
        <w:tcBorders>
          <w:top w:val="single" w:sz="4" w:space="0" w:color="4BACC6" w:themeColor="accent5"/>
          <w:left w:val="none" w:sz="4" w:space="0" w:color="000000"/>
          <w:bottom w:val="single" w:sz="4" w:space="0" w:color="4BACC6" w:themeColor="accent5"/>
          <w:right w:val="none" w:sz="4" w:space="0" w:color="000000"/>
        </w:tcBorders>
      </w:tcPr>
    </w:tblStylePr>
    <w:tblStylePr w:type="firstCol">
      <w:rPr>
        <w:b/>
        <w:sz w:val="22"/>
      </w:rPr>
    </w:tblStylePr>
    <w:tblStylePr w:type="lastCol">
      <w:rPr>
        <w:b/>
        <w:sz w:val="22"/>
      </w:rPr>
    </w:tblStylePr>
    <w:tblStylePr w:type="band1Vert">
      <w:rPr>
        <w:sz w:val="22"/>
      </w:rPr>
      <w:tblPr/>
      <w:tcPr>
        <w:shd w:val="clear" w:color="D1EAF0" w:fill="D1EAF0" w:themeFill="accent5" w:themeFillTint="40"/>
      </w:tcPr>
    </w:tblStylePr>
    <w:tblStylePr w:type="band1Horz">
      <w:rPr>
        <w:sz w:val="22"/>
      </w:rPr>
      <w:tblPr/>
      <w:tcPr>
        <w:shd w:val="clear" w:color="D1EAF0" w:fill="D1EAF0" w:themeFill="accent5" w:themeFillTint="40"/>
      </w:tcPr>
    </w:tblStylePr>
  </w:style>
  <w:style w:type="table" w:customStyle="1" w:styleId="ListTable2-Accent6">
    <w:name w:val="List Table 2 - Accent 6"/>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CellMar>
        <w:top w:w="0" w:type="dxa"/>
        <w:left w:w="0" w:type="dxa"/>
        <w:bottom w:w="0" w:type="dxa"/>
        <w:right w:w="0" w:type="dxa"/>
      </w:tblCellMar>
    </w:tblPr>
    <w:tblStylePr w:type="firstRow">
      <w:rPr>
        <w:b/>
        <w:sz w:val="22"/>
      </w:rPr>
      <w:tblPr/>
      <w:tcPr>
        <w:tcBorders>
          <w:top w:val="single" w:sz="4" w:space="0" w:color="F79646" w:themeColor="accent6"/>
          <w:left w:val="none" w:sz="4" w:space="0" w:color="000000"/>
          <w:bottom w:val="single" w:sz="4" w:space="0" w:color="F79646" w:themeColor="accent6"/>
          <w:right w:val="none" w:sz="4" w:space="0" w:color="000000"/>
        </w:tcBorders>
      </w:tcPr>
    </w:tblStylePr>
    <w:tblStylePr w:type="lastRow">
      <w:rPr>
        <w:b/>
        <w:sz w:val="22"/>
      </w:rPr>
      <w:tblPr/>
      <w:tcPr>
        <w:tcBorders>
          <w:top w:val="single" w:sz="4" w:space="0" w:color="F79646" w:themeColor="accent6"/>
          <w:left w:val="none" w:sz="4" w:space="0" w:color="000000"/>
          <w:bottom w:val="single" w:sz="4" w:space="0" w:color="F79646" w:themeColor="accent6"/>
          <w:right w:val="none" w:sz="4" w:space="0" w:color="000000"/>
        </w:tcBorders>
      </w:tcPr>
    </w:tblStylePr>
    <w:tblStylePr w:type="firstCol">
      <w:rPr>
        <w:b/>
        <w:sz w:val="22"/>
      </w:rPr>
    </w:tblStylePr>
    <w:tblStylePr w:type="lastCol">
      <w:rPr>
        <w:b/>
        <w:sz w:val="22"/>
      </w:rPr>
    </w:tblStylePr>
    <w:tblStylePr w:type="band1Vert">
      <w:rPr>
        <w:sz w:val="22"/>
      </w:rPr>
      <w:tblPr/>
      <w:tcPr>
        <w:shd w:val="clear" w:color="FDE4D0" w:fill="FDE4D0" w:themeFill="accent6" w:themeFillTint="40"/>
      </w:tcPr>
    </w:tblStylePr>
    <w:tblStylePr w:type="band1Horz">
      <w:rPr>
        <w:sz w:val="22"/>
      </w:rPr>
      <w:tblPr/>
      <w:tcPr>
        <w:shd w:val="clear" w:color="FDE4D0" w:fill="FDE4D0" w:themeFill="accent6" w:themeFillTint="40"/>
      </w:tcPr>
    </w:tblStylePr>
  </w:style>
  <w:style w:type="table" w:styleId="-31">
    <w:name w:val="List Table 3"/>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0" w:type="dxa"/>
        <w:bottom w:w="0" w:type="dxa"/>
        <w:right w:w="0" w:type="dxa"/>
      </w:tblCellMar>
    </w:tblPr>
    <w:tblStylePr w:type="firstRow">
      <w:rPr>
        <w:b/>
        <w:sz w:val="22"/>
      </w:rPr>
      <w:tblPr/>
      <w:tcPr>
        <w:shd w:val="clear" w:color="000000" w:fill="000000" w:themeFill="text1"/>
      </w:tcPr>
    </w:tblStylePr>
    <w:tblStylePr w:type="lastRow">
      <w:rPr>
        <w:b/>
      </w:rPr>
    </w:tblStylePr>
    <w:tblStylePr w:type="firstCol">
      <w:rPr>
        <w:b/>
      </w:rPr>
    </w:tblStylePr>
    <w:tblStylePr w:type="lastCol">
      <w:rPr>
        <w:b/>
      </w:rPr>
    </w:tblStylePr>
    <w:tblStylePr w:type="band1Vert">
      <w:rPr>
        <w:sz w:val="22"/>
      </w:rPr>
      <w:tblPr/>
      <w:tcPr>
        <w:tcBorders>
          <w:left w:val="single" w:sz="4" w:space="0" w:color="000000" w:themeColor="text1"/>
          <w:right w:val="single" w:sz="4" w:space="0" w:color="000000" w:themeColor="text1"/>
        </w:tcBorders>
      </w:tcPr>
    </w:tblStylePr>
    <w:tblStylePr w:type="band1Horz">
      <w:rPr>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0" w:type="dxa"/>
        <w:bottom w:w="0" w:type="dxa"/>
        <w:right w:w="0" w:type="dxa"/>
      </w:tblCellMar>
    </w:tblPr>
    <w:tblStylePr w:type="firstRow">
      <w:rPr>
        <w:b/>
        <w:sz w:val="22"/>
      </w:rPr>
      <w:tblPr/>
      <w:tcPr>
        <w:shd w:val="clear" w:color="4F81BD" w:fill="4F81BD" w:themeFill="accent1"/>
      </w:tcPr>
    </w:tblStylePr>
    <w:tblStylePr w:type="lastRow">
      <w:rPr>
        <w:b/>
      </w:rPr>
    </w:tblStylePr>
    <w:tblStylePr w:type="firstCol">
      <w:rPr>
        <w:b/>
      </w:rPr>
    </w:tblStylePr>
    <w:tblStylePr w:type="lastCol">
      <w:rPr>
        <w:b/>
      </w:rPr>
    </w:tblStylePr>
    <w:tblStylePr w:type="band1Vert">
      <w:rPr>
        <w:sz w:val="22"/>
      </w:rPr>
      <w:tblPr/>
      <w:tcPr>
        <w:tcBorders>
          <w:left w:val="single" w:sz="4" w:space="0" w:color="4F81BD" w:themeColor="accent1"/>
          <w:right w:val="single" w:sz="4" w:space="0" w:color="4F81BD" w:themeColor="accent1"/>
        </w:tcBorders>
      </w:tcPr>
    </w:tblStylePr>
    <w:tblStylePr w:type="band1Horz">
      <w:rPr>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CellMar>
        <w:top w:w="0" w:type="dxa"/>
        <w:left w:w="0" w:type="dxa"/>
        <w:bottom w:w="0" w:type="dxa"/>
        <w:right w:w="0" w:type="dxa"/>
      </w:tblCellMar>
    </w:tblPr>
    <w:tblStylePr w:type="firstRow">
      <w:rPr>
        <w:b/>
        <w:sz w:val="22"/>
      </w:rPr>
      <w:tblPr/>
      <w:tcPr>
        <w:shd w:val="clear" w:color="D99695" w:fill="D99695" w:themeFill="accent2" w:themeFillTint="97"/>
      </w:tcPr>
    </w:tblStylePr>
    <w:tblStylePr w:type="lastRow">
      <w:rPr>
        <w:b/>
      </w:rPr>
    </w:tblStylePr>
    <w:tblStylePr w:type="firstCol">
      <w:rPr>
        <w:b/>
      </w:rPr>
    </w:tblStylePr>
    <w:tblStylePr w:type="lastCol">
      <w:rPr>
        <w:b/>
      </w:rPr>
    </w:tblStylePr>
    <w:tblStylePr w:type="band1Vert">
      <w:rPr>
        <w:sz w:val="22"/>
      </w:rPr>
      <w:tblPr/>
      <w:tcPr>
        <w:tcBorders>
          <w:left w:val="single" w:sz="4" w:space="0" w:color="C0504D" w:themeColor="accent2"/>
          <w:right w:val="single" w:sz="4" w:space="0" w:color="C0504D" w:themeColor="accent2"/>
        </w:tcBorders>
      </w:tcPr>
    </w:tblStylePr>
    <w:tblStylePr w:type="band1Horz">
      <w:rPr>
        <w:sz w:val="22"/>
      </w:rPr>
      <w:tblPr/>
      <w:tcPr>
        <w:tcBorders>
          <w:top w:val="single" w:sz="4" w:space="0" w:color="C0504D" w:themeColor="accent2"/>
          <w:bottom w:val="single" w:sz="4" w:space="0" w:color="C0504D" w:themeColor="accent2"/>
        </w:tcBorders>
      </w:tcPr>
    </w:tblStylePr>
  </w:style>
  <w:style w:type="table" w:customStyle="1" w:styleId="ListTable3-Accent3">
    <w:name w:val="List Table 3 - Accent 3"/>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CellMar>
        <w:top w:w="0" w:type="dxa"/>
        <w:left w:w="0" w:type="dxa"/>
        <w:bottom w:w="0" w:type="dxa"/>
        <w:right w:w="0" w:type="dxa"/>
      </w:tblCellMar>
    </w:tblPr>
    <w:tblStylePr w:type="firstRow">
      <w:rPr>
        <w:b/>
        <w:sz w:val="22"/>
      </w:rPr>
      <w:tblPr/>
      <w:tcPr>
        <w:shd w:val="clear" w:color="C3D69B" w:fill="C3D69B" w:themeFill="accent3" w:themeFillTint="98"/>
      </w:tcPr>
    </w:tblStylePr>
    <w:tblStylePr w:type="lastRow">
      <w:rPr>
        <w:b/>
      </w:rPr>
    </w:tblStylePr>
    <w:tblStylePr w:type="firstCol">
      <w:rPr>
        <w:b/>
      </w:rPr>
    </w:tblStylePr>
    <w:tblStylePr w:type="lastCol">
      <w:rPr>
        <w:b/>
      </w:rPr>
    </w:tblStylePr>
    <w:tblStylePr w:type="band1Vert">
      <w:rPr>
        <w:sz w:val="22"/>
      </w:rPr>
      <w:tblPr/>
      <w:tcPr>
        <w:tcBorders>
          <w:left w:val="single" w:sz="4" w:space="0" w:color="9BBB59" w:themeColor="accent3"/>
          <w:right w:val="single" w:sz="4" w:space="0" w:color="9BBB59" w:themeColor="accent3"/>
        </w:tcBorders>
      </w:tcPr>
    </w:tblStylePr>
    <w:tblStylePr w:type="band1Horz">
      <w:rPr>
        <w:sz w:val="22"/>
      </w:rPr>
      <w:tblPr/>
      <w:tcPr>
        <w:tcBorders>
          <w:top w:val="single" w:sz="4" w:space="0" w:color="9BBB59" w:themeColor="accent3"/>
          <w:bottom w:val="single" w:sz="4" w:space="0" w:color="9BBB59" w:themeColor="accent3"/>
        </w:tcBorders>
      </w:tcPr>
    </w:tblStylePr>
  </w:style>
  <w:style w:type="table" w:customStyle="1" w:styleId="ListTable3-Accent4">
    <w:name w:val="List Table 3 - Accent 4"/>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CellMar>
        <w:top w:w="0" w:type="dxa"/>
        <w:left w:w="0" w:type="dxa"/>
        <w:bottom w:w="0" w:type="dxa"/>
        <w:right w:w="0" w:type="dxa"/>
      </w:tblCellMar>
    </w:tblPr>
    <w:tblStylePr w:type="firstRow">
      <w:rPr>
        <w:b/>
        <w:sz w:val="22"/>
      </w:rPr>
      <w:tblPr/>
      <w:tcPr>
        <w:shd w:val="clear" w:color="B2A1C6" w:fill="B2A1C6" w:themeFill="accent4" w:themeFillTint="9A"/>
      </w:tcPr>
    </w:tblStylePr>
    <w:tblStylePr w:type="lastRow">
      <w:rPr>
        <w:b/>
      </w:rPr>
    </w:tblStylePr>
    <w:tblStylePr w:type="firstCol">
      <w:rPr>
        <w:b/>
      </w:rPr>
    </w:tblStylePr>
    <w:tblStylePr w:type="lastCol">
      <w:rPr>
        <w:b/>
      </w:rPr>
    </w:tblStylePr>
    <w:tblStylePr w:type="band1Vert">
      <w:rPr>
        <w:sz w:val="22"/>
      </w:rPr>
      <w:tblPr/>
      <w:tcPr>
        <w:tcBorders>
          <w:left w:val="single" w:sz="4" w:space="0" w:color="8064A2" w:themeColor="accent4"/>
          <w:right w:val="single" w:sz="4" w:space="0" w:color="8064A2" w:themeColor="accent4"/>
        </w:tcBorders>
      </w:tcPr>
    </w:tblStylePr>
    <w:tblStylePr w:type="band1Horz">
      <w:rPr>
        <w:sz w:val="22"/>
      </w:rPr>
      <w:tblPr/>
      <w:tcPr>
        <w:tcBorders>
          <w:top w:val="single" w:sz="4" w:space="0" w:color="8064A2" w:themeColor="accent4"/>
          <w:bottom w:val="single" w:sz="4" w:space="0" w:color="8064A2" w:themeColor="accent4"/>
        </w:tcBorders>
      </w:tcPr>
    </w:tblStylePr>
  </w:style>
  <w:style w:type="table" w:customStyle="1" w:styleId="ListTable3-Accent5">
    <w:name w:val="List Table 3 - Accent 5"/>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CellMar>
        <w:top w:w="0" w:type="dxa"/>
        <w:left w:w="0" w:type="dxa"/>
        <w:bottom w:w="0" w:type="dxa"/>
        <w:right w:w="0" w:type="dxa"/>
      </w:tblCellMar>
    </w:tblPr>
    <w:tblStylePr w:type="firstRow">
      <w:rPr>
        <w:b/>
        <w:sz w:val="22"/>
      </w:rPr>
      <w:tblPr/>
      <w:tcPr>
        <w:shd w:val="clear" w:color="92CCDC" w:fill="92CCDC" w:themeFill="accent5" w:themeFillTint="9A"/>
      </w:tcPr>
    </w:tblStylePr>
    <w:tblStylePr w:type="lastRow">
      <w:rPr>
        <w:b/>
      </w:rPr>
    </w:tblStylePr>
    <w:tblStylePr w:type="firstCol">
      <w:rPr>
        <w:b/>
      </w:rPr>
    </w:tblStylePr>
    <w:tblStylePr w:type="lastCol">
      <w:rPr>
        <w:b/>
      </w:rPr>
    </w:tblStylePr>
    <w:tblStylePr w:type="band1Vert">
      <w:rPr>
        <w:sz w:val="22"/>
      </w:rPr>
      <w:tblPr/>
      <w:tcPr>
        <w:tcBorders>
          <w:left w:val="single" w:sz="4" w:space="0" w:color="4BACC6" w:themeColor="accent5"/>
          <w:right w:val="single" w:sz="4" w:space="0" w:color="4BACC6" w:themeColor="accent5"/>
        </w:tcBorders>
      </w:tcPr>
    </w:tblStylePr>
    <w:tblStylePr w:type="band1Horz">
      <w:rPr>
        <w:sz w:val="22"/>
      </w:rPr>
      <w:tblPr/>
      <w:tcPr>
        <w:tcBorders>
          <w:top w:val="single" w:sz="4" w:space="0" w:color="4BACC6" w:themeColor="accent5"/>
          <w:bottom w:val="single" w:sz="4" w:space="0" w:color="4BACC6" w:themeColor="accent5"/>
        </w:tcBorders>
      </w:tcPr>
    </w:tblStylePr>
  </w:style>
  <w:style w:type="table" w:customStyle="1" w:styleId="ListTable3-Accent6">
    <w:name w:val="List Table 3 - Accent 6"/>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CellMar>
        <w:top w:w="0" w:type="dxa"/>
        <w:left w:w="0" w:type="dxa"/>
        <w:bottom w:w="0" w:type="dxa"/>
        <w:right w:w="0" w:type="dxa"/>
      </w:tblCellMar>
    </w:tblPr>
    <w:tblStylePr w:type="firstRow">
      <w:rPr>
        <w:b/>
        <w:sz w:val="22"/>
      </w:rPr>
      <w:tblPr/>
      <w:tcPr>
        <w:shd w:val="clear" w:color="FAC090" w:fill="FAC090" w:themeFill="accent6" w:themeFillTint="98"/>
      </w:tcPr>
    </w:tblStylePr>
    <w:tblStylePr w:type="lastRow">
      <w:rPr>
        <w:b/>
      </w:rPr>
    </w:tblStylePr>
    <w:tblStylePr w:type="firstCol">
      <w:rPr>
        <w:b/>
      </w:rPr>
    </w:tblStylePr>
    <w:tblStylePr w:type="lastCol">
      <w:rPr>
        <w:b/>
      </w:rPr>
    </w:tblStylePr>
    <w:tblStylePr w:type="band1Vert">
      <w:rPr>
        <w:sz w:val="22"/>
      </w:rPr>
      <w:tblPr/>
      <w:tcPr>
        <w:tcBorders>
          <w:left w:val="single" w:sz="4" w:space="0" w:color="F79646" w:themeColor="accent6"/>
          <w:right w:val="single" w:sz="4" w:space="0" w:color="F79646" w:themeColor="accent6"/>
        </w:tcBorders>
      </w:tcPr>
    </w:tblStylePr>
    <w:tblStylePr w:type="band1Horz">
      <w:rPr>
        <w:sz w:val="22"/>
      </w:rPr>
      <w:tblPr/>
      <w:tcPr>
        <w:tcBorders>
          <w:top w:val="single" w:sz="4" w:space="0" w:color="F79646" w:themeColor="accent6"/>
          <w:bottom w:val="single" w:sz="4" w:space="0" w:color="F79646" w:themeColor="accent6"/>
        </w:tcBorders>
      </w:tcPr>
    </w:tblStylePr>
  </w:style>
  <w:style w:type="table" w:styleId="-41">
    <w:name w:val="List Table 4"/>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0" w:type="dxa"/>
        <w:bottom w:w="0" w:type="dxa"/>
        <w:right w:w="0" w:type="dxa"/>
      </w:tblCellMar>
    </w:tblPr>
    <w:tblStylePr w:type="firstRow">
      <w:rPr>
        <w:b/>
        <w:sz w:val="22"/>
      </w:rPr>
      <w:tblPr/>
      <w:tcPr>
        <w:shd w:val="clear" w:color="000000" w:fill="000000" w:themeFill="text1"/>
      </w:tcPr>
    </w:tblStylePr>
    <w:tblStylePr w:type="lastRow">
      <w:rPr>
        <w:b/>
      </w:rPr>
    </w:tblStylePr>
    <w:tblStylePr w:type="firstCol">
      <w:rPr>
        <w:b/>
      </w:rPr>
    </w:tblStylePr>
    <w:tblStylePr w:type="lastCol">
      <w:rPr>
        <w:b/>
      </w:rPr>
    </w:tblStylePr>
    <w:tblStylePr w:type="band1Vert">
      <w:rPr>
        <w:sz w:val="22"/>
      </w:rPr>
      <w:tblPr/>
      <w:tcPr>
        <w:shd w:val="clear" w:color="BFBFBF" w:fill="BFBFBF" w:themeFill="text1" w:themeFillTint="40"/>
      </w:tcPr>
    </w:tblStylePr>
    <w:tblStylePr w:type="band1Horz">
      <w:rPr>
        <w:sz w:val="22"/>
      </w:rPr>
      <w:tblPr/>
      <w:tcPr>
        <w:shd w:val="clear" w:color="BFBFBF" w:fill="BFBFBF" w:themeFill="text1" w:themeFillTint="40"/>
      </w:tcPr>
    </w:tblStylePr>
  </w:style>
  <w:style w:type="table" w:customStyle="1" w:styleId="ListTable4-Accent1">
    <w:name w:val="List Table 4 - Accent 1"/>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CellMar>
        <w:top w:w="0" w:type="dxa"/>
        <w:left w:w="0" w:type="dxa"/>
        <w:bottom w:w="0" w:type="dxa"/>
        <w:right w:w="0" w:type="dxa"/>
      </w:tblCellMar>
    </w:tblPr>
    <w:tblStylePr w:type="firstRow">
      <w:rPr>
        <w:b/>
        <w:sz w:val="22"/>
      </w:rPr>
      <w:tblPr/>
      <w:tcPr>
        <w:shd w:val="clear" w:color="4F81BD" w:fill="4F81BD" w:themeFill="accent1"/>
      </w:tcPr>
    </w:tblStylePr>
    <w:tblStylePr w:type="lastRow">
      <w:rPr>
        <w:b/>
      </w:rPr>
    </w:tblStylePr>
    <w:tblStylePr w:type="firstCol">
      <w:rPr>
        <w:b/>
      </w:rPr>
    </w:tblStylePr>
    <w:tblStylePr w:type="lastCol">
      <w:rPr>
        <w:b/>
      </w:rPr>
    </w:tblStylePr>
    <w:tblStylePr w:type="band1Vert">
      <w:rPr>
        <w:sz w:val="22"/>
      </w:rPr>
      <w:tblPr/>
      <w:tcPr>
        <w:shd w:val="clear" w:color="D2DFEE" w:fill="D2DFEE" w:themeFill="accent1" w:themeFillTint="40"/>
      </w:tcPr>
    </w:tblStylePr>
    <w:tblStylePr w:type="band1Horz">
      <w:rPr>
        <w:sz w:val="22"/>
      </w:rPr>
      <w:tblPr/>
      <w:tcPr>
        <w:shd w:val="clear" w:color="D2DFEE" w:fill="D2DFEE" w:themeFill="accent1" w:themeFillTint="40"/>
      </w:tcPr>
    </w:tblStylePr>
  </w:style>
  <w:style w:type="table" w:customStyle="1" w:styleId="ListTable4-Accent2">
    <w:name w:val="List Table 4 - Accent 2"/>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CellMar>
        <w:top w:w="0" w:type="dxa"/>
        <w:left w:w="0" w:type="dxa"/>
        <w:bottom w:w="0" w:type="dxa"/>
        <w:right w:w="0" w:type="dxa"/>
      </w:tblCellMar>
    </w:tblPr>
    <w:tblStylePr w:type="firstRow">
      <w:rPr>
        <w:b/>
        <w:sz w:val="22"/>
      </w:rPr>
      <w:tblPr/>
      <w:tcPr>
        <w:shd w:val="clear" w:color="C0504D" w:fill="C0504D" w:themeFill="accent2"/>
      </w:tcPr>
    </w:tblStylePr>
    <w:tblStylePr w:type="lastRow">
      <w:rPr>
        <w:b/>
      </w:rPr>
    </w:tblStylePr>
    <w:tblStylePr w:type="firstCol">
      <w:rPr>
        <w:b/>
      </w:rPr>
    </w:tblStylePr>
    <w:tblStylePr w:type="lastCol">
      <w:rPr>
        <w:b/>
      </w:rPr>
    </w:tblStylePr>
    <w:tblStylePr w:type="band1Vert">
      <w:rPr>
        <w:sz w:val="22"/>
      </w:rPr>
      <w:tblPr/>
      <w:tcPr>
        <w:shd w:val="clear" w:color="EFD2D2" w:fill="EFD2D2" w:themeFill="accent2" w:themeFillTint="40"/>
      </w:tcPr>
    </w:tblStylePr>
    <w:tblStylePr w:type="band1Horz">
      <w:rPr>
        <w:sz w:val="22"/>
      </w:rPr>
      <w:tblPr/>
      <w:tcPr>
        <w:shd w:val="clear" w:color="EFD2D2" w:fill="EFD2D2" w:themeFill="accent2" w:themeFillTint="40"/>
      </w:tcPr>
    </w:tblStylePr>
  </w:style>
  <w:style w:type="table" w:customStyle="1" w:styleId="ListTable4-Accent3">
    <w:name w:val="List Table 4 - Accent 3"/>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CellMar>
        <w:top w:w="0" w:type="dxa"/>
        <w:left w:w="0" w:type="dxa"/>
        <w:bottom w:w="0" w:type="dxa"/>
        <w:right w:w="0" w:type="dxa"/>
      </w:tblCellMar>
    </w:tblPr>
    <w:tblStylePr w:type="firstRow">
      <w:rPr>
        <w:b/>
        <w:sz w:val="22"/>
      </w:rPr>
      <w:tblPr/>
      <w:tcPr>
        <w:shd w:val="clear" w:color="9BBB59" w:fill="9BBB59" w:themeFill="accent3"/>
      </w:tcPr>
    </w:tblStylePr>
    <w:tblStylePr w:type="lastRow">
      <w:rPr>
        <w:b/>
      </w:rPr>
    </w:tblStylePr>
    <w:tblStylePr w:type="firstCol">
      <w:rPr>
        <w:b/>
      </w:rPr>
    </w:tblStylePr>
    <w:tblStylePr w:type="lastCol">
      <w:rPr>
        <w:b/>
      </w:rPr>
    </w:tblStylePr>
    <w:tblStylePr w:type="band1Vert">
      <w:rPr>
        <w:sz w:val="22"/>
      </w:rPr>
      <w:tblPr/>
      <w:tcPr>
        <w:shd w:val="clear" w:color="E5EED5" w:fill="E5EED5" w:themeFill="accent3" w:themeFillTint="40"/>
      </w:tcPr>
    </w:tblStylePr>
    <w:tblStylePr w:type="band1Horz">
      <w:rPr>
        <w:sz w:val="22"/>
      </w:rPr>
      <w:tblPr/>
      <w:tcPr>
        <w:shd w:val="clear" w:color="E5EED5" w:fill="E5EED5" w:themeFill="accent3" w:themeFillTint="40"/>
      </w:tcPr>
    </w:tblStylePr>
  </w:style>
  <w:style w:type="table" w:customStyle="1" w:styleId="ListTable4-Accent4">
    <w:name w:val="List Table 4 - Accent 4"/>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CellMar>
        <w:top w:w="0" w:type="dxa"/>
        <w:left w:w="0" w:type="dxa"/>
        <w:bottom w:w="0" w:type="dxa"/>
        <w:right w:w="0" w:type="dxa"/>
      </w:tblCellMar>
    </w:tblPr>
    <w:tblStylePr w:type="firstRow">
      <w:rPr>
        <w:b/>
        <w:sz w:val="22"/>
      </w:rPr>
      <w:tblPr/>
      <w:tcPr>
        <w:shd w:val="clear" w:color="8064A2" w:fill="8064A2" w:themeFill="accent4"/>
      </w:tcPr>
    </w:tblStylePr>
    <w:tblStylePr w:type="lastRow">
      <w:rPr>
        <w:b/>
      </w:rPr>
    </w:tblStylePr>
    <w:tblStylePr w:type="firstCol">
      <w:rPr>
        <w:b/>
      </w:rPr>
    </w:tblStylePr>
    <w:tblStylePr w:type="lastCol">
      <w:rPr>
        <w:b/>
      </w:rPr>
    </w:tblStylePr>
    <w:tblStylePr w:type="band1Vert">
      <w:rPr>
        <w:sz w:val="22"/>
      </w:rPr>
      <w:tblPr/>
      <w:tcPr>
        <w:shd w:val="clear" w:color="DFD8E7" w:fill="DFD8E7" w:themeFill="accent4" w:themeFillTint="40"/>
      </w:tcPr>
    </w:tblStylePr>
    <w:tblStylePr w:type="band1Horz">
      <w:rPr>
        <w:sz w:val="22"/>
      </w:rPr>
      <w:tblPr/>
      <w:tcPr>
        <w:shd w:val="clear" w:color="DFD8E7" w:fill="DFD8E7" w:themeFill="accent4" w:themeFillTint="40"/>
      </w:tcPr>
    </w:tblStylePr>
  </w:style>
  <w:style w:type="table" w:customStyle="1" w:styleId="ListTable4-Accent5">
    <w:name w:val="List Table 4 - Accent 5"/>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CellMar>
        <w:top w:w="0" w:type="dxa"/>
        <w:left w:w="0" w:type="dxa"/>
        <w:bottom w:w="0" w:type="dxa"/>
        <w:right w:w="0" w:type="dxa"/>
      </w:tblCellMar>
    </w:tblPr>
    <w:tblStylePr w:type="firstRow">
      <w:rPr>
        <w:b/>
        <w:sz w:val="22"/>
      </w:rPr>
      <w:tblPr/>
      <w:tcPr>
        <w:shd w:val="clear" w:color="4BACC6" w:fill="4BACC6" w:themeFill="accent5"/>
      </w:tcPr>
    </w:tblStylePr>
    <w:tblStylePr w:type="lastRow">
      <w:rPr>
        <w:b/>
      </w:rPr>
    </w:tblStylePr>
    <w:tblStylePr w:type="firstCol">
      <w:rPr>
        <w:b/>
      </w:rPr>
    </w:tblStylePr>
    <w:tblStylePr w:type="lastCol">
      <w:rPr>
        <w:b/>
      </w:rPr>
    </w:tblStylePr>
    <w:tblStylePr w:type="band1Vert">
      <w:rPr>
        <w:sz w:val="22"/>
      </w:rPr>
      <w:tblPr/>
      <w:tcPr>
        <w:shd w:val="clear" w:color="D1EAF0" w:fill="D1EAF0" w:themeFill="accent5" w:themeFillTint="40"/>
      </w:tcPr>
    </w:tblStylePr>
    <w:tblStylePr w:type="band1Horz">
      <w:rPr>
        <w:sz w:val="22"/>
      </w:rPr>
      <w:tblPr/>
      <w:tcPr>
        <w:shd w:val="clear" w:color="D1EAF0" w:fill="D1EAF0" w:themeFill="accent5" w:themeFillTint="40"/>
      </w:tcPr>
    </w:tblStylePr>
  </w:style>
  <w:style w:type="table" w:customStyle="1" w:styleId="ListTable4-Accent6">
    <w:name w:val="List Table 4 - Accent 6"/>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CellMar>
        <w:top w:w="0" w:type="dxa"/>
        <w:left w:w="0" w:type="dxa"/>
        <w:bottom w:w="0" w:type="dxa"/>
        <w:right w:w="0" w:type="dxa"/>
      </w:tblCellMar>
    </w:tblPr>
    <w:tblStylePr w:type="firstRow">
      <w:rPr>
        <w:b/>
        <w:sz w:val="22"/>
      </w:rPr>
      <w:tblPr/>
      <w:tcPr>
        <w:shd w:val="clear" w:color="F79646" w:fill="F79646" w:themeFill="accent6"/>
      </w:tcPr>
    </w:tblStylePr>
    <w:tblStylePr w:type="lastRow">
      <w:rPr>
        <w:b/>
      </w:rPr>
    </w:tblStylePr>
    <w:tblStylePr w:type="firstCol">
      <w:rPr>
        <w:b/>
      </w:rPr>
    </w:tblStylePr>
    <w:tblStylePr w:type="lastCol">
      <w:rPr>
        <w:b/>
      </w:rPr>
    </w:tblStylePr>
    <w:tblStylePr w:type="band1Vert">
      <w:rPr>
        <w:sz w:val="22"/>
      </w:rPr>
      <w:tblPr/>
      <w:tcPr>
        <w:shd w:val="clear" w:color="FDE4D0" w:fill="FDE4D0" w:themeFill="accent6" w:themeFillTint="40"/>
      </w:tcPr>
    </w:tblStylePr>
    <w:tblStylePr w:type="band1Horz">
      <w:rPr>
        <w:sz w:val="22"/>
      </w:rPr>
      <w:tblPr/>
      <w:tcPr>
        <w:shd w:val="clear" w:color="FDE4D0" w:fill="FDE4D0" w:themeFill="accent6" w:themeFillTint="40"/>
      </w:tcPr>
    </w:tblStylePr>
  </w:style>
  <w:style w:type="table" w:styleId="-51">
    <w:name w:val="List Table 5 Dark"/>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tblCellMar>
        <w:top w:w="0" w:type="dxa"/>
        <w:left w:w="0" w:type="dxa"/>
        <w:bottom w:w="0" w:type="dxa"/>
        <w:right w:w="0" w:type="dxa"/>
      </w:tblCellMar>
    </w:tblPr>
    <w:tblStylePr w:type="firstRow">
      <w:rPr>
        <w:b/>
        <w:color w:val="FFFFFF" w:themeColor="light1"/>
        <w:sz w:val="22"/>
      </w:rPr>
      <w:tblPr/>
      <w:tcPr>
        <w:tcBorders>
          <w:top w:val="single" w:sz="32" w:space="0" w:color="000000" w:themeColor="text1"/>
          <w:bottom w:val="single" w:sz="12" w:space="0" w:color="FFFFFF" w:themeColor="light1"/>
        </w:tcBorders>
        <w:shd w:val="clear" w:color="7F7F7F" w:fill="7F7F7F" w:themeFill="text1" w:themeFillTint="80"/>
      </w:tcPr>
    </w:tblStylePr>
    <w:tblStylePr w:type="lastRow">
      <w:rPr>
        <w:b/>
        <w:color w:val="FFFFFF" w:themeColor="light1"/>
        <w:sz w:val="22"/>
      </w:rPr>
    </w:tblStylePr>
    <w:tblStylePr w:type="firstCol">
      <w:rPr>
        <w:b/>
        <w:color w:val="FFFFFF" w:themeColor="light1"/>
        <w:sz w:val="22"/>
      </w:rPr>
      <w:tblPr/>
      <w:tcPr>
        <w:tcBorders>
          <w:left w:val="single" w:sz="32" w:space="0" w:color="000000" w:themeColor="text1"/>
          <w:right w:val="single" w:sz="4" w:space="0" w:color="FFFFFF" w:themeColor="light1"/>
        </w:tcBorders>
      </w:tcPr>
    </w:tblStylePr>
    <w:tblStylePr w:type="lastCol">
      <w:tblPr/>
      <w:tcPr>
        <w:tcBorders>
          <w:left w:val="single" w:sz="4" w:space="0" w:color="FFFFFF" w:themeColor="light1"/>
          <w:right w:val="single" w:sz="32" w:space="0" w:color="000000" w:themeColor="text1"/>
        </w:tcBorders>
      </w:tcPr>
    </w:tblStylePr>
    <w:tblStylePr w:type="band1Vert">
      <w:tblPr/>
      <w:tcPr>
        <w:tcBorders>
          <w:left w:val="single" w:sz="4" w:space="0" w:color="FFFFFF" w:themeColor="light1"/>
          <w:right w:val="single" w:sz="4" w:space="0" w:color="FFFFFF" w:themeColor="light1"/>
        </w:tcBorders>
        <w:shd w:val="clear" w:color="7F7F7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fill="7F7F7F" w:themeFill="text1" w:themeFillTint="80"/>
      </w:tcPr>
    </w:tblStylePr>
    <w:tblStylePr w:type="band2Horz">
      <w:tblPr/>
      <w:tcPr>
        <w:tcBorders>
          <w:top w:val="single" w:sz="4" w:space="0" w:color="FFFFFF" w:themeColor="light1"/>
          <w:bottom w:val="single" w:sz="4" w:space="0" w:color="FFFFFF" w:themeColor="light1"/>
        </w:tcBorders>
        <w:shd w:val="clear" w:color="7F7F7F" w:fill="7F7F7F" w:themeFill="text1" w:themeFillTint="80"/>
      </w:tcPr>
    </w:tblStylePr>
  </w:style>
  <w:style w:type="table" w:customStyle="1" w:styleId="ListTable5Dark-Accent1">
    <w:name w:val="List Table 5 Dark - Accent 1"/>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tblCellMar>
        <w:top w:w="0" w:type="dxa"/>
        <w:left w:w="0" w:type="dxa"/>
        <w:bottom w:w="0" w:type="dxa"/>
        <w:right w:w="0" w:type="dxa"/>
      </w:tblCellMar>
    </w:tblPr>
    <w:tblStylePr w:type="firstRow">
      <w:rPr>
        <w:b/>
        <w:color w:val="FFFFFF" w:themeColor="light1"/>
        <w:sz w:val="22"/>
      </w:rPr>
      <w:tblPr/>
      <w:tcPr>
        <w:tcBorders>
          <w:top w:val="single" w:sz="32" w:space="0" w:color="4F81BD" w:themeColor="accent1"/>
          <w:bottom w:val="single" w:sz="12" w:space="0" w:color="FFFFFF" w:themeColor="light1"/>
        </w:tcBorders>
        <w:shd w:val="clear" w:color="4F81BD" w:fill="4F81BD" w:themeFill="accent1"/>
      </w:tcPr>
    </w:tblStylePr>
    <w:tblStylePr w:type="lastRow">
      <w:rPr>
        <w:b/>
        <w:color w:val="FFFFFF" w:themeColor="light1"/>
        <w:sz w:val="22"/>
      </w:rPr>
    </w:tblStylePr>
    <w:tblStylePr w:type="firstCol">
      <w:rPr>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fill="4F81BD" w:themeFill="accent1"/>
      </w:tcPr>
    </w:tblStylePr>
    <w:tblStylePr w:type="band2Horz">
      <w:tblPr/>
      <w:tcPr>
        <w:tcBorders>
          <w:top w:val="single" w:sz="4" w:space="0" w:color="FFFFFF" w:themeColor="light1"/>
          <w:bottom w:val="single" w:sz="4" w:space="0" w:color="FFFFFF" w:themeColor="light1"/>
        </w:tcBorders>
        <w:shd w:val="clear" w:color="4F81BD" w:fill="4F81BD" w:themeFill="accent1"/>
      </w:tcPr>
    </w:tblStylePr>
  </w:style>
  <w:style w:type="table" w:customStyle="1" w:styleId="ListTable5Dark-Accent2">
    <w:name w:val="List Table 5 Dark - Accent 2"/>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tblCellMar>
        <w:top w:w="0" w:type="dxa"/>
        <w:left w:w="0" w:type="dxa"/>
        <w:bottom w:w="0" w:type="dxa"/>
        <w:right w:w="0" w:type="dxa"/>
      </w:tblCellMar>
    </w:tblPr>
    <w:tblStylePr w:type="firstRow">
      <w:rPr>
        <w:b/>
        <w:color w:val="FFFFFF" w:themeColor="light1"/>
        <w:sz w:val="22"/>
      </w:rPr>
      <w:tblPr/>
      <w:tcPr>
        <w:tcBorders>
          <w:top w:val="single" w:sz="32" w:space="0" w:color="C0504D" w:themeColor="accent2"/>
          <w:bottom w:val="single" w:sz="12" w:space="0" w:color="FFFFFF" w:themeColor="light1"/>
        </w:tcBorders>
        <w:shd w:val="clear" w:color="D99695" w:fill="D99695" w:themeFill="accent2" w:themeFillTint="97"/>
      </w:tcPr>
    </w:tblStylePr>
    <w:tblStylePr w:type="lastRow">
      <w:rPr>
        <w:b/>
        <w:color w:val="FFFFFF" w:themeColor="light1"/>
        <w:sz w:val="22"/>
      </w:rPr>
    </w:tblStylePr>
    <w:tblStylePr w:type="firstCol">
      <w:rPr>
        <w:b/>
        <w:color w:val="FFFFFF" w:themeColor="light1"/>
        <w:sz w:val="22"/>
      </w:rPr>
      <w:tblPr/>
      <w:tcPr>
        <w:tcBorders>
          <w:left w:val="single" w:sz="32" w:space="0" w:color="C0504D" w:themeColor="accent2"/>
          <w:right w:val="single" w:sz="4" w:space="0" w:color="FFFFFF" w:themeColor="light1"/>
        </w:tcBorders>
      </w:tcPr>
    </w:tblStylePr>
    <w:tblStylePr w:type="lastCol">
      <w:tblPr/>
      <w:tcPr>
        <w:tcBorders>
          <w:left w:val="single" w:sz="4" w:space="0" w:color="FFFFFF" w:themeColor="light1"/>
          <w:right w:val="single" w:sz="32" w:space="0" w:color="C0504D" w:themeColor="accent2"/>
        </w:tcBorders>
      </w:tcPr>
    </w:tblStylePr>
    <w:tblStylePr w:type="band1Vert">
      <w:tblPr/>
      <w:tcPr>
        <w:tcBorders>
          <w:left w:val="single" w:sz="4" w:space="0" w:color="FFFFFF" w:themeColor="light1"/>
          <w:right w:val="single" w:sz="4" w:space="0" w:color="FFFFFF" w:themeColor="light1"/>
        </w:tcBorders>
        <w:shd w:val="clear" w:color="D99695"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fill="D99695" w:themeFill="accent2" w:themeFillTint="97"/>
      </w:tcPr>
    </w:tblStylePr>
  </w:style>
  <w:style w:type="table" w:customStyle="1" w:styleId="ListTable5Dark-Accent3">
    <w:name w:val="List Table 5 Dark - Accent 3"/>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tblCellMar>
        <w:top w:w="0" w:type="dxa"/>
        <w:left w:w="0" w:type="dxa"/>
        <w:bottom w:w="0" w:type="dxa"/>
        <w:right w:w="0" w:type="dxa"/>
      </w:tblCellMar>
    </w:tblPr>
    <w:tblStylePr w:type="firstRow">
      <w:rPr>
        <w:b/>
        <w:color w:val="FFFFFF" w:themeColor="light1"/>
        <w:sz w:val="22"/>
      </w:rPr>
      <w:tblPr/>
      <w:tcPr>
        <w:tcBorders>
          <w:top w:val="single" w:sz="32" w:space="0" w:color="9BBB59" w:themeColor="accent3"/>
          <w:bottom w:val="single" w:sz="12" w:space="0" w:color="FFFFFF" w:themeColor="light1"/>
        </w:tcBorders>
        <w:shd w:val="clear" w:color="C3D69B" w:fill="C3D69B" w:themeFill="accent3" w:themeFillTint="98"/>
      </w:tcPr>
    </w:tblStylePr>
    <w:tblStylePr w:type="lastRow">
      <w:rPr>
        <w:b/>
        <w:color w:val="FFFFFF" w:themeColor="light1"/>
        <w:sz w:val="22"/>
      </w:rPr>
    </w:tblStylePr>
    <w:tblStylePr w:type="firstCol">
      <w:rPr>
        <w:b/>
        <w:color w:val="FFFFFF" w:themeColor="light1"/>
        <w:sz w:val="22"/>
      </w:rPr>
      <w:tblPr/>
      <w:tcPr>
        <w:tcBorders>
          <w:left w:val="single" w:sz="32" w:space="0" w:color="9BBB59" w:themeColor="accent3"/>
          <w:right w:val="single" w:sz="4" w:space="0" w:color="FFFFFF" w:themeColor="light1"/>
        </w:tcBorders>
      </w:tcPr>
    </w:tblStylePr>
    <w:tblStylePr w:type="lastCol">
      <w:tblPr/>
      <w:tcPr>
        <w:tcBorders>
          <w:left w:val="single" w:sz="4" w:space="0" w:color="FFFFFF" w:themeColor="light1"/>
          <w:right w:val="single" w:sz="32" w:space="0" w:color="9BBB59" w:themeColor="accent3"/>
        </w:tcBorders>
      </w:tcPr>
    </w:tblStylePr>
    <w:tblStylePr w:type="band1Vert">
      <w:tblPr/>
      <w:tcPr>
        <w:tcBorders>
          <w:left w:val="single" w:sz="4" w:space="0" w:color="FFFFFF" w:themeColor="light1"/>
          <w:right w:val="single" w:sz="4" w:space="0" w:color="FFFFFF" w:themeColor="light1"/>
        </w:tcBorders>
        <w:shd w:val="clear" w:color="C3D69B"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fill="C3D69B" w:themeFill="accent3" w:themeFillTint="98"/>
      </w:tcPr>
    </w:tblStylePr>
  </w:style>
  <w:style w:type="table" w:customStyle="1" w:styleId="ListTable5Dark-Accent4">
    <w:name w:val="List Table 5 Dark - Accent 4"/>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tblCellMar>
        <w:top w:w="0" w:type="dxa"/>
        <w:left w:w="0" w:type="dxa"/>
        <w:bottom w:w="0" w:type="dxa"/>
        <w:right w:w="0" w:type="dxa"/>
      </w:tblCellMar>
    </w:tblPr>
    <w:tblStylePr w:type="firstRow">
      <w:rPr>
        <w:b/>
        <w:color w:val="FFFFFF" w:themeColor="light1"/>
        <w:sz w:val="22"/>
      </w:rPr>
      <w:tblPr/>
      <w:tcPr>
        <w:tcBorders>
          <w:top w:val="single" w:sz="32" w:space="0" w:color="8064A2" w:themeColor="accent4"/>
          <w:bottom w:val="single" w:sz="12" w:space="0" w:color="FFFFFF" w:themeColor="light1"/>
        </w:tcBorders>
        <w:shd w:val="clear" w:color="B2A1C6" w:fill="B2A1C6" w:themeFill="accent4" w:themeFillTint="9A"/>
      </w:tcPr>
    </w:tblStylePr>
    <w:tblStylePr w:type="lastRow">
      <w:rPr>
        <w:b/>
        <w:color w:val="FFFFFF" w:themeColor="light1"/>
        <w:sz w:val="22"/>
      </w:rPr>
    </w:tblStylePr>
    <w:tblStylePr w:type="firstCol">
      <w:rPr>
        <w:b/>
        <w:color w:val="FFFFFF" w:themeColor="light1"/>
        <w:sz w:val="22"/>
      </w:rPr>
      <w:tblPr/>
      <w:tcPr>
        <w:tcBorders>
          <w:left w:val="single" w:sz="32" w:space="0" w:color="8064A2" w:themeColor="accent4"/>
          <w:right w:val="single" w:sz="4" w:space="0" w:color="FFFFFF" w:themeColor="light1"/>
        </w:tcBorders>
      </w:tcPr>
    </w:tblStylePr>
    <w:tblStylePr w:type="lastCol">
      <w:tblPr/>
      <w:tcPr>
        <w:tcBorders>
          <w:left w:val="single" w:sz="4" w:space="0" w:color="FFFFFF" w:themeColor="light1"/>
          <w:right w:val="single" w:sz="32" w:space="0" w:color="8064A2" w:themeColor="accent4"/>
        </w:tcBorders>
      </w:tcPr>
    </w:tblStylePr>
    <w:tblStylePr w:type="band1Vert">
      <w:tblPr/>
      <w:tcPr>
        <w:tcBorders>
          <w:left w:val="single" w:sz="4" w:space="0" w:color="FFFFFF" w:themeColor="light1"/>
          <w:right w:val="single" w:sz="4" w:space="0" w:color="FFFFFF" w:themeColor="light1"/>
        </w:tcBorders>
        <w:shd w:val="clear" w:color="B2A1C6"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fill="B2A1C6" w:themeFill="accent4" w:themeFillTint="9A"/>
      </w:tcPr>
    </w:tblStylePr>
  </w:style>
  <w:style w:type="table" w:customStyle="1" w:styleId="ListTable5Dark-Accent5">
    <w:name w:val="List Table 5 Dark - Accent 5"/>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tblCellMar>
        <w:top w:w="0" w:type="dxa"/>
        <w:left w:w="0" w:type="dxa"/>
        <w:bottom w:w="0" w:type="dxa"/>
        <w:right w:w="0" w:type="dxa"/>
      </w:tblCellMar>
    </w:tblPr>
    <w:tblStylePr w:type="firstRow">
      <w:rPr>
        <w:b/>
        <w:color w:val="FFFFFF" w:themeColor="light1"/>
        <w:sz w:val="22"/>
      </w:rPr>
      <w:tblPr/>
      <w:tcPr>
        <w:tcBorders>
          <w:top w:val="single" w:sz="32" w:space="0" w:color="4BACC6" w:themeColor="accent5"/>
          <w:bottom w:val="single" w:sz="12" w:space="0" w:color="FFFFFF" w:themeColor="light1"/>
        </w:tcBorders>
        <w:shd w:val="clear" w:color="92CCDC" w:fill="92CCDC" w:themeFill="accent5" w:themeFillTint="9A"/>
      </w:tcPr>
    </w:tblStylePr>
    <w:tblStylePr w:type="lastRow">
      <w:rPr>
        <w:b/>
        <w:color w:val="FFFFFF" w:themeColor="light1"/>
        <w:sz w:val="22"/>
      </w:rPr>
    </w:tblStylePr>
    <w:tblStylePr w:type="firstCol">
      <w:rPr>
        <w:b/>
        <w:color w:val="FFFFFF" w:themeColor="light1"/>
        <w:sz w:val="22"/>
      </w:rPr>
      <w:tblPr/>
      <w:tcPr>
        <w:tcBorders>
          <w:left w:val="single" w:sz="32" w:space="0" w:color="4BACC6" w:themeColor="accent5"/>
          <w:right w:val="single" w:sz="4" w:space="0" w:color="FFFFFF" w:themeColor="light1"/>
        </w:tcBorders>
      </w:tcPr>
    </w:tblStylePr>
    <w:tblStylePr w:type="lastCol">
      <w:tblPr/>
      <w:tcPr>
        <w:tcBorders>
          <w:left w:val="single" w:sz="4" w:space="0" w:color="FFFFFF" w:themeColor="light1"/>
          <w:right w:val="single" w:sz="32" w:space="0" w:color="4BACC6" w:themeColor="accent5"/>
        </w:tcBorders>
      </w:tcPr>
    </w:tblStylePr>
    <w:tblStylePr w:type="band1Vert">
      <w:tblPr/>
      <w:tcPr>
        <w:tcBorders>
          <w:left w:val="single" w:sz="4" w:space="0" w:color="FFFFFF" w:themeColor="light1"/>
          <w:right w:val="single" w:sz="4" w:space="0" w:color="FFFFFF" w:themeColor="light1"/>
        </w:tcBorders>
        <w:shd w:val="clear" w:color="92CCDC"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fill="92CCDC" w:themeFill="accent5" w:themeFillTint="9A"/>
      </w:tcPr>
    </w:tblStylePr>
  </w:style>
  <w:style w:type="table" w:customStyle="1" w:styleId="ListTable5Dark-Accent6">
    <w:name w:val="List Table 5 Dark - Accent 6"/>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tblCellMar>
        <w:top w:w="0" w:type="dxa"/>
        <w:left w:w="0" w:type="dxa"/>
        <w:bottom w:w="0" w:type="dxa"/>
        <w:right w:w="0" w:type="dxa"/>
      </w:tblCellMar>
    </w:tblPr>
    <w:tblStylePr w:type="firstRow">
      <w:rPr>
        <w:b/>
        <w:color w:val="FFFFFF" w:themeColor="light1"/>
        <w:sz w:val="22"/>
      </w:rPr>
      <w:tblPr/>
      <w:tcPr>
        <w:tcBorders>
          <w:top w:val="single" w:sz="32" w:space="0" w:color="F79646" w:themeColor="accent6"/>
          <w:bottom w:val="single" w:sz="12" w:space="0" w:color="FFFFFF" w:themeColor="light1"/>
        </w:tcBorders>
        <w:shd w:val="clear" w:color="FAC090" w:fill="FAC090" w:themeFill="accent6" w:themeFillTint="98"/>
      </w:tcPr>
    </w:tblStylePr>
    <w:tblStylePr w:type="lastRow">
      <w:rPr>
        <w:b/>
        <w:color w:val="FFFFFF" w:themeColor="light1"/>
        <w:sz w:val="22"/>
      </w:rPr>
    </w:tblStylePr>
    <w:tblStylePr w:type="firstCol">
      <w:rPr>
        <w:b/>
        <w:color w:val="FFFFFF" w:themeColor="light1"/>
        <w:sz w:val="22"/>
      </w:rPr>
      <w:tblPr/>
      <w:tcPr>
        <w:tcBorders>
          <w:left w:val="single" w:sz="32" w:space="0" w:color="F79646" w:themeColor="accent6"/>
          <w:right w:val="single" w:sz="4" w:space="0" w:color="FFFFFF" w:themeColor="light1"/>
        </w:tcBorders>
      </w:tcPr>
    </w:tblStylePr>
    <w:tblStylePr w:type="lastCol">
      <w:tblPr/>
      <w:tcPr>
        <w:tcBorders>
          <w:left w:val="single" w:sz="4" w:space="0" w:color="FFFFFF" w:themeColor="light1"/>
          <w:right w:val="single" w:sz="32" w:space="0" w:color="F79646" w:themeColor="accent6"/>
        </w:tcBorders>
      </w:tcPr>
    </w:tblStylePr>
    <w:tblStylePr w:type="band1Vert">
      <w:tblPr/>
      <w:tcPr>
        <w:tcBorders>
          <w:left w:val="single" w:sz="4" w:space="0" w:color="FFFFFF" w:themeColor="light1"/>
          <w:right w:val="single" w:sz="4" w:space="0" w:color="FFFFFF" w:themeColor="light1"/>
        </w:tcBorders>
        <w:shd w:val="clear" w:color="FAC090"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fill="FAC090" w:themeFill="accent6" w:themeFillTint="98"/>
      </w:tcPr>
    </w:tblStylePr>
  </w:style>
  <w:style w:type="table" w:styleId="-61">
    <w:name w:val="List Table 6 Colorful"/>
    <w:uiPriority w:val="99"/>
    <w:tblPr>
      <w:tblStyleRowBandSize w:val="1"/>
      <w:tblStyleColBandSize w:val="1"/>
      <w:tblBorders>
        <w:top w:val="single" w:sz="4" w:space="0" w:color="7F7F7F" w:themeColor="text1" w:themeTint="80"/>
        <w:bottom w:val="single" w:sz="4" w:space="0" w:color="7F7F7F" w:themeColor="text1" w:themeTint="80"/>
      </w:tblBorders>
      <w:tblCellMar>
        <w:top w:w="0" w:type="dxa"/>
        <w:left w:w="0" w:type="dxa"/>
        <w:bottom w:w="0" w:type="dxa"/>
        <w:right w:w="0" w:type="dxa"/>
      </w:tblCellMar>
    </w:tblPr>
    <w:tblStylePr w:type="firstRow">
      <w:rPr>
        <w:b/>
        <w:color w:val="000000" w:themeColor="text1"/>
      </w:rPr>
      <w:tblPr/>
      <w:tcPr>
        <w:tcBorders>
          <w:bottom w:val="single" w:sz="4" w:space="0" w:color="000000" w:themeColor="text1"/>
        </w:tcBorders>
      </w:tcPr>
    </w:tblStylePr>
    <w:tblStylePr w:type="lastRow">
      <w:rPr>
        <w:b/>
        <w:color w:val="000000" w:themeColor="text1"/>
      </w:rPr>
      <w:tblPr/>
      <w:tcPr>
        <w:tcBorders>
          <w:top w:val="single" w:sz="4" w:space="0" w:color="000000" w:themeColor="text1"/>
        </w:tcBorders>
      </w:tcPr>
    </w:tblStylePr>
    <w:tblStylePr w:type="firstCol">
      <w:rPr>
        <w:b/>
        <w:color w:val="000000" w:themeColor="text1"/>
      </w:rPr>
    </w:tblStylePr>
    <w:tblStylePr w:type="lastCol">
      <w:rPr>
        <w:b/>
        <w:color w:val="000000" w:themeColor="text1"/>
      </w:rPr>
    </w:tblStylePr>
    <w:tblStylePr w:type="band1Vert">
      <w:tblPr/>
      <w:tcPr>
        <w:shd w:val="clear" w:color="BFBFBF" w:fill="BFBFBF" w:themeFill="text1" w:themeFillTint="40"/>
      </w:tcPr>
    </w:tblStylePr>
    <w:tblStylePr w:type="band1Horz">
      <w:rPr>
        <w:color w:val="000000" w:themeColor="text1"/>
        <w:sz w:val="22"/>
      </w:rPr>
      <w:tblPr/>
      <w:tcPr>
        <w:shd w:val="clear" w:color="BFBFBF" w:fill="BFBFBF" w:themeFill="text1" w:themeFillTint="40"/>
      </w:tcPr>
    </w:tblStylePr>
    <w:tblStylePr w:type="band2Horz">
      <w:rPr>
        <w:color w:val="000000" w:themeColor="text1"/>
        <w:sz w:val="22"/>
      </w:rPr>
    </w:tblStylePr>
  </w:style>
  <w:style w:type="table" w:customStyle="1" w:styleId="ListTable6Colorful-Accent1">
    <w:name w:val="List Table 6 Colorful - Accent 1"/>
    <w:uiPriority w:val="99"/>
    <w:tblPr>
      <w:tblStyleRowBandSize w:val="1"/>
      <w:tblStyleColBandSize w:val="1"/>
      <w:tblBorders>
        <w:top w:val="single" w:sz="4" w:space="0" w:color="4F81BD" w:themeColor="accent1"/>
        <w:bottom w:val="single" w:sz="4" w:space="0" w:color="4F81BD" w:themeColor="accent1"/>
      </w:tblBorders>
      <w:tblCellMar>
        <w:top w:w="0" w:type="dxa"/>
        <w:left w:w="0" w:type="dxa"/>
        <w:bottom w:w="0" w:type="dxa"/>
        <w:right w:w="0" w:type="dxa"/>
      </w:tblCellMar>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fill="D2DFEE" w:themeFill="accent1" w:themeFillTint="40"/>
      </w:tcPr>
    </w:tblStylePr>
    <w:tblStylePr w:type="band1Horz">
      <w:rPr>
        <w:color w:val="2A4A71" w:themeColor="accent1" w:themeShade="95"/>
        <w:sz w:val="22"/>
      </w:rPr>
      <w:tblPr/>
      <w:tcPr>
        <w:shd w:val="clear" w:color="D2DFEE" w:fill="D2DFEE" w:themeFill="accent1" w:themeFillTint="40"/>
      </w:tcPr>
    </w:tblStylePr>
    <w:tblStylePr w:type="band2Horz">
      <w:rPr>
        <w:color w:val="2A4A71" w:themeColor="accent1" w:themeShade="95"/>
        <w:sz w:val="22"/>
      </w:rPr>
    </w:tblStylePr>
  </w:style>
  <w:style w:type="table" w:customStyle="1" w:styleId="ListTable6Colorful-Accent2">
    <w:name w:val="List Table 6 Colorful - Accent 2"/>
    <w:uiPriority w:val="99"/>
    <w:tblPr>
      <w:tblStyleRowBandSize w:val="1"/>
      <w:tblStyleColBandSize w:val="1"/>
      <w:tblBorders>
        <w:top w:val="single" w:sz="4" w:space="0" w:color="D99695" w:themeColor="accent2" w:themeTint="97"/>
        <w:bottom w:val="single" w:sz="4" w:space="0" w:color="D99695" w:themeColor="accent2" w:themeTint="97"/>
      </w:tblBorders>
      <w:tblCellMar>
        <w:top w:w="0" w:type="dxa"/>
        <w:left w:w="0" w:type="dxa"/>
        <w:bottom w:w="0" w:type="dxa"/>
        <w:right w:w="0" w:type="dxa"/>
      </w:tblCellMar>
    </w:tblPr>
    <w:tblStylePr w:type="firstRow">
      <w:rPr>
        <w:b/>
        <w:color w:val="D99695" w:themeColor="accent2" w:themeTint="97" w:themeShade="95"/>
      </w:rPr>
      <w:tblPr/>
      <w:tcPr>
        <w:tcBorders>
          <w:bottom w:val="single" w:sz="4" w:space="0" w:color="C0504D" w:themeColor="accent2"/>
        </w:tcBorders>
      </w:tcPr>
    </w:tblStylePr>
    <w:tblStylePr w:type="lastRow">
      <w:rPr>
        <w:b/>
        <w:color w:val="D99695" w:themeColor="accent2" w:themeTint="97" w:themeShade="95"/>
      </w:rPr>
      <w:tblPr/>
      <w:tcPr>
        <w:tcBorders>
          <w:top w:val="single" w:sz="4" w:space="0" w:color="C0504D" w:themeColor="accent2"/>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fill="EFD2D2" w:themeFill="accent2" w:themeFillTint="40"/>
      </w:tcPr>
    </w:tblStylePr>
    <w:tblStylePr w:type="band1Horz">
      <w:rPr>
        <w:color w:val="D99695" w:themeColor="accent2" w:themeTint="97" w:themeShade="95"/>
        <w:sz w:val="22"/>
      </w:rPr>
      <w:tblPr/>
      <w:tcPr>
        <w:shd w:val="clear" w:color="EFD2D2" w:fill="EFD2D2" w:themeFill="accent2" w:themeFillTint="40"/>
      </w:tcPr>
    </w:tblStylePr>
    <w:tblStylePr w:type="band2Horz">
      <w:rPr>
        <w:color w:val="D99695" w:themeColor="accent2" w:themeTint="97" w:themeShade="95"/>
        <w:sz w:val="22"/>
      </w:rPr>
    </w:tblStylePr>
  </w:style>
  <w:style w:type="table" w:customStyle="1" w:styleId="ListTable6Colorful-Accent3">
    <w:name w:val="List Table 6 Colorful - Accent 3"/>
    <w:uiPriority w:val="99"/>
    <w:tblPr>
      <w:tblStyleRowBandSize w:val="1"/>
      <w:tblStyleColBandSize w:val="1"/>
      <w:tblBorders>
        <w:top w:val="single" w:sz="4" w:space="0" w:color="C3D69B" w:themeColor="accent3" w:themeTint="98"/>
        <w:bottom w:val="single" w:sz="4" w:space="0" w:color="C3D69B" w:themeColor="accent3" w:themeTint="98"/>
      </w:tblBorders>
      <w:tblCellMar>
        <w:top w:w="0" w:type="dxa"/>
        <w:left w:w="0" w:type="dxa"/>
        <w:bottom w:w="0" w:type="dxa"/>
        <w:right w:w="0" w:type="dxa"/>
      </w:tblCellMar>
    </w:tblPr>
    <w:tblStylePr w:type="firstRow">
      <w:rPr>
        <w:b/>
        <w:color w:val="C3D69B" w:themeColor="accent3" w:themeTint="98" w:themeShade="95"/>
      </w:rPr>
      <w:tblPr/>
      <w:tcPr>
        <w:tcBorders>
          <w:bottom w:val="single" w:sz="4" w:space="0" w:color="9BBB59" w:themeColor="accent3"/>
        </w:tcBorders>
      </w:tcPr>
    </w:tblStylePr>
    <w:tblStylePr w:type="lastRow">
      <w:rPr>
        <w:b/>
        <w:color w:val="C3D69B" w:themeColor="accent3" w:themeTint="98" w:themeShade="95"/>
      </w:rPr>
      <w:tblPr/>
      <w:tcPr>
        <w:tcBorders>
          <w:top w:val="single" w:sz="4" w:space="0" w:color="9BBB59" w:themeColor="accent3"/>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fill="E5EED5" w:themeFill="accent3" w:themeFillTint="40"/>
      </w:tcPr>
    </w:tblStylePr>
    <w:tblStylePr w:type="band1Horz">
      <w:rPr>
        <w:color w:val="C3D69B" w:themeColor="accent3" w:themeTint="98" w:themeShade="95"/>
        <w:sz w:val="22"/>
      </w:rPr>
      <w:tblPr/>
      <w:tcPr>
        <w:shd w:val="clear" w:color="E5EED5" w:fill="E5EED5" w:themeFill="accent3" w:themeFillTint="40"/>
      </w:tcPr>
    </w:tblStylePr>
    <w:tblStylePr w:type="band2Horz">
      <w:rPr>
        <w:color w:val="C3D69B" w:themeColor="accent3" w:themeTint="98" w:themeShade="95"/>
        <w:sz w:val="22"/>
      </w:rPr>
    </w:tblStylePr>
  </w:style>
  <w:style w:type="table" w:customStyle="1" w:styleId="ListTable6Colorful-Accent4">
    <w:name w:val="List Table 6 Colorful - Accent 4"/>
    <w:uiPriority w:val="99"/>
    <w:tblPr>
      <w:tblStyleRowBandSize w:val="1"/>
      <w:tblStyleColBandSize w:val="1"/>
      <w:tblBorders>
        <w:top w:val="single" w:sz="4" w:space="0" w:color="B2A1C6" w:themeColor="accent4" w:themeTint="9A"/>
        <w:bottom w:val="single" w:sz="4" w:space="0" w:color="B2A1C6" w:themeColor="accent4" w:themeTint="9A"/>
      </w:tblBorders>
      <w:tblCellMar>
        <w:top w:w="0" w:type="dxa"/>
        <w:left w:w="0" w:type="dxa"/>
        <w:bottom w:w="0" w:type="dxa"/>
        <w:right w:w="0" w:type="dxa"/>
      </w:tblCellMar>
    </w:tblPr>
    <w:tblStylePr w:type="firstRow">
      <w:rPr>
        <w:b/>
        <w:color w:val="B2A1C6" w:themeColor="accent4" w:themeTint="9A" w:themeShade="95"/>
      </w:rPr>
      <w:tblPr/>
      <w:tcPr>
        <w:tcBorders>
          <w:bottom w:val="single" w:sz="4" w:space="0" w:color="8064A2" w:themeColor="accent4"/>
        </w:tcBorders>
      </w:tcPr>
    </w:tblStylePr>
    <w:tblStylePr w:type="lastRow">
      <w:rPr>
        <w:b/>
        <w:color w:val="B2A1C6" w:themeColor="accent4" w:themeTint="9A" w:themeShade="95"/>
      </w:rPr>
      <w:tblPr/>
      <w:tcPr>
        <w:tcBorders>
          <w:top w:val="single" w:sz="4" w:space="0" w:color="8064A2" w:themeColor="accent4"/>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fill="DFD8E7" w:themeFill="accent4" w:themeFillTint="40"/>
      </w:tcPr>
    </w:tblStylePr>
    <w:tblStylePr w:type="band1Horz">
      <w:rPr>
        <w:color w:val="B2A1C6" w:themeColor="accent4" w:themeTint="9A" w:themeShade="95"/>
        <w:sz w:val="22"/>
      </w:rPr>
      <w:tblPr/>
      <w:tcPr>
        <w:shd w:val="clear" w:color="DFD8E7" w:fill="DFD8E7" w:themeFill="accent4" w:themeFillTint="40"/>
      </w:tcPr>
    </w:tblStylePr>
    <w:tblStylePr w:type="band2Horz">
      <w:rPr>
        <w:color w:val="B2A1C6" w:themeColor="accent4" w:themeTint="9A" w:themeShade="95"/>
        <w:sz w:val="22"/>
      </w:rPr>
    </w:tblStylePr>
  </w:style>
  <w:style w:type="table" w:customStyle="1" w:styleId="ListTable6Colorful-Accent5">
    <w:name w:val="List Table 6 Colorful - Accent 5"/>
    <w:uiPriority w:val="99"/>
    <w:tblPr>
      <w:tblStyleRowBandSize w:val="1"/>
      <w:tblStyleColBandSize w:val="1"/>
      <w:tblBorders>
        <w:top w:val="single" w:sz="4" w:space="0" w:color="92CCDC" w:themeColor="accent5" w:themeTint="9A"/>
        <w:bottom w:val="single" w:sz="4" w:space="0" w:color="92CCDC" w:themeColor="accent5" w:themeTint="9A"/>
      </w:tblBorders>
      <w:tblCellMar>
        <w:top w:w="0" w:type="dxa"/>
        <w:left w:w="0" w:type="dxa"/>
        <w:bottom w:w="0" w:type="dxa"/>
        <w:right w:w="0" w:type="dxa"/>
      </w:tblCellMar>
    </w:tblPr>
    <w:tblStylePr w:type="firstRow">
      <w:rPr>
        <w:b/>
        <w:color w:val="92CCDC" w:themeColor="accent5" w:themeTint="9A" w:themeShade="95"/>
      </w:rPr>
      <w:tblPr/>
      <w:tcPr>
        <w:tcBorders>
          <w:bottom w:val="single" w:sz="4" w:space="0" w:color="4BACC6" w:themeColor="accent5"/>
        </w:tcBorders>
      </w:tcPr>
    </w:tblStylePr>
    <w:tblStylePr w:type="lastRow">
      <w:rPr>
        <w:b/>
        <w:color w:val="92CCDC" w:themeColor="accent5" w:themeTint="9A" w:themeShade="95"/>
      </w:rPr>
      <w:tblPr/>
      <w:tcPr>
        <w:tcBorders>
          <w:top w:val="single" w:sz="4" w:space="0" w:color="4BACC6" w:themeColor="accent5"/>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fill="D1EAF0" w:themeFill="accent5" w:themeFillTint="40"/>
      </w:tcPr>
    </w:tblStylePr>
    <w:tblStylePr w:type="band1Horz">
      <w:rPr>
        <w:color w:val="92CCDC" w:themeColor="accent5" w:themeTint="9A" w:themeShade="95"/>
        <w:sz w:val="22"/>
      </w:rPr>
      <w:tblPr/>
      <w:tcPr>
        <w:shd w:val="clear" w:color="D1EAF0" w:fill="D1EAF0" w:themeFill="accent5" w:themeFillTint="40"/>
      </w:tcPr>
    </w:tblStylePr>
    <w:tblStylePr w:type="band2Horz">
      <w:rPr>
        <w:color w:val="92CCDC" w:themeColor="accent5" w:themeTint="9A" w:themeShade="95"/>
        <w:sz w:val="22"/>
      </w:rPr>
    </w:tblStylePr>
  </w:style>
  <w:style w:type="table" w:customStyle="1" w:styleId="ListTable6Colorful-Accent6">
    <w:name w:val="List Table 6 Colorful - Accent 6"/>
    <w:uiPriority w:val="99"/>
    <w:tblPr>
      <w:tblStyleRowBandSize w:val="1"/>
      <w:tblStyleColBandSize w:val="1"/>
      <w:tblBorders>
        <w:top w:val="single" w:sz="4" w:space="0" w:color="FAC090" w:themeColor="accent6" w:themeTint="98"/>
        <w:bottom w:val="single" w:sz="4" w:space="0" w:color="FAC090" w:themeColor="accent6" w:themeTint="98"/>
      </w:tblBorders>
      <w:tblCellMar>
        <w:top w:w="0" w:type="dxa"/>
        <w:left w:w="0" w:type="dxa"/>
        <w:bottom w:w="0" w:type="dxa"/>
        <w:right w:w="0" w:type="dxa"/>
      </w:tblCellMar>
    </w:tblPr>
    <w:tblStylePr w:type="firstRow">
      <w:rPr>
        <w:b/>
        <w:color w:val="FAC090" w:themeColor="accent6" w:themeTint="98" w:themeShade="95"/>
      </w:rPr>
      <w:tblPr/>
      <w:tcPr>
        <w:tcBorders>
          <w:bottom w:val="single" w:sz="4" w:space="0" w:color="F79646" w:themeColor="accent6"/>
        </w:tcBorders>
      </w:tcPr>
    </w:tblStylePr>
    <w:tblStylePr w:type="lastRow">
      <w:rPr>
        <w:b/>
        <w:color w:val="FAC090" w:themeColor="accent6" w:themeTint="98" w:themeShade="95"/>
      </w:rPr>
      <w:tblPr/>
      <w:tcPr>
        <w:tcBorders>
          <w:top w:val="single" w:sz="4" w:space="0" w:color="F79646" w:themeColor="accent6"/>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fill="FDE4D0" w:themeFill="accent6" w:themeFillTint="40"/>
      </w:tcPr>
    </w:tblStylePr>
    <w:tblStylePr w:type="band1Horz">
      <w:rPr>
        <w:color w:val="FAC090" w:themeColor="accent6" w:themeTint="98" w:themeShade="95"/>
        <w:sz w:val="22"/>
      </w:rPr>
      <w:tblPr/>
      <w:tcPr>
        <w:shd w:val="clear" w:color="FDE4D0" w:fill="FDE4D0" w:themeFill="accent6" w:themeFillTint="40"/>
      </w:tcPr>
    </w:tblStylePr>
    <w:tblStylePr w:type="band2Horz">
      <w:rPr>
        <w:color w:val="FAC090" w:themeColor="accent6" w:themeTint="98" w:themeShade="95"/>
        <w:sz w:val="22"/>
      </w:rPr>
    </w:tblStylePr>
  </w:style>
  <w:style w:type="table" w:styleId="-71">
    <w:name w:val="List Table 7 Colorful"/>
    <w:uiPriority w:val="99"/>
    <w:tblPr>
      <w:tblStyleRowBandSize w:val="1"/>
      <w:tblStyleColBandSize w:val="1"/>
      <w:tblBorders>
        <w:right w:val="single" w:sz="4" w:space="0" w:color="7F7F7F" w:themeColor="text1" w:themeTint="80"/>
      </w:tblBorders>
      <w:tblCellMar>
        <w:top w:w="0" w:type="dxa"/>
        <w:left w:w="0" w:type="dxa"/>
        <w:bottom w:w="0" w:type="dxa"/>
        <w:right w:w="0" w:type="dxa"/>
      </w:tblCellMar>
    </w:tblPr>
    <w:tblStylePr w:type="firstRow">
      <w:rPr>
        <w:i/>
        <w:color w:val="7F7F7F" w:themeColor="text1" w:themeTint="80" w:themeShade="95"/>
        <w:sz w:val="22"/>
      </w:rPr>
      <w:tblPr/>
      <w:tcPr>
        <w:tcBorders>
          <w:top w:val="none" w:sz="0" w:space="0" w:color="auto"/>
          <w:left w:val="none" w:sz="0" w:space="0" w:color="auto"/>
          <w:bottom w:val="single" w:sz="4" w:space="0" w:color="000000" w:themeColor="text1"/>
          <w:right w:val="none" w:sz="0" w:space="0" w:color="auto"/>
        </w:tcBorders>
        <w:shd w:val="clear" w:color="FFFFFF" w:fill="FFFFFF" w:themeFill="light1"/>
      </w:tcPr>
    </w:tblStylePr>
    <w:tblStylePr w:type="lastRow">
      <w:rPr>
        <w:i/>
        <w:color w:val="7F7F7F" w:themeColor="text1" w:themeTint="80" w:themeShade="95"/>
        <w:sz w:val="22"/>
      </w:rPr>
      <w:tblPr/>
      <w:tcPr>
        <w:tcBorders>
          <w:top w:val="single" w:sz="4" w:space="0" w:color="000000" w:themeColor="text1"/>
          <w:left w:val="none" w:sz="0" w:space="0" w:color="auto"/>
          <w:bottom w:val="none" w:sz="0" w:space="0" w:color="auto"/>
          <w:right w:val="none" w:sz="0" w:space="0" w:color="auto"/>
        </w:tcBorders>
        <w:shd w:val="clear" w:color="FFFFFF" w:fill="FFFFFF" w:themeFill="light1"/>
      </w:tcPr>
    </w:tblStylePr>
    <w:tblStylePr w:type="firstCol">
      <w:pPr>
        <w:jc w:val="right"/>
      </w:pPr>
      <w:rPr>
        <w:i/>
        <w:color w:val="7F7F7F" w:themeColor="text1" w:themeTint="80" w:themeShade="95"/>
        <w:sz w:val="22"/>
      </w:rPr>
      <w:tblPr/>
      <w:tcPr>
        <w:tcBorders>
          <w:top w:val="none" w:sz="0" w:space="0" w:color="auto"/>
          <w:left w:val="none" w:sz="0" w:space="0" w:color="auto"/>
          <w:bottom w:val="none" w:sz="0" w:space="0" w:color="auto"/>
          <w:right w:val="single" w:sz="4" w:space="0" w:color="000000" w:themeColor="text1"/>
        </w:tcBorders>
        <w:shd w:val="clear" w:color="FFFFFF" w:fill="auto"/>
      </w:tcPr>
    </w:tblStylePr>
    <w:tblStylePr w:type="lastCol">
      <w:rPr>
        <w:i/>
        <w:color w:val="7F7F7F" w:themeColor="text1" w:themeTint="80" w:themeShade="95"/>
        <w:sz w:val="22"/>
      </w:rPr>
      <w:tblPr/>
      <w:tcPr>
        <w:tcBorders>
          <w:top w:val="none" w:sz="0" w:space="0" w:color="auto"/>
          <w:left w:val="single" w:sz="4" w:space="0" w:color="000000" w:themeColor="text1"/>
          <w:bottom w:val="none" w:sz="0" w:space="0" w:color="auto"/>
          <w:right w:val="none" w:sz="0" w:space="0" w:color="auto"/>
        </w:tcBorders>
        <w:shd w:val="clear" w:color="FFFFFF" w:fill="auto"/>
      </w:tcPr>
    </w:tblStylePr>
    <w:tblStylePr w:type="band1Vert">
      <w:tblPr/>
      <w:tcPr>
        <w:shd w:val="clear" w:color="BFBFBF" w:fill="BFBFBF" w:themeFill="text1" w:themeFillTint="40"/>
      </w:tcPr>
    </w:tblStylePr>
    <w:tblStylePr w:type="band1Horz">
      <w:rPr>
        <w:color w:val="7F7F7F" w:themeColor="text1" w:themeTint="80" w:themeShade="95"/>
        <w:sz w:val="22"/>
      </w:rPr>
      <w:tblPr/>
      <w:tcPr>
        <w:shd w:val="clear" w:color="BFBFBF" w:fill="BFBFBF" w:themeFill="text1" w:themeFillTint="40"/>
      </w:tcPr>
    </w:tblStylePr>
    <w:tblStylePr w:type="band2Horz">
      <w:rPr>
        <w:color w:val="7F7F7F" w:themeColor="text1" w:themeTint="80" w:themeShade="95"/>
        <w:sz w:val="22"/>
      </w:rPr>
    </w:tblStylePr>
  </w:style>
  <w:style w:type="table" w:customStyle="1" w:styleId="ListTable7Colorful-Accent1">
    <w:name w:val="List Table 7 Colorful - Accent 1"/>
    <w:uiPriority w:val="99"/>
    <w:tblPr>
      <w:tblStyleRowBandSize w:val="1"/>
      <w:tblStyleColBandSize w:val="1"/>
      <w:tblBorders>
        <w:right w:val="single" w:sz="4" w:space="0" w:color="4F81BD" w:themeColor="accent1"/>
      </w:tblBorders>
      <w:tblCellMar>
        <w:top w:w="0" w:type="dxa"/>
        <w:left w:w="0" w:type="dxa"/>
        <w:bottom w:w="0" w:type="dxa"/>
        <w:right w:w="0" w:type="dxa"/>
      </w:tblCellMar>
    </w:tblPr>
    <w:tblStylePr w:type="firstRow">
      <w:rPr>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fill="FFFFFF" w:themeFill="light1"/>
      </w:tcPr>
    </w:tblStylePr>
    <w:tblStylePr w:type="lastRow">
      <w:rPr>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fill="FFFFFF" w:themeFill="light1"/>
      </w:tcPr>
    </w:tblStylePr>
    <w:tblStylePr w:type="firstCol">
      <w:pPr>
        <w:jc w:val="right"/>
      </w:pPr>
      <w:rPr>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fill="D2DFEE" w:themeFill="accent1" w:themeFillTint="40"/>
      </w:tcPr>
    </w:tblStylePr>
    <w:tblStylePr w:type="band1Horz">
      <w:rPr>
        <w:color w:val="2A4A71" w:themeColor="accent1" w:themeShade="95"/>
        <w:sz w:val="22"/>
      </w:rPr>
      <w:tblPr/>
      <w:tcPr>
        <w:shd w:val="clear" w:color="D2DFEE" w:fill="D2DFEE" w:themeFill="accent1" w:themeFillTint="40"/>
      </w:tcPr>
    </w:tblStylePr>
    <w:tblStylePr w:type="band2Horz">
      <w:rPr>
        <w:color w:val="2A4A71" w:themeColor="accent1" w:themeShade="95"/>
        <w:sz w:val="22"/>
      </w:rPr>
    </w:tblStylePr>
  </w:style>
  <w:style w:type="table" w:customStyle="1" w:styleId="ListTable7Colorful-Accent2">
    <w:name w:val="List Table 7 Colorful - Accent 2"/>
    <w:uiPriority w:val="99"/>
    <w:tblPr>
      <w:tblStyleRowBandSize w:val="1"/>
      <w:tblStyleColBandSize w:val="1"/>
      <w:tblBorders>
        <w:right w:val="single" w:sz="4" w:space="0" w:color="D99695" w:themeColor="accent2" w:themeTint="97"/>
      </w:tblBorders>
      <w:tblCellMar>
        <w:top w:w="0" w:type="dxa"/>
        <w:left w:w="0" w:type="dxa"/>
        <w:bottom w:w="0" w:type="dxa"/>
        <w:right w:w="0" w:type="dxa"/>
      </w:tblCellMar>
    </w:tblPr>
    <w:tblStylePr w:type="firstRow">
      <w:rPr>
        <w:i/>
        <w:color w:val="D99695" w:themeColor="accent2" w:themeTint="97" w:themeShade="95"/>
        <w:sz w:val="22"/>
      </w:rPr>
      <w:tblPr/>
      <w:tcPr>
        <w:tcBorders>
          <w:top w:val="none" w:sz="0" w:space="0" w:color="auto"/>
          <w:left w:val="none" w:sz="0" w:space="0" w:color="auto"/>
          <w:bottom w:val="single" w:sz="4" w:space="0" w:color="C0504D" w:themeColor="accent2"/>
          <w:right w:val="none" w:sz="0" w:space="0" w:color="auto"/>
        </w:tcBorders>
        <w:shd w:val="clear" w:color="FFFFFF" w:fill="FFFFFF" w:themeFill="light1"/>
      </w:tcPr>
    </w:tblStylePr>
    <w:tblStylePr w:type="lastRow">
      <w:rPr>
        <w:i/>
        <w:color w:val="D99695" w:themeColor="accent2" w:themeTint="97" w:themeShade="95"/>
        <w:sz w:val="22"/>
      </w:rPr>
      <w:tblPr/>
      <w:tcPr>
        <w:tcBorders>
          <w:top w:val="single" w:sz="4" w:space="0" w:color="C0504D" w:themeColor="accent2"/>
          <w:left w:val="none" w:sz="0" w:space="0" w:color="auto"/>
          <w:bottom w:val="none" w:sz="0" w:space="0" w:color="auto"/>
          <w:right w:val="none" w:sz="0" w:space="0" w:color="auto"/>
        </w:tcBorders>
        <w:shd w:val="clear" w:color="FFFFFF" w:fill="FFFFFF" w:themeFill="light1"/>
      </w:tcPr>
    </w:tblStylePr>
    <w:tblStylePr w:type="firstCol">
      <w:pPr>
        <w:jc w:val="right"/>
      </w:pPr>
      <w:rPr>
        <w:i/>
        <w:color w:val="D99695" w:themeColor="accent2" w:themeTint="97" w:themeShade="95"/>
        <w:sz w:val="22"/>
      </w:rPr>
      <w:tblPr/>
      <w:tcPr>
        <w:tcBorders>
          <w:top w:val="none" w:sz="0" w:space="0" w:color="auto"/>
          <w:left w:val="none" w:sz="0" w:space="0" w:color="auto"/>
          <w:bottom w:val="none" w:sz="0" w:space="0" w:color="auto"/>
          <w:right w:val="single" w:sz="4" w:space="0" w:color="C0504D" w:themeColor="accent2"/>
        </w:tcBorders>
        <w:shd w:val="clear" w:color="FFFFFF" w:fill="auto"/>
      </w:tcPr>
    </w:tblStylePr>
    <w:tblStylePr w:type="lastCol">
      <w:rPr>
        <w:i/>
        <w:color w:val="D99695" w:themeColor="accent2" w:themeTint="97" w:themeShade="95"/>
        <w:sz w:val="22"/>
      </w:rPr>
      <w:tblPr/>
      <w:tcPr>
        <w:tcBorders>
          <w:top w:val="none" w:sz="0" w:space="0" w:color="auto"/>
          <w:left w:val="single" w:sz="4" w:space="0" w:color="C0504D" w:themeColor="accent2"/>
          <w:bottom w:val="none" w:sz="0" w:space="0" w:color="auto"/>
          <w:right w:val="none" w:sz="0" w:space="0" w:color="auto"/>
        </w:tcBorders>
        <w:shd w:val="clear" w:color="FFFFFF" w:fill="auto"/>
      </w:tcPr>
    </w:tblStylePr>
    <w:tblStylePr w:type="band1Vert">
      <w:tblPr/>
      <w:tcPr>
        <w:shd w:val="clear" w:color="EFD2D2" w:fill="EFD2D2" w:themeFill="accent2" w:themeFillTint="40"/>
      </w:tcPr>
    </w:tblStylePr>
    <w:tblStylePr w:type="band1Horz">
      <w:rPr>
        <w:color w:val="D99695" w:themeColor="accent2" w:themeTint="97" w:themeShade="95"/>
        <w:sz w:val="22"/>
      </w:rPr>
      <w:tblPr/>
      <w:tcPr>
        <w:shd w:val="clear" w:color="EFD2D2" w:fill="EFD2D2" w:themeFill="accent2" w:themeFillTint="40"/>
      </w:tcPr>
    </w:tblStylePr>
    <w:tblStylePr w:type="band2Horz">
      <w:rPr>
        <w:color w:val="D99695" w:themeColor="accent2" w:themeTint="97" w:themeShade="95"/>
        <w:sz w:val="22"/>
      </w:rPr>
    </w:tblStylePr>
  </w:style>
  <w:style w:type="table" w:customStyle="1" w:styleId="ListTable7Colorful-Accent3">
    <w:name w:val="List Table 7 Colorful - Accent 3"/>
    <w:uiPriority w:val="99"/>
    <w:tblPr>
      <w:tblStyleRowBandSize w:val="1"/>
      <w:tblStyleColBandSize w:val="1"/>
      <w:tblBorders>
        <w:right w:val="single" w:sz="4" w:space="0" w:color="C3D69B" w:themeColor="accent3" w:themeTint="98"/>
      </w:tblBorders>
      <w:tblCellMar>
        <w:top w:w="0" w:type="dxa"/>
        <w:left w:w="0" w:type="dxa"/>
        <w:bottom w:w="0" w:type="dxa"/>
        <w:right w:w="0" w:type="dxa"/>
      </w:tblCellMar>
    </w:tblPr>
    <w:tblStylePr w:type="firstRow">
      <w:rPr>
        <w:i/>
        <w:color w:val="C3D69B" w:themeColor="accent3" w:themeTint="98" w:themeShade="95"/>
        <w:sz w:val="22"/>
      </w:rPr>
      <w:tblPr/>
      <w:tcPr>
        <w:tcBorders>
          <w:top w:val="none" w:sz="0" w:space="0" w:color="auto"/>
          <w:left w:val="none" w:sz="0" w:space="0" w:color="auto"/>
          <w:bottom w:val="single" w:sz="4" w:space="0" w:color="9BBB59" w:themeColor="accent3"/>
          <w:right w:val="none" w:sz="0" w:space="0" w:color="auto"/>
        </w:tcBorders>
        <w:shd w:val="clear" w:color="FFFFFF" w:fill="FFFFFF" w:themeFill="light1"/>
      </w:tcPr>
    </w:tblStylePr>
    <w:tblStylePr w:type="lastRow">
      <w:rPr>
        <w:i/>
        <w:color w:val="C3D69B" w:themeColor="accent3" w:themeTint="98" w:themeShade="95"/>
        <w:sz w:val="22"/>
      </w:rPr>
      <w:tblPr/>
      <w:tcPr>
        <w:tcBorders>
          <w:top w:val="single" w:sz="4" w:space="0" w:color="9BBB59" w:themeColor="accent3"/>
          <w:left w:val="none" w:sz="0" w:space="0" w:color="auto"/>
          <w:bottom w:val="none" w:sz="0" w:space="0" w:color="auto"/>
          <w:right w:val="none" w:sz="0" w:space="0" w:color="auto"/>
        </w:tcBorders>
        <w:shd w:val="clear" w:color="FFFFFF" w:fill="FFFFFF" w:themeFill="light1"/>
      </w:tcPr>
    </w:tblStylePr>
    <w:tblStylePr w:type="firstCol">
      <w:pPr>
        <w:jc w:val="right"/>
      </w:pPr>
      <w:rPr>
        <w:i/>
        <w:color w:val="C3D69B" w:themeColor="accent3" w:themeTint="98" w:themeShade="95"/>
        <w:sz w:val="22"/>
      </w:rPr>
      <w:tblPr/>
      <w:tcPr>
        <w:tcBorders>
          <w:top w:val="none" w:sz="0" w:space="0" w:color="auto"/>
          <w:left w:val="none" w:sz="0" w:space="0" w:color="auto"/>
          <w:bottom w:val="none" w:sz="0" w:space="0" w:color="auto"/>
          <w:right w:val="single" w:sz="4" w:space="0" w:color="9BBB59" w:themeColor="accent3"/>
        </w:tcBorders>
        <w:shd w:val="clear" w:color="FFFFFF" w:fill="auto"/>
      </w:tcPr>
    </w:tblStylePr>
    <w:tblStylePr w:type="lastCol">
      <w:rPr>
        <w:i/>
        <w:color w:val="C3D69B" w:themeColor="accent3" w:themeTint="98" w:themeShade="95"/>
        <w:sz w:val="22"/>
      </w:rPr>
      <w:tblPr/>
      <w:tcPr>
        <w:tcBorders>
          <w:top w:val="none" w:sz="0" w:space="0" w:color="auto"/>
          <w:left w:val="single" w:sz="4" w:space="0" w:color="9BBB59" w:themeColor="accent3"/>
          <w:bottom w:val="none" w:sz="0" w:space="0" w:color="auto"/>
          <w:right w:val="none" w:sz="0" w:space="0" w:color="auto"/>
        </w:tcBorders>
        <w:shd w:val="clear" w:color="FFFFFF" w:fill="auto"/>
      </w:tcPr>
    </w:tblStylePr>
    <w:tblStylePr w:type="band1Vert">
      <w:tblPr/>
      <w:tcPr>
        <w:shd w:val="clear" w:color="E5EED5" w:fill="E5EED5" w:themeFill="accent3" w:themeFillTint="40"/>
      </w:tcPr>
    </w:tblStylePr>
    <w:tblStylePr w:type="band1Horz">
      <w:rPr>
        <w:color w:val="C3D69B" w:themeColor="accent3" w:themeTint="98" w:themeShade="95"/>
        <w:sz w:val="22"/>
      </w:rPr>
      <w:tblPr/>
      <w:tcPr>
        <w:shd w:val="clear" w:color="E5EED5" w:fill="E5EED5" w:themeFill="accent3" w:themeFillTint="40"/>
      </w:tcPr>
    </w:tblStylePr>
    <w:tblStylePr w:type="band2Horz">
      <w:rPr>
        <w:color w:val="C3D69B" w:themeColor="accent3" w:themeTint="98" w:themeShade="95"/>
        <w:sz w:val="22"/>
      </w:rPr>
    </w:tblStylePr>
  </w:style>
  <w:style w:type="table" w:customStyle="1" w:styleId="ListTable7Colorful-Accent4">
    <w:name w:val="List Table 7 Colorful - Accent 4"/>
    <w:uiPriority w:val="99"/>
    <w:tblPr>
      <w:tblStyleRowBandSize w:val="1"/>
      <w:tblStyleColBandSize w:val="1"/>
      <w:tblBorders>
        <w:right w:val="single" w:sz="4" w:space="0" w:color="B2A1C6" w:themeColor="accent4" w:themeTint="9A"/>
      </w:tblBorders>
      <w:tblCellMar>
        <w:top w:w="0" w:type="dxa"/>
        <w:left w:w="0" w:type="dxa"/>
        <w:bottom w:w="0" w:type="dxa"/>
        <w:right w:w="0" w:type="dxa"/>
      </w:tblCellMar>
    </w:tblPr>
    <w:tblStylePr w:type="firstRow">
      <w:rPr>
        <w:i/>
        <w:color w:val="B2A1C6" w:themeColor="accent4" w:themeTint="9A" w:themeShade="95"/>
        <w:sz w:val="22"/>
      </w:rPr>
      <w:tblPr/>
      <w:tcPr>
        <w:tcBorders>
          <w:top w:val="none" w:sz="0" w:space="0" w:color="auto"/>
          <w:left w:val="none" w:sz="0" w:space="0" w:color="auto"/>
          <w:bottom w:val="single" w:sz="4" w:space="0" w:color="8064A2" w:themeColor="accent4"/>
          <w:right w:val="none" w:sz="0" w:space="0" w:color="auto"/>
        </w:tcBorders>
        <w:shd w:val="clear" w:color="FFFFFF" w:fill="FFFFFF" w:themeFill="light1"/>
      </w:tcPr>
    </w:tblStylePr>
    <w:tblStylePr w:type="lastRow">
      <w:rPr>
        <w:i/>
        <w:color w:val="B2A1C6" w:themeColor="accent4" w:themeTint="9A" w:themeShade="95"/>
        <w:sz w:val="22"/>
      </w:rPr>
      <w:tblPr/>
      <w:tcPr>
        <w:tcBorders>
          <w:top w:val="single" w:sz="4" w:space="0" w:color="8064A2" w:themeColor="accent4"/>
          <w:left w:val="none" w:sz="0" w:space="0" w:color="auto"/>
          <w:bottom w:val="none" w:sz="0" w:space="0" w:color="auto"/>
          <w:right w:val="none" w:sz="0" w:space="0" w:color="auto"/>
        </w:tcBorders>
        <w:shd w:val="clear" w:color="FFFFFF" w:fill="FFFFFF" w:themeFill="light1"/>
      </w:tcPr>
    </w:tblStylePr>
    <w:tblStylePr w:type="firstCol">
      <w:pPr>
        <w:jc w:val="right"/>
      </w:pPr>
      <w:rPr>
        <w:i/>
        <w:color w:val="B2A1C6" w:themeColor="accent4" w:themeTint="9A" w:themeShade="95"/>
        <w:sz w:val="22"/>
      </w:rPr>
      <w:tblPr/>
      <w:tcPr>
        <w:tcBorders>
          <w:top w:val="none" w:sz="0" w:space="0" w:color="auto"/>
          <w:left w:val="none" w:sz="0" w:space="0" w:color="auto"/>
          <w:bottom w:val="none" w:sz="0" w:space="0" w:color="auto"/>
          <w:right w:val="single" w:sz="4" w:space="0" w:color="8064A2" w:themeColor="accent4"/>
        </w:tcBorders>
        <w:shd w:val="clear" w:color="FFFFFF" w:fill="auto"/>
      </w:tcPr>
    </w:tblStylePr>
    <w:tblStylePr w:type="lastCol">
      <w:rPr>
        <w:i/>
        <w:color w:val="B2A1C6" w:themeColor="accent4" w:themeTint="9A" w:themeShade="95"/>
        <w:sz w:val="22"/>
      </w:rPr>
      <w:tblPr/>
      <w:tcPr>
        <w:tcBorders>
          <w:top w:val="none" w:sz="0" w:space="0" w:color="auto"/>
          <w:left w:val="single" w:sz="4" w:space="0" w:color="8064A2" w:themeColor="accent4"/>
          <w:bottom w:val="none" w:sz="0" w:space="0" w:color="auto"/>
          <w:right w:val="none" w:sz="0" w:space="0" w:color="auto"/>
        </w:tcBorders>
        <w:shd w:val="clear" w:color="FFFFFF" w:fill="auto"/>
      </w:tcPr>
    </w:tblStylePr>
    <w:tblStylePr w:type="band1Vert">
      <w:tblPr/>
      <w:tcPr>
        <w:shd w:val="clear" w:color="DFD8E7" w:fill="DFD8E7" w:themeFill="accent4" w:themeFillTint="40"/>
      </w:tcPr>
    </w:tblStylePr>
    <w:tblStylePr w:type="band1Horz">
      <w:rPr>
        <w:color w:val="B2A1C6" w:themeColor="accent4" w:themeTint="9A" w:themeShade="95"/>
        <w:sz w:val="22"/>
      </w:rPr>
      <w:tblPr/>
      <w:tcPr>
        <w:shd w:val="clear" w:color="DFD8E7" w:fill="DFD8E7" w:themeFill="accent4" w:themeFillTint="40"/>
      </w:tcPr>
    </w:tblStylePr>
    <w:tblStylePr w:type="band2Horz">
      <w:rPr>
        <w:color w:val="B2A1C6" w:themeColor="accent4" w:themeTint="9A" w:themeShade="95"/>
        <w:sz w:val="22"/>
      </w:rPr>
    </w:tblStylePr>
  </w:style>
  <w:style w:type="table" w:customStyle="1" w:styleId="ListTable7Colorful-Accent5">
    <w:name w:val="List Table 7 Colorful - Accent 5"/>
    <w:uiPriority w:val="99"/>
    <w:tblPr>
      <w:tblStyleRowBandSize w:val="1"/>
      <w:tblStyleColBandSize w:val="1"/>
      <w:tblBorders>
        <w:right w:val="single" w:sz="4" w:space="0" w:color="92CCDC" w:themeColor="accent5" w:themeTint="9A"/>
      </w:tblBorders>
      <w:tblCellMar>
        <w:top w:w="0" w:type="dxa"/>
        <w:left w:w="0" w:type="dxa"/>
        <w:bottom w:w="0" w:type="dxa"/>
        <w:right w:w="0" w:type="dxa"/>
      </w:tblCellMar>
    </w:tblPr>
    <w:tblStylePr w:type="firstRow">
      <w:rPr>
        <w:i/>
        <w:color w:val="92CCDC" w:themeColor="accent5" w:themeTint="9A" w:themeShade="95"/>
        <w:sz w:val="22"/>
      </w:rPr>
      <w:tblPr/>
      <w:tcPr>
        <w:tcBorders>
          <w:top w:val="none" w:sz="0" w:space="0" w:color="auto"/>
          <w:left w:val="none" w:sz="0" w:space="0" w:color="auto"/>
          <w:bottom w:val="single" w:sz="4" w:space="0" w:color="4BACC6" w:themeColor="accent5"/>
          <w:right w:val="none" w:sz="0" w:space="0" w:color="auto"/>
        </w:tcBorders>
        <w:shd w:val="clear" w:color="FFFFFF" w:fill="FFFFFF" w:themeFill="light1"/>
      </w:tcPr>
    </w:tblStylePr>
    <w:tblStylePr w:type="lastRow">
      <w:rPr>
        <w:i/>
        <w:color w:val="92CCDC" w:themeColor="accent5" w:themeTint="9A" w:themeShade="95"/>
        <w:sz w:val="22"/>
      </w:rPr>
      <w:tblPr/>
      <w:tcPr>
        <w:tcBorders>
          <w:top w:val="single" w:sz="4" w:space="0" w:color="4BACC6" w:themeColor="accent5"/>
          <w:left w:val="none" w:sz="0" w:space="0" w:color="auto"/>
          <w:bottom w:val="none" w:sz="0" w:space="0" w:color="auto"/>
          <w:right w:val="none" w:sz="0" w:space="0" w:color="auto"/>
        </w:tcBorders>
        <w:shd w:val="clear" w:color="FFFFFF" w:fill="FFFFFF" w:themeFill="light1"/>
      </w:tcPr>
    </w:tblStylePr>
    <w:tblStylePr w:type="firstCol">
      <w:pPr>
        <w:jc w:val="right"/>
      </w:pPr>
      <w:rPr>
        <w:i/>
        <w:color w:val="92CCDC" w:themeColor="accent5" w:themeTint="9A" w:themeShade="95"/>
        <w:sz w:val="22"/>
      </w:rPr>
      <w:tblPr/>
      <w:tcPr>
        <w:tcBorders>
          <w:top w:val="none" w:sz="0" w:space="0" w:color="auto"/>
          <w:left w:val="none" w:sz="0" w:space="0" w:color="auto"/>
          <w:bottom w:val="none" w:sz="0" w:space="0" w:color="auto"/>
          <w:right w:val="single" w:sz="4" w:space="0" w:color="4BACC6" w:themeColor="accent5"/>
        </w:tcBorders>
        <w:shd w:val="clear" w:color="FFFFFF" w:fill="auto"/>
      </w:tcPr>
    </w:tblStylePr>
    <w:tblStylePr w:type="lastCol">
      <w:rPr>
        <w:i/>
        <w:color w:val="92CCDC" w:themeColor="accent5" w:themeTint="9A" w:themeShade="95"/>
        <w:sz w:val="22"/>
      </w:rPr>
      <w:tblPr/>
      <w:tcPr>
        <w:tcBorders>
          <w:top w:val="none" w:sz="0" w:space="0" w:color="auto"/>
          <w:left w:val="single" w:sz="4" w:space="0" w:color="4BACC6" w:themeColor="accent5"/>
          <w:bottom w:val="none" w:sz="0" w:space="0" w:color="auto"/>
          <w:right w:val="none" w:sz="0" w:space="0" w:color="auto"/>
        </w:tcBorders>
        <w:shd w:val="clear" w:color="FFFFFF" w:fill="auto"/>
      </w:tcPr>
    </w:tblStylePr>
    <w:tblStylePr w:type="band1Vert">
      <w:tblPr/>
      <w:tcPr>
        <w:shd w:val="clear" w:color="D1EAF0" w:fill="D1EAF0" w:themeFill="accent5" w:themeFillTint="40"/>
      </w:tcPr>
    </w:tblStylePr>
    <w:tblStylePr w:type="band1Horz">
      <w:rPr>
        <w:color w:val="92CCDC" w:themeColor="accent5" w:themeTint="9A" w:themeShade="95"/>
        <w:sz w:val="22"/>
      </w:rPr>
      <w:tblPr/>
      <w:tcPr>
        <w:shd w:val="clear" w:color="D1EAF0" w:fill="D1EAF0" w:themeFill="accent5" w:themeFillTint="40"/>
      </w:tcPr>
    </w:tblStylePr>
    <w:tblStylePr w:type="band2Horz">
      <w:rPr>
        <w:color w:val="92CCDC" w:themeColor="accent5" w:themeTint="9A" w:themeShade="95"/>
        <w:sz w:val="22"/>
      </w:rPr>
    </w:tblStylePr>
  </w:style>
  <w:style w:type="table" w:customStyle="1" w:styleId="ListTable7Colorful-Accent6">
    <w:name w:val="List Table 7 Colorful - Accent 6"/>
    <w:uiPriority w:val="99"/>
    <w:tblPr>
      <w:tblStyleRowBandSize w:val="1"/>
      <w:tblStyleColBandSize w:val="1"/>
      <w:tblBorders>
        <w:right w:val="single" w:sz="4" w:space="0" w:color="FAC090" w:themeColor="accent6" w:themeTint="98"/>
      </w:tblBorders>
      <w:tblCellMar>
        <w:top w:w="0" w:type="dxa"/>
        <w:left w:w="0" w:type="dxa"/>
        <w:bottom w:w="0" w:type="dxa"/>
        <w:right w:w="0" w:type="dxa"/>
      </w:tblCellMar>
    </w:tblPr>
    <w:tblStylePr w:type="firstRow">
      <w:rPr>
        <w:i/>
        <w:color w:val="FAC090" w:themeColor="accent6" w:themeTint="98" w:themeShade="95"/>
        <w:sz w:val="22"/>
      </w:rPr>
      <w:tblPr/>
      <w:tcPr>
        <w:tcBorders>
          <w:top w:val="none" w:sz="0" w:space="0" w:color="auto"/>
          <w:left w:val="none" w:sz="0" w:space="0" w:color="auto"/>
          <w:bottom w:val="single" w:sz="4" w:space="0" w:color="F79646" w:themeColor="accent6"/>
          <w:right w:val="none" w:sz="0" w:space="0" w:color="auto"/>
        </w:tcBorders>
        <w:shd w:val="clear" w:color="FFFFFF" w:fill="FFFFFF" w:themeFill="light1"/>
      </w:tcPr>
    </w:tblStylePr>
    <w:tblStylePr w:type="lastRow">
      <w:rPr>
        <w:i/>
        <w:color w:val="FAC090" w:themeColor="accent6" w:themeTint="98" w:themeShade="95"/>
        <w:sz w:val="22"/>
      </w:rPr>
      <w:tblPr/>
      <w:tcPr>
        <w:tcBorders>
          <w:top w:val="single" w:sz="4" w:space="0" w:color="F79646" w:themeColor="accent6"/>
          <w:left w:val="none" w:sz="0" w:space="0" w:color="auto"/>
          <w:bottom w:val="none" w:sz="0" w:space="0" w:color="auto"/>
          <w:right w:val="none" w:sz="0" w:space="0" w:color="auto"/>
        </w:tcBorders>
        <w:shd w:val="clear" w:color="FFFFFF" w:fill="FFFFFF" w:themeFill="light1"/>
      </w:tcPr>
    </w:tblStylePr>
    <w:tblStylePr w:type="firstCol">
      <w:pPr>
        <w:jc w:val="right"/>
      </w:pPr>
      <w:rPr>
        <w:i/>
        <w:color w:val="FAC090" w:themeColor="accent6" w:themeTint="98" w:themeShade="95"/>
        <w:sz w:val="22"/>
      </w:rPr>
      <w:tblPr/>
      <w:tcPr>
        <w:tcBorders>
          <w:top w:val="none" w:sz="0" w:space="0" w:color="auto"/>
          <w:left w:val="none" w:sz="0" w:space="0" w:color="auto"/>
          <w:bottom w:val="none" w:sz="0" w:space="0" w:color="auto"/>
          <w:right w:val="single" w:sz="4" w:space="0" w:color="F79646" w:themeColor="accent6"/>
        </w:tcBorders>
        <w:shd w:val="clear" w:color="FFFFFF" w:fill="auto"/>
      </w:tcPr>
    </w:tblStylePr>
    <w:tblStylePr w:type="lastCol">
      <w:rPr>
        <w:i/>
        <w:color w:val="FAC090" w:themeColor="accent6" w:themeTint="98" w:themeShade="95"/>
        <w:sz w:val="22"/>
      </w:rPr>
      <w:tblPr/>
      <w:tcPr>
        <w:tcBorders>
          <w:top w:val="none" w:sz="0" w:space="0" w:color="auto"/>
          <w:left w:val="single" w:sz="4" w:space="0" w:color="F79646" w:themeColor="accent6"/>
          <w:bottom w:val="none" w:sz="0" w:space="0" w:color="auto"/>
          <w:right w:val="none" w:sz="0" w:space="0" w:color="auto"/>
        </w:tcBorders>
        <w:shd w:val="clear" w:color="FFFFFF" w:fill="auto"/>
      </w:tcPr>
    </w:tblStylePr>
    <w:tblStylePr w:type="band1Vert">
      <w:tblPr/>
      <w:tcPr>
        <w:shd w:val="clear" w:color="FDE4D0" w:fill="FDE4D0" w:themeFill="accent6" w:themeFillTint="40"/>
      </w:tcPr>
    </w:tblStylePr>
    <w:tblStylePr w:type="band1Horz">
      <w:rPr>
        <w:color w:val="FAC090" w:themeColor="accent6" w:themeTint="98" w:themeShade="95"/>
        <w:sz w:val="22"/>
      </w:rPr>
      <w:tblPr/>
      <w:tcPr>
        <w:shd w:val="clear" w:color="FDE4D0" w:fill="FDE4D0" w:themeFill="accent6" w:themeFillTint="40"/>
      </w:tcPr>
    </w:tblStylePr>
    <w:tblStylePr w:type="band2Horz">
      <w:rPr>
        <w:color w:val="FAC090" w:themeColor="accent6" w:themeTint="98" w:themeShade="95"/>
        <w:sz w:val="22"/>
      </w:rPr>
    </w:tblStylePr>
  </w:style>
  <w:style w:type="table" w:customStyle="1" w:styleId="Lined-Accent">
    <w:name w:val="Lined - Accent"/>
    <w:uiPriority w:val="99"/>
    <w:rPr>
      <w:lang w:eastAsia="ru-RU"/>
    </w:rPr>
    <w:tblPr>
      <w:tblStyleRowBandSize w:val="1"/>
      <w:tblStyleColBandSize w:val="1"/>
      <w:tblCellMar>
        <w:top w:w="0" w:type="dxa"/>
        <w:left w:w="0" w:type="dxa"/>
        <w:bottom w:w="0" w:type="dxa"/>
        <w:right w:w="0" w:type="dxa"/>
      </w:tblCellMar>
    </w:tblPr>
    <w:tblStylePr w:type="firstRow">
      <w:rPr>
        <w:sz w:val="22"/>
      </w:rPr>
      <w:tblPr/>
      <w:tcPr>
        <w:shd w:val="clear" w:color="7F7F7F" w:fill="7F7F7F" w:themeFill="text1" w:themeFillTint="80"/>
      </w:tcPr>
    </w:tblStylePr>
    <w:tblStylePr w:type="lastRow">
      <w:rPr>
        <w:sz w:val="22"/>
      </w:rPr>
      <w:tblPr/>
      <w:tcPr>
        <w:shd w:val="clear" w:color="7F7F7F" w:fill="7F7F7F" w:themeFill="text1" w:themeFillTint="80"/>
      </w:tcPr>
    </w:tblStylePr>
    <w:tblStylePr w:type="firstCol">
      <w:rPr>
        <w:sz w:val="22"/>
      </w:rPr>
      <w:tblPr/>
      <w:tcPr>
        <w:shd w:val="clear" w:color="7F7F7F" w:fill="7F7F7F" w:themeFill="text1" w:themeFillTint="80"/>
      </w:tcPr>
    </w:tblStylePr>
    <w:tblStylePr w:type="lastCol">
      <w:rPr>
        <w:sz w:val="22"/>
      </w:rPr>
      <w:tblPr/>
      <w:tcPr>
        <w:shd w:val="clear" w:color="7F7F7F" w:fill="7F7F7F" w:themeFill="text1" w:themeFillTint="80"/>
      </w:tcPr>
    </w:tblStylePr>
    <w:tblStylePr w:type="band1Vert">
      <w:rPr>
        <w:sz w:val="22"/>
      </w:rPr>
    </w:tblStylePr>
    <w:tblStylePr w:type="band2Vert">
      <w:rPr>
        <w:sz w:val="22"/>
      </w:rPr>
      <w:tblPr/>
      <w:tcPr>
        <w:shd w:val="clear" w:color="F2F2F2" w:fill="F2F2F2" w:themeFill="text1" w:themeFillTint="0D"/>
      </w:tcPr>
    </w:tblStylePr>
    <w:tblStylePr w:type="band1Horz">
      <w:rPr>
        <w:sz w:val="22"/>
      </w:rPr>
    </w:tblStylePr>
    <w:tblStylePr w:type="band2Horz">
      <w:rPr>
        <w:sz w:val="22"/>
      </w:rPr>
      <w:tblPr/>
      <w:tcPr>
        <w:shd w:val="clear" w:color="F2F2F2" w:fill="F2F2F2" w:themeFill="text1" w:themeFillTint="0D"/>
      </w:tcPr>
    </w:tblStylePr>
  </w:style>
  <w:style w:type="table" w:customStyle="1" w:styleId="Lined-Accent1">
    <w:name w:val="Lined - Accent 1"/>
    <w:uiPriority w:val="99"/>
    <w:rPr>
      <w:lang w:eastAsia="ru-RU"/>
    </w:rPr>
    <w:tblPr>
      <w:tblStyleRowBandSize w:val="1"/>
      <w:tblStyleColBandSize w:val="1"/>
      <w:tblCellMar>
        <w:top w:w="0" w:type="dxa"/>
        <w:left w:w="0" w:type="dxa"/>
        <w:bottom w:w="0" w:type="dxa"/>
        <w:right w:w="0" w:type="dxa"/>
      </w:tblCellMar>
    </w:tblPr>
    <w:tblStylePr w:type="firstRow">
      <w:rPr>
        <w:sz w:val="22"/>
      </w:rPr>
      <w:tblPr/>
      <w:tcPr>
        <w:shd w:val="clear" w:color="5D8AC2" w:fill="5D8AC2" w:themeFill="accent1" w:themeFillTint="EA"/>
      </w:tcPr>
    </w:tblStylePr>
    <w:tblStylePr w:type="lastRow">
      <w:rPr>
        <w:sz w:val="22"/>
      </w:rPr>
      <w:tblPr/>
      <w:tcPr>
        <w:shd w:val="clear" w:color="5D8AC2" w:fill="5D8AC2" w:themeFill="accent1" w:themeFillTint="EA"/>
      </w:tcPr>
    </w:tblStylePr>
    <w:tblStylePr w:type="firstCol">
      <w:rPr>
        <w:sz w:val="22"/>
      </w:rPr>
      <w:tblPr/>
      <w:tcPr>
        <w:shd w:val="clear" w:color="5D8AC2" w:fill="5D8AC2" w:themeFill="accent1" w:themeFillTint="EA"/>
      </w:tcPr>
    </w:tblStylePr>
    <w:tblStylePr w:type="lastCol">
      <w:rPr>
        <w:sz w:val="22"/>
      </w:rPr>
      <w:tblPr/>
      <w:tcPr>
        <w:shd w:val="clear" w:color="5D8AC2" w:fill="5D8AC2" w:themeFill="accent1" w:themeFillTint="EA"/>
      </w:tcPr>
    </w:tblStylePr>
    <w:tblStylePr w:type="band1Vert">
      <w:rPr>
        <w:sz w:val="22"/>
      </w:rPr>
    </w:tblStylePr>
    <w:tblStylePr w:type="band2Vert">
      <w:rPr>
        <w:sz w:val="22"/>
      </w:rPr>
      <w:tblPr/>
      <w:tcPr>
        <w:shd w:val="clear" w:color="C7D7EA" w:fill="C7D7EA" w:themeFill="accent1" w:themeFillTint="50"/>
      </w:tcPr>
    </w:tblStylePr>
    <w:tblStylePr w:type="band1Horz">
      <w:rPr>
        <w:sz w:val="22"/>
      </w:rPr>
    </w:tblStylePr>
    <w:tblStylePr w:type="band2Horz">
      <w:rPr>
        <w:sz w:val="22"/>
      </w:rPr>
      <w:tblPr/>
      <w:tcPr>
        <w:shd w:val="clear" w:color="C7D7EA" w:fill="C7D7EA" w:themeFill="accent1" w:themeFillTint="50"/>
      </w:tcPr>
    </w:tblStylePr>
  </w:style>
  <w:style w:type="table" w:customStyle="1" w:styleId="Lined-Accent2">
    <w:name w:val="Lined - Accent 2"/>
    <w:uiPriority w:val="99"/>
    <w:rPr>
      <w:lang w:eastAsia="ru-RU"/>
    </w:rPr>
    <w:tblPr>
      <w:tblStyleRowBandSize w:val="1"/>
      <w:tblStyleColBandSize w:val="1"/>
      <w:tblCellMar>
        <w:top w:w="0" w:type="dxa"/>
        <w:left w:w="0" w:type="dxa"/>
        <w:bottom w:w="0" w:type="dxa"/>
        <w:right w:w="0" w:type="dxa"/>
      </w:tblCellMar>
    </w:tblPr>
    <w:tblStylePr w:type="firstRow">
      <w:rPr>
        <w:sz w:val="22"/>
      </w:rPr>
      <w:tblPr/>
      <w:tcPr>
        <w:shd w:val="clear" w:color="D99695" w:fill="D99695" w:themeFill="accent2" w:themeFillTint="97"/>
      </w:tcPr>
    </w:tblStylePr>
    <w:tblStylePr w:type="lastRow">
      <w:rPr>
        <w:sz w:val="22"/>
      </w:rPr>
      <w:tblPr/>
      <w:tcPr>
        <w:shd w:val="clear" w:color="D99695" w:fill="D99695" w:themeFill="accent2" w:themeFillTint="97"/>
      </w:tcPr>
    </w:tblStylePr>
    <w:tblStylePr w:type="firstCol">
      <w:rPr>
        <w:sz w:val="22"/>
      </w:rPr>
      <w:tblPr/>
      <w:tcPr>
        <w:shd w:val="clear" w:color="D99695" w:fill="D99695" w:themeFill="accent2" w:themeFillTint="97"/>
      </w:tcPr>
    </w:tblStylePr>
    <w:tblStylePr w:type="lastCol">
      <w:rPr>
        <w:sz w:val="22"/>
      </w:rPr>
      <w:tblPr/>
      <w:tcPr>
        <w:shd w:val="clear" w:color="D99695" w:fill="D99695" w:themeFill="accent2" w:themeFillTint="97"/>
      </w:tcPr>
    </w:tblStylePr>
    <w:tblStylePr w:type="band1Vert">
      <w:rPr>
        <w:sz w:val="22"/>
      </w:rPr>
    </w:tblStylePr>
    <w:tblStylePr w:type="band2Vert">
      <w:rPr>
        <w:sz w:val="22"/>
      </w:rPr>
      <w:tblPr/>
      <w:tcPr>
        <w:shd w:val="clear" w:color="F2DCDC" w:fill="F2DCDC" w:themeFill="accent2" w:themeFillTint="32"/>
      </w:tcPr>
    </w:tblStylePr>
    <w:tblStylePr w:type="band1Horz">
      <w:rPr>
        <w:sz w:val="22"/>
      </w:rPr>
    </w:tblStylePr>
    <w:tblStylePr w:type="band2Horz">
      <w:rPr>
        <w:sz w:val="22"/>
      </w:rPr>
      <w:tblPr/>
      <w:tcPr>
        <w:shd w:val="clear" w:color="F2DCDC" w:fill="F2DCDC" w:themeFill="accent2" w:themeFillTint="32"/>
      </w:tcPr>
    </w:tblStylePr>
  </w:style>
  <w:style w:type="table" w:customStyle="1" w:styleId="Lined-Accent3">
    <w:name w:val="Lined - Accent 3"/>
    <w:uiPriority w:val="99"/>
    <w:rPr>
      <w:lang w:eastAsia="ru-RU"/>
    </w:rPr>
    <w:tblPr>
      <w:tblStyleRowBandSize w:val="1"/>
      <w:tblStyleColBandSize w:val="1"/>
      <w:tblCellMar>
        <w:top w:w="0" w:type="dxa"/>
        <w:left w:w="0" w:type="dxa"/>
        <w:bottom w:w="0" w:type="dxa"/>
        <w:right w:w="0" w:type="dxa"/>
      </w:tblCellMar>
    </w:tblPr>
    <w:tblStylePr w:type="firstRow">
      <w:rPr>
        <w:sz w:val="22"/>
      </w:rPr>
      <w:tblPr/>
      <w:tcPr>
        <w:shd w:val="clear" w:color="9ABB59" w:fill="9ABB59" w:themeFill="accent3" w:themeFillTint="FE"/>
      </w:tcPr>
    </w:tblStylePr>
    <w:tblStylePr w:type="lastRow">
      <w:rPr>
        <w:sz w:val="22"/>
      </w:rPr>
      <w:tblPr/>
      <w:tcPr>
        <w:shd w:val="clear" w:color="9ABB59" w:fill="9ABB59" w:themeFill="accent3" w:themeFillTint="FE"/>
      </w:tcPr>
    </w:tblStylePr>
    <w:tblStylePr w:type="firstCol">
      <w:rPr>
        <w:sz w:val="22"/>
      </w:rPr>
      <w:tblPr/>
      <w:tcPr>
        <w:shd w:val="clear" w:color="9ABB59" w:fill="9ABB59" w:themeFill="accent3" w:themeFillTint="FE"/>
      </w:tcPr>
    </w:tblStylePr>
    <w:tblStylePr w:type="lastCol">
      <w:rPr>
        <w:sz w:val="22"/>
      </w:rPr>
      <w:tblPr/>
      <w:tcPr>
        <w:shd w:val="clear" w:color="9ABB59" w:fill="9ABB59" w:themeFill="accent3" w:themeFillTint="FE"/>
      </w:tcPr>
    </w:tblStylePr>
    <w:tblStylePr w:type="band1Vert">
      <w:rPr>
        <w:sz w:val="22"/>
      </w:rPr>
    </w:tblStylePr>
    <w:tblStylePr w:type="band2Vert">
      <w:rPr>
        <w:sz w:val="22"/>
      </w:rPr>
      <w:tblPr/>
      <w:tcPr>
        <w:shd w:val="clear" w:color="EAF1DC" w:fill="EAF1DC" w:themeFill="accent3" w:themeFillTint="34"/>
      </w:tcPr>
    </w:tblStylePr>
    <w:tblStylePr w:type="band1Horz">
      <w:rPr>
        <w:sz w:val="22"/>
      </w:rPr>
    </w:tblStylePr>
    <w:tblStylePr w:type="band2Horz">
      <w:rPr>
        <w:sz w:val="22"/>
      </w:rPr>
      <w:tblPr/>
      <w:tcPr>
        <w:shd w:val="clear" w:color="EAF1DC" w:fill="EAF1DC" w:themeFill="accent3" w:themeFillTint="34"/>
      </w:tcPr>
    </w:tblStylePr>
  </w:style>
  <w:style w:type="table" w:customStyle="1" w:styleId="Lined-Accent4">
    <w:name w:val="Lined - Accent 4"/>
    <w:uiPriority w:val="99"/>
    <w:rPr>
      <w:lang w:eastAsia="ru-RU"/>
    </w:rPr>
    <w:tblPr>
      <w:tblStyleRowBandSize w:val="1"/>
      <w:tblStyleColBandSize w:val="1"/>
      <w:tblCellMar>
        <w:top w:w="0" w:type="dxa"/>
        <w:left w:w="0" w:type="dxa"/>
        <w:bottom w:w="0" w:type="dxa"/>
        <w:right w:w="0" w:type="dxa"/>
      </w:tblCellMar>
    </w:tblPr>
    <w:tblStylePr w:type="firstRow">
      <w:rPr>
        <w:sz w:val="22"/>
      </w:rPr>
      <w:tblPr/>
      <w:tcPr>
        <w:shd w:val="clear" w:color="B2A1C6" w:fill="B2A1C6" w:themeFill="accent4" w:themeFillTint="9A"/>
      </w:tcPr>
    </w:tblStylePr>
    <w:tblStylePr w:type="lastRow">
      <w:rPr>
        <w:sz w:val="22"/>
      </w:rPr>
      <w:tblPr/>
      <w:tcPr>
        <w:shd w:val="clear" w:color="B2A1C6" w:fill="B2A1C6" w:themeFill="accent4" w:themeFillTint="9A"/>
      </w:tcPr>
    </w:tblStylePr>
    <w:tblStylePr w:type="firstCol">
      <w:rPr>
        <w:sz w:val="22"/>
      </w:rPr>
      <w:tblPr/>
      <w:tcPr>
        <w:shd w:val="clear" w:color="B2A1C6" w:fill="B2A1C6" w:themeFill="accent4" w:themeFillTint="9A"/>
      </w:tcPr>
    </w:tblStylePr>
    <w:tblStylePr w:type="lastCol">
      <w:rPr>
        <w:sz w:val="22"/>
      </w:rPr>
      <w:tblPr/>
      <w:tcPr>
        <w:shd w:val="clear" w:color="B2A1C6" w:fill="B2A1C6" w:themeFill="accent4" w:themeFillTint="9A"/>
      </w:tcPr>
    </w:tblStylePr>
    <w:tblStylePr w:type="band1Vert">
      <w:rPr>
        <w:sz w:val="22"/>
      </w:rPr>
    </w:tblStylePr>
    <w:tblStylePr w:type="band2Vert">
      <w:rPr>
        <w:sz w:val="22"/>
      </w:rPr>
      <w:tblPr/>
      <w:tcPr>
        <w:shd w:val="clear" w:color="E5DFEC" w:fill="E5DFEC" w:themeFill="accent4" w:themeFillTint="34"/>
      </w:tcPr>
    </w:tblStylePr>
    <w:tblStylePr w:type="band1Horz">
      <w:rPr>
        <w:sz w:val="22"/>
      </w:rPr>
    </w:tblStylePr>
    <w:tblStylePr w:type="band2Horz">
      <w:rPr>
        <w:sz w:val="22"/>
      </w:rPr>
      <w:tblPr/>
      <w:tcPr>
        <w:shd w:val="clear" w:color="E5DFEC" w:fill="E5DFEC" w:themeFill="accent4" w:themeFillTint="34"/>
      </w:tcPr>
    </w:tblStylePr>
  </w:style>
  <w:style w:type="table" w:customStyle="1" w:styleId="Lined-Accent5">
    <w:name w:val="Lined - Accent 5"/>
    <w:uiPriority w:val="99"/>
    <w:rPr>
      <w:lang w:eastAsia="ru-RU"/>
    </w:rPr>
    <w:tblPr>
      <w:tblStyleRowBandSize w:val="1"/>
      <w:tblStyleColBandSize w:val="1"/>
      <w:tblCellMar>
        <w:top w:w="0" w:type="dxa"/>
        <w:left w:w="0" w:type="dxa"/>
        <w:bottom w:w="0" w:type="dxa"/>
        <w:right w:w="0" w:type="dxa"/>
      </w:tblCellMar>
    </w:tblPr>
    <w:tblStylePr w:type="firstRow">
      <w:rPr>
        <w:sz w:val="22"/>
      </w:rPr>
      <w:tblPr/>
      <w:tcPr>
        <w:shd w:val="clear" w:color="4BACC6" w:fill="4BACC6" w:themeFill="accent5"/>
      </w:tcPr>
    </w:tblStylePr>
    <w:tblStylePr w:type="lastRow">
      <w:rPr>
        <w:sz w:val="22"/>
      </w:rPr>
      <w:tblPr/>
      <w:tcPr>
        <w:shd w:val="clear" w:color="4BACC6" w:fill="4BACC6" w:themeFill="accent5"/>
      </w:tcPr>
    </w:tblStylePr>
    <w:tblStylePr w:type="firstCol">
      <w:rPr>
        <w:sz w:val="22"/>
      </w:rPr>
      <w:tblPr/>
      <w:tcPr>
        <w:shd w:val="clear" w:color="4BACC6" w:fill="4BACC6" w:themeFill="accent5"/>
      </w:tcPr>
    </w:tblStylePr>
    <w:tblStylePr w:type="lastCol">
      <w:rPr>
        <w:sz w:val="22"/>
      </w:rPr>
      <w:tblPr/>
      <w:tcPr>
        <w:shd w:val="clear" w:color="4BACC6" w:fill="4BACC6" w:themeFill="accent5"/>
      </w:tcPr>
    </w:tblStylePr>
    <w:tblStylePr w:type="band1Vert">
      <w:rPr>
        <w:sz w:val="22"/>
      </w:rPr>
    </w:tblStylePr>
    <w:tblStylePr w:type="band2Vert">
      <w:rPr>
        <w:sz w:val="22"/>
      </w:rPr>
      <w:tblPr/>
      <w:tcPr>
        <w:shd w:val="clear" w:color="DAEEF3" w:fill="DAEEF3" w:themeFill="accent5" w:themeFillTint="34"/>
      </w:tcPr>
    </w:tblStylePr>
    <w:tblStylePr w:type="band1Horz">
      <w:rPr>
        <w:sz w:val="22"/>
      </w:rPr>
    </w:tblStylePr>
    <w:tblStylePr w:type="band2Horz">
      <w:rPr>
        <w:sz w:val="22"/>
      </w:rPr>
      <w:tblPr/>
      <w:tcPr>
        <w:shd w:val="clear" w:color="DAEEF3" w:fill="DAEEF3" w:themeFill="accent5" w:themeFillTint="34"/>
      </w:tcPr>
    </w:tblStylePr>
  </w:style>
  <w:style w:type="table" w:customStyle="1" w:styleId="Lined-Accent6">
    <w:name w:val="Lined - Accent 6"/>
    <w:uiPriority w:val="99"/>
    <w:rPr>
      <w:lang w:eastAsia="ru-RU"/>
    </w:rPr>
    <w:tblPr>
      <w:tblStyleRowBandSize w:val="1"/>
      <w:tblStyleColBandSize w:val="1"/>
      <w:tblCellMar>
        <w:top w:w="0" w:type="dxa"/>
        <w:left w:w="0" w:type="dxa"/>
        <w:bottom w:w="0" w:type="dxa"/>
        <w:right w:w="0" w:type="dxa"/>
      </w:tblCellMar>
    </w:tblPr>
    <w:tblStylePr w:type="firstRow">
      <w:rPr>
        <w:sz w:val="22"/>
      </w:rPr>
      <w:tblPr/>
      <w:tcPr>
        <w:shd w:val="clear" w:color="F79646" w:fill="F79646" w:themeFill="accent6"/>
      </w:tcPr>
    </w:tblStylePr>
    <w:tblStylePr w:type="lastRow">
      <w:rPr>
        <w:sz w:val="22"/>
      </w:rPr>
      <w:tblPr/>
      <w:tcPr>
        <w:shd w:val="clear" w:color="F79646" w:fill="F79646" w:themeFill="accent6"/>
      </w:tcPr>
    </w:tblStylePr>
    <w:tblStylePr w:type="firstCol">
      <w:rPr>
        <w:sz w:val="22"/>
      </w:rPr>
      <w:tblPr/>
      <w:tcPr>
        <w:shd w:val="clear" w:color="F79646" w:fill="F79646" w:themeFill="accent6"/>
      </w:tcPr>
    </w:tblStylePr>
    <w:tblStylePr w:type="lastCol">
      <w:rPr>
        <w:sz w:val="22"/>
      </w:rPr>
      <w:tblPr/>
      <w:tcPr>
        <w:shd w:val="clear" w:color="F79646" w:fill="F79646" w:themeFill="accent6"/>
      </w:tcPr>
    </w:tblStylePr>
    <w:tblStylePr w:type="band1Vert">
      <w:rPr>
        <w:sz w:val="22"/>
      </w:rPr>
    </w:tblStylePr>
    <w:tblStylePr w:type="band2Vert">
      <w:rPr>
        <w:sz w:val="22"/>
      </w:rPr>
      <w:tblPr/>
      <w:tcPr>
        <w:shd w:val="clear" w:color="FDE9D8" w:fill="FDE9D8" w:themeFill="accent6" w:themeFillTint="34"/>
      </w:tcPr>
    </w:tblStylePr>
    <w:tblStylePr w:type="band1Horz">
      <w:rPr>
        <w:sz w:val="22"/>
      </w:rPr>
    </w:tblStylePr>
    <w:tblStylePr w:type="band2Horz">
      <w:rPr>
        <w:sz w:val="22"/>
      </w:rPr>
      <w:tblPr/>
      <w:tcPr>
        <w:shd w:val="clear" w:color="FDE9D8" w:fill="FDE9D8" w:themeFill="accent6" w:themeFillTint="34"/>
      </w:tcPr>
    </w:tblStylePr>
  </w:style>
  <w:style w:type="table" w:customStyle="1" w:styleId="BorderedLined-Accent">
    <w:name w:val="Bordered &amp; Lined - Accent"/>
    <w:uiPriority w:val="99"/>
    <w:rPr>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0" w:type="dxa"/>
        <w:bottom w:w="0" w:type="dxa"/>
        <w:right w:w="0" w:type="dxa"/>
      </w:tblCellMar>
    </w:tblPr>
    <w:tblStylePr w:type="firstRow">
      <w:rPr>
        <w:sz w:val="22"/>
      </w:rPr>
      <w:tblPr/>
      <w:tcPr>
        <w:shd w:val="clear" w:color="7F7F7F" w:fill="7F7F7F" w:themeFill="text1" w:themeFillTint="80"/>
      </w:tcPr>
    </w:tblStylePr>
    <w:tblStylePr w:type="lastRow">
      <w:rPr>
        <w:sz w:val="22"/>
      </w:rPr>
      <w:tblPr/>
      <w:tcPr>
        <w:shd w:val="clear" w:color="7F7F7F" w:fill="7F7F7F" w:themeFill="text1" w:themeFillTint="80"/>
      </w:tcPr>
    </w:tblStylePr>
    <w:tblStylePr w:type="firstCol">
      <w:rPr>
        <w:sz w:val="22"/>
      </w:rPr>
      <w:tblPr/>
      <w:tcPr>
        <w:shd w:val="clear" w:color="7F7F7F" w:fill="7F7F7F" w:themeFill="text1" w:themeFillTint="80"/>
      </w:tcPr>
    </w:tblStylePr>
    <w:tblStylePr w:type="lastCol">
      <w:rPr>
        <w:sz w:val="22"/>
      </w:rPr>
      <w:tblPr/>
      <w:tcPr>
        <w:shd w:val="clear" w:color="7F7F7F" w:fill="7F7F7F" w:themeFill="text1" w:themeFillTint="80"/>
      </w:tcPr>
    </w:tblStylePr>
    <w:tblStylePr w:type="band1Vert">
      <w:rPr>
        <w:sz w:val="22"/>
      </w:rPr>
    </w:tblStylePr>
    <w:tblStylePr w:type="band2Vert">
      <w:rPr>
        <w:sz w:val="22"/>
      </w:rPr>
      <w:tblPr/>
      <w:tcPr>
        <w:shd w:val="clear" w:color="F2F2F2" w:fill="F2F2F2" w:themeFill="text1" w:themeFillTint="0D"/>
      </w:tcPr>
    </w:tblStylePr>
    <w:tblStylePr w:type="band1Horz">
      <w:rPr>
        <w:sz w:val="22"/>
      </w:rPr>
    </w:tblStylePr>
    <w:tblStylePr w:type="band2Horz">
      <w:rPr>
        <w:sz w:val="22"/>
      </w:rPr>
      <w:tblPr/>
      <w:tcPr>
        <w:shd w:val="clear" w:color="F2F2F2" w:fill="F2F2F2" w:themeFill="text1" w:themeFillTint="0D"/>
      </w:tcPr>
    </w:tblStylePr>
  </w:style>
  <w:style w:type="table" w:customStyle="1" w:styleId="BorderedLined-Accent1">
    <w:name w:val="Bordered &amp; Lined - Accent 1"/>
    <w:uiPriority w:val="99"/>
    <w:rPr>
      <w:lang w:eastAsia="ru-RU"/>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0" w:type="dxa"/>
        <w:bottom w:w="0" w:type="dxa"/>
        <w:right w:w="0" w:type="dxa"/>
      </w:tblCellMar>
    </w:tblPr>
    <w:tblStylePr w:type="firstRow">
      <w:rPr>
        <w:sz w:val="22"/>
      </w:rPr>
      <w:tblPr/>
      <w:tcPr>
        <w:shd w:val="clear" w:color="5D8AC2" w:fill="5D8AC2" w:themeFill="accent1" w:themeFillTint="EA"/>
      </w:tcPr>
    </w:tblStylePr>
    <w:tblStylePr w:type="lastRow">
      <w:rPr>
        <w:sz w:val="22"/>
      </w:rPr>
      <w:tblPr/>
      <w:tcPr>
        <w:shd w:val="clear" w:color="5D8AC2" w:fill="5D8AC2" w:themeFill="accent1" w:themeFillTint="EA"/>
      </w:tcPr>
    </w:tblStylePr>
    <w:tblStylePr w:type="firstCol">
      <w:rPr>
        <w:sz w:val="22"/>
      </w:rPr>
      <w:tblPr/>
      <w:tcPr>
        <w:shd w:val="clear" w:color="5D8AC2" w:fill="5D8AC2" w:themeFill="accent1" w:themeFillTint="EA"/>
      </w:tcPr>
    </w:tblStylePr>
    <w:tblStylePr w:type="lastCol">
      <w:rPr>
        <w:sz w:val="22"/>
      </w:rPr>
      <w:tblPr/>
      <w:tcPr>
        <w:shd w:val="clear" w:color="5D8AC2" w:fill="5D8AC2" w:themeFill="accent1" w:themeFillTint="EA"/>
      </w:tcPr>
    </w:tblStylePr>
    <w:tblStylePr w:type="band1Vert">
      <w:rPr>
        <w:sz w:val="22"/>
      </w:rPr>
    </w:tblStylePr>
    <w:tblStylePr w:type="band2Vert">
      <w:rPr>
        <w:sz w:val="22"/>
      </w:rPr>
      <w:tblPr/>
      <w:tcPr>
        <w:shd w:val="clear" w:color="C7D7EA" w:fill="C7D7EA" w:themeFill="accent1" w:themeFillTint="50"/>
      </w:tcPr>
    </w:tblStylePr>
    <w:tblStylePr w:type="band1Horz">
      <w:rPr>
        <w:sz w:val="22"/>
      </w:rPr>
    </w:tblStylePr>
    <w:tblStylePr w:type="band2Horz">
      <w:rPr>
        <w:sz w:val="22"/>
      </w:rPr>
      <w:tblPr/>
      <w:tcPr>
        <w:shd w:val="clear" w:color="C7D7EA" w:fill="C7D7EA" w:themeFill="accent1" w:themeFillTint="50"/>
      </w:tcPr>
    </w:tblStylePr>
  </w:style>
  <w:style w:type="table" w:customStyle="1" w:styleId="BorderedLined-Accent2">
    <w:name w:val="Bordered &amp; Lined - Accent 2"/>
    <w:uiPriority w:val="99"/>
    <w:rPr>
      <w:lang w:eastAsia="ru-RU"/>
    </w:r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insideH w:val="single" w:sz="4" w:space="0" w:color="C0504D" w:themeColor="accent2"/>
        <w:insideV w:val="single" w:sz="4" w:space="0" w:color="C0504D" w:themeColor="accent2"/>
      </w:tblBorders>
      <w:tblCellMar>
        <w:top w:w="0" w:type="dxa"/>
        <w:left w:w="0" w:type="dxa"/>
        <w:bottom w:w="0" w:type="dxa"/>
        <w:right w:w="0" w:type="dxa"/>
      </w:tblCellMar>
    </w:tblPr>
    <w:tblStylePr w:type="firstRow">
      <w:rPr>
        <w:sz w:val="22"/>
      </w:rPr>
      <w:tblPr/>
      <w:tcPr>
        <w:shd w:val="clear" w:color="D99695" w:fill="D99695" w:themeFill="accent2" w:themeFillTint="97"/>
      </w:tcPr>
    </w:tblStylePr>
    <w:tblStylePr w:type="lastRow">
      <w:rPr>
        <w:sz w:val="22"/>
      </w:rPr>
      <w:tblPr/>
      <w:tcPr>
        <w:shd w:val="clear" w:color="D99695" w:fill="D99695" w:themeFill="accent2" w:themeFillTint="97"/>
      </w:tcPr>
    </w:tblStylePr>
    <w:tblStylePr w:type="firstCol">
      <w:rPr>
        <w:sz w:val="22"/>
      </w:rPr>
      <w:tblPr/>
      <w:tcPr>
        <w:shd w:val="clear" w:color="D99695" w:fill="D99695" w:themeFill="accent2" w:themeFillTint="97"/>
      </w:tcPr>
    </w:tblStylePr>
    <w:tblStylePr w:type="lastCol">
      <w:rPr>
        <w:sz w:val="22"/>
      </w:rPr>
      <w:tblPr/>
      <w:tcPr>
        <w:shd w:val="clear" w:color="D99695" w:fill="D99695" w:themeFill="accent2" w:themeFillTint="97"/>
      </w:tcPr>
    </w:tblStylePr>
    <w:tblStylePr w:type="band1Vert">
      <w:rPr>
        <w:sz w:val="22"/>
      </w:rPr>
    </w:tblStylePr>
    <w:tblStylePr w:type="band2Vert">
      <w:rPr>
        <w:sz w:val="22"/>
      </w:rPr>
      <w:tblPr/>
      <w:tcPr>
        <w:shd w:val="clear" w:color="F2DCDC" w:fill="F2DCDC" w:themeFill="accent2" w:themeFillTint="32"/>
      </w:tcPr>
    </w:tblStylePr>
    <w:tblStylePr w:type="band1Horz">
      <w:rPr>
        <w:sz w:val="22"/>
      </w:rPr>
    </w:tblStylePr>
    <w:tblStylePr w:type="band2Horz">
      <w:rPr>
        <w:sz w:val="22"/>
      </w:rPr>
      <w:tblPr/>
      <w:tcPr>
        <w:shd w:val="clear" w:color="F2DCDC" w:fill="F2DCDC" w:themeFill="accent2" w:themeFillTint="32"/>
      </w:tcPr>
    </w:tblStylePr>
  </w:style>
  <w:style w:type="table" w:customStyle="1" w:styleId="BorderedLined-Accent3">
    <w:name w:val="Bordered &amp; Lined - Accent 3"/>
    <w:uiPriority w:val="99"/>
    <w:rPr>
      <w:lang w:eastAsia="ru-RU"/>
    </w:r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CellMar>
        <w:top w:w="0" w:type="dxa"/>
        <w:left w:w="0" w:type="dxa"/>
        <w:bottom w:w="0" w:type="dxa"/>
        <w:right w:w="0" w:type="dxa"/>
      </w:tblCellMar>
    </w:tblPr>
    <w:tblStylePr w:type="firstRow">
      <w:rPr>
        <w:sz w:val="22"/>
      </w:rPr>
      <w:tblPr/>
      <w:tcPr>
        <w:shd w:val="clear" w:color="9ABB59" w:fill="9ABB59" w:themeFill="accent3" w:themeFillTint="FE"/>
      </w:tcPr>
    </w:tblStylePr>
    <w:tblStylePr w:type="lastRow">
      <w:rPr>
        <w:sz w:val="22"/>
      </w:rPr>
      <w:tblPr/>
      <w:tcPr>
        <w:shd w:val="clear" w:color="9ABB59" w:fill="9ABB59" w:themeFill="accent3" w:themeFillTint="FE"/>
      </w:tcPr>
    </w:tblStylePr>
    <w:tblStylePr w:type="firstCol">
      <w:rPr>
        <w:sz w:val="22"/>
      </w:rPr>
      <w:tblPr/>
      <w:tcPr>
        <w:shd w:val="clear" w:color="9ABB59" w:fill="9ABB59" w:themeFill="accent3" w:themeFillTint="FE"/>
      </w:tcPr>
    </w:tblStylePr>
    <w:tblStylePr w:type="lastCol">
      <w:rPr>
        <w:sz w:val="22"/>
      </w:rPr>
      <w:tblPr/>
      <w:tcPr>
        <w:shd w:val="clear" w:color="9ABB59" w:fill="9ABB59" w:themeFill="accent3" w:themeFillTint="FE"/>
      </w:tcPr>
    </w:tblStylePr>
    <w:tblStylePr w:type="band1Vert">
      <w:rPr>
        <w:sz w:val="22"/>
      </w:rPr>
    </w:tblStylePr>
    <w:tblStylePr w:type="band2Vert">
      <w:rPr>
        <w:sz w:val="22"/>
      </w:rPr>
      <w:tblPr/>
      <w:tcPr>
        <w:shd w:val="clear" w:color="EAF1DC" w:fill="EAF1DC" w:themeFill="accent3" w:themeFillTint="34"/>
      </w:tcPr>
    </w:tblStylePr>
    <w:tblStylePr w:type="band1Horz">
      <w:rPr>
        <w:sz w:val="22"/>
      </w:rPr>
    </w:tblStylePr>
    <w:tblStylePr w:type="band2Horz">
      <w:rPr>
        <w:sz w:val="22"/>
      </w:rPr>
      <w:tblPr/>
      <w:tcPr>
        <w:shd w:val="clear" w:color="EAF1DC" w:fill="EAF1DC" w:themeFill="accent3" w:themeFillTint="34"/>
      </w:tcPr>
    </w:tblStylePr>
  </w:style>
  <w:style w:type="table" w:customStyle="1" w:styleId="BorderedLined-Accent4">
    <w:name w:val="Bordered &amp; Lined - Accent 4"/>
    <w:uiPriority w:val="99"/>
    <w:rPr>
      <w:lang w:eastAsia="ru-RU"/>
    </w:r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insideH w:val="single" w:sz="4" w:space="0" w:color="8064A2" w:themeColor="accent4"/>
        <w:insideV w:val="single" w:sz="4" w:space="0" w:color="8064A2" w:themeColor="accent4"/>
      </w:tblBorders>
      <w:tblCellMar>
        <w:top w:w="0" w:type="dxa"/>
        <w:left w:w="0" w:type="dxa"/>
        <w:bottom w:w="0" w:type="dxa"/>
        <w:right w:w="0" w:type="dxa"/>
      </w:tblCellMar>
    </w:tblPr>
    <w:tblStylePr w:type="firstRow">
      <w:rPr>
        <w:sz w:val="22"/>
      </w:rPr>
      <w:tblPr/>
      <w:tcPr>
        <w:shd w:val="clear" w:color="B2A1C6" w:fill="B2A1C6" w:themeFill="accent4" w:themeFillTint="9A"/>
      </w:tcPr>
    </w:tblStylePr>
    <w:tblStylePr w:type="lastRow">
      <w:rPr>
        <w:sz w:val="22"/>
      </w:rPr>
      <w:tblPr/>
      <w:tcPr>
        <w:shd w:val="clear" w:color="B2A1C6" w:fill="B2A1C6" w:themeFill="accent4" w:themeFillTint="9A"/>
      </w:tcPr>
    </w:tblStylePr>
    <w:tblStylePr w:type="firstCol">
      <w:rPr>
        <w:sz w:val="22"/>
      </w:rPr>
      <w:tblPr/>
      <w:tcPr>
        <w:shd w:val="clear" w:color="B2A1C6" w:fill="B2A1C6" w:themeFill="accent4" w:themeFillTint="9A"/>
      </w:tcPr>
    </w:tblStylePr>
    <w:tblStylePr w:type="lastCol">
      <w:rPr>
        <w:sz w:val="22"/>
      </w:rPr>
      <w:tblPr/>
      <w:tcPr>
        <w:shd w:val="clear" w:color="B2A1C6" w:fill="B2A1C6" w:themeFill="accent4" w:themeFillTint="9A"/>
      </w:tcPr>
    </w:tblStylePr>
    <w:tblStylePr w:type="band1Vert">
      <w:rPr>
        <w:sz w:val="22"/>
      </w:rPr>
    </w:tblStylePr>
    <w:tblStylePr w:type="band2Vert">
      <w:rPr>
        <w:sz w:val="22"/>
      </w:rPr>
      <w:tblPr/>
      <w:tcPr>
        <w:shd w:val="clear" w:color="E5DFEC" w:fill="E5DFEC" w:themeFill="accent4" w:themeFillTint="34"/>
      </w:tcPr>
    </w:tblStylePr>
    <w:tblStylePr w:type="band1Horz">
      <w:rPr>
        <w:sz w:val="22"/>
      </w:rPr>
    </w:tblStylePr>
    <w:tblStylePr w:type="band2Horz">
      <w:rPr>
        <w:sz w:val="22"/>
      </w:rPr>
      <w:tblPr/>
      <w:tcPr>
        <w:shd w:val="clear" w:color="E5DFEC" w:fill="E5DFEC" w:themeFill="accent4" w:themeFillTint="34"/>
      </w:tcPr>
    </w:tblStylePr>
  </w:style>
  <w:style w:type="table" w:customStyle="1" w:styleId="BorderedLined-Accent5">
    <w:name w:val="Bordered &amp; Lined - Accent 5"/>
    <w:uiPriority w:val="99"/>
    <w:rPr>
      <w:lang w:eastAsia="ru-RU"/>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CellMar>
        <w:top w:w="0" w:type="dxa"/>
        <w:left w:w="0" w:type="dxa"/>
        <w:bottom w:w="0" w:type="dxa"/>
        <w:right w:w="0" w:type="dxa"/>
      </w:tblCellMar>
    </w:tblPr>
    <w:tblStylePr w:type="firstRow">
      <w:rPr>
        <w:sz w:val="22"/>
      </w:rPr>
      <w:tblPr/>
      <w:tcPr>
        <w:shd w:val="clear" w:color="4BACC6" w:fill="4BACC6" w:themeFill="accent5"/>
      </w:tcPr>
    </w:tblStylePr>
    <w:tblStylePr w:type="lastRow">
      <w:rPr>
        <w:sz w:val="22"/>
      </w:rPr>
      <w:tblPr/>
      <w:tcPr>
        <w:shd w:val="clear" w:color="4BACC6" w:fill="4BACC6" w:themeFill="accent5"/>
      </w:tcPr>
    </w:tblStylePr>
    <w:tblStylePr w:type="firstCol">
      <w:rPr>
        <w:sz w:val="22"/>
      </w:rPr>
      <w:tblPr/>
      <w:tcPr>
        <w:shd w:val="clear" w:color="4BACC6" w:fill="4BACC6" w:themeFill="accent5"/>
      </w:tcPr>
    </w:tblStylePr>
    <w:tblStylePr w:type="lastCol">
      <w:rPr>
        <w:sz w:val="22"/>
      </w:rPr>
      <w:tblPr/>
      <w:tcPr>
        <w:shd w:val="clear" w:color="4BACC6" w:fill="4BACC6" w:themeFill="accent5"/>
      </w:tcPr>
    </w:tblStylePr>
    <w:tblStylePr w:type="band1Vert">
      <w:rPr>
        <w:sz w:val="22"/>
      </w:rPr>
    </w:tblStylePr>
    <w:tblStylePr w:type="band2Vert">
      <w:rPr>
        <w:sz w:val="22"/>
      </w:rPr>
      <w:tblPr/>
      <w:tcPr>
        <w:shd w:val="clear" w:color="DAEEF3" w:fill="DAEEF3" w:themeFill="accent5" w:themeFillTint="34"/>
      </w:tcPr>
    </w:tblStylePr>
    <w:tblStylePr w:type="band1Horz">
      <w:rPr>
        <w:sz w:val="22"/>
      </w:rPr>
    </w:tblStylePr>
    <w:tblStylePr w:type="band2Horz">
      <w:rPr>
        <w:sz w:val="22"/>
      </w:rPr>
      <w:tblPr/>
      <w:tcPr>
        <w:shd w:val="clear" w:color="DAEEF3" w:fill="DAEEF3" w:themeFill="accent5" w:themeFillTint="34"/>
      </w:tcPr>
    </w:tblStylePr>
  </w:style>
  <w:style w:type="table" w:customStyle="1" w:styleId="BorderedLined-Accent6">
    <w:name w:val="Bordered &amp; Lined - Accent 6"/>
    <w:uiPriority w:val="99"/>
    <w:rPr>
      <w:lang w:eastAsia="ru-RU"/>
    </w:r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CellMar>
        <w:top w:w="0" w:type="dxa"/>
        <w:left w:w="0" w:type="dxa"/>
        <w:bottom w:w="0" w:type="dxa"/>
        <w:right w:w="0" w:type="dxa"/>
      </w:tblCellMar>
    </w:tblPr>
    <w:tblStylePr w:type="firstRow">
      <w:rPr>
        <w:sz w:val="22"/>
      </w:rPr>
      <w:tblPr/>
      <w:tcPr>
        <w:shd w:val="clear" w:color="F79646" w:fill="F79646" w:themeFill="accent6"/>
      </w:tcPr>
    </w:tblStylePr>
    <w:tblStylePr w:type="lastRow">
      <w:rPr>
        <w:sz w:val="22"/>
      </w:rPr>
      <w:tblPr/>
      <w:tcPr>
        <w:shd w:val="clear" w:color="F79646" w:fill="F79646" w:themeFill="accent6"/>
      </w:tcPr>
    </w:tblStylePr>
    <w:tblStylePr w:type="firstCol">
      <w:rPr>
        <w:sz w:val="22"/>
      </w:rPr>
      <w:tblPr/>
      <w:tcPr>
        <w:shd w:val="clear" w:color="F79646" w:fill="F79646" w:themeFill="accent6"/>
      </w:tcPr>
    </w:tblStylePr>
    <w:tblStylePr w:type="lastCol">
      <w:rPr>
        <w:sz w:val="22"/>
      </w:rPr>
      <w:tblPr/>
      <w:tcPr>
        <w:shd w:val="clear" w:color="F79646" w:fill="F79646" w:themeFill="accent6"/>
      </w:tcPr>
    </w:tblStylePr>
    <w:tblStylePr w:type="band1Vert">
      <w:rPr>
        <w:sz w:val="22"/>
      </w:rPr>
    </w:tblStylePr>
    <w:tblStylePr w:type="band2Vert">
      <w:rPr>
        <w:sz w:val="22"/>
      </w:rPr>
      <w:tblPr/>
      <w:tcPr>
        <w:shd w:val="clear" w:color="FDE9D8" w:fill="FDE9D8" w:themeFill="accent6" w:themeFillTint="34"/>
      </w:tcPr>
    </w:tblStylePr>
    <w:tblStylePr w:type="band1Horz">
      <w:rPr>
        <w:sz w:val="22"/>
      </w:rPr>
    </w:tblStylePr>
    <w:tblStylePr w:type="band2Horz">
      <w:rPr>
        <w:sz w:val="22"/>
      </w:rPr>
      <w:tblPr/>
      <w:tcPr>
        <w:shd w:val="clear" w:color="FDE9D8" w:fill="FDE9D8" w:themeFill="accent6" w:themeFillTint="34"/>
      </w:tcPr>
    </w:tblStylePr>
  </w:style>
  <w:style w:type="table" w:customStyle="1" w:styleId="Bordered">
    <w:name w:val="Bordered"/>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0" w:type="dxa"/>
        <w:bottom w:w="0" w:type="dxa"/>
        <w:right w:w="0" w:type="dxa"/>
      </w:tblCellMar>
    </w:tblPr>
    <w:tblStylePr w:type="firstRow">
      <w:rPr>
        <w:sz w:val="22"/>
      </w:rPr>
      <w:tblPr/>
      <w:tcPr>
        <w:tcBorders>
          <w:bottom w:val="single" w:sz="12" w:space="0" w:color="000000" w:themeColor="text1"/>
        </w:tcBorders>
      </w:tcPr>
    </w:tblStylePr>
    <w:tblStylePr w:type="lastRow">
      <w:rPr>
        <w:sz w:val="22"/>
      </w:rPr>
      <w:tblPr/>
      <w:tcPr>
        <w:tcBorders>
          <w:top w:val="single" w:sz="12" w:space="0" w:color="000000" w:themeColor="text1"/>
        </w:tcBorders>
      </w:tcPr>
    </w:tblStylePr>
    <w:tblStylePr w:type="firstCol">
      <w:rPr>
        <w:sz w:val="22"/>
      </w:rPr>
    </w:tblStylePr>
    <w:tblStylePr w:type="lastCol">
      <w:rPr>
        <w:sz w:val="22"/>
      </w:rPr>
      <w:tblPr/>
      <w:tcPr>
        <w:tcBorders>
          <w:left w:val="single" w:sz="12" w:space="0" w:color="000000" w:themeColor="text1"/>
        </w:tcBorders>
      </w:tcPr>
    </w:tblStylePr>
    <w:tblStylePr w:type="band1Horz">
      <w:rPr>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tcPr>
    </w:tblStylePr>
  </w:style>
  <w:style w:type="table" w:customStyle="1" w:styleId="Bordered-Accent1">
    <w:name w:val="Bordered - Accent 1"/>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0" w:type="dxa"/>
        <w:bottom w:w="0" w:type="dxa"/>
        <w:right w:w="0" w:type="dxa"/>
      </w:tblCellMar>
    </w:tblPr>
    <w:tblStylePr w:type="firstRow">
      <w:rPr>
        <w:sz w:val="22"/>
      </w:rPr>
      <w:tblPr/>
      <w:tcPr>
        <w:tcBorders>
          <w:bottom w:val="single" w:sz="12" w:space="0" w:color="4F81BD" w:themeColor="accent1"/>
        </w:tcBorders>
      </w:tcPr>
    </w:tblStylePr>
    <w:tblStylePr w:type="lastRow">
      <w:rPr>
        <w:sz w:val="22"/>
      </w:rPr>
      <w:tblPr/>
      <w:tcPr>
        <w:tcBorders>
          <w:top w:val="single" w:sz="12" w:space="0" w:color="4F81BD" w:themeColor="accent1"/>
        </w:tcBorders>
      </w:tcPr>
    </w:tblStylePr>
    <w:tblStylePr w:type="firstCol">
      <w:rPr>
        <w:sz w:val="22"/>
      </w:rPr>
    </w:tblStylePr>
    <w:tblStylePr w:type="lastCol">
      <w:rPr>
        <w:sz w:val="22"/>
      </w:rPr>
      <w:tblPr/>
      <w:tcPr>
        <w:tcBorders>
          <w:left w:val="single" w:sz="12" w:space="0" w:color="4F81BD" w:themeColor="accent1"/>
        </w:tcBorders>
      </w:tcPr>
    </w:tblStylePr>
    <w:tblStylePr w:type="band1Horz">
      <w:rPr>
        <w:sz w:val="22"/>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tblStylePr>
  </w:style>
  <w:style w:type="table" w:customStyle="1" w:styleId="Bordered-Accent2">
    <w:name w:val="Bordered - Accent 2"/>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0" w:type="dxa"/>
        <w:bottom w:w="0" w:type="dxa"/>
        <w:right w:w="0" w:type="dxa"/>
      </w:tblCellMar>
    </w:tblPr>
    <w:tblStylePr w:type="firstRow">
      <w:rPr>
        <w:sz w:val="22"/>
      </w:rPr>
      <w:tblPr/>
      <w:tcPr>
        <w:tcBorders>
          <w:bottom w:val="single" w:sz="12" w:space="0" w:color="C0504D" w:themeColor="accent2"/>
        </w:tcBorders>
      </w:tcPr>
    </w:tblStylePr>
    <w:tblStylePr w:type="lastRow">
      <w:rPr>
        <w:sz w:val="22"/>
      </w:rPr>
      <w:tblPr/>
      <w:tcPr>
        <w:tcBorders>
          <w:top w:val="single" w:sz="12" w:space="0" w:color="C0504D" w:themeColor="accent2"/>
        </w:tcBorders>
      </w:tcPr>
    </w:tblStylePr>
    <w:tblStylePr w:type="firstCol">
      <w:rPr>
        <w:sz w:val="22"/>
      </w:rPr>
    </w:tblStylePr>
    <w:tblStylePr w:type="lastCol">
      <w:rPr>
        <w:sz w:val="22"/>
      </w:rPr>
      <w:tblPr/>
      <w:tcPr>
        <w:tcBorders>
          <w:left w:val="single" w:sz="12" w:space="0" w:color="C0504D" w:themeColor="accent2"/>
        </w:tcBorders>
      </w:tcPr>
    </w:tblStylePr>
    <w:tblStylePr w:type="band1Horz">
      <w:rPr>
        <w:sz w:val="22"/>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tcBorders>
      </w:tcPr>
    </w:tblStylePr>
  </w:style>
  <w:style w:type="table" w:customStyle="1" w:styleId="Bordered-Accent3">
    <w:name w:val="Bordered - Accent 3"/>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0" w:type="dxa"/>
        <w:bottom w:w="0" w:type="dxa"/>
        <w:right w:w="0" w:type="dxa"/>
      </w:tblCellMar>
    </w:tblPr>
    <w:tblStylePr w:type="firstRow">
      <w:rPr>
        <w:sz w:val="22"/>
      </w:rPr>
      <w:tblPr/>
      <w:tcPr>
        <w:tcBorders>
          <w:bottom w:val="single" w:sz="12" w:space="0" w:color="9BBB59" w:themeColor="accent3"/>
        </w:tcBorders>
      </w:tcPr>
    </w:tblStylePr>
    <w:tblStylePr w:type="lastRow">
      <w:rPr>
        <w:sz w:val="22"/>
      </w:rPr>
      <w:tblPr/>
      <w:tcPr>
        <w:tcBorders>
          <w:top w:val="single" w:sz="12" w:space="0" w:color="9BBB59" w:themeColor="accent3"/>
        </w:tcBorders>
      </w:tcPr>
    </w:tblStylePr>
    <w:tblStylePr w:type="firstCol">
      <w:rPr>
        <w:sz w:val="22"/>
      </w:rPr>
    </w:tblStylePr>
    <w:tblStylePr w:type="lastCol">
      <w:rPr>
        <w:sz w:val="22"/>
      </w:rPr>
      <w:tblPr/>
      <w:tcPr>
        <w:tcBorders>
          <w:left w:val="single" w:sz="12" w:space="0" w:color="9BBB59" w:themeColor="accent3"/>
        </w:tcBorders>
      </w:tcPr>
    </w:tblStylePr>
    <w:tblStylePr w:type="band1Horz">
      <w:rPr>
        <w:sz w:val="22"/>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tcBorders>
      </w:tcPr>
    </w:tblStylePr>
  </w:style>
  <w:style w:type="table" w:customStyle="1" w:styleId="Bordered-Accent4">
    <w:name w:val="Bordered - Accent 4"/>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0" w:type="dxa"/>
        <w:bottom w:w="0" w:type="dxa"/>
        <w:right w:w="0" w:type="dxa"/>
      </w:tblCellMar>
    </w:tblPr>
    <w:tblStylePr w:type="firstRow">
      <w:rPr>
        <w:sz w:val="22"/>
      </w:rPr>
      <w:tblPr/>
      <w:tcPr>
        <w:tcBorders>
          <w:bottom w:val="single" w:sz="12" w:space="0" w:color="8064A2" w:themeColor="accent4"/>
        </w:tcBorders>
      </w:tcPr>
    </w:tblStylePr>
    <w:tblStylePr w:type="lastRow">
      <w:rPr>
        <w:sz w:val="22"/>
      </w:rPr>
      <w:tblPr/>
      <w:tcPr>
        <w:tcBorders>
          <w:top w:val="single" w:sz="12" w:space="0" w:color="8064A2" w:themeColor="accent4"/>
        </w:tcBorders>
      </w:tcPr>
    </w:tblStylePr>
    <w:tblStylePr w:type="firstCol">
      <w:rPr>
        <w:sz w:val="22"/>
      </w:rPr>
    </w:tblStylePr>
    <w:tblStylePr w:type="lastCol">
      <w:rPr>
        <w:sz w:val="22"/>
      </w:rPr>
      <w:tblPr/>
      <w:tcPr>
        <w:tcBorders>
          <w:left w:val="single" w:sz="12" w:space="0" w:color="8064A2" w:themeColor="accent4"/>
        </w:tcBorders>
      </w:tcPr>
    </w:tblStylePr>
    <w:tblStylePr w:type="band1Horz">
      <w:rPr>
        <w:sz w:val="22"/>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tblStylePr>
  </w:style>
  <w:style w:type="table" w:customStyle="1" w:styleId="Bordered-Accent5">
    <w:name w:val="Bordered - Accent 5"/>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0" w:type="dxa"/>
        <w:bottom w:w="0" w:type="dxa"/>
        <w:right w:w="0" w:type="dxa"/>
      </w:tblCellMar>
    </w:tblPr>
    <w:tblStylePr w:type="firstRow">
      <w:rPr>
        <w:sz w:val="22"/>
      </w:rPr>
      <w:tblPr/>
      <w:tcPr>
        <w:tcBorders>
          <w:bottom w:val="single" w:sz="12" w:space="0" w:color="4BACC6" w:themeColor="accent5"/>
        </w:tcBorders>
      </w:tcPr>
    </w:tblStylePr>
    <w:tblStylePr w:type="lastRow">
      <w:rPr>
        <w:sz w:val="22"/>
      </w:rPr>
      <w:tblPr/>
      <w:tcPr>
        <w:tcBorders>
          <w:top w:val="single" w:sz="12" w:space="0" w:color="4BACC6" w:themeColor="accent5"/>
        </w:tcBorders>
      </w:tcPr>
    </w:tblStylePr>
    <w:tblStylePr w:type="firstCol">
      <w:rPr>
        <w:sz w:val="22"/>
      </w:rPr>
    </w:tblStylePr>
    <w:tblStylePr w:type="lastCol">
      <w:rPr>
        <w:sz w:val="22"/>
      </w:rPr>
      <w:tblPr/>
      <w:tcPr>
        <w:tcBorders>
          <w:left w:val="single" w:sz="12" w:space="0" w:color="4BACC6" w:themeColor="accent5"/>
        </w:tcBorders>
      </w:tcPr>
    </w:tblStylePr>
    <w:tblStylePr w:type="band1Horz">
      <w:rPr>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tcPr>
    </w:tblStylePr>
  </w:style>
  <w:style w:type="table" w:customStyle="1" w:styleId="Bordered-Accent6">
    <w:name w:val="Bordered - Accent 6"/>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0" w:type="dxa"/>
        <w:bottom w:w="0" w:type="dxa"/>
        <w:right w:w="0" w:type="dxa"/>
      </w:tblCellMar>
    </w:tblPr>
    <w:tblStylePr w:type="firstRow">
      <w:rPr>
        <w:sz w:val="22"/>
      </w:rPr>
      <w:tblPr/>
      <w:tcPr>
        <w:tcBorders>
          <w:bottom w:val="single" w:sz="12" w:space="0" w:color="F79646" w:themeColor="accent6"/>
        </w:tcBorders>
      </w:tcPr>
    </w:tblStylePr>
    <w:tblStylePr w:type="lastRow">
      <w:rPr>
        <w:sz w:val="22"/>
      </w:rPr>
      <w:tblPr/>
      <w:tcPr>
        <w:tcBorders>
          <w:top w:val="single" w:sz="12" w:space="0" w:color="F79646" w:themeColor="accent6"/>
        </w:tcBorders>
      </w:tcPr>
    </w:tblStylePr>
    <w:tblStylePr w:type="firstCol">
      <w:rPr>
        <w:sz w:val="22"/>
      </w:rPr>
    </w:tblStylePr>
    <w:tblStylePr w:type="lastCol">
      <w:rPr>
        <w:sz w:val="22"/>
      </w:rPr>
      <w:tblPr/>
      <w:tcPr>
        <w:tcBorders>
          <w:left w:val="single" w:sz="12" w:space="0" w:color="F79646" w:themeColor="accent6"/>
        </w:tcBorders>
      </w:tcPr>
    </w:tblStylePr>
    <w:tblStylePr w:type="band1Horz">
      <w:rPr>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tcPr>
    </w:tblStylePr>
  </w:style>
  <w:style w:type="table" w:customStyle="1" w:styleId="TableGridReport">
    <w:name w:val="Сетка таблицы;Table Grid Report"/>
    <w:basedOn w:val="a4"/>
    <w:uiPriority w:val="59"/>
    <w:tblPr/>
  </w:style>
  <w:style w:type="table" w:customStyle="1" w:styleId="1ff5">
    <w:name w:val="Сетка таблицы1"/>
    <w:basedOn w:val="a4"/>
    <w:uiPriority w:val="39"/>
    <w:rPr>
      <w:sz w:val="22"/>
      <w:szCs w:val="22"/>
      <w:lang w:eastAsia="en-US"/>
    </w:rPr>
    <w:tblPr/>
  </w:style>
  <w:style w:type="table" w:customStyle="1" w:styleId="2f2">
    <w:name w:val="Сетка таблицы2"/>
    <w:basedOn w:val="a4"/>
    <w:uiPriority w:val="39"/>
    <w:rPr>
      <w:sz w:val="22"/>
      <w:szCs w:val="22"/>
      <w:lang w:eastAsia="en-US"/>
    </w:rPr>
    <w:tblPr/>
  </w:style>
  <w:style w:type="table" w:customStyle="1" w:styleId="3d">
    <w:name w:val="Сетка таблицы3"/>
    <w:basedOn w:val="a4"/>
    <w:uiPriority w:val="39"/>
    <w:rPr>
      <w:sz w:val="22"/>
      <w:szCs w:val="22"/>
      <w:lang w:eastAsia="en-US"/>
    </w:rPr>
    <w:tblPr/>
  </w:style>
  <w:style w:type="table" w:customStyle="1" w:styleId="45">
    <w:name w:val="Сетка таблицы4"/>
    <w:basedOn w:val="3e"/>
    <w:uiPriority w:val="39"/>
    <w:tblPr/>
  </w:style>
  <w:style w:type="table" w:customStyle="1" w:styleId="1ff6">
    <w:name w:val="Стиль1"/>
    <w:basedOn w:val="afffff4"/>
    <w:uiPriority w:val="99"/>
    <w:tblPr/>
  </w:style>
  <w:style w:type="table" w:styleId="afffff5">
    <w:name w:val="Grid Table Light"/>
    <w:basedOn w:val="a4"/>
    <w:uiPriority w:val="40"/>
    <w:tblPr/>
  </w:style>
  <w:style w:type="table" w:styleId="3e">
    <w:name w:val="Table Colorful 3"/>
    <w:basedOn w:val="a4"/>
    <w:uiPriority w:val="99"/>
    <w:semiHidden/>
    <w:unhideWhenUsed/>
    <w:pPr>
      <w:spacing w:after="200" w:line="276" w:lineRule="auto"/>
    </w:pPr>
    <w:tblPr/>
  </w:style>
  <w:style w:type="table" w:styleId="afffff4">
    <w:name w:val="Table Elegant"/>
    <w:basedOn w:val="a4"/>
    <w:uiPriority w:val="99"/>
    <w:semiHidden/>
    <w:unhideWhenUsed/>
    <w:pPr>
      <w:spacing w:after="200" w:line="276" w:lineRule="auto"/>
    </w:pPr>
    <w:tblPr/>
  </w:style>
  <w:style w:type="table" w:customStyle="1" w:styleId="411">
    <w:name w:val="Сетка таблицы41"/>
    <w:basedOn w:val="a4"/>
    <w:uiPriority w:val="39"/>
    <w:rPr>
      <w:sz w:val="22"/>
      <w:szCs w:val="22"/>
      <w:lang w:eastAsia="en-US"/>
    </w:rPr>
    <w:tblPr/>
  </w:style>
  <w:style w:type="table" w:customStyle="1" w:styleId="54">
    <w:name w:val="Сетка таблицы5"/>
    <w:basedOn w:val="a4"/>
    <w:uiPriority w:val="39"/>
    <w:rPr>
      <w:sz w:val="22"/>
      <w:szCs w:val="22"/>
      <w:lang w:eastAsia="en-US"/>
    </w:rPr>
    <w:tblPr/>
  </w:style>
  <w:style w:type="table" w:customStyle="1" w:styleId="63">
    <w:name w:val="Сетка таблицы6"/>
    <w:basedOn w:val="a4"/>
    <w:uiPriority w:val="39"/>
    <w:rPr>
      <w:sz w:val="22"/>
      <w:szCs w:val="22"/>
      <w:lang w:eastAsia="en-US"/>
    </w:rPr>
    <w:tblPr/>
  </w:style>
  <w:style w:type="table" w:customStyle="1" w:styleId="73">
    <w:name w:val="Сетка таблицы7"/>
    <w:basedOn w:val="a4"/>
    <w:uiPriority w:val="59"/>
    <w:tblPr/>
  </w:style>
  <w:style w:type="table" w:customStyle="1" w:styleId="83">
    <w:name w:val="Сетка таблицы8"/>
    <w:basedOn w:val="a4"/>
    <w:uiPriority w:val="39"/>
    <w:rPr>
      <w:sz w:val="22"/>
      <w:szCs w:val="22"/>
      <w:lang w:eastAsia="en-US"/>
    </w:rPr>
    <w:tblPr/>
  </w:style>
  <w:style w:type="table" w:customStyle="1" w:styleId="93">
    <w:name w:val="Сетка таблицы9"/>
    <w:basedOn w:val="a4"/>
    <w:uiPriority w:val="59"/>
    <w:rPr>
      <w:sz w:val="22"/>
      <w:szCs w:val="22"/>
      <w:lang w:eastAsia="en-US"/>
    </w:rPr>
    <w:tblPr/>
  </w:style>
  <w:style w:type="table" w:customStyle="1" w:styleId="100">
    <w:name w:val="Сетка таблицы10"/>
    <w:basedOn w:val="a4"/>
    <w:uiPriority w:val="39"/>
    <w:rPr>
      <w:sz w:val="22"/>
      <w:szCs w:val="22"/>
      <w:lang w:eastAsia="en-US"/>
    </w:rPr>
    <w:tblPr/>
  </w:style>
  <w:style w:type="table" w:customStyle="1" w:styleId="11e">
    <w:name w:val="Сетка таблицы11"/>
    <w:basedOn w:val="a4"/>
    <w:uiPriority w:val="39"/>
    <w:rPr>
      <w:sz w:val="22"/>
      <w:szCs w:val="22"/>
      <w:lang w:eastAsia="en-US"/>
    </w:rPr>
    <w:tblPr/>
  </w:style>
  <w:style w:type="table" w:customStyle="1" w:styleId="12c">
    <w:name w:val="Сетка таблицы12"/>
    <w:basedOn w:val="a4"/>
    <w:uiPriority w:val="59"/>
    <w:pPr>
      <w:spacing w:after="200" w:line="276" w:lineRule="auto"/>
    </w:pPr>
    <w:rPr>
      <w:sz w:val="18"/>
      <w:szCs w:val="22"/>
    </w:rPr>
    <w:tblPr/>
  </w:style>
  <w:style w:type="table" w:customStyle="1" w:styleId="13b">
    <w:name w:val="Сетка таблицы13"/>
    <w:basedOn w:val="a4"/>
    <w:uiPriority w:val="59"/>
    <w:rPr>
      <w:sz w:val="22"/>
      <w:szCs w:val="22"/>
      <w:lang w:eastAsia="en-US"/>
    </w:rPr>
    <w:tblPr/>
  </w:style>
  <w:style w:type="table" w:customStyle="1" w:styleId="14b">
    <w:name w:val="Сетка таблицы14"/>
    <w:basedOn w:val="a4"/>
    <w:uiPriority w:val="59"/>
    <w:rPr>
      <w:sz w:val="22"/>
      <w:szCs w:val="22"/>
      <w:lang w:eastAsia="en-US"/>
    </w:rPr>
    <w:tblPr/>
  </w:style>
  <w:style w:type="table" w:customStyle="1" w:styleId="15b">
    <w:name w:val="Сетка таблицы15"/>
    <w:basedOn w:val="a4"/>
    <w:uiPriority w:val="59"/>
    <w:rPr>
      <w:sz w:val="22"/>
      <w:szCs w:val="22"/>
      <w:lang w:eastAsia="en-US"/>
    </w:rPr>
    <w:tblPr/>
  </w:style>
  <w:style w:type="table" w:customStyle="1" w:styleId="16b">
    <w:name w:val="Сетка таблицы16"/>
    <w:basedOn w:val="a4"/>
    <w:uiPriority w:val="59"/>
    <w:rPr>
      <w:sz w:val="22"/>
      <w:szCs w:val="22"/>
      <w:lang w:eastAsia="en-US"/>
    </w:rPr>
    <w:tblPr/>
  </w:style>
  <w:style w:type="table" w:customStyle="1" w:styleId="17b">
    <w:name w:val="Сетка таблицы17"/>
    <w:basedOn w:val="a4"/>
    <w:uiPriority w:val="59"/>
    <w:rPr>
      <w:sz w:val="22"/>
      <w:szCs w:val="22"/>
      <w:lang w:eastAsia="en-US"/>
    </w:rPr>
    <w:tblPr/>
  </w:style>
  <w:style w:type="table" w:customStyle="1" w:styleId="18b">
    <w:name w:val="Сетка таблицы18"/>
    <w:basedOn w:val="a4"/>
    <w:uiPriority w:val="59"/>
    <w:rPr>
      <w:sz w:val="22"/>
      <w:szCs w:val="22"/>
      <w:lang w:eastAsia="en-US"/>
    </w:rPr>
    <w:tblPr/>
  </w:style>
  <w:style w:type="table" w:customStyle="1" w:styleId="19a">
    <w:name w:val="Сетка таблицы19"/>
    <w:basedOn w:val="a4"/>
    <w:uiPriority w:val="59"/>
    <w:rPr>
      <w:sz w:val="22"/>
      <w:szCs w:val="22"/>
      <w:lang w:eastAsia="en-US"/>
    </w:rPr>
    <w:tblPr/>
  </w:style>
  <w:style w:type="table" w:customStyle="1" w:styleId="200">
    <w:name w:val="Сетка таблицы20"/>
    <w:basedOn w:val="a4"/>
    <w:uiPriority w:val="59"/>
    <w:rPr>
      <w:sz w:val="22"/>
      <w:szCs w:val="22"/>
      <w:lang w:eastAsia="en-US"/>
    </w:rPr>
    <w:tblPr/>
  </w:style>
  <w:style w:type="table" w:customStyle="1" w:styleId="215">
    <w:name w:val="Сетка таблицы21"/>
    <w:basedOn w:val="a4"/>
    <w:uiPriority w:val="59"/>
    <w:rPr>
      <w:sz w:val="22"/>
      <w:szCs w:val="22"/>
      <w:lang w:eastAsia="en-US"/>
    </w:rPr>
    <w:tblPr/>
  </w:style>
  <w:style w:type="table" w:customStyle="1" w:styleId="220">
    <w:name w:val="Сетка таблицы22"/>
    <w:basedOn w:val="a4"/>
    <w:uiPriority w:val="59"/>
    <w:rPr>
      <w:sz w:val="22"/>
      <w:szCs w:val="22"/>
      <w:lang w:eastAsia="en-US"/>
    </w:rPr>
    <w:tblPr/>
  </w:style>
  <w:style w:type="table" w:customStyle="1" w:styleId="230">
    <w:name w:val="Сетка таблицы23"/>
    <w:basedOn w:val="a4"/>
    <w:uiPriority w:val="59"/>
    <w:rPr>
      <w:sz w:val="22"/>
      <w:szCs w:val="22"/>
      <w:lang w:eastAsia="en-US"/>
    </w:rPr>
    <w:tblPr/>
  </w:style>
  <w:style w:type="table" w:customStyle="1" w:styleId="TableGridReport1">
    <w:name w:val="Table Grid Report1"/>
    <w:basedOn w:val="a4"/>
    <w:uiPriority w:val="39"/>
    <w:rPr>
      <w:sz w:val="22"/>
      <w:szCs w:val="22"/>
    </w:rPr>
    <w:tblPr/>
  </w:style>
  <w:style w:type="table" w:customStyle="1" w:styleId="TableGridReport2">
    <w:name w:val="Table Grid Report2"/>
    <w:basedOn w:val="a4"/>
    <w:uiPriority w:val="39"/>
    <w:rPr>
      <w:sz w:val="22"/>
      <w:szCs w:val="22"/>
    </w:rPr>
    <w:tblPr/>
  </w:style>
  <w:style w:type="table" w:customStyle="1" w:styleId="TableGridReport3">
    <w:name w:val="Table Grid Report3"/>
    <w:basedOn w:val="a4"/>
    <w:uiPriority w:val="39"/>
    <w:rPr>
      <w:sz w:val="22"/>
      <w:szCs w:val="22"/>
    </w:rPr>
    <w:tblPr/>
  </w:style>
  <w:style w:type="table" w:customStyle="1" w:styleId="TableGridReport4">
    <w:name w:val="Table Grid Report4"/>
    <w:basedOn w:val="a4"/>
    <w:uiPriority w:val="39"/>
    <w:rPr>
      <w:sz w:val="22"/>
      <w:szCs w:val="22"/>
    </w:rPr>
    <w:tblPr/>
  </w:style>
  <w:style w:type="table" w:customStyle="1" w:styleId="TableGridReport5">
    <w:name w:val="Table Grid Report5"/>
    <w:basedOn w:val="a4"/>
    <w:uiPriority w:val="39"/>
    <w:rPr>
      <w:sz w:val="22"/>
      <w:szCs w:val="22"/>
    </w:rPr>
    <w:tblPr/>
  </w:style>
  <w:style w:type="table" w:customStyle="1" w:styleId="TableGridReport6">
    <w:name w:val="Table Grid Report6"/>
    <w:basedOn w:val="a4"/>
    <w:uiPriority w:val="39"/>
    <w:rPr>
      <w:sz w:val="22"/>
      <w:szCs w:val="22"/>
    </w:rPr>
    <w:tblPr/>
  </w:style>
  <w:style w:type="table" w:customStyle="1" w:styleId="TableGridReport7">
    <w:name w:val="Table Grid Report7"/>
    <w:basedOn w:val="a4"/>
    <w:uiPriority w:val="39"/>
    <w:rPr>
      <w:sz w:val="22"/>
      <w:szCs w:val="22"/>
    </w:rPr>
    <w:tblPr/>
  </w:style>
  <w:style w:type="table" w:customStyle="1" w:styleId="TableGridReport8">
    <w:name w:val="Table Grid Report8"/>
    <w:basedOn w:val="a4"/>
    <w:uiPriority w:val="39"/>
    <w:rPr>
      <w:sz w:val="22"/>
      <w:szCs w:val="22"/>
    </w:rPr>
    <w:tblPr/>
  </w:style>
  <w:style w:type="table" w:customStyle="1" w:styleId="TableGridReport9">
    <w:name w:val="Table Grid Report9"/>
    <w:basedOn w:val="a4"/>
    <w:uiPriority w:val="39"/>
    <w:rPr>
      <w:sz w:val="22"/>
      <w:szCs w:val="22"/>
    </w:rPr>
    <w:tblPr/>
  </w:style>
  <w:style w:type="table" w:customStyle="1" w:styleId="TableGridReport10">
    <w:name w:val="Table Grid Report10"/>
    <w:basedOn w:val="a4"/>
    <w:uiPriority w:val="39"/>
    <w:rPr>
      <w:sz w:val="22"/>
      <w:szCs w:val="22"/>
    </w:rPr>
    <w:tblPr/>
  </w:style>
  <w:style w:type="table" w:customStyle="1" w:styleId="TableGridReport11">
    <w:name w:val="Table Grid Report11"/>
    <w:basedOn w:val="a4"/>
    <w:uiPriority w:val="39"/>
    <w:rPr>
      <w:sz w:val="22"/>
      <w:szCs w:val="22"/>
    </w:rPr>
    <w:tblPr/>
  </w:style>
  <w:style w:type="table" w:customStyle="1" w:styleId="TableGridReport12">
    <w:name w:val="Table Grid Report12"/>
    <w:basedOn w:val="a4"/>
    <w:uiPriority w:val="39"/>
    <w:rPr>
      <w:sz w:val="22"/>
      <w:szCs w:val="22"/>
    </w:rPr>
    <w:tblPr/>
  </w:style>
  <w:style w:type="table" w:customStyle="1" w:styleId="TableGridReport13">
    <w:name w:val="Table Grid Report13"/>
    <w:basedOn w:val="a4"/>
    <w:uiPriority w:val="39"/>
    <w:rPr>
      <w:sz w:val="22"/>
      <w:szCs w:val="22"/>
    </w:rPr>
    <w:tblPr/>
  </w:style>
  <w:style w:type="table" w:customStyle="1" w:styleId="TableGridReport14">
    <w:name w:val="Table Grid Report14"/>
    <w:basedOn w:val="a4"/>
    <w:uiPriority w:val="39"/>
    <w:rPr>
      <w:sz w:val="22"/>
      <w:szCs w:val="22"/>
    </w:rPr>
    <w:tblPr/>
  </w:style>
  <w:style w:type="table" w:customStyle="1" w:styleId="TableGridReport15">
    <w:name w:val="Table Grid Report15"/>
    <w:basedOn w:val="a4"/>
    <w:uiPriority w:val="39"/>
    <w:rPr>
      <w:sz w:val="22"/>
      <w:szCs w:val="22"/>
    </w:rPr>
    <w:tblPr/>
  </w:style>
  <w:style w:type="table" w:customStyle="1" w:styleId="TableGridReport16">
    <w:name w:val="Table Grid Report16"/>
    <w:basedOn w:val="a4"/>
    <w:uiPriority w:val="39"/>
    <w:rPr>
      <w:sz w:val="22"/>
      <w:szCs w:val="22"/>
    </w:rPr>
    <w:tblPr/>
  </w:style>
  <w:style w:type="table" w:customStyle="1" w:styleId="TableGridReport17">
    <w:name w:val="Table Grid Report17"/>
    <w:basedOn w:val="a4"/>
    <w:uiPriority w:val="39"/>
    <w:rPr>
      <w:sz w:val="22"/>
      <w:szCs w:val="22"/>
    </w:rPr>
    <w:tblPr/>
  </w:style>
  <w:style w:type="table" w:customStyle="1" w:styleId="TableGridReport18">
    <w:name w:val="Table Grid Report18"/>
    <w:basedOn w:val="a4"/>
    <w:uiPriority w:val="39"/>
    <w:rPr>
      <w:sz w:val="22"/>
      <w:szCs w:val="22"/>
    </w:rPr>
    <w:tblPr/>
  </w:style>
  <w:style w:type="table" w:customStyle="1" w:styleId="TableGridReport19">
    <w:name w:val="Table Grid Report19"/>
    <w:basedOn w:val="a4"/>
    <w:uiPriority w:val="39"/>
    <w:rPr>
      <w:sz w:val="22"/>
      <w:szCs w:val="22"/>
    </w:rPr>
    <w:tblPr/>
  </w:style>
  <w:style w:type="table" w:customStyle="1" w:styleId="TableGridReport20">
    <w:name w:val="Table Grid Report20"/>
    <w:basedOn w:val="a4"/>
    <w:uiPriority w:val="39"/>
    <w:rPr>
      <w:sz w:val="22"/>
      <w:szCs w:val="22"/>
    </w:rPr>
    <w:tblPr/>
  </w:style>
  <w:style w:type="table" w:customStyle="1" w:styleId="TableGridReport21">
    <w:name w:val="Table Grid Report21"/>
    <w:basedOn w:val="a4"/>
    <w:uiPriority w:val="39"/>
    <w:rPr>
      <w:sz w:val="22"/>
      <w:szCs w:val="22"/>
    </w:rPr>
    <w:tblPr/>
  </w:style>
  <w:style w:type="table" w:customStyle="1" w:styleId="TableGridReport22">
    <w:name w:val="Table Grid Report22"/>
    <w:basedOn w:val="a4"/>
    <w:uiPriority w:val="39"/>
    <w:rPr>
      <w:sz w:val="22"/>
      <w:szCs w:val="22"/>
    </w:rPr>
    <w:tblPr/>
  </w:style>
  <w:style w:type="table" w:customStyle="1" w:styleId="TableGridReport23">
    <w:name w:val="Table Grid Report23"/>
    <w:basedOn w:val="a4"/>
    <w:uiPriority w:val="39"/>
    <w:rPr>
      <w:sz w:val="22"/>
      <w:szCs w:val="22"/>
    </w:rPr>
    <w:tblPr/>
  </w:style>
  <w:style w:type="table" w:customStyle="1" w:styleId="TableGridReport24">
    <w:name w:val="Table Grid Report24"/>
    <w:basedOn w:val="a4"/>
    <w:uiPriority w:val="39"/>
    <w:rPr>
      <w:sz w:val="22"/>
      <w:szCs w:val="22"/>
    </w:rPr>
    <w:tblPr/>
  </w:style>
  <w:style w:type="table" w:customStyle="1" w:styleId="TableGridReport25">
    <w:name w:val="Table Grid Report25"/>
    <w:basedOn w:val="a4"/>
    <w:uiPriority w:val="39"/>
    <w:rPr>
      <w:sz w:val="22"/>
      <w:szCs w:val="22"/>
    </w:rPr>
    <w:tblPr/>
  </w:style>
  <w:style w:type="table" w:customStyle="1" w:styleId="TableGridReport26">
    <w:name w:val="Table Grid Report26"/>
    <w:basedOn w:val="a4"/>
    <w:uiPriority w:val="39"/>
    <w:rPr>
      <w:sz w:val="22"/>
      <w:szCs w:val="22"/>
    </w:rPr>
    <w:tblPr/>
  </w:style>
  <w:style w:type="table" w:customStyle="1" w:styleId="TableGridReport27">
    <w:name w:val="Table Grid Report27"/>
    <w:basedOn w:val="a4"/>
    <w:uiPriority w:val="39"/>
    <w:rPr>
      <w:sz w:val="22"/>
      <w:szCs w:val="22"/>
    </w:rPr>
    <w:tblPr/>
  </w:style>
  <w:style w:type="table" w:customStyle="1" w:styleId="TableGridReport28">
    <w:name w:val="Table Grid Report28"/>
    <w:basedOn w:val="a4"/>
    <w:uiPriority w:val="39"/>
    <w:rPr>
      <w:sz w:val="22"/>
      <w:szCs w:val="22"/>
    </w:rPr>
    <w:tblPr/>
  </w:style>
  <w:style w:type="table" w:customStyle="1" w:styleId="TableGridReport29">
    <w:name w:val="Table Grid Report29"/>
    <w:basedOn w:val="a4"/>
    <w:uiPriority w:val="39"/>
    <w:rPr>
      <w:sz w:val="22"/>
      <w:szCs w:val="22"/>
    </w:rPr>
    <w:tblPr/>
  </w:style>
  <w:style w:type="table" w:customStyle="1" w:styleId="TableGridReport30">
    <w:name w:val="Table Grid Report30"/>
    <w:basedOn w:val="a4"/>
    <w:uiPriority w:val="39"/>
    <w:rPr>
      <w:sz w:val="22"/>
      <w:szCs w:val="22"/>
    </w:rPr>
    <w:tblPr/>
  </w:style>
  <w:style w:type="table" w:customStyle="1" w:styleId="TableGridReport31">
    <w:name w:val="Table Grid Report31"/>
    <w:basedOn w:val="a4"/>
    <w:uiPriority w:val="39"/>
    <w:rPr>
      <w:sz w:val="22"/>
      <w:szCs w:val="22"/>
    </w:rPr>
    <w:tblPr/>
  </w:style>
  <w:style w:type="table" w:customStyle="1" w:styleId="TableGridReport32">
    <w:name w:val="Table Grid Report32"/>
    <w:basedOn w:val="a4"/>
    <w:uiPriority w:val="39"/>
    <w:rPr>
      <w:sz w:val="22"/>
      <w:szCs w:val="22"/>
    </w:rPr>
    <w:tblPr/>
  </w:style>
  <w:style w:type="table" w:customStyle="1" w:styleId="TableGridReport33">
    <w:name w:val="Table Grid Report33"/>
    <w:basedOn w:val="a4"/>
    <w:uiPriority w:val="39"/>
    <w:rPr>
      <w:sz w:val="22"/>
      <w:szCs w:val="22"/>
    </w:rPr>
    <w:tblPr/>
  </w:style>
  <w:style w:type="table" w:customStyle="1" w:styleId="TableGridReport34">
    <w:name w:val="Table Grid Report34"/>
    <w:basedOn w:val="a4"/>
    <w:uiPriority w:val="39"/>
    <w:rPr>
      <w:sz w:val="22"/>
      <w:szCs w:val="22"/>
    </w:rPr>
    <w:tblPr/>
  </w:style>
  <w:style w:type="table" w:customStyle="1" w:styleId="TableGridReport35">
    <w:name w:val="Table Grid Report35"/>
    <w:basedOn w:val="a4"/>
    <w:uiPriority w:val="39"/>
    <w:rPr>
      <w:sz w:val="22"/>
      <w:szCs w:val="22"/>
    </w:rPr>
    <w:tblPr/>
  </w:style>
  <w:style w:type="table" w:customStyle="1" w:styleId="TableGridReport36">
    <w:name w:val="Table Grid Report36"/>
    <w:basedOn w:val="a4"/>
    <w:uiPriority w:val="39"/>
    <w:rPr>
      <w:sz w:val="22"/>
      <w:szCs w:val="22"/>
    </w:rPr>
    <w:tblPr/>
  </w:style>
  <w:style w:type="table" w:customStyle="1" w:styleId="TableGridReport37">
    <w:name w:val="Table Grid Report37"/>
    <w:basedOn w:val="a4"/>
    <w:uiPriority w:val="39"/>
    <w:rPr>
      <w:sz w:val="22"/>
      <w:szCs w:val="22"/>
    </w:rPr>
    <w:tblPr/>
  </w:style>
  <w:style w:type="table" w:customStyle="1" w:styleId="TableGridReport38">
    <w:name w:val="Table Grid Report38"/>
    <w:basedOn w:val="a4"/>
    <w:uiPriority w:val="39"/>
    <w:rPr>
      <w:sz w:val="22"/>
      <w:szCs w:val="22"/>
    </w:rPr>
    <w:tblPr/>
  </w:style>
  <w:style w:type="table" w:customStyle="1" w:styleId="TableGridReport39">
    <w:name w:val="Table Grid Report39"/>
    <w:basedOn w:val="a4"/>
    <w:uiPriority w:val="39"/>
    <w:rPr>
      <w:sz w:val="22"/>
      <w:szCs w:val="22"/>
    </w:rPr>
    <w:tblPr/>
  </w:style>
  <w:style w:type="table" w:customStyle="1" w:styleId="TableGridReport110">
    <w:name w:val="Table Grid Report110"/>
    <w:basedOn w:val="a4"/>
    <w:uiPriority w:val="59"/>
    <w:rPr>
      <w:sz w:val="22"/>
      <w:szCs w:val="22"/>
    </w:rPr>
    <w:tblPr/>
  </w:style>
  <w:style w:type="table" w:customStyle="1" w:styleId="TableGridReport40">
    <w:name w:val="Table Grid Report40"/>
    <w:basedOn w:val="a4"/>
    <w:uiPriority w:val="39"/>
    <w:rPr>
      <w:sz w:val="22"/>
      <w:szCs w:val="22"/>
    </w:rPr>
    <w:tblPr/>
  </w:style>
  <w:style w:type="table" w:customStyle="1" w:styleId="TableGridReport41">
    <w:name w:val="Table Grid Report41"/>
    <w:basedOn w:val="a4"/>
    <w:uiPriority w:val="39"/>
    <w:rPr>
      <w:sz w:val="22"/>
      <w:szCs w:val="22"/>
    </w:rPr>
    <w:tblPr/>
  </w:style>
  <w:style w:type="table" w:customStyle="1" w:styleId="2f3">
    <w:name w:val="Стиль2"/>
    <w:basedOn w:val="-52"/>
    <w:uiPriority w:val="99"/>
    <w:tblPr/>
  </w:style>
  <w:style w:type="table" w:customStyle="1" w:styleId="240">
    <w:name w:val="Сетка таблицы24"/>
    <w:basedOn w:val="a4"/>
    <w:uiPriority w:val="39"/>
    <w:rPr>
      <w:sz w:val="22"/>
      <w:szCs w:val="22"/>
      <w:lang w:eastAsia="en-US"/>
    </w:rPr>
    <w:tblPr/>
  </w:style>
  <w:style w:type="table" w:styleId="-52">
    <w:name w:val="Colorful Grid Accent 5"/>
    <w:basedOn w:val="a4"/>
    <w:uiPriority w:val="73"/>
    <w:semiHidden/>
    <w:unhideWhenUsed/>
    <w:tblPr/>
  </w:style>
  <w:style w:type="table" w:customStyle="1" w:styleId="110a">
    <w:name w:val="Сетка таблицы110"/>
    <w:basedOn w:val="a4"/>
    <w:uiPriority w:val="39"/>
    <w:pPr>
      <w:spacing w:after="200" w:line="252" w:lineRule="auto"/>
    </w:pPr>
    <w:tblPr/>
  </w:style>
  <w:style w:type="table" w:customStyle="1" w:styleId="111b">
    <w:name w:val="Сетка таблицы111"/>
    <w:basedOn w:val="a4"/>
    <w:uiPriority w:val="39"/>
    <w:pPr>
      <w:spacing w:after="200" w:line="252" w:lineRule="auto"/>
    </w:pPr>
    <w:tblPr/>
  </w:style>
  <w:style w:type="table" w:customStyle="1" w:styleId="TableGridReport42">
    <w:name w:val="Table Grid Report42"/>
    <w:basedOn w:val="a4"/>
    <w:uiPriority w:val="39"/>
    <w:tblPr/>
  </w:style>
  <w:style w:type="table" w:customStyle="1" w:styleId="112a">
    <w:name w:val="Сетка таблицы112"/>
    <w:basedOn w:val="a4"/>
    <w:uiPriority w:val="39"/>
    <w:rPr>
      <w:sz w:val="22"/>
      <w:szCs w:val="22"/>
      <w:lang w:eastAsia="en-US"/>
    </w:rPr>
    <w:tblPr/>
  </w:style>
  <w:style w:type="table" w:customStyle="1" w:styleId="250">
    <w:name w:val="Сетка таблицы25"/>
    <w:basedOn w:val="a4"/>
    <w:uiPriority w:val="39"/>
    <w:rPr>
      <w:sz w:val="22"/>
      <w:szCs w:val="22"/>
      <w:lang w:eastAsia="en-US"/>
    </w:rPr>
    <w:tblPr/>
  </w:style>
  <w:style w:type="table" w:customStyle="1" w:styleId="314">
    <w:name w:val="Сетка таблицы31"/>
    <w:basedOn w:val="a4"/>
    <w:uiPriority w:val="39"/>
    <w:rPr>
      <w:sz w:val="22"/>
      <w:szCs w:val="22"/>
      <w:lang w:eastAsia="en-US"/>
    </w:rPr>
    <w:tblPr/>
  </w:style>
  <w:style w:type="table" w:customStyle="1" w:styleId="420">
    <w:name w:val="Сетка таблицы42"/>
    <w:basedOn w:val="3e"/>
    <w:uiPriority w:val="39"/>
    <w:tblPr/>
  </w:style>
  <w:style w:type="table" w:customStyle="1" w:styleId="11f">
    <w:name w:val="Стиль11"/>
    <w:basedOn w:val="afffff4"/>
    <w:uiPriority w:val="99"/>
    <w:tblPr/>
  </w:style>
  <w:style w:type="table" w:customStyle="1" w:styleId="1ff7">
    <w:name w:val="Сетка таблицы светлая1"/>
    <w:basedOn w:val="a4"/>
    <w:uiPriority w:val="40"/>
    <w:tblPr/>
  </w:style>
  <w:style w:type="table" w:customStyle="1" w:styleId="315">
    <w:name w:val="Цветная таблица 31"/>
    <w:basedOn w:val="a4"/>
    <w:uiPriority w:val="99"/>
    <w:semiHidden/>
    <w:unhideWhenUsed/>
    <w:pPr>
      <w:spacing w:after="200" w:line="276" w:lineRule="auto"/>
    </w:pPr>
    <w:tblPr/>
  </w:style>
  <w:style w:type="table" w:customStyle="1" w:styleId="1ff8">
    <w:name w:val="Изысканная таблица1"/>
    <w:basedOn w:val="a4"/>
    <w:uiPriority w:val="99"/>
    <w:semiHidden/>
    <w:unhideWhenUsed/>
    <w:pPr>
      <w:spacing w:after="200" w:line="276" w:lineRule="auto"/>
    </w:pPr>
    <w:tblPr/>
  </w:style>
  <w:style w:type="table" w:customStyle="1" w:styleId="4110">
    <w:name w:val="Сетка таблицы411"/>
    <w:basedOn w:val="a4"/>
    <w:uiPriority w:val="39"/>
    <w:rPr>
      <w:sz w:val="22"/>
      <w:szCs w:val="22"/>
      <w:lang w:eastAsia="en-US"/>
    </w:rPr>
    <w:tblPr/>
  </w:style>
  <w:style w:type="table" w:customStyle="1" w:styleId="510">
    <w:name w:val="Сетка таблицы51"/>
    <w:basedOn w:val="a4"/>
    <w:uiPriority w:val="39"/>
    <w:rPr>
      <w:sz w:val="22"/>
      <w:szCs w:val="22"/>
      <w:lang w:eastAsia="en-US"/>
    </w:rPr>
    <w:tblPr/>
  </w:style>
  <w:style w:type="table" w:customStyle="1" w:styleId="610">
    <w:name w:val="Сетка таблицы61"/>
    <w:basedOn w:val="a4"/>
    <w:uiPriority w:val="39"/>
    <w:rPr>
      <w:sz w:val="22"/>
      <w:szCs w:val="22"/>
      <w:lang w:eastAsia="en-US"/>
    </w:rPr>
    <w:tblPr/>
  </w:style>
  <w:style w:type="table" w:customStyle="1" w:styleId="710">
    <w:name w:val="Сетка таблицы71"/>
    <w:basedOn w:val="a4"/>
    <w:uiPriority w:val="59"/>
    <w:tblPr/>
  </w:style>
  <w:style w:type="table" w:customStyle="1" w:styleId="810">
    <w:name w:val="Сетка таблицы81"/>
    <w:basedOn w:val="a4"/>
    <w:uiPriority w:val="39"/>
    <w:rPr>
      <w:sz w:val="22"/>
      <w:szCs w:val="22"/>
      <w:lang w:eastAsia="en-US"/>
    </w:rPr>
    <w:tblPr/>
  </w:style>
  <w:style w:type="table" w:customStyle="1" w:styleId="910">
    <w:name w:val="Сетка таблицы91"/>
    <w:basedOn w:val="a4"/>
    <w:uiPriority w:val="59"/>
    <w:rPr>
      <w:sz w:val="22"/>
      <w:szCs w:val="22"/>
      <w:lang w:eastAsia="en-US"/>
    </w:rPr>
    <w:tblPr/>
  </w:style>
  <w:style w:type="table" w:customStyle="1" w:styleId="101">
    <w:name w:val="Сетка таблицы101"/>
    <w:basedOn w:val="a4"/>
    <w:uiPriority w:val="39"/>
    <w:rPr>
      <w:sz w:val="22"/>
      <w:szCs w:val="22"/>
      <w:lang w:eastAsia="en-US"/>
    </w:rPr>
    <w:tblPr/>
  </w:style>
  <w:style w:type="table" w:customStyle="1" w:styleId="1131">
    <w:name w:val="Сетка таблицы113"/>
    <w:basedOn w:val="a4"/>
    <w:uiPriority w:val="39"/>
    <w:rPr>
      <w:sz w:val="22"/>
      <w:szCs w:val="22"/>
      <w:lang w:eastAsia="en-US"/>
    </w:rPr>
    <w:tblPr/>
  </w:style>
  <w:style w:type="table" w:customStyle="1" w:styleId="1210">
    <w:name w:val="Сетка таблицы121"/>
    <w:basedOn w:val="a4"/>
    <w:uiPriority w:val="59"/>
    <w:pPr>
      <w:spacing w:after="200" w:line="276" w:lineRule="auto"/>
    </w:pPr>
    <w:rPr>
      <w:sz w:val="18"/>
      <w:szCs w:val="22"/>
    </w:rPr>
    <w:tblPr/>
  </w:style>
  <w:style w:type="table" w:customStyle="1" w:styleId="1310">
    <w:name w:val="Сетка таблицы131"/>
    <w:basedOn w:val="a4"/>
    <w:uiPriority w:val="59"/>
    <w:rPr>
      <w:sz w:val="22"/>
      <w:szCs w:val="22"/>
      <w:lang w:eastAsia="en-US"/>
    </w:rPr>
    <w:tblPr/>
  </w:style>
  <w:style w:type="table" w:customStyle="1" w:styleId="1410">
    <w:name w:val="Сетка таблицы141"/>
    <w:basedOn w:val="a4"/>
    <w:uiPriority w:val="59"/>
    <w:rPr>
      <w:sz w:val="22"/>
      <w:szCs w:val="22"/>
      <w:lang w:eastAsia="en-US"/>
    </w:rPr>
    <w:tblPr/>
  </w:style>
  <w:style w:type="table" w:customStyle="1" w:styleId="1510">
    <w:name w:val="Сетка таблицы151"/>
    <w:basedOn w:val="a4"/>
    <w:uiPriority w:val="59"/>
    <w:rPr>
      <w:sz w:val="22"/>
      <w:szCs w:val="22"/>
      <w:lang w:eastAsia="en-US"/>
    </w:rPr>
    <w:tblPr/>
  </w:style>
  <w:style w:type="table" w:customStyle="1" w:styleId="1610">
    <w:name w:val="Сетка таблицы161"/>
    <w:basedOn w:val="a4"/>
    <w:uiPriority w:val="59"/>
    <w:rPr>
      <w:sz w:val="22"/>
      <w:szCs w:val="22"/>
      <w:lang w:eastAsia="en-US"/>
    </w:rPr>
    <w:tblPr/>
  </w:style>
  <w:style w:type="table" w:customStyle="1" w:styleId="1710">
    <w:name w:val="Сетка таблицы171"/>
    <w:basedOn w:val="a4"/>
    <w:uiPriority w:val="59"/>
    <w:rPr>
      <w:sz w:val="22"/>
      <w:szCs w:val="22"/>
      <w:lang w:eastAsia="en-US"/>
    </w:rPr>
    <w:tblPr/>
  </w:style>
  <w:style w:type="table" w:customStyle="1" w:styleId="1810">
    <w:name w:val="Сетка таблицы181"/>
    <w:basedOn w:val="a4"/>
    <w:uiPriority w:val="59"/>
    <w:rPr>
      <w:sz w:val="22"/>
      <w:szCs w:val="22"/>
      <w:lang w:eastAsia="en-US"/>
    </w:rPr>
    <w:tblPr/>
  </w:style>
  <w:style w:type="table" w:customStyle="1" w:styleId="1910">
    <w:name w:val="Сетка таблицы191"/>
    <w:basedOn w:val="a4"/>
    <w:uiPriority w:val="59"/>
    <w:rPr>
      <w:sz w:val="22"/>
      <w:szCs w:val="22"/>
      <w:lang w:eastAsia="en-US"/>
    </w:rPr>
    <w:tblPr/>
  </w:style>
  <w:style w:type="table" w:customStyle="1" w:styleId="201">
    <w:name w:val="Сетка таблицы201"/>
    <w:basedOn w:val="a4"/>
    <w:uiPriority w:val="59"/>
    <w:rPr>
      <w:sz w:val="22"/>
      <w:szCs w:val="22"/>
      <w:lang w:eastAsia="en-US"/>
    </w:rPr>
    <w:tblPr/>
  </w:style>
  <w:style w:type="table" w:customStyle="1" w:styleId="2111">
    <w:name w:val="Сетка таблицы211"/>
    <w:basedOn w:val="a4"/>
    <w:uiPriority w:val="59"/>
    <w:rPr>
      <w:sz w:val="22"/>
      <w:szCs w:val="22"/>
      <w:lang w:eastAsia="en-US"/>
    </w:rPr>
    <w:tblPr/>
  </w:style>
  <w:style w:type="table" w:customStyle="1" w:styleId="221">
    <w:name w:val="Сетка таблицы221"/>
    <w:basedOn w:val="a4"/>
    <w:uiPriority w:val="59"/>
    <w:rPr>
      <w:sz w:val="22"/>
      <w:szCs w:val="22"/>
      <w:lang w:eastAsia="en-US"/>
    </w:rPr>
    <w:tblPr/>
  </w:style>
  <w:style w:type="table" w:customStyle="1" w:styleId="231">
    <w:name w:val="Сетка таблицы231"/>
    <w:basedOn w:val="a4"/>
    <w:uiPriority w:val="59"/>
    <w:rPr>
      <w:sz w:val="22"/>
      <w:szCs w:val="22"/>
      <w:lang w:eastAsia="en-US"/>
    </w:rPr>
    <w:tblPr/>
  </w:style>
  <w:style w:type="table" w:customStyle="1" w:styleId="TableGridReport111">
    <w:name w:val="Table Grid Report111"/>
    <w:basedOn w:val="a4"/>
    <w:uiPriority w:val="39"/>
    <w:rPr>
      <w:sz w:val="22"/>
      <w:szCs w:val="22"/>
    </w:rPr>
    <w:tblPr/>
  </w:style>
  <w:style w:type="table" w:customStyle="1" w:styleId="TableGridReport210">
    <w:name w:val="Table Grid Report210"/>
    <w:basedOn w:val="a4"/>
    <w:uiPriority w:val="39"/>
    <w:rPr>
      <w:sz w:val="22"/>
      <w:szCs w:val="22"/>
    </w:rPr>
    <w:tblPr/>
  </w:style>
  <w:style w:type="table" w:customStyle="1" w:styleId="TableGridReport310">
    <w:name w:val="Table Grid Report310"/>
    <w:basedOn w:val="a4"/>
    <w:uiPriority w:val="39"/>
    <w:rPr>
      <w:sz w:val="22"/>
      <w:szCs w:val="22"/>
    </w:rPr>
    <w:tblPr/>
  </w:style>
  <w:style w:type="table" w:customStyle="1" w:styleId="TableGridReport43">
    <w:name w:val="Table Grid Report43"/>
    <w:basedOn w:val="a4"/>
    <w:uiPriority w:val="39"/>
    <w:rPr>
      <w:sz w:val="22"/>
      <w:szCs w:val="22"/>
    </w:rPr>
    <w:tblPr/>
  </w:style>
  <w:style w:type="table" w:customStyle="1" w:styleId="TableGridReport51">
    <w:name w:val="Table Grid Report51"/>
    <w:basedOn w:val="a4"/>
    <w:uiPriority w:val="39"/>
    <w:rPr>
      <w:sz w:val="22"/>
      <w:szCs w:val="22"/>
    </w:rPr>
    <w:tblPr/>
  </w:style>
  <w:style w:type="table" w:customStyle="1" w:styleId="TableGridReport61">
    <w:name w:val="Table Grid Report61"/>
    <w:basedOn w:val="a4"/>
    <w:uiPriority w:val="39"/>
    <w:rPr>
      <w:sz w:val="22"/>
      <w:szCs w:val="22"/>
    </w:rPr>
    <w:tblPr/>
  </w:style>
  <w:style w:type="table" w:customStyle="1" w:styleId="TableGridReport71">
    <w:name w:val="Table Grid Report71"/>
    <w:basedOn w:val="a4"/>
    <w:uiPriority w:val="39"/>
    <w:rPr>
      <w:sz w:val="22"/>
      <w:szCs w:val="22"/>
    </w:rPr>
    <w:tblPr/>
  </w:style>
  <w:style w:type="table" w:customStyle="1" w:styleId="TableGridReport81">
    <w:name w:val="Table Grid Report81"/>
    <w:basedOn w:val="a4"/>
    <w:uiPriority w:val="39"/>
    <w:rPr>
      <w:sz w:val="22"/>
      <w:szCs w:val="22"/>
    </w:rPr>
    <w:tblPr/>
  </w:style>
  <w:style w:type="table" w:customStyle="1" w:styleId="TableGridReport91">
    <w:name w:val="Table Grid Report91"/>
    <w:basedOn w:val="a4"/>
    <w:uiPriority w:val="39"/>
    <w:rPr>
      <w:sz w:val="22"/>
      <w:szCs w:val="22"/>
    </w:rPr>
    <w:tblPr/>
  </w:style>
  <w:style w:type="table" w:customStyle="1" w:styleId="TableGridReport101">
    <w:name w:val="Table Grid Report101"/>
    <w:basedOn w:val="a4"/>
    <w:uiPriority w:val="39"/>
    <w:rPr>
      <w:sz w:val="22"/>
      <w:szCs w:val="22"/>
    </w:rPr>
    <w:tblPr/>
  </w:style>
  <w:style w:type="table" w:customStyle="1" w:styleId="TableGridReport112">
    <w:name w:val="Table Grid Report112"/>
    <w:basedOn w:val="a4"/>
    <w:uiPriority w:val="39"/>
    <w:rPr>
      <w:sz w:val="22"/>
      <w:szCs w:val="22"/>
    </w:rPr>
    <w:tblPr/>
  </w:style>
  <w:style w:type="table" w:customStyle="1" w:styleId="TableGridReport121">
    <w:name w:val="Table Grid Report121"/>
    <w:basedOn w:val="a4"/>
    <w:uiPriority w:val="39"/>
    <w:rPr>
      <w:sz w:val="22"/>
      <w:szCs w:val="22"/>
    </w:rPr>
    <w:tblPr/>
  </w:style>
  <w:style w:type="table" w:customStyle="1" w:styleId="TableGridReport131">
    <w:name w:val="Table Grid Report131"/>
    <w:basedOn w:val="a4"/>
    <w:uiPriority w:val="39"/>
    <w:rPr>
      <w:sz w:val="22"/>
      <w:szCs w:val="22"/>
    </w:rPr>
    <w:tblPr/>
  </w:style>
  <w:style w:type="table" w:customStyle="1" w:styleId="TableGridReport141">
    <w:name w:val="Table Grid Report141"/>
    <w:basedOn w:val="a4"/>
    <w:uiPriority w:val="39"/>
    <w:rPr>
      <w:sz w:val="22"/>
      <w:szCs w:val="22"/>
    </w:rPr>
    <w:tblPr/>
  </w:style>
  <w:style w:type="table" w:customStyle="1" w:styleId="TableGridReport151">
    <w:name w:val="Table Grid Report151"/>
    <w:basedOn w:val="a4"/>
    <w:uiPriority w:val="39"/>
    <w:rPr>
      <w:sz w:val="22"/>
      <w:szCs w:val="22"/>
    </w:rPr>
    <w:tblPr/>
  </w:style>
  <w:style w:type="table" w:customStyle="1" w:styleId="TableGridReport161">
    <w:name w:val="Table Grid Report161"/>
    <w:basedOn w:val="a4"/>
    <w:uiPriority w:val="39"/>
    <w:rPr>
      <w:sz w:val="22"/>
      <w:szCs w:val="22"/>
    </w:rPr>
    <w:tblPr/>
  </w:style>
  <w:style w:type="table" w:customStyle="1" w:styleId="TableGridReport171">
    <w:name w:val="Table Grid Report171"/>
    <w:basedOn w:val="a4"/>
    <w:uiPriority w:val="39"/>
    <w:rPr>
      <w:sz w:val="22"/>
      <w:szCs w:val="22"/>
    </w:rPr>
    <w:tblPr/>
  </w:style>
  <w:style w:type="table" w:customStyle="1" w:styleId="TableGridReport181">
    <w:name w:val="Table Grid Report181"/>
    <w:basedOn w:val="a4"/>
    <w:uiPriority w:val="39"/>
    <w:rPr>
      <w:sz w:val="22"/>
      <w:szCs w:val="22"/>
    </w:rPr>
    <w:tblPr/>
  </w:style>
  <w:style w:type="table" w:customStyle="1" w:styleId="TableGridReport191">
    <w:name w:val="Table Grid Report191"/>
    <w:basedOn w:val="a4"/>
    <w:uiPriority w:val="39"/>
    <w:rPr>
      <w:sz w:val="22"/>
      <w:szCs w:val="22"/>
    </w:rPr>
    <w:tblPr/>
  </w:style>
  <w:style w:type="table" w:customStyle="1" w:styleId="TableGridReport201">
    <w:name w:val="Table Grid Report201"/>
    <w:basedOn w:val="a4"/>
    <w:uiPriority w:val="39"/>
    <w:rPr>
      <w:sz w:val="22"/>
      <w:szCs w:val="22"/>
    </w:rPr>
    <w:tblPr/>
  </w:style>
  <w:style w:type="table" w:customStyle="1" w:styleId="TableGridReport211">
    <w:name w:val="Table Grid Report211"/>
    <w:basedOn w:val="a4"/>
    <w:uiPriority w:val="39"/>
    <w:rPr>
      <w:sz w:val="22"/>
      <w:szCs w:val="22"/>
    </w:rPr>
    <w:tblPr/>
  </w:style>
  <w:style w:type="table" w:customStyle="1" w:styleId="TableGridReport221">
    <w:name w:val="Table Grid Report221"/>
    <w:basedOn w:val="a4"/>
    <w:uiPriority w:val="39"/>
    <w:rPr>
      <w:sz w:val="22"/>
      <w:szCs w:val="22"/>
    </w:rPr>
    <w:tblPr/>
  </w:style>
  <w:style w:type="table" w:customStyle="1" w:styleId="TableGridReport231">
    <w:name w:val="Table Grid Report231"/>
    <w:basedOn w:val="a4"/>
    <w:uiPriority w:val="39"/>
    <w:rPr>
      <w:sz w:val="22"/>
      <w:szCs w:val="22"/>
    </w:rPr>
    <w:tblPr/>
  </w:style>
  <w:style w:type="table" w:customStyle="1" w:styleId="TableGridReport241">
    <w:name w:val="Table Grid Report241"/>
    <w:basedOn w:val="a4"/>
    <w:uiPriority w:val="39"/>
    <w:rPr>
      <w:sz w:val="22"/>
      <w:szCs w:val="22"/>
    </w:rPr>
    <w:tblPr/>
  </w:style>
  <w:style w:type="table" w:customStyle="1" w:styleId="TableGridReport251">
    <w:name w:val="Table Grid Report251"/>
    <w:basedOn w:val="a4"/>
    <w:uiPriority w:val="39"/>
    <w:rPr>
      <w:sz w:val="22"/>
      <w:szCs w:val="22"/>
    </w:rPr>
    <w:tblPr/>
  </w:style>
  <w:style w:type="table" w:customStyle="1" w:styleId="TableGridReport261">
    <w:name w:val="Table Grid Report261"/>
    <w:basedOn w:val="a4"/>
    <w:uiPriority w:val="39"/>
    <w:rPr>
      <w:sz w:val="22"/>
      <w:szCs w:val="22"/>
    </w:rPr>
    <w:tblPr/>
  </w:style>
  <w:style w:type="table" w:customStyle="1" w:styleId="TableGridReport271">
    <w:name w:val="Table Grid Report271"/>
    <w:basedOn w:val="a4"/>
    <w:uiPriority w:val="39"/>
    <w:rPr>
      <w:sz w:val="22"/>
      <w:szCs w:val="22"/>
    </w:rPr>
    <w:tblPr/>
  </w:style>
  <w:style w:type="table" w:customStyle="1" w:styleId="TableGridReport281">
    <w:name w:val="Table Grid Report281"/>
    <w:basedOn w:val="a4"/>
    <w:uiPriority w:val="39"/>
    <w:rPr>
      <w:sz w:val="22"/>
      <w:szCs w:val="22"/>
    </w:rPr>
    <w:tblPr/>
  </w:style>
  <w:style w:type="table" w:customStyle="1" w:styleId="TableGridReport291">
    <w:name w:val="Table Grid Report291"/>
    <w:basedOn w:val="a4"/>
    <w:uiPriority w:val="39"/>
    <w:rPr>
      <w:sz w:val="22"/>
      <w:szCs w:val="22"/>
    </w:rPr>
    <w:tblPr/>
  </w:style>
  <w:style w:type="table" w:customStyle="1" w:styleId="TableGridReport301">
    <w:name w:val="Table Grid Report301"/>
    <w:basedOn w:val="a4"/>
    <w:uiPriority w:val="39"/>
    <w:rPr>
      <w:sz w:val="22"/>
      <w:szCs w:val="22"/>
    </w:rPr>
    <w:tblPr/>
  </w:style>
  <w:style w:type="table" w:customStyle="1" w:styleId="TableGridReport311">
    <w:name w:val="Table Grid Report311"/>
    <w:basedOn w:val="a4"/>
    <w:uiPriority w:val="39"/>
    <w:rPr>
      <w:sz w:val="22"/>
      <w:szCs w:val="22"/>
    </w:rPr>
    <w:tblPr/>
  </w:style>
  <w:style w:type="table" w:customStyle="1" w:styleId="TableGridReport321">
    <w:name w:val="Table Grid Report321"/>
    <w:basedOn w:val="a4"/>
    <w:uiPriority w:val="39"/>
    <w:rPr>
      <w:sz w:val="22"/>
      <w:szCs w:val="22"/>
    </w:rPr>
    <w:tblPr/>
  </w:style>
  <w:style w:type="table" w:customStyle="1" w:styleId="TableGridReport331">
    <w:name w:val="Table Grid Report331"/>
    <w:basedOn w:val="a4"/>
    <w:uiPriority w:val="39"/>
    <w:rPr>
      <w:sz w:val="22"/>
      <w:szCs w:val="22"/>
    </w:rPr>
    <w:tblPr/>
  </w:style>
  <w:style w:type="table" w:customStyle="1" w:styleId="TableGridReport341">
    <w:name w:val="Table Grid Report341"/>
    <w:basedOn w:val="a4"/>
    <w:uiPriority w:val="39"/>
    <w:rPr>
      <w:sz w:val="22"/>
      <w:szCs w:val="22"/>
    </w:rPr>
    <w:tblPr/>
  </w:style>
  <w:style w:type="table" w:customStyle="1" w:styleId="TableGridReport351">
    <w:name w:val="Table Grid Report351"/>
    <w:basedOn w:val="a4"/>
    <w:uiPriority w:val="39"/>
    <w:rPr>
      <w:sz w:val="22"/>
      <w:szCs w:val="22"/>
    </w:rPr>
    <w:tblPr/>
  </w:style>
  <w:style w:type="table" w:customStyle="1" w:styleId="TableGridReport361">
    <w:name w:val="Table Grid Report361"/>
    <w:basedOn w:val="a4"/>
    <w:uiPriority w:val="39"/>
    <w:rPr>
      <w:sz w:val="22"/>
      <w:szCs w:val="22"/>
    </w:rPr>
    <w:tblPr/>
  </w:style>
  <w:style w:type="table" w:customStyle="1" w:styleId="TableGridReport371">
    <w:name w:val="Table Grid Report371"/>
    <w:basedOn w:val="a4"/>
    <w:uiPriority w:val="39"/>
    <w:rPr>
      <w:sz w:val="22"/>
      <w:szCs w:val="22"/>
    </w:rPr>
    <w:tblPr/>
  </w:style>
  <w:style w:type="table" w:customStyle="1" w:styleId="TableGridReport381">
    <w:name w:val="Table Grid Report381"/>
    <w:basedOn w:val="a4"/>
    <w:uiPriority w:val="39"/>
    <w:rPr>
      <w:sz w:val="22"/>
      <w:szCs w:val="22"/>
    </w:rPr>
    <w:tblPr/>
  </w:style>
  <w:style w:type="table" w:customStyle="1" w:styleId="TableGridReport391">
    <w:name w:val="Table Grid Report391"/>
    <w:basedOn w:val="a4"/>
    <w:uiPriority w:val="39"/>
    <w:rPr>
      <w:sz w:val="22"/>
      <w:szCs w:val="22"/>
    </w:rPr>
    <w:tblPr/>
  </w:style>
  <w:style w:type="table" w:customStyle="1" w:styleId="TableGridReport1101">
    <w:name w:val="Table Grid Report1101"/>
    <w:basedOn w:val="a4"/>
    <w:uiPriority w:val="59"/>
    <w:rPr>
      <w:sz w:val="22"/>
      <w:szCs w:val="22"/>
    </w:rPr>
    <w:tblPr/>
  </w:style>
  <w:style w:type="table" w:customStyle="1" w:styleId="TableGridReport401">
    <w:name w:val="Table Grid Report401"/>
    <w:basedOn w:val="a4"/>
    <w:uiPriority w:val="39"/>
    <w:rPr>
      <w:sz w:val="22"/>
      <w:szCs w:val="22"/>
    </w:rPr>
    <w:tblPr/>
  </w:style>
  <w:style w:type="table" w:customStyle="1" w:styleId="TableGridReport411">
    <w:name w:val="Table Grid Report411"/>
    <w:basedOn w:val="a4"/>
    <w:uiPriority w:val="39"/>
    <w:rPr>
      <w:sz w:val="22"/>
      <w:szCs w:val="22"/>
    </w:rPr>
    <w:tblPr/>
  </w:style>
  <w:style w:type="table" w:customStyle="1" w:styleId="216">
    <w:name w:val="Стиль21"/>
    <w:basedOn w:val="-52"/>
    <w:uiPriority w:val="99"/>
    <w:tblPr/>
  </w:style>
  <w:style w:type="table" w:customStyle="1" w:styleId="241">
    <w:name w:val="Сетка таблицы241"/>
    <w:basedOn w:val="a4"/>
    <w:uiPriority w:val="39"/>
    <w:rPr>
      <w:sz w:val="22"/>
      <w:szCs w:val="22"/>
      <w:lang w:eastAsia="en-US"/>
    </w:rPr>
    <w:tblPr/>
  </w:style>
  <w:style w:type="table" w:customStyle="1" w:styleId="-510">
    <w:name w:val="Цветная сетка - Акцент 51"/>
    <w:basedOn w:val="a4"/>
    <w:uiPriority w:val="73"/>
    <w:semiHidden/>
    <w:unhideWhenUsed/>
    <w:tblPr/>
  </w:style>
  <w:style w:type="table" w:customStyle="1" w:styleId="11010">
    <w:name w:val="Сетка таблицы1101"/>
    <w:basedOn w:val="a4"/>
    <w:uiPriority w:val="39"/>
    <w:pPr>
      <w:spacing w:after="200" w:line="252" w:lineRule="auto"/>
    </w:pPr>
    <w:tblPr/>
  </w:style>
  <w:style w:type="table" w:customStyle="1" w:styleId="11110">
    <w:name w:val="Сетка таблицы1111"/>
    <w:basedOn w:val="a4"/>
    <w:uiPriority w:val="39"/>
    <w:pPr>
      <w:spacing w:after="200" w:line="252" w:lineRule="auto"/>
    </w:pPr>
    <w:tblPr/>
  </w:style>
  <w:style w:type="table" w:customStyle="1" w:styleId="260">
    <w:name w:val="Сетка таблицы26"/>
    <w:basedOn w:val="a4"/>
    <w:uiPriority w:val="39"/>
    <w:rPr>
      <w:sz w:val="22"/>
      <w:szCs w:val="22"/>
      <w:lang w:eastAsia="en-US"/>
    </w:rPr>
    <w:tblPr/>
  </w:style>
  <w:style w:type="table" w:customStyle="1" w:styleId="270">
    <w:name w:val="Сетка таблицы27"/>
    <w:basedOn w:val="a4"/>
    <w:uiPriority w:val="59"/>
    <w:rPr>
      <w:sz w:val="22"/>
      <w:szCs w:val="22"/>
      <w:lang w:eastAsia="en-US"/>
    </w:rPr>
    <w:tblPr/>
  </w:style>
  <w:style w:type="table" w:customStyle="1" w:styleId="280">
    <w:name w:val="Сетка таблицы28"/>
    <w:basedOn w:val="a4"/>
    <w:uiPriority w:val="59"/>
    <w:rPr>
      <w:sz w:val="22"/>
      <w:szCs w:val="22"/>
      <w:lang w:eastAsia="en-US"/>
    </w:rPr>
    <w:tblPr/>
  </w:style>
  <w:style w:type="table" w:customStyle="1" w:styleId="520">
    <w:name w:val="Сетка таблицы52"/>
    <w:basedOn w:val="a4"/>
    <w:uiPriority w:val="59"/>
    <w:rPr>
      <w:sz w:val="22"/>
      <w:szCs w:val="22"/>
      <w:lang w:eastAsia="en-US"/>
    </w:rPr>
    <w:tblPr/>
  </w:style>
  <w:style w:type="table" w:customStyle="1" w:styleId="290">
    <w:name w:val="Сетка таблицы29"/>
    <w:basedOn w:val="a4"/>
    <w:uiPriority w:val="39"/>
    <w:rPr>
      <w:sz w:val="22"/>
      <w:szCs w:val="22"/>
      <w:lang w:eastAsia="en-US"/>
    </w:rPr>
    <w:tblPr/>
  </w:style>
  <w:style w:type="table" w:customStyle="1" w:styleId="-411">
    <w:name w:val="Таблица-сетка 4 — акцент 11"/>
    <w:basedOn w:val="a4"/>
    <w:uiPriority w:val="49"/>
    <w:rPr>
      <w:sz w:val="22"/>
      <w:szCs w:val="22"/>
      <w:lang w:eastAsia="en-US"/>
    </w:rPr>
    <w:tblPr/>
  </w:style>
  <w:style w:type="table" w:styleId="-410">
    <w:name w:val="Grid Table 4 Accent 1"/>
    <w:basedOn w:val="a4"/>
    <w:uiPriority w:val="49"/>
    <w:tblPr/>
  </w:style>
  <w:style w:type="table" w:customStyle="1" w:styleId="SmartTextTable1">
    <w:name w:val="Smart Text Table1"/>
    <w:basedOn w:val="a4"/>
    <w:uiPriority w:val="39"/>
    <w:rPr>
      <w:sz w:val="22"/>
    </w:rPr>
    <w:tblPr/>
  </w:style>
  <w:style w:type="table" w:customStyle="1" w:styleId="1140">
    <w:name w:val="Сетка таблицы114"/>
    <w:basedOn w:val="a4"/>
    <w:uiPriority w:val="39"/>
    <w:pPr>
      <w:spacing w:after="200" w:line="252" w:lineRule="auto"/>
    </w:pPr>
    <w:tblPr/>
  </w:style>
  <w:style w:type="table" w:customStyle="1" w:styleId="300">
    <w:name w:val="Сетка таблицы30"/>
    <w:basedOn w:val="a4"/>
    <w:uiPriority w:val="59"/>
    <w:rPr>
      <w:sz w:val="22"/>
      <w:szCs w:val="22"/>
      <w:lang w:eastAsia="en-US"/>
    </w:rPr>
    <w:tblPr/>
  </w:style>
  <w:style w:type="table" w:customStyle="1" w:styleId="322">
    <w:name w:val="Сетка таблицы32"/>
    <w:basedOn w:val="a4"/>
    <w:uiPriority w:val="59"/>
    <w:pPr>
      <w:spacing w:after="200" w:line="276" w:lineRule="auto"/>
    </w:pPr>
    <w:rPr>
      <w:sz w:val="18"/>
      <w:szCs w:val="22"/>
    </w:rPr>
    <w:tblPr/>
  </w:style>
  <w:style w:type="table" w:customStyle="1" w:styleId="330">
    <w:name w:val="Сетка таблицы33"/>
    <w:basedOn w:val="a4"/>
    <w:uiPriority w:val="59"/>
    <w:rPr>
      <w:sz w:val="22"/>
      <w:szCs w:val="22"/>
      <w:lang w:eastAsia="en-US"/>
    </w:rPr>
    <w:tblPr/>
  </w:style>
  <w:style w:type="table" w:customStyle="1" w:styleId="340">
    <w:name w:val="Сетка таблицы34"/>
    <w:basedOn w:val="a4"/>
    <w:uiPriority w:val="59"/>
    <w:rPr>
      <w:sz w:val="22"/>
      <w:szCs w:val="22"/>
      <w:lang w:eastAsia="en-US"/>
    </w:rPr>
    <w:tblPr/>
  </w:style>
  <w:style w:type="table" w:customStyle="1" w:styleId="SmartTextTable21">
    <w:name w:val="Smart Text Table21"/>
    <w:basedOn w:val="a4"/>
    <w:uiPriority w:val="39"/>
    <w:rPr>
      <w:sz w:val="22"/>
      <w:szCs w:val="22"/>
      <w:lang w:eastAsia="ja-JP"/>
    </w:rPr>
    <w:tblPr/>
  </w:style>
  <w:style w:type="table" w:customStyle="1" w:styleId="350">
    <w:name w:val="Сетка таблицы35"/>
    <w:basedOn w:val="a4"/>
    <w:uiPriority w:val="39"/>
    <w:rPr>
      <w:sz w:val="22"/>
      <w:szCs w:val="22"/>
      <w:lang w:eastAsia="en-US"/>
    </w:rPr>
    <w:tblPr/>
  </w:style>
  <w:style w:type="table" w:customStyle="1" w:styleId="TableGridReport44">
    <w:name w:val="Table Grid Report44"/>
    <w:basedOn w:val="a4"/>
    <w:uiPriority w:val="39"/>
    <w:tblPr/>
  </w:style>
  <w:style w:type="table" w:customStyle="1" w:styleId="TableGridReport45">
    <w:name w:val="Table Grid Report45"/>
    <w:basedOn w:val="a4"/>
    <w:uiPriority w:val="39"/>
    <w:tblPr/>
  </w:style>
  <w:style w:type="table" w:customStyle="1" w:styleId="-412">
    <w:name w:val="Таблица-сетка 4 — акцент 12"/>
    <w:basedOn w:val="a4"/>
    <w:uiPriority w:val="49"/>
    <w:rPr>
      <w:sz w:val="22"/>
      <w:szCs w:val="22"/>
      <w:lang w:eastAsia="en-US"/>
    </w:rPr>
    <w:tblPr/>
  </w:style>
  <w:style w:type="table" w:customStyle="1" w:styleId="360">
    <w:name w:val="Сетка таблицы36"/>
    <w:basedOn w:val="a4"/>
    <w:uiPriority w:val="39"/>
    <w:rPr>
      <w:sz w:val="22"/>
      <w:szCs w:val="22"/>
      <w:lang w:eastAsia="en-US"/>
    </w:rPr>
    <w:tblPr/>
  </w:style>
  <w:style w:type="table" w:customStyle="1" w:styleId="370">
    <w:name w:val="Сетка таблицы37"/>
    <w:basedOn w:val="a4"/>
    <w:uiPriority w:val="39"/>
    <w:rPr>
      <w:sz w:val="22"/>
      <w:szCs w:val="22"/>
      <w:lang w:eastAsia="en-US"/>
    </w:rPr>
    <w:tblPr/>
  </w:style>
  <w:style w:type="table" w:customStyle="1" w:styleId="380">
    <w:name w:val="Сетка таблицы38"/>
    <w:basedOn w:val="a4"/>
    <w:uiPriority w:val="39"/>
    <w:rPr>
      <w:sz w:val="22"/>
      <w:szCs w:val="22"/>
      <w:lang w:eastAsia="en-US"/>
    </w:rPr>
    <w:tblPr/>
  </w:style>
  <w:style w:type="table" w:customStyle="1" w:styleId="1150">
    <w:name w:val="Сетка таблицы115"/>
    <w:basedOn w:val="a4"/>
    <w:uiPriority w:val="59"/>
    <w:rPr>
      <w:sz w:val="22"/>
      <w:szCs w:val="22"/>
      <w:lang w:eastAsia="en-US"/>
    </w:rPr>
    <w:tblPr/>
  </w:style>
  <w:style w:type="table" w:customStyle="1" w:styleId="390">
    <w:name w:val="Сетка таблицы39"/>
    <w:basedOn w:val="a4"/>
    <w:uiPriority w:val="39"/>
    <w:rPr>
      <w:sz w:val="22"/>
      <w:szCs w:val="22"/>
      <w:lang w:eastAsia="en-US"/>
    </w:rPr>
    <w:tblPr/>
  </w:style>
  <w:style w:type="table" w:customStyle="1" w:styleId="400">
    <w:name w:val="Сетка таблицы40"/>
    <w:basedOn w:val="a4"/>
    <w:uiPriority w:val="39"/>
    <w:rPr>
      <w:sz w:val="22"/>
      <w:szCs w:val="22"/>
      <w:lang w:eastAsia="en-US"/>
    </w:rPr>
    <w:tblPr/>
  </w:style>
  <w:style w:type="table" w:customStyle="1" w:styleId="430">
    <w:name w:val="Сетка таблицы43"/>
    <w:basedOn w:val="a4"/>
    <w:uiPriority w:val="39"/>
    <w:rPr>
      <w:sz w:val="22"/>
      <w:szCs w:val="22"/>
      <w:lang w:eastAsia="en-US"/>
    </w:rPr>
    <w:tblPr/>
  </w:style>
  <w:style w:type="table" w:customStyle="1" w:styleId="440">
    <w:name w:val="Сетка таблицы44"/>
    <w:basedOn w:val="a4"/>
    <w:uiPriority w:val="59"/>
    <w:rPr>
      <w:sz w:val="22"/>
      <w:szCs w:val="22"/>
      <w:lang w:eastAsia="en-US"/>
    </w:rPr>
    <w:tblPr/>
  </w:style>
  <w:style w:type="table" w:customStyle="1" w:styleId="SmartTextTable211">
    <w:name w:val="Smart Text Table211"/>
    <w:basedOn w:val="a4"/>
    <w:uiPriority w:val="39"/>
    <w:rPr>
      <w:sz w:val="22"/>
      <w:szCs w:val="22"/>
      <w:lang w:eastAsia="ja-JP"/>
    </w:rPr>
    <w:tblPr/>
  </w:style>
  <w:style w:type="table" w:customStyle="1" w:styleId="450">
    <w:name w:val="Сетка таблицы45"/>
    <w:basedOn w:val="a4"/>
    <w:uiPriority w:val="39"/>
    <w:rPr>
      <w:sz w:val="22"/>
      <w:szCs w:val="22"/>
      <w:lang w:eastAsia="en-US"/>
    </w:rPr>
    <w:tblPr/>
  </w:style>
  <w:style w:type="table" w:customStyle="1" w:styleId="1160">
    <w:name w:val="Сетка таблицы116"/>
    <w:basedOn w:val="a4"/>
    <w:uiPriority w:val="39"/>
    <w:pPr>
      <w:spacing w:after="200" w:line="252" w:lineRule="auto"/>
    </w:pPr>
    <w:tblPr/>
  </w:style>
  <w:style w:type="table" w:customStyle="1" w:styleId="46">
    <w:name w:val="Сетка таблицы46"/>
    <w:basedOn w:val="a4"/>
    <w:uiPriority w:val="39"/>
    <w:rPr>
      <w:sz w:val="22"/>
      <w:szCs w:val="22"/>
      <w:lang w:eastAsia="en-US"/>
    </w:rPr>
    <w:tblPr/>
  </w:style>
  <w:style w:type="table" w:customStyle="1" w:styleId="-413">
    <w:name w:val="Таблица-сетка 4 — акцент 13"/>
    <w:basedOn w:val="a4"/>
    <w:uiPriority w:val="49"/>
    <w:rPr>
      <w:sz w:val="22"/>
      <w:szCs w:val="22"/>
      <w:lang w:eastAsia="en-US"/>
    </w:rPr>
    <w:tblPr/>
  </w:style>
  <w:style w:type="table" w:customStyle="1" w:styleId="47">
    <w:name w:val="Сетка таблицы47"/>
    <w:basedOn w:val="a4"/>
    <w:uiPriority w:val="59"/>
    <w:tblPr/>
  </w:style>
  <w:style w:type="table" w:customStyle="1" w:styleId="TableGridReport46">
    <w:name w:val="Table Grid Report46"/>
    <w:basedOn w:val="a4"/>
    <w:uiPriority w:val="59"/>
    <w:tblPr/>
  </w:style>
  <w:style w:type="table" w:customStyle="1" w:styleId="TableGridReport47">
    <w:name w:val="Table Grid Report47"/>
    <w:basedOn w:val="a4"/>
    <w:uiPriority w:val="59"/>
    <w:tblPr/>
  </w:style>
  <w:style w:type="table" w:customStyle="1" w:styleId="TableGridReport48">
    <w:name w:val="Table Grid Report48"/>
    <w:basedOn w:val="a4"/>
    <w:uiPriority w:val="59"/>
    <w:tblPr/>
  </w:style>
  <w:style w:type="table" w:customStyle="1" w:styleId="TableGridReport49">
    <w:name w:val="Table Grid Report49"/>
    <w:basedOn w:val="a4"/>
    <w:uiPriority w:val="59"/>
    <w:tblPr/>
  </w:style>
  <w:style w:type="table" w:customStyle="1" w:styleId="TableGridReport50">
    <w:name w:val="Table Grid Report50"/>
    <w:basedOn w:val="a4"/>
    <w:uiPriority w:val="59"/>
    <w:tblPr/>
  </w:style>
  <w:style w:type="table" w:customStyle="1" w:styleId="48">
    <w:name w:val="Сетка таблицы48"/>
    <w:basedOn w:val="a4"/>
    <w:uiPriority w:val="59"/>
    <w:rPr>
      <w:sz w:val="22"/>
      <w:szCs w:val="22"/>
      <w:lang w:eastAsia="en-US"/>
    </w:rPr>
    <w:tblPr/>
  </w:style>
  <w:style w:type="table" w:customStyle="1" w:styleId="SmartTextTable212">
    <w:name w:val="Smart Text Table212"/>
    <w:basedOn w:val="a4"/>
    <w:uiPriority w:val="39"/>
    <w:rPr>
      <w:sz w:val="22"/>
      <w:szCs w:val="22"/>
      <w:lang w:eastAsia="ja-JP"/>
    </w:rPr>
    <w:tblPr/>
  </w:style>
  <w:style w:type="table" w:customStyle="1" w:styleId="49">
    <w:name w:val="Сетка таблицы49"/>
    <w:basedOn w:val="a4"/>
    <w:uiPriority w:val="39"/>
    <w:rPr>
      <w:sz w:val="22"/>
      <w:szCs w:val="22"/>
      <w:lang w:eastAsia="en-US"/>
    </w:rPr>
    <w:tblPr/>
  </w:style>
  <w:style w:type="table" w:customStyle="1" w:styleId="500">
    <w:name w:val="Сетка таблицы50"/>
    <w:basedOn w:val="a4"/>
    <w:uiPriority w:val="39"/>
    <w:rPr>
      <w:sz w:val="22"/>
      <w:szCs w:val="22"/>
      <w:lang w:eastAsia="en-US"/>
    </w:rPr>
    <w:tblPr/>
  </w:style>
  <w:style w:type="table" w:customStyle="1" w:styleId="530">
    <w:name w:val="Сетка таблицы53"/>
    <w:basedOn w:val="a4"/>
    <w:uiPriority w:val="39"/>
    <w:rPr>
      <w:sz w:val="22"/>
      <w:szCs w:val="22"/>
      <w:lang w:eastAsia="en-US"/>
    </w:rPr>
    <w:tblPr/>
  </w:style>
  <w:style w:type="table" w:customStyle="1" w:styleId="540">
    <w:name w:val="Сетка таблицы54"/>
    <w:basedOn w:val="a4"/>
    <w:uiPriority w:val="59"/>
    <w:rPr>
      <w:sz w:val="22"/>
      <w:szCs w:val="22"/>
      <w:lang w:eastAsia="en-US"/>
    </w:rPr>
    <w:tblPr/>
  </w:style>
  <w:style w:type="table" w:customStyle="1" w:styleId="SmartTextTable2">
    <w:name w:val="Smart Text Table2"/>
    <w:basedOn w:val="a4"/>
    <w:uiPriority w:val="39"/>
    <w:tblPr/>
  </w:style>
  <w:style w:type="table" w:customStyle="1" w:styleId="TableGridReport52">
    <w:name w:val="Table Grid Report52"/>
    <w:basedOn w:val="a4"/>
    <w:uiPriority w:val="59"/>
    <w:tblPr/>
  </w:style>
  <w:style w:type="table" w:customStyle="1" w:styleId="TableGridReport53">
    <w:name w:val="Table Grid Report53"/>
    <w:basedOn w:val="a4"/>
    <w:uiPriority w:val="59"/>
    <w:tblPr/>
  </w:style>
  <w:style w:type="table" w:customStyle="1" w:styleId="TableGridReport54">
    <w:name w:val="Table Grid Report54"/>
    <w:basedOn w:val="a4"/>
    <w:uiPriority w:val="59"/>
    <w:tblPr/>
  </w:style>
  <w:style w:type="table" w:customStyle="1" w:styleId="TableGridReport55">
    <w:name w:val="Table Grid Report55"/>
    <w:basedOn w:val="a4"/>
    <w:uiPriority w:val="59"/>
    <w:tblPr/>
  </w:style>
  <w:style w:type="table" w:customStyle="1" w:styleId="TableGridReport56">
    <w:name w:val="Table Grid Report56"/>
    <w:basedOn w:val="a4"/>
    <w:uiPriority w:val="59"/>
    <w:tblPr/>
  </w:style>
  <w:style w:type="table" w:customStyle="1" w:styleId="55">
    <w:name w:val="Сетка таблицы55"/>
    <w:basedOn w:val="a4"/>
    <w:uiPriority w:val="39"/>
    <w:rPr>
      <w:sz w:val="22"/>
      <w:szCs w:val="22"/>
      <w:lang w:eastAsia="en-US"/>
    </w:rPr>
    <w:tblPr/>
  </w:style>
  <w:style w:type="table" w:customStyle="1" w:styleId="56">
    <w:name w:val="Сетка таблицы56"/>
    <w:basedOn w:val="a4"/>
    <w:uiPriority w:val="39"/>
    <w:rsid w:val="00345B76"/>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2147019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www.rosseti-yug.ru/" TargetMode="External"/><Relationship Id="rId21" Type="http://schemas.openxmlformats.org/officeDocument/2006/relationships/image" Target="media/image8.png"/><Relationship Id="rId42" Type="http://schemas.openxmlformats.org/officeDocument/2006/relationships/image" Target="media/image21.png"/><Relationship Id="rId63" Type="http://schemas.openxmlformats.org/officeDocument/2006/relationships/image" Target="media/image34.svg"/><Relationship Id="rId84" Type="http://schemas.openxmlformats.org/officeDocument/2006/relationships/image" Target="media/image44.jpeg"/><Relationship Id="rId138" Type="http://schemas.openxmlformats.org/officeDocument/2006/relationships/chart" Target="charts/chart10.xml"/><Relationship Id="rId159" Type="http://schemas.openxmlformats.org/officeDocument/2006/relationships/hyperlink" Target="http://www.mrsk-yuga.ru/files/file/site/aud_novred.pdf" TargetMode="External"/><Relationship Id="rId170" Type="http://schemas.openxmlformats.org/officeDocument/2006/relationships/image" Target="media/image87.png"/><Relationship Id="rId191" Type="http://schemas.openxmlformats.org/officeDocument/2006/relationships/hyperlink" Target="http://rosseti-yug.ru/" TargetMode="External"/><Relationship Id="rId107" Type="http://schemas.openxmlformats.org/officeDocument/2006/relationships/image" Target="media/image75.svg"/><Relationship Id="rId11" Type="http://schemas.openxmlformats.org/officeDocument/2006/relationships/image" Target="media/image2.jpeg"/><Relationship Id="rId32" Type="http://schemas.openxmlformats.org/officeDocument/2006/relationships/image" Target="media/image16.png"/><Relationship Id="rId53" Type="http://schemas.openxmlformats.org/officeDocument/2006/relationships/footer" Target="footer11.xml"/><Relationship Id="rId74" Type="http://schemas.openxmlformats.org/officeDocument/2006/relationships/image" Target="media/image23.svg"/><Relationship Id="rId128" Type="http://schemas.openxmlformats.org/officeDocument/2006/relationships/hyperlink" Target="https://rosseti-yug.ru/korporativnoe-upravlenie/vnutrennie-polozheniya/" TargetMode="External"/><Relationship Id="rId149" Type="http://schemas.openxmlformats.org/officeDocument/2006/relationships/image" Target="media/image78.png"/><Relationship Id="rId5" Type="http://schemas.openxmlformats.org/officeDocument/2006/relationships/webSettings" Target="webSettings.xml"/><Relationship Id="rId95" Type="http://schemas.openxmlformats.org/officeDocument/2006/relationships/image" Target="media/image63.svg"/><Relationship Id="rId160" Type="http://schemas.openxmlformats.org/officeDocument/2006/relationships/image" Target="media/image80.png"/><Relationship Id="rId181" Type="http://schemas.openxmlformats.org/officeDocument/2006/relationships/hyperlink" Target="https://rosseti-yug.ru/korporativnoe-upravlenie/revizionnaya-komissiya/" TargetMode="External"/><Relationship Id="rId22" Type="http://schemas.openxmlformats.org/officeDocument/2006/relationships/image" Target="media/image13.svg"/><Relationship Id="rId43" Type="http://schemas.openxmlformats.org/officeDocument/2006/relationships/footer" Target="footer1.xml"/><Relationship Id="rId64" Type="http://schemas.openxmlformats.org/officeDocument/2006/relationships/image" Target="media/image28.wmf"/><Relationship Id="rId118" Type="http://schemas.openxmlformats.org/officeDocument/2006/relationships/hyperlink" Target="https://rosseti-yug.ru/o-kompanii/protivodeystvie-korruptsii/" TargetMode="External"/><Relationship Id="rId139" Type="http://schemas.openxmlformats.org/officeDocument/2006/relationships/image" Target="media/image73.png"/><Relationship Id="rId85" Type="http://schemas.openxmlformats.org/officeDocument/2006/relationships/hyperlink" Target="https://rosseti-yug.ru/zakupki/informatsiya-o-tekushchikh-protsedurakh-prodazhi/" TargetMode="External"/><Relationship Id="rId150" Type="http://schemas.openxmlformats.org/officeDocument/2006/relationships/chart" Target="charts/chart15.xml"/><Relationship Id="rId171" Type="http://schemas.openxmlformats.org/officeDocument/2006/relationships/hyperlink" Target="https://rosseti-yug.ru/upload/&#1055;&#1086;&#1083;&#1086;&#1078;&#1077;&#1085;&#1080;&#1077;%20&#1086;%20&#1050;&#1058;&#1055;_31.01.2020.pdf" TargetMode="External"/><Relationship Id="rId192" Type="http://schemas.openxmlformats.org/officeDocument/2006/relationships/hyperlink" Target="mailto:rost@rrost.ru" TargetMode="External"/><Relationship Id="rId12" Type="http://schemas.openxmlformats.org/officeDocument/2006/relationships/image" Target="media/image3.jpeg"/><Relationship Id="rId33" Type="http://schemas.openxmlformats.org/officeDocument/2006/relationships/image" Target="media/image17.png"/><Relationship Id="rId108" Type="http://schemas.openxmlformats.org/officeDocument/2006/relationships/image" Target="media/image62.png"/><Relationship Id="rId129" Type="http://schemas.openxmlformats.org/officeDocument/2006/relationships/footer" Target="footer12.xml"/><Relationship Id="rId54" Type="http://schemas.openxmlformats.org/officeDocument/2006/relationships/image" Target="media/image22.png"/><Relationship Id="rId75" Type="http://schemas.openxmlformats.org/officeDocument/2006/relationships/image" Target="media/image38.png"/><Relationship Id="rId96" Type="http://schemas.openxmlformats.org/officeDocument/2006/relationships/image" Target="media/image51.png"/><Relationship Id="rId140" Type="http://schemas.openxmlformats.org/officeDocument/2006/relationships/chart" Target="charts/chart11.xml"/><Relationship Id="rId161" Type="http://schemas.openxmlformats.org/officeDocument/2006/relationships/image" Target="media/image81.png"/><Relationship Id="rId182" Type="http://schemas.openxmlformats.org/officeDocument/2006/relationships/hyperlink" Target="http://www.zakupki.gov.ru/" TargetMode="External"/><Relationship Id="rId6" Type="http://schemas.openxmlformats.org/officeDocument/2006/relationships/footnotes" Target="footnotes.xml"/><Relationship Id="rId23" Type="http://schemas.openxmlformats.org/officeDocument/2006/relationships/image" Target="media/image9.png"/><Relationship Id="rId119" Type="http://schemas.openxmlformats.org/officeDocument/2006/relationships/image" Target="media/image64.png"/><Relationship Id="rId44" Type="http://schemas.openxmlformats.org/officeDocument/2006/relationships/footer" Target="footer2.xml"/><Relationship Id="rId65" Type="http://schemas.openxmlformats.org/officeDocument/2006/relationships/image" Target="media/image29.png"/><Relationship Id="rId86" Type="http://schemas.openxmlformats.org/officeDocument/2006/relationships/image" Target="media/image45.png"/><Relationship Id="rId130" Type="http://schemas.openxmlformats.org/officeDocument/2006/relationships/footer" Target="footer13.xml"/><Relationship Id="rId151" Type="http://schemas.openxmlformats.org/officeDocument/2006/relationships/chart" Target="charts/chart16.xml"/><Relationship Id="rId172" Type="http://schemas.openxmlformats.org/officeDocument/2006/relationships/image" Target="media/image88.png"/><Relationship Id="rId193" Type="http://schemas.openxmlformats.org/officeDocument/2006/relationships/hyperlink" Target="mailto:rost@rrost.ru" TargetMode="External"/><Relationship Id="rId13" Type="http://schemas.openxmlformats.org/officeDocument/2006/relationships/image" Target="media/image4.png"/><Relationship Id="rId109" Type="http://schemas.openxmlformats.org/officeDocument/2006/relationships/image" Target="media/image77.svg"/><Relationship Id="rId34" Type="http://schemas.openxmlformats.org/officeDocument/2006/relationships/image" Target="media/image23.svg"/><Relationship Id="rId55" Type="http://schemas.openxmlformats.org/officeDocument/2006/relationships/image" Target="media/image23.png"/><Relationship Id="rId76" Type="http://schemas.openxmlformats.org/officeDocument/2006/relationships/image" Target="media/image39.png"/><Relationship Id="rId97" Type="http://schemas.openxmlformats.org/officeDocument/2006/relationships/image" Target="media/image52.png"/><Relationship Id="rId120" Type="http://schemas.openxmlformats.org/officeDocument/2006/relationships/image" Target="media/image65.png"/><Relationship Id="rId141" Type="http://schemas.openxmlformats.org/officeDocument/2006/relationships/image" Target="media/image74.png"/><Relationship Id="rId7" Type="http://schemas.openxmlformats.org/officeDocument/2006/relationships/endnotes" Target="endnotes.xml"/><Relationship Id="rId71" Type="http://schemas.openxmlformats.org/officeDocument/2006/relationships/image" Target="media/image35.png"/><Relationship Id="rId92" Type="http://schemas.openxmlformats.org/officeDocument/2006/relationships/image" Target="media/image49.png"/><Relationship Id="rId162" Type="http://schemas.openxmlformats.org/officeDocument/2006/relationships/hyperlink" Target="file:///C:/Users/kuznecovaln/Downloads/&#1055;&#1086;&#1083;&#1086;&#1078;&#1077;&#1085;&#1080;&#1077;%20&#1086;%20&#1050;&#1050;&#1042;_2024.pdf" TargetMode="External"/><Relationship Id="rId183" Type="http://schemas.openxmlformats.org/officeDocument/2006/relationships/hyperlink" Target="http://www.zakupki.gov.ru/" TargetMode="External"/><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19.png"/><Relationship Id="rId45" Type="http://schemas.openxmlformats.org/officeDocument/2006/relationships/footer" Target="footer3.xml"/><Relationship Id="rId66" Type="http://schemas.openxmlformats.org/officeDocument/2006/relationships/image" Target="media/image30.png"/><Relationship Id="rId87" Type="http://schemas.openxmlformats.org/officeDocument/2006/relationships/image" Target="media/image46.png"/><Relationship Id="rId110" Type="http://schemas.openxmlformats.org/officeDocument/2006/relationships/hyperlink" Target="http://www.rts-tender.ru/" TargetMode="External"/><Relationship Id="rId115" Type="http://schemas.openxmlformats.org/officeDocument/2006/relationships/chart" Target="charts/chart8.xml"/><Relationship Id="rId131" Type="http://schemas.openxmlformats.org/officeDocument/2006/relationships/footer" Target="footer14.xml"/><Relationship Id="rId136" Type="http://schemas.openxmlformats.org/officeDocument/2006/relationships/image" Target="media/image72.png"/><Relationship Id="rId157" Type="http://schemas.openxmlformats.org/officeDocument/2006/relationships/hyperlink" Target="https://rosseti-yug.ru/korporativnoe-upravlenie/organy-upravleniya/sovet-direktorov/" TargetMode="External"/><Relationship Id="rId178" Type="http://schemas.openxmlformats.org/officeDocument/2006/relationships/hyperlink" Target="https://rosseti-yug.ru/korporativnoe-upravlenie/dokumenty-reglamentiruyushchie-deyatelnost-organov-upravleniya-i-kontrolya-obshchestva/" TargetMode="External"/><Relationship Id="rId82" Type="http://schemas.openxmlformats.org/officeDocument/2006/relationships/image" Target="media/image43.png"/><Relationship Id="rId152" Type="http://schemas.openxmlformats.org/officeDocument/2006/relationships/chart" Target="charts/chart17.xml"/><Relationship Id="rId173" Type="http://schemas.openxmlformats.org/officeDocument/2006/relationships/image" Target="media/image89.png"/><Relationship Id="rId194" Type="http://schemas.openxmlformats.org/officeDocument/2006/relationships/hyperlink" Target="mailto:kuznecovaln@rosseti-yug.ru" TargetMode="External"/><Relationship Id="rId199" Type="http://schemas.openxmlformats.org/officeDocument/2006/relationships/theme" Target="theme/theme1.xml"/><Relationship Id="rId19" Type="http://schemas.openxmlformats.org/officeDocument/2006/relationships/image" Target="media/image7.png"/><Relationship Id="rId14" Type="http://schemas.openxmlformats.org/officeDocument/2006/relationships/image" Target="media/image5.svg"/><Relationship Id="rId30" Type="http://schemas.openxmlformats.org/officeDocument/2006/relationships/hyperlink" Target="http://publication.pravo.gov.ru/document/0001202407130009" TargetMode="External"/><Relationship Id="rId35" Type="http://schemas.openxmlformats.org/officeDocument/2006/relationships/chart" Target="charts/chart1.xml"/><Relationship Id="rId56" Type="http://schemas.openxmlformats.org/officeDocument/2006/relationships/image" Target="media/image24.wmf"/><Relationship Id="rId77" Type="http://schemas.openxmlformats.org/officeDocument/2006/relationships/image" Target="media/image40.png"/><Relationship Id="rId100" Type="http://schemas.openxmlformats.org/officeDocument/2006/relationships/image" Target="media/image55.png"/><Relationship Id="rId105" Type="http://schemas.openxmlformats.org/officeDocument/2006/relationships/image" Target="media/image60.jpeg"/><Relationship Id="rId126" Type="http://schemas.openxmlformats.org/officeDocument/2006/relationships/image" Target="media/image70.png"/><Relationship Id="rId147" Type="http://schemas.openxmlformats.org/officeDocument/2006/relationships/chart" Target="charts/chart13.xml"/><Relationship Id="rId168" Type="http://schemas.openxmlformats.org/officeDocument/2006/relationships/hyperlink" Target="file:///C:/Users/kuznecovaln/Downloads/&#1055;&#1086;&#1083;&#1086;&#1078;&#1077;&#1085;&#1080;&#1077;%20&#1086;%20&#1050;&#1053;_2024.pdf" TargetMode="External"/><Relationship Id="rId8" Type="http://schemas.openxmlformats.org/officeDocument/2006/relationships/hyperlink" Target="consultantplus://offline/ref=CB0D852EA43F629E5AB6CC95ECED7B55D558D69A602A83757CBA7D14990EEBDC6859AAA02C31A1A3E9K5H" TargetMode="External"/><Relationship Id="rId51" Type="http://schemas.openxmlformats.org/officeDocument/2006/relationships/footer" Target="footer9.xml"/><Relationship Id="rId72" Type="http://schemas.openxmlformats.org/officeDocument/2006/relationships/image" Target="media/image36.png"/><Relationship Id="rId93" Type="http://schemas.openxmlformats.org/officeDocument/2006/relationships/image" Target="media/image61.svg"/><Relationship Id="rId98" Type="http://schemas.openxmlformats.org/officeDocument/2006/relationships/image" Target="media/image53.png"/><Relationship Id="rId121" Type="http://schemas.openxmlformats.org/officeDocument/2006/relationships/image" Target="media/image66.png"/><Relationship Id="rId142" Type="http://schemas.openxmlformats.org/officeDocument/2006/relationships/image" Target="media/image75.png"/><Relationship Id="rId163" Type="http://schemas.openxmlformats.org/officeDocument/2006/relationships/image" Target="media/image82.png"/><Relationship Id="rId184" Type="http://schemas.openxmlformats.org/officeDocument/2006/relationships/image" Target="media/image91.png"/><Relationship Id="rId189" Type="http://schemas.openxmlformats.org/officeDocument/2006/relationships/hyperlink" Target="https://rosseti-yug.ru/korporativnoe-upravlenie/resheniya-obshchego-sobraniya-aktsionerov/" TargetMode="External"/><Relationship Id="rId3" Type="http://schemas.openxmlformats.org/officeDocument/2006/relationships/styles" Target="styles.xml"/><Relationship Id="rId25" Type="http://schemas.openxmlformats.org/officeDocument/2006/relationships/image" Target="media/image11.jpeg"/><Relationship Id="rId46" Type="http://schemas.openxmlformats.org/officeDocument/2006/relationships/footer" Target="footer4.xml"/><Relationship Id="rId67" Type="http://schemas.openxmlformats.org/officeDocument/2006/relationships/image" Target="media/image31.png"/><Relationship Id="rId116" Type="http://schemas.openxmlformats.org/officeDocument/2006/relationships/chart" Target="charts/chart9.xml"/><Relationship Id="rId137" Type="http://schemas.openxmlformats.org/officeDocument/2006/relationships/hyperlink" Target="consultantplus://offline/ref=AF6DE192ECDFF373F424198ECCC4886DE184C7731ABE296845142329FA9315367E75A1A5E1DDF20FB43CK" TargetMode="External"/><Relationship Id="rId158" Type="http://schemas.openxmlformats.org/officeDocument/2006/relationships/image" Target="media/image79.png"/><Relationship Id="rId20" Type="http://schemas.openxmlformats.org/officeDocument/2006/relationships/image" Target="media/image11.svg"/><Relationship Id="rId41" Type="http://schemas.openxmlformats.org/officeDocument/2006/relationships/image" Target="media/image20.png"/><Relationship Id="rId83" Type="http://schemas.openxmlformats.org/officeDocument/2006/relationships/image" Target="media/image53.svg"/><Relationship Id="rId88" Type="http://schemas.openxmlformats.org/officeDocument/2006/relationships/image" Target="media/image47.png"/><Relationship Id="rId111" Type="http://schemas.openxmlformats.org/officeDocument/2006/relationships/image" Target="media/image63.png"/><Relationship Id="rId132" Type="http://schemas.openxmlformats.org/officeDocument/2006/relationships/footer" Target="footer15.xml"/><Relationship Id="rId153" Type="http://schemas.openxmlformats.org/officeDocument/2006/relationships/chart" Target="charts/chart18.xml"/><Relationship Id="rId174" Type="http://schemas.openxmlformats.org/officeDocument/2006/relationships/hyperlink" Target="http://www.mrsk-yuga.ru/files/file/site/pks.pdf" TargetMode="External"/><Relationship Id="rId179" Type="http://schemas.openxmlformats.org/officeDocument/2006/relationships/image" Target="media/image90.png"/><Relationship Id="rId195" Type="http://schemas.openxmlformats.org/officeDocument/2006/relationships/footer" Target="footer18.xml"/><Relationship Id="rId190" Type="http://schemas.openxmlformats.org/officeDocument/2006/relationships/hyperlink" Target="mailto:office@rosseti-yug.ru" TargetMode="External"/><Relationship Id="rId15" Type="http://schemas.openxmlformats.org/officeDocument/2006/relationships/image" Target="media/image5.png"/><Relationship Id="rId36" Type="http://schemas.openxmlformats.org/officeDocument/2006/relationships/chart" Target="charts/chart2.xml"/><Relationship Id="rId57" Type="http://schemas.openxmlformats.org/officeDocument/2006/relationships/chart" Target="charts/chart4.xml"/><Relationship Id="rId106" Type="http://schemas.openxmlformats.org/officeDocument/2006/relationships/image" Target="media/image61.png"/><Relationship Id="rId127" Type="http://schemas.openxmlformats.org/officeDocument/2006/relationships/hyperlink" Target="https://rosseti-yug.ru/aktsioneru-investoru/" TargetMode="External"/><Relationship Id="rId10" Type="http://schemas.openxmlformats.org/officeDocument/2006/relationships/image" Target="media/image1.jpeg"/><Relationship Id="rId31" Type="http://schemas.openxmlformats.org/officeDocument/2006/relationships/hyperlink" Target="https://akmrating.ru/reyting_otvetstvennosty_pered_obshestvom/" TargetMode="External"/><Relationship Id="rId52" Type="http://schemas.openxmlformats.org/officeDocument/2006/relationships/footer" Target="footer10.xml"/><Relationship Id="rId73" Type="http://schemas.openxmlformats.org/officeDocument/2006/relationships/image" Target="media/image37.png"/><Relationship Id="rId78" Type="http://schemas.openxmlformats.org/officeDocument/2006/relationships/image" Target="media/image41.png"/><Relationship Id="rId94" Type="http://schemas.openxmlformats.org/officeDocument/2006/relationships/image" Target="media/image50.png"/><Relationship Id="rId99" Type="http://schemas.openxmlformats.org/officeDocument/2006/relationships/image" Target="media/image54.png"/><Relationship Id="rId101" Type="http://schemas.openxmlformats.org/officeDocument/2006/relationships/image" Target="media/image56.png"/><Relationship Id="rId122" Type="http://schemas.openxmlformats.org/officeDocument/2006/relationships/image" Target="media/image67.png"/><Relationship Id="rId143" Type="http://schemas.openxmlformats.org/officeDocument/2006/relationships/image" Target="media/image76.png"/><Relationship Id="rId148" Type="http://schemas.openxmlformats.org/officeDocument/2006/relationships/chart" Target="charts/chart14.xml"/><Relationship Id="rId164" Type="http://schemas.openxmlformats.org/officeDocument/2006/relationships/image" Target="media/image83.png"/><Relationship Id="rId169" Type="http://schemas.openxmlformats.org/officeDocument/2006/relationships/image" Target="media/image86.png"/><Relationship Id="rId185" Type="http://schemas.openxmlformats.org/officeDocument/2006/relationships/image" Target="media/image92.png"/><Relationship Id="rId4" Type="http://schemas.openxmlformats.org/officeDocument/2006/relationships/settings" Target="settings.xml"/><Relationship Id="rId9" Type="http://schemas.openxmlformats.org/officeDocument/2006/relationships/hyperlink" Target="https://rosseti-yug.ru/o-kompanii/" TargetMode="External"/><Relationship Id="rId180" Type="http://schemas.openxmlformats.org/officeDocument/2006/relationships/hyperlink" Target="file:////filenet2/&#1055;&#1072;&#1087;&#1082;&#1072;%20&#1076;&#1077;&#1087;&#1072;&#1088;&#1090;&#1072;&#1084;&#1077;&#1085;&#1090;&#1072;/&#1044;&#1077;&#1087;%20&#1074;&#1085;&#1091;&#1090;&#1088;&#1077;&#1085;&#1085;&#1077;&#1075;&#1086;%20&#1072;&#1091;&#1076;&#1080;&#1090;&#1072;/&#1043;&#1083;&#1072;&#1076;&#1082;&#1080;&#1085;&#1072;%20&#1045;.&#1052;/Downloads/%25D0%259F%25D0%25BE%25D0%25BB%25D0%25BE%25D0%25B6%25D0%25B5%25D0%25BD%25D0%25B8%25D0%25B5_%25D0%25A0%25D0%259A_2017(3).pdf" TargetMode="External"/><Relationship Id="rId26" Type="http://schemas.openxmlformats.org/officeDocument/2006/relationships/image" Target="media/image12.png"/><Relationship Id="rId47" Type="http://schemas.openxmlformats.org/officeDocument/2006/relationships/footer" Target="footer5.xml"/><Relationship Id="rId68" Type="http://schemas.openxmlformats.org/officeDocument/2006/relationships/image" Target="media/image32.png"/><Relationship Id="rId89" Type="http://schemas.openxmlformats.org/officeDocument/2006/relationships/hyperlink" Target="https://rosseti-yug.ru/potrebitelyam/tarifnoe-menyu-po-tekhnoloheskomu-prisoedineniyu-po-filialam-pao-rosseti-yug-19-a-/" TargetMode="External"/><Relationship Id="rId112" Type="http://schemas.openxmlformats.org/officeDocument/2006/relationships/chart" Target="charts/chart5.xml"/><Relationship Id="rId133" Type="http://schemas.openxmlformats.org/officeDocument/2006/relationships/footer" Target="footer16.xml"/><Relationship Id="rId154" Type="http://schemas.openxmlformats.org/officeDocument/2006/relationships/hyperlink" Target="https://rosseti-yug.ru/korporativnoe-upravlenie/&#1055;&#1088;&#1086;&#1090;&#1086;&#1082;&#1086;&#1083;%20&#1057;&#1044;%20&#1056;&#1086;&#1089;&#1089;&#1077;&#1090;&#1080;%20&#1070;&#1075;_546%20&#1086;&#1090;%2006.10.2023_&#1089;&#1072;&#1081;&#1090;.pdf" TargetMode="External"/><Relationship Id="rId175" Type="http://schemas.openxmlformats.org/officeDocument/2006/relationships/hyperlink" Target="https://rosseti-yug.ru/upload/iblock/05c/&#1055;&#1086;&#1083;&#1086;&#1078;&#1077;&#1085;&#1080;&#1077;%20&#1086;%20&#1055;&#1088;&#1072;&#1074;&#1083;&#1077;&#1085;&#1080;&#1080;%20&#1052;&#1056;&#1057;&#1050;%20&#1070;&#1075;&#1072;.pdf" TargetMode="External"/><Relationship Id="rId196" Type="http://schemas.openxmlformats.org/officeDocument/2006/relationships/footer" Target="footer19.xml"/><Relationship Id="rId16" Type="http://schemas.openxmlformats.org/officeDocument/2006/relationships/image" Target="media/image7.svg"/><Relationship Id="rId37" Type="http://schemas.openxmlformats.org/officeDocument/2006/relationships/chart" Target="charts/chart3.xml"/><Relationship Id="rId58" Type="http://schemas.openxmlformats.org/officeDocument/2006/relationships/image" Target="media/image25.png"/><Relationship Id="rId79" Type="http://schemas.openxmlformats.org/officeDocument/2006/relationships/image" Target="media/image49.svg"/><Relationship Id="rId102" Type="http://schemas.openxmlformats.org/officeDocument/2006/relationships/image" Target="media/image57.png"/><Relationship Id="rId123" Type="http://schemas.openxmlformats.org/officeDocument/2006/relationships/image" Target="media/image68.png"/><Relationship Id="rId144" Type="http://schemas.openxmlformats.org/officeDocument/2006/relationships/image" Target="media/image77.png"/><Relationship Id="rId90" Type="http://schemas.openxmlformats.org/officeDocument/2006/relationships/image" Target="media/image48.png"/><Relationship Id="rId165" Type="http://schemas.openxmlformats.org/officeDocument/2006/relationships/hyperlink" Target="https://rosseti-yug.ru/upload/iblock/62b/&#1055;&#1086;&#1083;&#1086;&#1078;&#1077;&#1085;&#1080;&#1077;%20&#1086;%20&#1050;&#1057;_25.07.2019.pdf" TargetMode="External"/><Relationship Id="rId186" Type="http://schemas.openxmlformats.org/officeDocument/2006/relationships/image" Target="media/image93.png"/><Relationship Id="rId27" Type="http://schemas.openxmlformats.org/officeDocument/2006/relationships/image" Target="media/image13.png"/><Relationship Id="rId48" Type="http://schemas.openxmlformats.org/officeDocument/2006/relationships/footer" Target="footer6.xml"/><Relationship Id="rId69" Type="http://schemas.openxmlformats.org/officeDocument/2006/relationships/image" Target="media/image33.png"/><Relationship Id="rId113" Type="http://schemas.openxmlformats.org/officeDocument/2006/relationships/chart" Target="charts/chart6.xml"/><Relationship Id="rId134" Type="http://schemas.openxmlformats.org/officeDocument/2006/relationships/footer" Target="footer17.xml"/><Relationship Id="rId80" Type="http://schemas.openxmlformats.org/officeDocument/2006/relationships/image" Target="media/image42.png"/><Relationship Id="rId155" Type="http://schemas.openxmlformats.org/officeDocument/2006/relationships/hyperlink" Target="https://rosseti-yug.ru/korporativnoe-upravlenie/&#1055;&#1088;&#1086;&#1090;&#1086;&#1082;&#1086;&#1083;%20&#1057;&#1044;%20&#1056;&#1086;&#1089;&#1089;&#1077;&#1090;&#1080;%20&#1070;&#1075;_546%20&#1086;&#1090;%2006.10.2023_&#1089;&#1072;&#1081;&#1090;.pdf" TargetMode="External"/><Relationship Id="rId176" Type="http://schemas.openxmlformats.org/officeDocument/2006/relationships/chart" Target="charts/chart19.xml"/><Relationship Id="rId197" Type="http://schemas.openxmlformats.org/officeDocument/2006/relationships/footer" Target="footer20.xml"/><Relationship Id="rId17" Type="http://schemas.openxmlformats.org/officeDocument/2006/relationships/image" Target="media/image6.png"/><Relationship Id="rId38" Type="http://schemas.openxmlformats.org/officeDocument/2006/relationships/image" Target="media/image18.png"/><Relationship Id="rId59" Type="http://schemas.openxmlformats.org/officeDocument/2006/relationships/image" Target="media/image26.wmf"/><Relationship Id="rId103" Type="http://schemas.openxmlformats.org/officeDocument/2006/relationships/image" Target="media/image58.png"/><Relationship Id="rId124" Type="http://schemas.openxmlformats.org/officeDocument/2006/relationships/image" Target="media/image84.svg"/><Relationship Id="rId70" Type="http://schemas.openxmlformats.org/officeDocument/2006/relationships/image" Target="media/image34.png"/><Relationship Id="rId91" Type="http://schemas.openxmlformats.org/officeDocument/2006/relationships/image" Target="media/image59.svg"/><Relationship Id="rId145" Type="http://schemas.openxmlformats.org/officeDocument/2006/relationships/chart" Target="charts/chart12.xml"/><Relationship Id="rId166" Type="http://schemas.openxmlformats.org/officeDocument/2006/relationships/image" Target="media/image84.png"/><Relationship Id="rId187" Type="http://schemas.openxmlformats.org/officeDocument/2006/relationships/image" Target="media/image94.png"/><Relationship Id="rId1" Type="http://schemas.openxmlformats.org/officeDocument/2006/relationships/customXml" Target="../customXml/item1.xml"/><Relationship Id="rId28" Type="http://schemas.openxmlformats.org/officeDocument/2006/relationships/image" Target="media/image14.png"/><Relationship Id="rId49" Type="http://schemas.openxmlformats.org/officeDocument/2006/relationships/footer" Target="footer7.xml"/><Relationship Id="rId114" Type="http://schemas.openxmlformats.org/officeDocument/2006/relationships/chart" Target="charts/chart7.xml"/><Relationship Id="rId60" Type="http://schemas.openxmlformats.org/officeDocument/2006/relationships/image" Target="media/image27.png"/><Relationship Id="rId81" Type="http://schemas.openxmlformats.org/officeDocument/2006/relationships/image" Target="media/image51.svg"/><Relationship Id="rId135" Type="http://schemas.openxmlformats.org/officeDocument/2006/relationships/image" Target="media/image71.png"/><Relationship Id="rId156" Type="http://schemas.openxmlformats.org/officeDocument/2006/relationships/hyperlink" Target="https://rosseti-yug.ru/korporativnoe-upravlenie/&#1055;&#1088;&#1086;&#1090;&#1086;&#1082;&#1086;&#1083;%20&#1057;&#1044;%20&#1056;&#1086;&#1089;&#1089;&#1077;&#1090;&#1080;%20&#1070;&#1075;_546%20&#1086;&#1090;%2006.10.2023_&#1089;&#1072;&#1081;&#1090;.pdf" TargetMode="External"/><Relationship Id="rId177" Type="http://schemas.openxmlformats.org/officeDocument/2006/relationships/hyperlink" Target="https://rosseti-yug.ru/upload/iblock/fdf/&#1055;&#1086;&#1083;&#1086;&#1078;&#1077;&#1085;&#1080;&#1077;_&#1086;_&#1074;&#1086;&#1079;&#1085;&#1072;&#1075;&#1088;&#1072;&#1078;&#1076;&#1077;&#1085;&#1080;&#1080;.pdf" TargetMode="External"/><Relationship Id="rId198" Type="http://schemas.openxmlformats.org/officeDocument/2006/relationships/fontTable" Target="fontTable.xml"/><Relationship Id="rId18" Type="http://schemas.openxmlformats.org/officeDocument/2006/relationships/image" Target="media/image9.svg"/><Relationship Id="rId39" Type="http://schemas.openxmlformats.org/officeDocument/2006/relationships/hyperlink" Target="https://www.economy.gov.ru/material/file/310e9066d0eb87e73dd0525ef6d4191e/prognoz_socialno_ekonomicheskogo_razvitiya_rf_2024-2026.pdf" TargetMode="External"/><Relationship Id="rId50" Type="http://schemas.openxmlformats.org/officeDocument/2006/relationships/footer" Target="footer8.xml"/><Relationship Id="rId104" Type="http://schemas.openxmlformats.org/officeDocument/2006/relationships/image" Target="media/image59.png"/><Relationship Id="rId125" Type="http://schemas.openxmlformats.org/officeDocument/2006/relationships/image" Target="media/image69.png"/><Relationship Id="rId146" Type="http://schemas.openxmlformats.org/officeDocument/2006/relationships/hyperlink" Target="https://rosseti-yug.ru/aktsioneru-investoru/informatsia-o-sobraniyah-aktsionerov/" TargetMode="External"/><Relationship Id="rId167" Type="http://schemas.openxmlformats.org/officeDocument/2006/relationships/image" Target="media/image85.png"/><Relationship Id="rId188" Type="http://schemas.openxmlformats.org/officeDocument/2006/relationships/image" Target="media/image95.png"/></Relationships>
</file>

<file path=word/_rels/footnotes.xml.rels><?xml version="1.0" encoding="UTF-8" standalone="yes"?>
<Relationships xmlns="http://schemas.openxmlformats.org/package/2006/relationships"><Relationship Id="rId3" Type="http://schemas.openxmlformats.org/officeDocument/2006/relationships/hyperlink" Target="https://rosseti-yug.ru/upload/iblock/837/&#1055;&#1086;&#1083;&#1086;&#1078;&#1077;&#1085;&#1080;&#1077;_&#1086;_&#1057;&#1044;_&#1056;&#1086;&#1089;&#1089;&#1077;&#1090;&#1080;_&#1070;&#1075;.pdf" TargetMode="External"/><Relationship Id="rId2" Type="http://schemas.openxmlformats.org/officeDocument/2006/relationships/hyperlink" Target="https://rosseti-yug.ru/korporativnoe-upravlenie/vnutrennie-polozheniya/" TargetMode="External"/><Relationship Id="rId1" Type="http://schemas.openxmlformats.org/officeDocument/2006/relationships/hyperlink" Target="https://rosseti-yug.ru/potrebitelyam/tekhnologicheskoe-prisoedinenie/" TargetMode="External"/><Relationship Id="rId5" Type="http://schemas.openxmlformats.org/officeDocument/2006/relationships/hyperlink" Target="https://rosseti-yug.ru/korporativnoe-upravlenie/dokumenty-reglamentiruyushchie-deyatelnost-organov-upravleniya-i-kontrolya-obshchestva/" TargetMode="External"/><Relationship Id="rId4" Type="http://schemas.openxmlformats.org/officeDocument/2006/relationships/hyperlink" Target="https://rosseti-yug.ru/korporativnoe-upravlenie/resheniya-soveta-direktorov/"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1.xml"/></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Excel10.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Excel13.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Excel14.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Excel15.xlsx"/></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1" Type="http://schemas.openxmlformats.org/officeDocument/2006/relationships/oleObject" Target="../embeddings/oleObject3.bin"/></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0"/>
  <c:style val="2"/>
  <c:chart>
    <c:title>
      <c:tx>
        <c:rich>
          <a:bodyPr rot="0"/>
          <a:lstStyle/>
          <a:p>
            <a:pPr>
              <a:defRPr sz="1300" b="0" u="none" strike="noStrike">
                <a:uFillTx/>
                <a:latin typeface="Arial"/>
              </a:defRPr>
            </a:pPr>
            <a:r>
              <a:rPr lang="ru-RU" sz="1000" b="1" u="none" strike="noStrike">
                <a:solidFill>
                  <a:srgbClr val="000000"/>
                </a:solidFill>
                <a:uFillTx/>
                <a:latin typeface="Arial Narrow"/>
                <a:ea typeface="Arial"/>
              </a:rPr>
              <a:t>2022</a:t>
            </a:r>
          </a:p>
        </c:rich>
      </c:tx>
      <c:layout>
        <c:manualLayout>
          <c:xMode val="edge"/>
          <c:yMode val="edge"/>
          <c:x val="0.47593671940049997"/>
          <c:y val="9.4500094500094499E-4"/>
        </c:manualLayout>
      </c:layout>
      <c:overlay val="0"/>
      <c:spPr>
        <a:noFill/>
        <a:ln w="0">
          <a:noFill/>
        </a:ln>
      </c:spPr>
    </c:title>
    <c:autoTitleDeleted val="0"/>
    <c:plotArea>
      <c:layout>
        <c:manualLayout>
          <c:layoutTarget val="inner"/>
          <c:xMode val="edge"/>
          <c:yMode val="edge"/>
          <c:x val="0.29368749999999999"/>
          <c:y val="0.115222222222222"/>
          <c:w val="0.53418750000000004"/>
          <c:h val="0.606222222222222"/>
        </c:manualLayout>
      </c:layout>
      <c:pieChart>
        <c:varyColors val="1"/>
        <c:ser>
          <c:idx val="0"/>
          <c:order val="0"/>
          <c:tx>
            <c:strRef>
              <c:f>label 0</c:f>
              <c:strCache>
                <c:ptCount val="1"/>
                <c:pt idx="0">
                  <c:v>2022</c:v>
                </c:pt>
              </c:strCache>
            </c:strRef>
          </c:tx>
          <c:spPr>
            <a:solidFill>
              <a:srgbClr val="4F81BD"/>
            </a:solidFill>
            <a:ln w="0">
              <a:noFill/>
            </a:ln>
          </c:spPr>
          <c:dPt>
            <c:idx val="0"/>
            <c:bubble3D val="0"/>
            <c:spPr>
              <a:solidFill>
                <a:srgbClr val="2E75B6">
                  <a:alpha val="80000"/>
                </a:srgbClr>
              </a:solidFill>
              <a:ln w="19080">
                <a:noFill/>
              </a:ln>
            </c:spPr>
            <c:extLst>
              <c:ext xmlns:c16="http://schemas.microsoft.com/office/drawing/2014/chart" uri="{C3380CC4-5D6E-409C-BE32-E72D297353CC}">
                <c16:uniqueId val="{00000001-71DD-42EA-B2C7-2E0B8FE18B97}"/>
              </c:ext>
            </c:extLst>
          </c:dPt>
          <c:dPt>
            <c:idx val="1"/>
            <c:bubble3D val="0"/>
            <c:spPr>
              <a:solidFill>
                <a:srgbClr val="CC0000">
                  <a:alpha val="70000"/>
                </a:srgbClr>
              </a:solidFill>
              <a:ln w="19080">
                <a:noFill/>
              </a:ln>
            </c:spPr>
            <c:extLst>
              <c:ext xmlns:c16="http://schemas.microsoft.com/office/drawing/2014/chart" uri="{C3380CC4-5D6E-409C-BE32-E72D297353CC}">
                <c16:uniqueId val="{00000003-71DD-42EA-B2C7-2E0B8FE18B97}"/>
              </c:ext>
            </c:extLst>
          </c:dPt>
          <c:dLbls>
            <c:dLbl>
              <c:idx val="0"/>
              <c:layout>
                <c:manualLayout>
                  <c:x val="-0.187016314590632"/>
                  <c:y val="-0.11481994750656201"/>
                </c:manualLayout>
              </c:layout>
              <c:numFmt formatCode="0.0%" sourceLinked="0"/>
              <c:spPr/>
              <c:txPr>
                <a:bodyPr wrap="square"/>
                <a:lstStyle/>
                <a:p>
                  <a:pPr>
                    <a:defRPr sz="900" b="1" u="none" strike="noStrike">
                      <a:solidFill>
                        <a:srgbClr val="000000"/>
                      </a:solidFill>
                      <a:uFillTx/>
                      <a:latin typeface="Arial Narrow"/>
                    </a:defRPr>
                  </a:pPr>
                  <a:endParaRPr lang="ru-RU"/>
                </a:p>
              </c:txPr>
              <c:dLblPos val="outEnd"/>
              <c:showLegendKey val="0"/>
              <c:showVal val="1"/>
              <c:showCatName val="0"/>
              <c:showSerName val="0"/>
              <c:showPercent val="0"/>
              <c:showBubbleSize val="1"/>
              <c:separator>; </c:separator>
              <c:extLst>
                <c:ext xmlns:c15="http://schemas.microsoft.com/office/drawing/2012/chart" uri="{CE6537A1-D6FC-4f65-9D91-7224C49458BB}">
                  <c15:layout/>
                </c:ext>
                <c:ext xmlns:c16="http://schemas.microsoft.com/office/drawing/2014/chart" uri="{C3380CC4-5D6E-409C-BE32-E72D297353CC}">
                  <c16:uniqueId val="{00000001-71DD-42EA-B2C7-2E0B8FE18B97}"/>
                </c:ext>
              </c:extLst>
            </c:dLbl>
            <c:dLbl>
              <c:idx val="1"/>
              <c:layout/>
              <c:numFmt formatCode="0.0%" sourceLinked="0"/>
              <c:spPr/>
              <c:txPr>
                <a:bodyPr wrap="square"/>
                <a:lstStyle/>
                <a:p>
                  <a:pPr>
                    <a:defRPr sz="900" b="1" u="none" strike="noStrike">
                      <a:solidFill>
                        <a:srgbClr val="000000"/>
                      </a:solidFill>
                      <a:uFillTx/>
                      <a:latin typeface="Arial Narrow"/>
                    </a:defRPr>
                  </a:pPr>
                  <a:endParaRPr lang="ru-RU"/>
                </a:p>
              </c:txPr>
              <c:dLblPos val="bestFit"/>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3-71DD-42EA-B2C7-2E0B8FE18B97}"/>
                </c:ext>
              </c:extLst>
            </c:dLbl>
            <c:numFmt formatCode="0.0%" sourceLinked="0"/>
            <c:spPr>
              <a:noFill/>
              <a:ln>
                <a:noFill/>
              </a:ln>
              <a:effectLst/>
            </c:spPr>
            <c:txPr>
              <a:bodyPr wrap="square"/>
              <a:lstStyle/>
              <a:p>
                <a:pPr>
                  <a:defRPr sz="900" b="1" u="none" strike="noStrike">
                    <a:solidFill>
                      <a:srgbClr val="000000"/>
                    </a:solidFill>
                    <a:uFillTx/>
                    <a:latin typeface="Arial Narrow"/>
                    <a:ea typeface="Arial"/>
                  </a:defRPr>
                </a:pPr>
                <a:endParaRPr lang="ru-RU"/>
              </a:p>
            </c:txPr>
            <c:dLblPos val="bestFit"/>
            <c:showLegendKey val="0"/>
            <c:showVal val="1"/>
            <c:showCatName val="0"/>
            <c:showSerName val="0"/>
            <c:showPercent val="0"/>
            <c:showBubbleSize val="1"/>
            <c:separator>; </c:separator>
            <c:showLeaderLines val="1"/>
            <c:leaderLines>
              <c:spPr>
                <a:ln>
                  <a:solidFill>
                    <a:srgbClr val="A6A6A6"/>
                  </a:solidFill>
                </a:ln>
              </c:spPr>
            </c:leaderLines>
            <c:extLst>
              <c:ext xmlns:c15="http://schemas.microsoft.com/office/drawing/2012/chart" uri="{CE6537A1-D6FC-4f65-9D91-7224C49458BB}"/>
            </c:extLst>
          </c:dLbls>
          <c:cat>
            <c:strRef>
              <c:f>categories</c:f>
              <c:strCache>
                <c:ptCount val="2"/>
                <c:pt idx="0">
                  <c:v>Группа ПАО "Россети Юг"</c:v>
                </c:pt>
                <c:pt idx="1">
                  <c:v>ПРОЧИЕ ТСО</c:v>
                </c:pt>
              </c:strCache>
            </c:strRef>
          </c:cat>
          <c:val>
            <c:numRef>
              <c:f>0</c:f>
              <c:numCache>
                <c:formatCode>General</c:formatCode>
                <c:ptCount val="2"/>
                <c:pt idx="0">
                  <c:v>0.70899999999999996</c:v>
                </c:pt>
                <c:pt idx="1">
                  <c:v>0.29099999999999998</c:v>
                </c:pt>
              </c:numCache>
            </c:numRef>
          </c:val>
          <c:extLst>
            <c:ext xmlns:c16="http://schemas.microsoft.com/office/drawing/2014/chart" uri="{C3380CC4-5D6E-409C-BE32-E72D297353CC}">
              <c16:uniqueId val="{00000004-71DD-42EA-B2C7-2E0B8FE18B97}"/>
            </c:ext>
          </c:extLst>
        </c:ser>
        <c:dLbls>
          <c:showLegendKey val="0"/>
          <c:showVal val="0"/>
          <c:showCatName val="0"/>
          <c:showSerName val="0"/>
          <c:showPercent val="0"/>
          <c:showBubbleSize val="0"/>
          <c:showLeaderLines val="1"/>
        </c:dLbls>
        <c:firstSliceAng val="0"/>
      </c:pieChart>
      <c:spPr>
        <a:noFill/>
        <a:ln w="0">
          <a:noFill/>
        </a:ln>
      </c:spPr>
    </c:plotArea>
    <c:legend>
      <c:legendPos val="b"/>
      <c:layout>
        <c:manualLayout>
          <c:xMode val="edge"/>
          <c:yMode val="edge"/>
          <c:x val="0.1464375"/>
          <c:y val="0.77366666666666695"/>
          <c:w val="0.73360835052190798"/>
          <c:h val="0.18613179242138"/>
        </c:manualLayout>
      </c:layout>
      <c:overlay val="0"/>
      <c:spPr>
        <a:noFill/>
        <a:ln w="0">
          <a:noFill/>
        </a:ln>
      </c:spPr>
      <c:txPr>
        <a:bodyPr/>
        <a:lstStyle/>
        <a:p>
          <a:pPr>
            <a:defRPr sz="1000" b="0" u="none" strike="noStrike">
              <a:solidFill>
                <a:srgbClr val="000000"/>
              </a:solidFill>
              <a:uFillTx/>
              <a:latin typeface="Arial Narrow"/>
              <a:ea typeface="Arial"/>
            </a:defRPr>
          </a:pPr>
          <a:endParaRPr lang="ru-RU"/>
        </a:p>
      </c:txPr>
    </c:legend>
    <c:plotVisOnly val="1"/>
    <c:dispBlanksAs val="gap"/>
    <c:showDLblsOverMax val="1"/>
  </c:chart>
  <c:spPr>
    <a:solidFill>
      <a:srgbClr val="FFFFFF"/>
    </a:solidFill>
    <a:ln w="9360">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0"/>
  <c:style val="2"/>
  <c:chart>
    <c:title>
      <c:tx>
        <c:rich>
          <a:bodyPr rot="0"/>
          <a:lstStyle/>
          <a:p>
            <a:pPr>
              <a:defRPr sz="1300" b="0" u="none" strike="noStrike">
                <a:uFillTx/>
                <a:latin typeface="Arial"/>
              </a:defRPr>
            </a:pPr>
            <a:r>
              <a:rPr lang="ru-RU" sz="1300" b="1" u="none" strike="noStrike">
                <a:solidFill>
                  <a:srgbClr val="44546A"/>
                </a:solidFill>
                <a:uFillTx/>
                <a:latin typeface="Times New Roman"/>
                <a:ea typeface="Times New Roman"/>
              </a:rPr>
              <a:t>Соблюдение принципов Кодекса корпоративного управления, %</a:t>
            </a:r>
          </a:p>
        </c:rich>
      </c:tx>
      <c:layout/>
      <c:overlay val="0"/>
      <c:spPr>
        <a:noFill/>
        <a:ln w="0">
          <a:noFill/>
        </a:ln>
      </c:spPr>
    </c:title>
    <c:autoTitleDeleted val="0"/>
    <c:plotArea>
      <c:layout>
        <c:manualLayout>
          <c:layoutTarget val="inner"/>
          <c:xMode val="edge"/>
          <c:yMode val="edge"/>
          <c:x val="9.0999999999999998E-2"/>
          <c:y val="0.217555555555556"/>
          <c:w val="0.87643749999999998"/>
          <c:h val="0.624"/>
        </c:manualLayout>
      </c:layout>
      <c:barChart>
        <c:barDir val="bar"/>
        <c:grouping val="stacked"/>
        <c:varyColors val="0"/>
        <c:ser>
          <c:idx val="0"/>
          <c:order val="0"/>
          <c:tx>
            <c:strRef>
              <c:f>label 0</c:f>
              <c:strCache>
                <c:ptCount val="1"/>
                <c:pt idx="0">
                  <c:v>Соблюдается</c:v>
                </c:pt>
              </c:strCache>
            </c:strRef>
          </c:tx>
          <c:spPr>
            <a:gradFill>
              <a:gsLst>
                <a:gs pos="0">
                  <a:srgbClr val="3574AC"/>
                </a:gs>
                <a:gs pos="80000">
                  <a:srgbClr val="4697E0"/>
                </a:gs>
                <a:gs pos="100000">
                  <a:srgbClr val="4397E4"/>
                </a:gs>
              </a:gsLst>
              <a:lin ang="16200000"/>
            </a:gradFill>
            <a:ln w="0">
              <a:noFill/>
            </a:ln>
          </c:spPr>
          <c:invertIfNegative val="0"/>
          <c:dLbls>
            <c:spPr>
              <a:noFill/>
              <a:ln>
                <a:noFill/>
              </a:ln>
              <a:effectLst/>
            </c:spPr>
            <c:txPr>
              <a:bodyPr wrap="square"/>
              <a:lstStyle/>
              <a:p>
                <a:pPr>
                  <a:defRPr sz="900" b="0" u="none" strike="noStrike">
                    <a:solidFill>
                      <a:srgbClr val="44546A"/>
                    </a:solidFill>
                    <a:uFillTx/>
                    <a:latin typeface="Times New Roman"/>
                    <a:ea typeface="Times New Roman"/>
                  </a:defRPr>
                </a:pPr>
                <a:endParaRPr lang="ru-RU"/>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0"/>
              </c:ext>
            </c:extLst>
          </c:dLbls>
          <c:cat>
            <c:strRef>
              <c:f>categories</c:f>
              <c:strCache>
                <c:ptCount val="3"/>
                <c:pt idx="0">
                  <c:v>2022</c:v>
                </c:pt>
                <c:pt idx="1">
                  <c:v>2023</c:v>
                </c:pt>
                <c:pt idx="2">
                  <c:v>2024</c:v>
                </c:pt>
              </c:strCache>
            </c:strRef>
          </c:cat>
          <c:val>
            <c:numRef>
              <c:f>0</c:f>
              <c:numCache>
                <c:formatCode>General</c:formatCode>
                <c:ptCount val="3"/>
                <c:pt idx="0">
                  <c:v>80.5</c:v>
                </c:pt>
                <c:pt idx="1">
                  <c:v>83.1</c:v>
                </c:pt>
                <c:pt idx="2">
                  <c:v>81.400000000000006</c:v>
                </c:pt>
              </c:numCache>
            </c:numRef>
          </c:val>
          <c:extLst>
            <c:ext xmlns:c16="http://schemas.microsoft.com/office/drawing/2014/chart" uri="{C3380CC4-5D6E-409C-BE32-E72D297353CC}">
              <c16:uniqueId val="{00000000-9666-4C3F-A90F-A40471736C6E}"/>
            </c:ext>
          </c:extLst>
        </c:ser>
        <c:ser>
          <c:idx val="1"/>
          <c:order val="1"/>
          <c:tx>
            <c:strRef>
              <c:f>label 1</c:f>
              <c:strCache>
                <c:ptCount val="1"/>
                <c:pt idx="0">
                  <c:v>Частично соблюдается</c:v>
                </c:pt>
              </c:strCache>
            </c:strRef>
          </c:tx>
          <c:spPr>
            <a:gradFill>
              <a:gsLst>
                <a:gs pos="0">
                  <a:srgbClr val="C5590F"/>
                </a:gs>
                <a:gs pos="80000">
                  <a:srgbClr val="FF7415"/>
                </a:gs>
                <a:gs pos="100000">
                  <a:srgbClr val="FF7416"/>
                </a:gs>
              </a:gsLst>
              <a:lin ang="16200000"/>
            </a:gradFill>
            <a:ln w="0">
              <a:noFill/>
            </a:ln>
          </c:spPr>
          <c:invertIfNegative val="0"/>
          <c:dLbls>
            <c:spPr>
              <a:noFill/>
              <a:ln>
                <a:noFill/>
              </a:ln>
              <a:effectLst/>
            </c:spPr>
            <c:txPr>
              <a:bodyPr wrap="square"/>
              <a:lstStyle/>
              <a:p>
                <a:pPr>
                  <a:defRPr sz="900" b="0" u="none" strike="noStrike">
                    <a:solidFill>
                      <a:srgbClr val="44546A"/>
                    </a:solidFill>
                    <a:uFillTx/>
                    <a:latin typeface="Times New Roman"/>
                    <a:ea typeface="Times New Roman"/>
                  </a:defRPr>
                </a:pPr>
                <a:endParaRPr lang="ru-RU"/>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0"/>
              </c:ext>
            </c:extLst>
          </c:dLbls>
          <c:cat>
            <c:strRef>
              <c:f>categories</c:f>
              <c:strCache>
                <c:ptCount val="3"/>
                <c:pt idx="0">
                  <c:v>2022</c:v>
                </c:pt>
                <c:pt idx="1">
                  <c:v>2023</c:v>
                </c:pt>
                <c:pt idx="2">
                  <c:v>2024</c:v>
                </c:pt>
              </c:strCache>
            </c:strRef>
          </c:cat>
          <c:val>
            <c:numRef>
              <c:f>1</c:f>
              <c:numCache>
                <c:formatCode>General</c:formatCode>
                <c:ptCount val="3"/>
                <c:pt idx="0">
                  <c:v>16.899999999999999</c:v>
                </c:pt>
                <c:pt idx="1">
                  <c:v>15.6</c:v>
                </c:pt>
                <c:pt idx="2">
                  <c:v>17.3</c:v>
                </c:pt>
              </c:numCache>
            </c:numRef>
          </c:val>
          <c:extLst>
            <c:ext xmlns:c16="http://schemas.microsoft.com/office/drawing/2014/chart" uri="{C3380CC4-5D6E-409C-BE32-E72D297353CC}">
              <c16:uniqueId val="{00000001-9666-4C3F-A90F-A40471736C6E}"/>
            </c:ext>
          </c:extLst>
        </c:ser>
        <c:ser>
          <c:idx val="2"/>
          <c:order val="2"/>
          <c:tx>
            <c:strRef>
              <c:f>label 2</c:f>
              <c:strCache>
                <c:ptCount val="1"/>
                <c:pt idx="0">
                  <c:v>Не соблюдается</c:v>
                </c:pt>
              </c:strCache>
            </c:strRef>
          </c:tx>
          <c:spPr>
            <a:gradFill>
              <a:gsLst>
                <a:gs pos="0">
                  <a:srgbClr val="7B7B7B"/>
                </a:gs>
                <a:gs pos="80000">
                  <a:srgbClr val="9F9F9F"/>
                </a:gs>
                <a:gs pos="100000">
                  <a:srgbClr val="A0A0A0"/>
                </a:gs>
              </a:gsLst>
              <a:lin ang="16200000"/>
            </a:gradFill>
            <a:ln w="0">
              <a:noFill/>
            </a:ln>
          </c:spPr>
          <c:invertIfNegative val="0"/>
          <c:dLbls>
            <c:spPr>
              <a:noFill/>
              <a:ln>
                <a:noFill/>
              </a:ln>
              <a:effectLst/>
            </c:spPr>
            <c:txPr>
              <a:bodyPr wrap="square"/>
              <a:lstStyle/>
              <a:p>
                <a:pPr>
                  <a:defRPr sz="900" b="0" u="none" strike="noStrike">
                    <a:solidFill>
                      <a:srgbClr val="44546A"/>
                    </a:solidFill>
                    <a:uFillTx/>
                    <a:latin typeface="Times New Roman"/>
                    <a:ea typeface="Times New Roman"/>
                  </a:defRPr>
                </a:pPr>
                <a:endParaRPr lang="ru-RU"/>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0"/>
              </c:ext>
            </c:extLst>
          </c:dLbls>
          <c:cat>
            <c:strRef>
              <c:f>categories</c:f>
              <c:strCache>
                <c:ptCount val="3"/>
                <c:pt idx="0">
                  <c:v>2022</c:v>
                </c:pt>
                <c:pt idx="1">
                  <c:v>2023</c:v>
                </c:pt>
                <c:pt idx="2">
                  <c:v>2024</c:v>
                </c:pt>
              </c:strCache>
            </c:strRef>
          </c:cat>
          <c:val>
            <c:numRef>
              <c:f>2</c:f>
              <c:numCache>
                <c:formatCode>General</c:formatCode>
                <c:ptCount val="3"/>
                <c:pt idx="0">
                  <c:v>2.6</c:v>
                </c:pt>
                <c:pt idx="1">
                  <c:v>1.3</c:v>
                </c:pt>
                <c:pt idx="2">
                  <c:v>1.3</c:v>
                </c:pt>
              </c:numCache>
            </c:numRef>
          </c:val>
          <c:extLst>
            <c:ext xmlns:c16="http://schemas.microsoft.com/office/drawing/2014/chart" uri="{C3380CC4-5D6E-409C-BE32-E72D297353CC}">
              <c16:uniqueId val="{00000002-9666-4C3F-A90F-A40471736C6E}"/>
            </c:ext>
          </c:extLst>
        </c:ser>
        <c:dLbls>
          <c:showLegendKey val="0"/>
          <c:showVal val="0"/>
          <c:showCatName val="0"/>
          <c:showSerName val="0"/>
          <c:showPercent val="0"/>
          <c:showBubbleSize val="0"/>
        </c:dLbls>
        <c:gapWidth val="150"/>
        <c:overlap val="100"/>
        <c:axId val="71209764"/>
        <c:axId val="23782263"/>
      </c:barChart>
      <c:catAx>
        <c:axId val="71209764"/>
        <c:scaling>
          <c:orientation val="minMax"/>
        </c:scaling>
        <c:delete val="0"/>
        <c:axPos val="l"/>
        <c:numFmt formatCode="General" sourceLinked="0"/>
        <c:majorTickMark val="none"/>
        <c:minorTickMark val="none"/>
        <c:tickLblPos val="nextTo"/>
        <c:spPr>
          <a:ln w="9360">
            <a:solidFill>
              <a:srgbClr val="E0E5EB"/>
            </a:solidFill>
            <a:round/>
          </a:ln>
        </c:spPr>
        <c:txPr>
          <a:bodyPr/>
          <a:lstStyle/>
          <a:p>
            <a:pPr>
              <a:defRPr sz="900" b="0" u="none" strike="noStrike">
                <a:solidFill>
                  <a:srgbClr val="44546A"/>
                </a:solidFill>
                <a:uFillTx/>
                <a:latin typeface="Times New Roman"/>
                <a:ea typeface="Times New Roman"/>
              </a:defRPr>
            </a:pPr>
            <a:endParaRPr lang="ru-RU"/>
          </a:p>
        </c:txPr>
        <c:crossAx val="23782263"/>
        <c:crosses val="autoZero"/>
        <c:auto val="1"/>
        <c:lblAlgn val="ctr"/>
        <c:lblOffset val="100"/>
        <c:noMultiLvlLbl val="0"/>
      </c:catAx>
      <c:valAx>
        <c:axId val="23782263"/>
        <c:scaling>
          <c:orientation val="minMax"/>
        </c:scaling>
        <c:delete val="0"/>
        <c:axPos val="b"/>
        <c:majorGridlines>
          <c:spPr>
            <a:ln w="9360">
              <a:solidFill>
                <a:srgbClr val="E0E5EB"/>
              </a:solidFill>
              <a:round/>
            </a:ln>
          </c:spPr>
        </c:majorGridlines>
        <c:numFmt formatCode="General" sourceLinked="0"/>
        <c:majorTickMark val="none"/>
        <c:minorTickMark val="none"/>
        <c:tickLblPos val="nextTo"/>
        <c:spPr>
          <a:ln w="6480">
            <a:noFill/>
          </a:ln>
        </c:spPr>
        <c:txPr>
          <a:bodyPr/>
          <a:lstStyle/>
          <a:p>
            <a:pPr>
              <a:defRPr sz="900" b="0" u="none" strike="noStrike">
                <a:solidFill>
                  <a:srgbClr val="44546A"/>
                </a:solidFill>
                <a:uFillTx/>
                <a:latin typeface="Times New Roman"/>
                <a:ea typeface="Times New Roman"/>
              </a:defRPr>
            </a:pPr>
            <a:endParaRPr lang="ru-RU"/>
          </a:p>
        </c:txPr>
        <c:crossAx val="71209764"/>
        <c:crosses val="autoZero"/>
        <c:crossBetween val="between"/>
      </c:valAx>
      <c:spPr>
        <a:noFill/>
        <a:ln w="0">
          <a:noFill/>
        </a:ln>
      </c:spPr>
    </c:plotArea>
    <c:legend>
      <c:legendPos val="b"/>
      <c:layout/>
      <c:overlay val="0"/>
      <c:spPr>
        <a:noFill/>
        <a:ln w="0">
          <a:noFill/>
        </a:ln>
      </c:spPr>
      <c:txPr>
        <a:bodyPr/>
        <a:lstStyle/>
        <a:p>
          <a:pPr>
            <a:defRPr sz="900" b="0" u="none" strike="noStrike">
              <a:solidFill>
                <a:srgbClr val="44546A"/>
              </a:solidFill>
              <a:uFillTx/>
              <a:latin typeface="Times New Roman"/>
              <a:ea typeface="Times New Roman"/>
            </a:defRPr>
          </a:pPr>
          <a:endParaRPr lang="ru-RU"/>
        </a:p>
      </c:txPr>
    </c:legend>
    <c:plotVisOnly val="1"/>
    <c:dispBlanksAs val="gap"/>
    <c:showDLblsOverMax val="1"/>
  </c:chart>
  <c:spPr>
    <a:solidFill>
      <a:srgbClr val="FFFFFF"/>
    </a:solidFill>
    <a:ln w="9360">
      <a:solidFill>
        <a:srgbClr val="E0E5EB"/>
      </a:solidFill>
      <a:round/>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0"/>
  <c:style val="2"/>
  <c:chart>
    <c:title>
      <c:tx>
        <c:rich>
          <a:bodyPr rot="0"/>
          <a:lstStyle/>
          <a:p>
            <a:pPr>
              <a:defRPr sz="1300" b="0" u="none" strike="noStrike">
                <a:uFillTx/>
                <a:latin typeface="Arial"/>
              </a:defRPr>
            </a:pPr>
            <a:r>
              <a:rPr lang="ru-RU" sz="1000" b="0" u="none" strike="noStrike">
                <a:solidFill>
                  <a:srgbClr val="000000"/>
                </a:solidFill>
                <a:uFillTx/>
                <a:latin typeface="Times New Roman"/>
                <a:ea typeface="Times New Roman"/>
              </a:rPr>
              <a:t>Совет директоров Компании</a:t>
            </a:r>
          </a:p>
        </c:rich>
      </c:tx>
      <c:layout/>
      <c:overlay val="0"/>
      <c:spPr>
        <a:noFill/>
        <a:ln w="0">
          <a:noFill/>
        </a:ln>
      </c:spPr>
    </c:title>
    <c:autoTitleDeleted val="0"/>
    <c:plotArea>
      <c:layout/>
      <c:barChart>
        <c:barDir val="col"/>
        <c:grouping val="percentStacked"/>
        <c:varyColors val="0"/>
        <c:ser>
          <c:idx val="0"/>
          <c:order val="0"/>
          <c:tx>
            <c:strRef>
              <c:f>label 0</c:f>
              <c:strCache>
                <c:ptCount val="1"/>
                <c:pt idx="0">
                  <c:v>Ряд1</c:v>
                </c:pt>
              </c:strCache>
            </c:strRef>
          </c:tx>
          <c:spPr>
            <a:solidFill>
              <a:srgbClr val="5B9BD5"/>
            </a:solidFill>
            <a:ln w="0">
              <a:noFill/>
            </a:ln>
          </c:spPr>
          <c:invertIfNegative val="0"/>
          <c:dLbls>
            <c:spPr>
              <a:noFill/>
              <a:ln>
                <a:noFill/>
              </a:ln>
              <a:effectLst/>
            </c:spPr>
            <c:txPr>
              <a:bodyPr wrap="square"/>
              <a:lstStyle/>
              <a:p>
                <a:pPr>
                  <a:defRPr sz="900" b="0" u="none" strike="noStrike">
                    <a:solidFill>
                      <a:srgbClr val="404040"/>
                    </a:solidFill>
                    <a:uFillTx/>
                    <a:latin typeface="Arial"/>
                    <a:ea typeface="Arial"/>
                  </a:defRPr>
                </a:pPr>
                <a:endParaRPr lang="ru-RU"/>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0"/>
              </c:ext>
            </c:extLst>
          </c:dLbls>
          <c:cat>
            <c:strRef>
              <c:f>categories</c:f>
              <c:strCache>
                <c:ptCount val="3"/>
                <c:pt idx="0">
                  <c:v>2022</c:v>
                </c:pt>
                <c:pt idx="1">
                  <c:v>2023</c:v>
                </c:pt>
                <c:pt idx="2">
                  <c:v>2024</c:v>
                </c:pt>
              </c:strCache>
            </c:strRef>
          </c:cat>
          <c:val>
            <c:numRef>
              <c:f>0</c:f>
              <c:numCache>
                <c:formatCode>General</c:formatCode>
                <c:ptCount val="3"/>
                <c:pt idx="0">
                  <c:v>66.7</c:v>
                </c:pt>
                <c:pt idx="1">
                  <c:v>69.400000000000006</c:v>
                </c:pt>
                <c:pt idx="2">
                  <c:v>63.9</c:v>
                </c:pt>
              </c:numCache>
            </c:numRef>
          </c:val>
          <c:extLst>
            <c:ext xmlns:c16="http://schemas.microsoft.com/office/drawing/2014/chart" uri="{C3380CC4-5D6E-409C-BE32-E72D297353CC}">
              <c16:uniqueId val="{00000000-429F-4EA6-8239-EC06E8C04DE6}"/>
            </c:ext>
          </c:extLst>
        </c:ser>
        <c:ser>
          <c:idx val="1"/>
          <c:order val="1"/>
          <c:tx>
            <c:strRef>
              <c:f>label 1</c:f>
              <c:strCache>
                <c:ptCount val="1"/>
                <c:pt idx="0">
                  <c:v>Ряд2</c:v>
                </c:pt>
              </c:strCache>
            </c:strRef>
          </c:tx>
          <c:spPr>
            <a:solidFill>
              <a:srgbClr val="ED7D31"/>
            </a:solidFill>
            <a:ln w="0">
              <a:noFill/>
            </a:ln>
          </c:spPr>
          <c:invertIfNegative val="0"/>
          <c:dLbls>
            <c:spPr>
              <a:noFill/>
              <a:ln>
                <a:noFill/>
              </a:ln>
              <a:effectLst/>
            </c:spPr>
            <c:txPr>
              <a:bodyPr wrap="square"/>
              <a:lstStyle/>
              <a:p>
                <a:pPr>
                  <a:defRPr sz="900" b="0" u="none" strike="noStrike">
                    <a:solidFill>
                      <a:srgbClr val="404040"/>
                    </a:solidFill>
                    <a:uFillTx/>
                    <a:latin typeface="Arial"/>
                    <a:ea typeface="Arial"/>
                  </a:defRPr>
                </a:pPr>
                <a:endParaRPr lang="ru-RU"/>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0"/>
              </c:ext>
            </c:extLst>
          </c:dLbls>
          <c:cat>
            <c:strRef>
              <c:f>categories</c:f>
              <c:strCache>
                <c:ptCount val="3"/>
                <c:pt idx="0">
                  <c:v>2022</c:v>
                </c:pt>
                <c:pt idx="1">
                  <c:v>2023</c:v>
                </c:pt>
                <c:pt idx="2">
                  <c:v>2024</c:v>
                </c:pt>
              </c:strCache>
            </c:strRef>
          </c:cat>
          <c:val>
            <c:numRef>
              <c:f>1</c:f>
              <c:numCache>
                <c:formatCode>General</c:formatCode>
                <c:ptCount val="3"/>
                <c:pt idx="0">
                  <c:v>27.8</c:v>
                </c:pt>
                <c:pt idx="1">
                  <c:v>27.8</c:v>
                </c:pt>
                <c:pt idx="2">
                  <c:v>33.299999999999997</c:v>
                </c:pt>
              </c:numCache>
            </c:numRef>
          </c:val>
          <c:extLst>
            <c:ext xmlns:c16="http://schemas.microsoft.com/office/drawing/2014/chart" uri="{C3380CC4-5D6E-409C-BE32-E72D297353CC}">
              <c16:uniqueId val="{00000001-429F-4EA6-8239-EC06E8C04DE6}"/>
            </c:ext>
          </c:extLst>
        </c:ser>
        <c:ser>
          <c:idx val="2"/>
          <c:order val="2"/>
          <c:tx>
            <c:strRef>
              <c:f>label 2</c:f>
              <c:strCache>
                <c:ptCount val="1"/>
                <c:pt idx="0">
                  <c:v>Ряд3</c:v>
                </c:pt>
              </c:strCache>
            </c:strRef>
          </c:tx>
          <c:spPr>
            <a:solidFill>
              <a:srgbClr val="A5A5A5"/>
            </a:solidFill>
            <a:ln w="0">
              <a:noFill/>
            </a:ln>
          </c:spPr>
          <c:invertIfNegative val="0"/>
          <c:dLbls>
            <c:spPr>
              <a:noFill/>
              <a:ln>
                <a:noFill/>
              </a:ln>
              <a:effectLst/>
            </c:spPr>
            <c:txPr>
              <a:bodyPr wrap="square"/>
              <a:lstStyle/>
              <a:p>
                <a:pPr>
                  <a:defRPr sz="900" b="0" u="none" strike="noStrike">
                    <a:solidFill>
                      <a:srgbClr val="404040"/>
                    </a:solidFill>
                    <a:uFillTx/>
                    <a:latin typeface="Arial"/>
                    <a:ea typeface="Arial"/>
                  </a:defRPr>
                </a:pPr>
                <a:endParaRPr lang="ru-RU"/>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0"/>
              </c:ext>
            </c:extLst>
          </c:dLbls>
          <c:cat>
            <c:strRef>
              <c:f>categories</c:f>
              <c:strCache>
                <c:ptCount val="3"/>
                <c:pt idx="0">
                  <c:v>2022</c:v>
                </c:pt>
                <c:pt idx="1">
                  <c:v>2023</c:v>
                </c:pt>
                <c:pt idx="2">
                  <c:v>2024</c:v>
                </c:pt>
              </c:strCache>
            </c:strRef>
          </c:cat>
          <c:val>
            <c:numRef>
              <c:f>2</c:f>
              <c:numCache>
                <c:formatCode>General</c:formatCode>
                <c:ptCount val="3"/>
                <c:pt idx="0">
                  <c:v>5.5</c:v>
                </c:pt>
                <c:pt idx="1">
                  <c:v>2.8</c:v>
                </c:pt>
                <c:pt idx="2">
                  <c:v>2.8</c:v>
                </c:pt>
              </c:numCache>
            </c:numRef>
          </c:val>
          <c:extLst>
            <c:ext xmlns:c16="http://schemas.microsoft.com/office/drawing/2014/chart" uri="{C3380CC4-5D6E-409C-BE32-E72D297353CC}">
              <c16:uniqueId val="{00000002-429F-4EA6-8239-EC06E8C04DE6}"/>
            </c:ext>
          </c:extLst>
        </c:ser>
        <c:dLbls>
          <c:showLegendKey val="0"/>
          <c:showVal val="0"/>
          <c:showCatName val="0"/>
          <c:showSerName val="0"/>
          <c:showPercent val="0"/>
          <c:showBubbleSize val="0"/>
        </c:dLbls>
        <c:gapWidth val="150"/>
        <c:overlap val="100"/>
        <c:axId val="54905367"/>
        <c:axId val="37681449"/>
      </c:barChart>
      <c:catAx>
        <c:axId val="54905367"/>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sz="900" b="0" u="none" strike="noStrike">
                <a:solidFill>
                  <a:srgbClr val="595959"/>
                </a:solidFill>
                <a:uFillTx/>
                <a:latin typeface="Arial"/>
                <a:ea typeface="Arial"/>
              </a:defRPr>
            </a:pPr>
            <a:endParaRPr lang="ru-RU"/>
          </a:p>
        </c:txPr>
        <c:crossAx val="37681449"/>
        <c:crosses val="autoZero"/>
        <c:auto val="1"/>
        <c:lblAlgn val="ctr"/>
        <c:lblOffset val="100"/>
        <c:noMultiLvlLbl val="0"/>
      </c:catAx>
      <c:valAx>
        <c:axId val="37681449"/>
        <c:scaling>
          <c:orientation val="minMax"/>
        </c:scaling>
        <c:delete val="0"/>
        <c:axPos val="l"/>
        <c:majorGridlines>
          <c:spPr>
            <a:ln w="9360">
              <a:solidFill>
                <a:srgbClr val="D9D9D9"/>
              </a:solidFill>
              <a:round/>
            </a:ln>
          </c:spPr>
        </c:majorGridlines>
        <c:numFmt formatCode="0%" sourceLinked="0"/>
        <c:majorTickMark val="none"/>
        <c:minorTickMark val="none"/>
        <c:tickLblPos val="nextTo"/>
        <c:spPr>
          <a:ln w="6480">
            <a:noFill/>
          </a:ln>
        </c:spPr>
        <c:txPr>
          <a:bodyPr/>
          <a:lstStyle/>
          <a:p>
            <a:pPr>
              <a:defRPr sz="900" b="0" u="none" strike="noStrike">
                <a:solidFill>
                  <a:srgbClr val="595959"/>
                </a:solidFill>
                <a:uFillTx/>
                <a:latin typeface="Arial"/>
                <a:ea typeface="Arial"/>
              </a:defRPr>
            </a:pPr>
            <a:endParaRPr lang="ru-RU"/>
          </a:p>
        </c:txPr>
        <c:crossAx val="54905367"/>
        <c:crosses val="autoZero"/>
        <c:crossBetween val="between"/>
      </c:valAx>
      <c:spPr>
        <a:noFill/>
        <a:ln w="0">
          <a:noFill/>
        </a:ln>
      </c:spPr>
    </c:plotArea>
    <c:plotVisOnly val="1"/>
    <c:dispBlanksAs val="gap"/>
    <c:showDLblsOverMax val="1"/>
  </c:chart>
  <c:spPr>
    <a:solidFill>
      <a:srgbClr val="FFFFFF"/>
    </a:solidFill>
    <a:ln w="9360">
      <a:solidFill>
        <a:srgbClr val="D9D9D9"/>
      </a:solidFill>
      <a:round/>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0"/>
  <c:style val="2"/>
  <c:chart>
    <c:title>
      <c:tx>
        <c:rich>
          <a:bodyPr rot="0"/>
          <a:lstStyle/>
          <a:p>
            <a:pPr>
              <a:defRPr sz="1300" b="0" u="none" strike="noStrike">
                <a:uFillTx/>
                <a:latin typeface="Arial"/>
              </a:defRPr>
            </a:pPr>
            <a:r>
              <a:rPr lang="ru-RU" sz="1000" b="0" u="none" strike="noStrike">
                <a:solidFill>
                  <a:srgbClr val="000000"/>
                </a:solidFill>
                <a:uFillTx/>
                <a:latin typeface="Times New Roman"/>
                <a:ea typeface="Times New Roman"/>
              </a:rPr>
              <a:t>Существеные корпоративные действия</a:t>
            </a:r>
          </a:p>
        </c:rich>
      </c:tx>
      <c:layout/>
      <c:overlay val="0"/>
      <c:spPr>
        <a:noFill/>
        <a:ln w="0">
          <a:noFill/>
        </a:ln>
      </c:spPr>
    </c:title>
    <c:autoTitleDeleted val="0"/>
    <c:plotArea>
      <c:layout/>
      <c:barChart>
        <c:barDir val="col"/>
        <c:grouping val="stacked"/>
        <c:varyColors val="0"/>
        <c:ser>
          <c:idx val="0"/>
          <c:order val="0"/>
          <c:tx>
            <c:strRef>
              <c:f>label 0</c:f>
              <c:strCache>
                <c:ptCount val="1"/>
                <c:pt idx="0">
                  <c:v>Ряд1</c:v>
                </c:pt>
              </c:strCache>
            </c:strRef>
          </c:tx>
          <c:spPr>
            <a:solidFill>
              <a:srgbClr val="5B9BD5"/>
            </a:solidFill>
            <a:ln w="0">
              <a:noFill/>
            </a:ln>
          </c:spPr>
          <c:invertIfNegative val="0"/>
          <c:dLbls>
            <c:spPr>
              <a:noFill/>
              <a:ln>
                <a:noFill/>
              </a:ln>
              <a:effectLst/>
            </c:spPr>
            <c:txPr>
              <a:bodyPr wrap="square"/>
              <a:lstStyle/>
              <a:p>
                <a:pPr>
                  <a:defRPr sz="900" b="0" u="none" strike="noStrike">
                    <a:solidFill>
                      <a:srgbClr val="404040"/>
                    </a:solidFill>
                    <a:uFillTx/>
                    <a:latin typeface="Arial"/>
                    <a:ea typeface="Arial"/>
                  </a:defRPr>
                </a:pPr>
                <a:endParaRPr lang="ru-RU"/>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0"/>
              </c:ext>
            </c:extLst>
          </c:dLbls>
          <c:cat>
            <c:strRef>
              <c:f>categories</c:f>
              <c:strCache>
                <c:ptCount val="3"/>
                <c:pt idx="0">
                  <c:v>2022</c:v>
                </c:pt>
                <c:pt idx="1">
                  <c:v>2023</c:v>
                </c:pt>
                <c:pt idx="2">
                  <c:v>2024</c:v>
                </c:pt>
              </c:strCache>
            </c:strRef>
          </c:cat>
          <c:val>
            <c:numRef>
              <c:f>0</c:f>
              <c:numCache>
                <c:formatCode>General</c:formatCode>
                <c:ptCount val="3"/>
                <c:pt idx="0">
                  <c:v>60</c:v>
                </c:pt>
                <c:pt idx="1">
                  <c:v>60</c:v>
                </c:pt>
                <c:pt idx="2">
                  <c:v>75</c:v>
                </c:pt>
              </c:numCache>
            </c:numRef>
          </c:val>
          <c:extLst>
            <c:ext xmlns:c16="http://schemas.microsoft.com/office/drawing/2014/chart" uri="{C3380CC4-5D6E-409C-BE32-E72D297353CC}">
              <c16:uniqueId val="{00000000-3055-451C-B2F3-256DDD5A9401}"/>
            </c:ext>
          </c:extLst>
        </c:ser>
        <c:ser>
          <c:idx val="1"/>
          <c:order val="1"/>
          <c:tx>
            <c:strRef>
              <c:f>label 1</c:f>
              <c:strCache>
                <c:ptCount val="1"/>
                <c:pt idx="0">
                  <c:v>Ряд2</c:v>
                </c:pt>
              </c:strCache>
            </c:strRef>
          </c:tx>
          <c:spPr>
            <a:solidFill>
              <a:srgbClr val="ED7D31"/>
            </a:solidFill>
            <a:ln w="0">
              <a:noFill/>
            </a:ln>
          </c:spPr>
          <c:invertIfNegative val="0"/>
          <c:dLbls>
            <c:spPr>
              <a:noFill/>
              <a:ln>
                <a:noFill/>
              </a:ln>
              <a:effectLst/>
            </c:spPr>
            <c:txPr>
              <a:bodyPr wrap="square"/>
              <a:lstStyle/>
              <a:p>
                <a:pPr>
                  <a:defRPr sz="900" b="0" u="none" strike="noStrike">
                    <a:solidFill>
                      <a:srgbClr val="404040"/>
                    </a:solidFill>
                    <a:uFillTx/>
                    <a:latin typeface="Arial"/>
                    <a:ea typeface="Arial"/>
                  </a:defRPr>
                </a:pPr>
                <a:endParaRPr lang="ru-RU"/>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0"/>
              </c:ext>
            </c:extLst>
          </c:dLbls>
          <c:cat>
            <c:strRef>
              <c:f>categories</c:f>
              <c:strCache>
                <c:ptCount val="3"/>
                <c:pt idx="0">
                  <c:v>2022</c:v>
                </c:pt>
                <c:pt idx="1">
                  <c:v>2023</c:v>
                </c:pt>
                <c:pt idx="2">
                  <c:v>2024</c:v>
                </c:pt>
              </c:strCache>
            </c:strRef>
          </c:cat>
          <c:val>
            <c:numRef>
              <c:f>1</c:f>
              <c:numCache>
                <c:formatCode>General</c:formatCode>
                <c:ptCount val="3"/>
                <c:pt idx="0">
                  <c:v>40</c:v>
                </c:pt>
                <c:pt idx="1">
                  <c:v>40</c:v>
                </c:pt>
                <c:pt idx="2">
                  <c:v>25</c:v>
                </c:pt>
              </c:numCache>
            </c:numRef>
          </c:val>
          <c:extLst>
            <c:ext xmlns:c16="http://schemas.microsoft.com/office/drawing/2014/chart" uri="{C3380CC4-5D6E-409C-BE32-E72D297353CC}">
              <c16:uniqueId val="{00000001-3055-451C-B2F3-256DDD5A9401}"/>
            </c:ext>
          </c:extLst>
        </c:ser>
        <c:ser>
          <c:idx val="2"/>
          <c:order val="2"/>
          <c:tx>
            <c:strRef>
              <c:f>label 2</c:f>
              <c:strCache>
                <c:ptCount val="1"/>
                <c:pt idx="0">
                  <c:v>Ряд3</c:v>
                </c:pt>
              </c:strCache>
            </c:strRef>
          </c:tx>
          <c:spPr>
            <a:solidFill>
              <a:srgbClr val="A5A5A5"/>
            </a:solidFill>
            <a:ln w="0">
              <a:noFill/>
            </a:ln>
          </c:spPr>
          <c:invertIfNegative val="0"/>
          <c:dLbls>
            <c:spPr>
              <a:noFill/>
              <a:ln>
                <a:noFill/>
              </a:ln>
              <a:effectLst/>
            </c:spPr>
            <c:txPr>
              <a:bodyPr wrap="square"/>
              <a:lstStyle/>
              <a:p>
                <a:pPr>
                  <a:defRPr sz="900" b="0" u="none" strike="noStrike">
                    <a:solidFill>
                      <a:srgbClr val="404040"/>
                    </a:solidFill>
                    <a:uFillTx/>
                    <a:latin typeface="Arial"/>
                    <a:ea typeface="Arial"/>
                  </a:defRPr>
                </a:pPr>
                <a:endParaRPr lang="ru-RU"/>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0"/>
              </c:ext>
            </c:extLst>
          </c:dLbls>
          <c:cat>
            <c:strRef>
              <c:f>categories</c:f>
              <c:strCache>
                <c:ptCount val="3"/>
                <c:pt idx="0">
                  <c:v>2022</c:v>
                </c:pt>
                <c:pt idx="1">
                  <c:v>2023</c:v>
                </c:pt>
                <c:pt idx="2">
                  <c:v>2024</c:v>
                </c:pt>
              </c:strCache>
            </c:strRef>
          </c:cat>
          <c:val>
            <c:numRef>
              <c:f>2</c:f>
              <c:numCache>
                <c:formatCode>General</c:formatCode>
                <c:ptCount val="3"/>
                <c:pt idx="0">
                  <c:v>0</c:v>
                </c:pt>
                <c:pt idx="1">
                  <c:v>0</c:v>
                </c:pt>
                <c:pt idx="2">
                  <c:v>0</c:v>
                </c:pt>
              </c:numCache>
            </c:numRef>
          </c:val>
          <c:extLst>
            <c:ext xmlns:c16="http://schemas.microsoft.com/office/drawing/2014/chart" uri="{C3380CC4-5D6E-409C-BE32-E72D297353CC}">
              <c16:uniqueId val="{00000002-3055-451C-B2F3-256DDD5A9401}"/>
            </c:ext>
          </c:extLst>
        </c:ser>
        <c:dLbls>
          <c:showLegendKey val="0"/>
          <c:showVal val="0"/>
          <c:showCatName val="0"/>
          <c:showSerName val="0"/>
          <c:showPercent val="0"/>
          <c:showBubbleSize val="0"/>
        </c:dLbls>
        <c:gapWidth val="150"/>
        <c:overlap val="100"/>
        <c:axId val="34321469"/>
        <c:axId val="55792363"/>
      </c:barChart>
      <c:catAx>
        <c:axId val="34321469"/>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sz="900" b="0" u="none" strike="noStrike">
                <a:solidFill>
                  <a:srgbClr val="595959"/>
                </a:solidFill>
                <a:uFillTx/>
                <a:latin typeface="Arial"/>
                <a:ea typeface="Arial"/>
              </a:defRPr>
            </a:pPr>
            <a:endParaRPr lang="ru-RU"/>
          </a:p>
        </c:txPr>
        <c:crossAx val="55792363"/>
        <c:crosses val="autoZero"/>
        <c:auto val="1"/>
        <c:lblAlgn val="ctr"/>
        <c:lblOffset val="100"/>
        <c:noMultiLvlLbl val="0"/>
      </c:catAx>
      <c:valAx>
        <c:axId val="55792363"/>
        <c:scaling>
          <c:orientation val="minMax"/>
        </c:scaling>
        <c:delete val="0"/>
        <c:axPos val="l"/>
        <c:majorGridlines>
          <c:spPr>
            <a:ln w="9360">
              <a:solidFill>
                <a:srgbClr val="D9D9D9"/>
              </a:solidFill>
              <a:round/>
            </a:ln>
          </c:spPr>
        </c:majorGridlines>
        <c:numFmt formatCode="General" sourceLinked="0"/>
        <c:majorTickMark val="none"/>
        <c:minorTickMark val="none"/>
        <c:tickLblPos val="nextTo"/>
        <c:spPr>
          <a:ln w="6480">
            <a:noFill/>
          </a:ln>
        </c:spPr>
        <c:txPr>
          <a:bodyPr/>
          <a:lstStyle/>
          <a:p>
            <a:pPr>
              <a:defRPr sz="900" b="0" u="none" strike="noStrike">
                <a:solidFill>
                  <a:srgbClr val="595959"/>
                </a:solidFill>
                <a:uFillTx/>
                <a:latin typeface="Arial"/>
                <a:ea typeface="Arial"/>
              </a:defRPr>
            </a:pPr>
            <a:endParaRPr lang="ru-RU"/>
          </a:p>
        </c:txPr>
        <c:crossAx val="34321469"/>
        <c:crosses val="autoZero"/>
        <c:crossBetween val="between"/>
      </c:valAx>
      <c:spPr>
        <a:noFill/>
        <a:ln w="0">
          <a:noFill/>
        </a:ln>
      </c:spPr>
    </c:plotArea>
    <c:plotVisOnly val="1"/>
    <c:dispBlanksAs val="gap"/>
    <c:showDLblsOverMax val="1"/>
  </c:chart>
  <c:spPr>
    <a:solidFill>
      <a:srgbClr val="FFFFFF"/>
    </a:solidFill>
    <a:ln w="9360">
      <a:solidFill>
        <a:srgbClr val="D9D9D9"/>
      </a:solidFill>
      <a:round/>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ysClr val="windowText" lastClr="000000"/>
                </a:solidFill>
                <a:latin typeface="Times New Roman" panose="02020603050405020304" pitchFamily="18" charset="0"/>
                <a:cs typeface="Times New Roman" panose="02020603050405020304" pitchFamily="18" charset="0"/>
              </a:rPr>
              <a:t>Итоги</a:t>
            </a:r>
            <a:r>
              <a:rPr lang="ru-RU" sz="1200" b="1" baseline="0">
                <a:solidFill>
                  <a:sysClr val="windowText" lastClr="000000"/>
                </a:solidFill>
                <a:latin typeface="Times New Roman" panose="02020603050405020304" pitchFamily="18" charset="0"/>
                <a:cs typeface="Times New Roman" panose="02020603050405020304" pitchFamily="18" charset="0"/>
              </a:rPr>
              <a:t> голосования акционеров на ГОСА 19.06.2024</a:t>
            </a:r>
          </a:p>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baseline="0">
                <a:solidFill>
                  <a:sysClr val="windowText" lastClr="000000"/>
                </a:solidFill>
                <a:latin typeface="Times New Roman" panose="02020603050405020304" pitchFamily="18" charset="0"/>
                <a:cs typeface="Times New Roman" panose="02020603050405020304" pitchFamily="18" charset="0"/>
              </a:rPr>
              <a:t>(% от приявших участие в голосовании голосов)</a:t>
            </a:r>
            <a:endParaRPr lang="ru-RU" sz="1200" b="1">
              <a:solidFill>
                <a:sysClr val="windowText" lastClr="000000"/>
              </a:solidFill>
              <a:latin typeface="Times New Roman" panose="02020603050405020304" pitchFamily="18" charset="0"/>
              <a:cs typeface="Times New Roman" panose="02020603050405020304" pitchFamily="18" charset="0"/>
            </a:endParaRPr>
          </a:p>
        </c:rich>
      </c:tx>
      <c:layout/>
      <c:overlay val="0"/>
      <c:spPr>
        <a:noFill/>
        <a:ln>
          <a:noFill/>
        </a:ln>
        <a:effectLst/>
      </c:spPr>
    </c:title>
    <c:autoTitleDeleted val="0"/>
    <c:plotArea>
      <c:layout>
        <c:manualLayout>
          <c:layoutTarget val="inner"/>
          <c:xMode val="edge"/>
          <c:yMode val="edge"/>
          <c:x val="0.48516404199475066"/>
          <c:y val="0.14623655913978495"/>
          <c:w val="0.51483595800524939"/>
          <c:h val="0.75279461035112549"/>
        </c:manualLayout>
      </c:layout>
      <c:barChart>
        <c:barDir val="bar"/>
        <c:grouping val="stacked"/>
        <c:varyColors val="0"/>
        <c:ser>
          <c:idx val="0"/>
          <c:order val="0"/>
          <c:tx>
            <c:strRef>
              <c:f>Лист1!$B$1</c:f>
              <c:strCache>
                <c:ptCount val="1"/>
                <c:pt idx="0">
                  <c:v>ЗА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Лист1!$A$2:$A$5</c:f>
              <c:strCache>
                <c:ptCount val="4"/>
                <c:pt idx="0">
                  <c:v>Назначение аудиторской организации</c:v>
                </c:pt>
                <c:pt idx="1">
                  <c:v>Утверждение Устава Общества</c:v>
                </c:pt>
                <c:pt idx="2">
                  <c:v>О распределении прибыли и выплате дивидендов за 2023 год</c:v>
                </c:pt>
                <c:pt idx="3">
                  <c:v>Утверждение годового отчета и бухгалтерской (финансовой) отчетности за 2023 год</c:v>
                </c:pt>
              </c:strCache>
            </c:strRef>
          </c:cat>
          <c:val>
            <c:numRef>
              <c:f>Лист1!$B$2:$B$5</c:f>
              <c:numCache>
                <c:formatCode>General</c:formatCode>
                <c:ptCount val="4"/>
                <c:pt idx="0">
                  <c:v>92.3</c:v>
                </c:pt>
                <c:pt idx="1">
                  <c:v>99.99</c:v>
                </c:pt>
                <c:pt idx="2">
                  <c:v>99.978499999999997</c:v>
                </c:pt>
                <c:pt idx="3">
                  <c:v>99.9953</c:v>
                </c:pt>
              </c:numCache>
            </c:numRef>
          </c:val>
          <c:extLst>
            <c:ext xmlns:c16="http://schemas.microsoft.com/office/drawing/2014/chart" uri="{C3380CC4-5D6E-409C-BE32-E72D297353CC}">
              <c16:uniqueId val="{00000000-12DD-4523-9DCE-5C8C1EC8BF40}"/>
            </c:ext>
          </c:extLst>
        </c:ser>
        <c:ser>
          <c:idx val="1"/>
          <c:order val="1"/>
          <c:tx>
            <c:strRef>
              <c:f>Лист1!$C$1</c:f>
              <c:strCache>
                <c:ptCount val="1"/>
                <c:pt idx="0">
                  <c:v>Против, воздержался и недействительные голоса</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Лист1!$A$2:$A$5</c:f>
              <c:strCache>
                <c:ptCount val="4"/>
                <c:pt idx="0">
                  <c:v>Назначение аудиторской организации</c:v>
                </c:pt>
                <c:pt idx="1">
                  <c:v>Утверждение Устава Общества</c:v>
                </c:pt>
                <c:pt idx="2">
                  <c:v>О распределении прибыли и выплате дивидендов за 2023 год</c:v>
                </c:pt>
                <c:pt idx="3">
                  <c:v>Утверждение годового отчета и бухгалтерской (финансовой) отчетности за 2023 год</c:v>
                </c:pt>
              </c:strCache>
            </c:strRef>
          </c:cat>
          <c:val>
            <c:numRef>
              <c:f>Лист1!$C$2:$C$5</c:f>
              <c:numCache>
                <c:formatCode>General</c:formatCode>
                <c:ptCount val="4"/>
                <c:pt idx="0">
                  <c:v>7.7</c:v>
                </c:pt>
                <c:pt idx="1">
                  <c:v>6.0000000000000001E-3</c:v>
                </c:pt>
                <c:pt idx="2">
                  <c:v>0.02</c:v>
                </c:pt>
                <c:pt idx="3">
                  <c:v>4.4999999999999998E-2</c:v>
                </c:pt>
              </c:numCache>
            </c:numRef>
          </c:val>
          <c:extLst>
            <c:ext xmlns:c16="http://schemas.microsoft.com/office/drawing/2014/chart" uri="{C3380CC4-5D6E-409C-BE32-E72D297353CC}">
              <c16:uniqueId val="{00000001-12DD-4523-9DCE-5C8C1EC8BF40}"/>
            </c:ext>
          </c:extLst>
        </c:ser>
        <c:dLbls>
          <c:showLegendKey val="0"/>
          <c:showVal val="0"/>
          <c:showCatName val="0"/>
          <c:showSerName val="0"/>
          <c:showPercent val="0"/>
          <c:showBubbleSize val="0"/>
        </c:dLbls>
        <c:gapWidth val="150"/>
        <c:overlap val="100"/>
        <c:axId val="1015675344"/>
        <c:axId val="1"/>
      </c:barChart>
      <c:catAx>
        <c:axId val="1015675344"/>
        <c:scaling>
          <c:orientation val="minMax"/>
        </c:scaling>
        <c:delete val="0"/>
        <c:axPos val="l"/>
        <c:numFmt formatCode="General" sourceLinked="1"/>
        <c:majorTickMark val="none"/>
        <c:minorTickMark val="none"/>
        <c:tickLblPos val="nextTo"/>
        <c:spPr>
          <a:noFill/>
          <a:ln w="9524"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
        <c:crosses val="autoZero"/>
        <c:auto val="1"/>
        <c:lblAlgn val="ctr"/>
        <c:lblOffset val="50"/>
        <c:noMultiLvlLbl val="0"/>
      </c:catAx>
      <c:valAx>
        <c:axId val="1"/>
        <c:scaling>
          <c:orientation val="minMax"/>
        </c:scaling>
        <c:delete val="1"/>
        <c:axPos val="b"/>
        <c:majorGridlines>
          <c:spPr>
            <a:ln w="9524" cap="flat" cmpd="sng" algn="ctr">
              <a:solidFill>
                <a:schemeClr val="tx1">
                  <a:lumMod val="15000"/>
                  <a:lumOff val="85000"/>
                </a:schemeClr>
              </a:solidFill>
              <a:round/>
            </a:ln>
            <a:effectLst/>
          </c:spPr>
        </c:majorGridlines>
        <c:numFmt formatCode="General" sourceLinked="1"/>
        <c:majorTickMark val="out"/>
        <c:minorTickMark val="none"/>
        <c:tickLblPos val="nextTo"/>
        <c:crossAx val="1015675344"/>
        <c:crosses val="autoZero"/>
        <c:crossBetween val="between"/>
      </c:valAx>
      <c:spPr>
        <a:noFill/>
        <a:ln w="25397">
          <a:noFill/>
        </a:ln>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a:noFill/>
    </a:ln>
    <a:effectLst/>
  </c:spPr>
  <c:txPr>
    <a:bodyPr/>
    <a:lstStyle/>
    <a:p>
      <a:pPr>
        <a:defRPr/>
      </a:pPr>
      <a:endParaRPr lang="ru-RU"/>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0"/>
  <c:style val="2"/>
  <c:chart>
    <c:autoTitleDeleted val="1"/>
    <c:plotArea>
      <c:layout>
        <c:manualLayout>
          <c:layoutTarget val="inner"/>
          <c:xMode val="edge"/>
          <c:yMode val="edge"/>
          <c:x val="3.6562499999999998E-2"/>
          <c:y val="0.13300000000000001"/>
          <c:w val="0.96343749999999995"/>
          <c:h val="0.611222222222222"/>
        </c:manualLayout>
      </c:layout>
      <c:barChart>
        <c:barDir val="col"/>
        <c:grouping val="clustered"/>
        <c:varyColors val="0"/>
        <c:ser>
          <c:idx val="0"/>
          <c:order val="0"/>
          <c:tx>
            <c:strRef>
              <c:f>label 0</c:f>
              <c:strCache>
                <c:ptCount val="1"/>
                <c:pt idx="0">
                  <c:v>очные заседания</c:v>
                </c:pt>
              </c:strCache>
            </c:strRef>
          </c:tx>
          <c:spPr>
            <a:solidFill>
              <a:srgbClr val="416A9C"/>
            </a:solidFill>
            <a:ln w="0">
              <a:noFill/>
            </a:ln>
          </c:spPr>
          <c:invertIfNegative val="0"/>
          <c:dLbls>
            <c:numFmt formatCode="General" sourceLinked="0"/>
            <c:spPr>
              <a:noFill/>
              <a:ln>
                <a:noFill/>
              </a:ln>
              <a:effectLst/>
            </c:spPr>
            <c:txPr>
              <a:bodyPr wrap="square"/>
              <a:lstStyle/>
              <a:p>
                <a:pPr>
                  <a:defRPr sz="1000" b="0" u="none" strike="noStrike">
                    <a:solidFill>
                      <a:srgbClr val="404040"/>
                    </a:solidFill>
                    <a:uFillTx/>
                    <a:latin typeface="Times New Roman"/>
                    <a:ea typeface="Arial"/>
                  </a:defRPr>
                </a:pPr>
                <a:endParaRPr lang="ru-RU"/>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layout/>
                <c15:showLeaderLines val="1"/>
              </c:ext>
            </c:extLst>
          </c:dLbls>
          <c:cat>
            <c:strRef>
              <c:f>categories</c:f>
              <c:strCache>
                <c:ptCount val="5"/>
                <c:pt idx="0">
                  <c:v>2020</c:v>
                </c:pt>
                <c:pt idx="1">
                  <c:v>2021</c:v>
                </c:pt>
                <c:pt idx="2">
                  <c:v>2022</c:v>
                </c:pt>
                <c:pt idx="3">
                  <c:v>2023</c:v>
                </c:pt>
                <c:pt idx="4">
                  <c:v>2024</c:v>
                </c:pt>
              </c:strCache>
            </c:strRef>
          </c:cat>
          <c:val>
            <c:numRef>
              <c:f>0</c:f>
              <c:numCache>
                <c:formatCode>General</c:formatCode>
                <c:ptCount val="5"/>
                <c:pt idx="0">
                  <c:v>3</c:v>
                </c:pt>
                <c:pt idx="1">
                  <c:v>4</c:v>
                </c:pt>
                <c:pt idx="2">
                  <c:v>2</c:v>
                </c:pt>
                <c:pt idx="3">
                  <c:v>3</c:v>
                </c:pt>
                <c:pt idx="4">
                  <c:v>4</c:v>
                </c:pt>
              </c:numCache>
            </c:numRef>
          </c:val>
          <c:extLst>
            <c:ext xmlns:c16="http://schemas.microsoft.com/office/drawing/2014/chart" uri="{C3380CC4-5D6E-409C-BE32-E72D297353CC}">
              <c16:uniqueId val="{00000000-ECE7-423D-B6CD-C6010AD07AE9}"/>
            </c:ext>
          </c:extLst>
        </c:ser>
        <c:ser>
          <c:idx val="1"/>
          <c:order val="1"/>
          <c:tx>
            <c:strRef>
              <c:f>label 1</c:f>
              <c:strCache>
                <c:ptCount val="1"/>
                <c:pt idx="0">
                  <c:v>заочные заседания</c:v>
                </c:pt>
              </c:strCache>
            </c:strRef>
          </c:tx>
          <c:spPr>
            <a:solidFill>
              <a:srgbClr val="4F81BD"/>
            </a:solidFill>
            <a:ln w="0">
              <a:noFill/>
            </a:ln>
          </c:spPr>
          <c:invertIfNegative val="0"/>
          <c:dPt>
            <c:idx val="0"/>
            <c:invertIfNegative val="0"/>
            <c:bubble3D val="0"/>
            <c:extLst>
              <c:ext xmlns:c16="http://schemas.microsoft.com/office/drawing/2014/chart" uri="{C3380CC4-5D6E-409C-BE32-E72D297353CC}">
                <c16:uniqueId val="{00000002-ECE7-423D-B6CD-C6010AD07AE9}"/>
              </c:ext>
            </c:extLst>
          </c:dPt>
          <c:dLbls>
            <c:dLbl>
              <c:idx val="0"/>
              <c:layout>
                <c:manualLayout>
                  <c:x val="-2.2021767624683201E-17"/>
                  <c:y val="1.0582010582010601E-2"/>
                </c:manualLayout>
              </c:layout>
              <c:numFmt formatCode="General" sourceLinked="0"/>
              <c:spPr/>
              <c:txPr>
                <a:bodyPr wrap="square"/>
                <a:lstStyle/>
                <a:p>
                  <a:pPr>
                    <a:defRPr sz="1000" b="0" u="none" strike="noStrike">
                      <a:solidFill>
                        <a:srgbClr val="404040"/>
                      </a:solidFill>
                      <a:uFillTx/>
                      <a:latin typeface="Times New Roman"/>
                    </a:defRPr>
                  </a:pPr>
                  <a:endParaRPr lang="ru-RU"/>
                </a:p>
              </c:txPr>
              <c:dLblPos val="outEnd"/>
              <c:showLegendKey val="0"/>
              <c:showVal val="1"/>
              <c:showCatName val="0"/>
              <c:showSerName val="0"/>
              <c:showPercent val="0"/>
              <c:showBubbleSize val="1"/>
              <c:separator>; </c:separator>
              <c:extLst>
                <c:ext xmlns:c15="http://schemas.microsoft.com/office/drawing/2012/chart" uri="{CE6537A1-D6FC-4f65-9D91-7224C49458BB}">
                  <c15:layout/>
                </c:ext>
                <c:ext xmlns:c16="http://schemas.microsoft.com/office/drawing/2014/chart" uri="{C3380CC4-5D6E-409C-BE32-E72D297353CC}">
                  <c16:uniqueId val="{00000002-ECE7-423D-B6CD-C6010AD07AE9}"/>
                </c:ext>
              </c:extLst>
            </c:dLbl>
            <c:numFmt formatCode="General" sourceLinked="0"/>
            <c:spPr>
              <a:noFill/>
              <a:ln>
                <a:noFill/>
              </a:ln>
              <a:effectLst/>
            </c:spPr>
            <c:txPr>
              <a:bodyPr wrap="square"/>
              <a:lstStyle/>
              <a:p>
                <a:pPr>
                  <a:defRPr sz="1000" b="0" u="none" strike="noStrike">
                    <a:solidFill>
                      <a:srgbClr val="404040"/>
                    </a:solidFill>
                    <a:uFillTx/>
                    <a:latin typeface="Times New Roman"/>
                    <a:ea typeface="Arial"/>
                  </a:defRPr>
                </a:pPr>
                <a:endParaRPr lang="ru-RU"/>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layout/>
                <c15:showLeaderLines val="1"/>
              </c:ext>
            </c:extLst>
          </c:dLbls>
          <c:cat>
            <c:strRef>
              <c:f>categories</c:f>
              <c:strCache>
                <c:ptCount val="5"/>
                <c:pt idx="0">
                  <c:v>2020</c:v>
                </c:pt>
                <c:pt idx="1">
                  <c:v>2021</c:v>
                </c:pt>
                <c:pt idx="2">
                  <c:v>2022</c:v>
                </c:pt>
                <c:pt idx="3">
                  <c:v>2023</c:v>
                </c:pt>
                <c:pt idx="4">
                  <c:v>2024</c:v>
                </c:pt>
              </c:strCache>
            </c:strRef>
          </c:cat>
          <c:val>
            <c:numRef>
              <c:f>1</c:f>
              <c:numCache>
                <c:formatCode>General</c:formatCode>
                <c:ptCount val="5"/>
                <c:pt idx="0">
                  <c:v>56</c:v>
                </c:pt>
                <c:pt idx="1">
                  <c:v>48</c:v>
                </c:pt>
                <c:pt idx="2">
                  <c:v>43</c:v>
                </c:pt>
                <c:pt idx="3">
                  <c:v>46</c:v>
                </c:pt>
                <c:pt idx="4">
                  <c:v>44</c:v>
                </c:pt>
              </c:numCache>
            </c:numRef>
          </c:val>
          <c:extLst>
            <c:ext xmlns:c16="http://schemas.microsoft.com/office/drawing/2014/chart" uri="{C3380CC4-5D6E-409C-BE32-E72D297353CC}">
              <c16:uniqueId val="{00000003-ECE7-423D-B6CD-C6010AD07AE9}"/>
            </c:ext>
          </c:extLst>
        </c:ser>
        <c:dLbls>
          <c:showLegendKey val="0"/>
          <c:showVal val="0"/>
          <c:showCatName val="0"/>
          <c:showSerName val="0"/>
          <c:showPercent val="0"/>
          <c:showBubbleSize val="0"/>
        </c:dLbls>
        <c:gapWidth val="247"/>
        <c:axId val="92993353"/>
        <c:axId val="78455181"/>
      </c:barChart>
      <c:lineChart>
        <c:grouping val="standard"/>
        <c:varyColors val="0"/>
        <c:ser>
          <c:idx val="2"/>
          <c:order val="2"/>
          <c:tx>
            <c:strRef>
              <c:f>label 2</c:f>
              <c:strCache>
                <c:ptCount val="1"/>
                <c:pt idx="0">
                  <c:v>количество вопросов</c:v>
                </c:pt>
              </c:strCache>
            </c:strRef>
          </c:tx>
          <c:spPr>
            <a:ln w="28440" cap="rnd">
              <a:solidFill>
                <a:srgbClr val="AABAD7"/>
              </a:solidFill>
              <a:round/>
            </a:ln>
          </c:spPr>
          <c:marker>
            <c:symbol val="none"/>
          </c:marker>
          <c:dPt>
            <c:idx val="0"/>
            <c:bubble3D val="0"/>
            <c:extLst>
              <c:ext xmlns:c16="http://schemas.microsoft.com/office/drawing/2014/chart" uri="{C3380CC4-5D6E-409C-BE32-E72D297353CC}">
                <c16:uniqueId val="{00000004-ECE7-423D-B6CD-C6010AD07AE9}"/>
              </c:ext>
            </c:extLst>
          </c:dPt>
          <c:dPt>
            <c:idx val="1"/>
            <c:bubble3D val="0"/>
            <c:extLst>
              <c:ext xmlns:c16="http://schemas.microsoft.com/office/drawing/2014/chart" uri="{C3380CC4-5D6E-409C-BE32-E72D297353CC}">
                <c16:uniqueId val="{00000005-ECE7-423D-B6CD-C6010AD07AE9}"/>
              </c:ext>
            </c:extLst>
          </c:dPt>
          <c:dPt>
            <c:idx val="2"/>
            <c:bubble3D val="0"/>
            <c:extLst>
              <c:ext xmlns:c16="http://schemas.microsoft.com/office/drawing/2014/chart" uri="{C3380CC4-5D6E-409C-BE32-E72D297353CC}">
                <c16:uniqueId val="{00000006-ECE7-423D-B6CD-C6010AD07AE9}"/>
              </c:ext>
            </c:extLst>
          </c:dPt>
          <c:dPt>
            <c:idx val="3"/>
            <c:bubble3D val="0"/>
            <c:extLst>
              <c:ext xmlns:c16="http://schemas.microsoft.com/office/drawing/2014/chart" uri="{C3380CC4-5D6E-409C-BE32-E72D297353CC}">
                <c16:uniqueId val="{00000007-ECE7-423D-B6CD-C6010AD07AE9}"/>
              </c:ext>
            </c:extLst>
          </c:dPt>
          <c:dPt>
            <c:idx val="4"/>
            <c:bubble3D val="0"/>
            <c:extLst>
              <c:ext xmlns:c16="http://schemas.microsoft.com/office/drawing/2014/chart" uri="{C3380CC4-5D6E-409C-BE32-E72D297353CC}">
                <c16:uniqueId val="{00000008-ECE7-423D-B6CD-C6010AD07AE9}"/>
              </c:ext>
            </c:extLst>
          </c:dPt>
          <c:dLbls>
            <c:dLbl>
              <c:idx val="0"/>
              <c:layout>
                <c:manualLayout>
                  <c:x val="-6.8025253600056707E-2"/>
                  <c:y val="-5.8201058201058198E-2"/>
                </c:manualLayout>
              </c:layout>
              <c:numFmt formatCode="General" sourceLinked="0"/>
              <c:spPr/>
              <c:txPr>
                <a:bodyPr wrap="square"/>
                <a:lstStyle/>
                <a:p>
                  <a:pPr>
                    <a:defRPr sz="1000" b="0" u="none" strike="noStrike">
                      <a:solidFill>
                        <a:srgbClr val="404040"/>
                      </a:solidFill>
                      <a:uFillTx/>
                      <a:latin typeface="Times New Roman"/>
                    </a:defRPr>
                  </a:pPr>
                  <a:endParaRPr lang="ru-RU"/>
                </a:p>
              </c:txPr>
              <c:dLblPos val="r"/>
              <c:showLegendKey val="0"/>
              <c:showVal val="1"/>
              <c:showCatName val="0"/>
              <c:showSerName val="0"/>
              <c:showPercent val="0"/>
              <c:showBubbleSize val="1"/>
              <c:separator>; </c:separator>
              <c:extLst>
                <c:ext xmlns:c15="http://schemas.microsoft.com/office/drawing/2012/chart" uri="{CE6537A1-D6FC-4f65-9D91-7224C49458BB}">
                  <c15:layout/>
                </c:ext>
                <c:ext xmlns:c16="http://schemas.microsoft.com/office/drawing/2014/chart" uri="{C3380CC4-5D6E-409C-BE32-E72D297353CC}">
                  <c16:uniqueId val="{00000004-ECE7-423D-B6CD-C6010AD07AE9}"/>
                </c:ext>
              </c:extLst>
            </c:dLbl>
            <c:dLbl>
              <c:idx val="1"/>
              <c:layout>
                <c:manualLayout>
                  <c:x val="-7.3258896691967598E-2"/>
                  <c:y val="-2.3515393909094701E-2"/>
                </c:manualLayout>
              </c:layout>
              <c:numFmt formatCode="General" sourceLinked="0"/>
              <c:spPr/>
              <c:txPr>
                <a:bodyPr wrap="square"/>
                <a:lstStyle/>
                <a:p>
                  <a:pPr>
                    <a:defRPr sz="1000" b="0" u="none" strike="noStrike">
                      <a:solidFill>
                        <a:srgbClr val="404040"/>
                      </a:solidFill>
                      <a:uFillTx/>
                      <a:latin typeface="Times New Roman"/>
                    </a:defRPr>
                  </a:pPr>
                  <a:endParaRPr lang="ru-RU"/>
                </a:p>
              </c:txPr>
              <c:dLblPos val="r"/>
              <c:showLegendKey val="0"/>
              <c:showVal val="1"/>
              <c:showCatName val="0"/>
              <c:showSerName val="0"/>
              <c:showPercent val="0"/>
              <c:showBubbleSize val="1"/>
              <c:separator>; </c:separator>
              <c:extLst>
                <c:ext xmlns:c15="http://schemas.microsoft.com/office/drawing/2012/chart" uri="{CE6537A1-D6FC-4f65-9D91-7224C49458BB}">
                  <c15:layout/>
                </c:ext>
                <c:ext xmlns:c16="http://schemas.microsoft.com/office/drawing/2014/chart" uri="{C3380CC4-5D6E-409C-BE32-E72D297353CC}">
                  <c16:uniqueId val="{00000005-ECE7-423D-B6CD-C6010AD07AE9}"/>
                </c:ext>
              </c:extLst>
            </c:dLbl>
            <c:dLbl>
              <c:idx val="2"/>
              <c:layout>
                <c:manualLayout>
                  <c:x val="3.6550755479889299E-2"/>
                  <c:y val="4.7031621047369104E-3"/>
                </c:manualLayout>
              </c:layout>
              <c:numFmt formatCode="General" sourceLinked="0"/>
              <c:spPr/>
              <c:txPr>
                <a:bodyPr wrap="square"/>
                <a:lstStyle/>
                <a:p>
                  <a:pPr>
                    <a:defRPr sz="1000" b="0" u="none" strike="noStrike">
                      <a:solidFill>
                        <a:srgbClr val="404040"/>
                      </a:solidFill>
                      <a:uFillTx/>
                      <a:latin typeface="Times New Roman"/>
                    </a:defRPr>
                  </a:pPr>
                  <a:endParaRPr lang="ru-RU"/>
                </a:p>
              </c:txPr>
              <c:dLblPos val="r"/>
              <c:showLegendKey val="0"/>
              <c:showVal val="1"/>
              <c:showCatName val="0"/>
              <c:showSerName val="0"/>
              <c:showPercent val="0"/>
              <c:showBubbleSize val="1"/>
              <c:separator>; </c:separator>
              <c:extLst>
                <c:ext xmlns:c15="http://schemas.microsoft.com/office/drawing/2012/chart" uri="{CE6537A1-D6FC-4f65-9D91-7224C49458BB}">
                  <c15:layout/>
                </c:ext>
                <c:ext xmlns:c16="http://schemas.microsoft.com/office/drawing/2014/chart" uri="{C3380CC4-5D6E-409C-BE32-E72D297353CC}">
                  <c16:uniqueId val="{00000006-ECE7-423D-B6CD-C6010AD07AE9}"/>
                </c:ext>
              </c:extLst>
            </c:dLbl>
            <c:dLbl>
              <c:idx val="3"/>
              <c:layout>
                <c:manualLayout>
                  <c:x val="2.3809523809523701E-2"/>
                  <c:y val="0"/>
                </c:manualLayout>
              </c:layout>
              <c:numFmt formatCode="General" sourceLinked="0"/>
              <c:spPr/>
              <c:txPr>
                <a:bodyPr wrap="square"/>
                <a:lstStyle/>
                <a:p>
                  <a:pPr>
                    <a:defRPr sz="1000" b="0" u="none" strike="noStrike">
                      <a:solidFill>
                        <a:srgbClr val="404040"/>
                      </a:solidFill>
                      <a:uFillTx/>
                      <a:latin typeface="Times New Roman"/>
                    </a:defRPr>
                  </a:pPr>
                  <a:endParaRPr lang="ru-RU"/>
                </a:p>
              </c:txPr>
              <c:dLblPos val="r"/>
              <c:showLegendKey val="0"/>
              <c:showVal val="1"/>
              <c:showCatName val="0"/>
              <c:showSerName val="0"/>
              <c:showPercent val="0"/>
              <c:showBubbleSize val="1"/>
              <c:separator>; </c:separator>
              <c:extLst>
                <c:ext xmlns:c15="http://schemas.microsoft.com/office/drawing/2012/chart" uri="{CE6537A1-D6FC-4f65-9D91-7224C49458BB}">
                  <c15:layout/>
                </c:ext>
                <c:ext xmlns:c16="http://schemas.microsoft.com/office/drawing/2014/chart" uri="{C3380CC4-5D6E-409C-BE32-E72D297353CC}">
                  <c16:uniqueId val="{00000007-ECE7-423D-B6CD-C6010AD07AE9}"/>
                </c:ext>
              </c:extLst>
            </c:dLbl>
            <c:dLbl>
              <c:idx val="4"/>
              <c:layout>
                <c:manualLayout>
                  <c:x val="3.0044406611335599E-2"/>
                  <c:y val="3.52747573220009E-3"/>
                </c:manualLayout>
              </c:layout>
              <c:numFmt formatCode="General" sourceLinked="0"/>
              <c:spPr/>
              <c:txPr>
                <a:bodyPr wrap="square"/>
                <a:lstStyle/>
                <a:p>
                  <a:pPr>
                    <a:defRPr sz="1000" b="0" u="none" strike="noStrike">
                      <a:solidFill>
                        <a:srgbClr val="404040"/>
                      </a:solidFill>
                      <a:uFillTx/>
                      <a:latin typeface="Times New Roman"/>
                    </a:defRPr>
                  </a:pPr>
                  <a:endParaRPr lang="ru-RU"/>
                </a:p>
              </c:txPr>
              <c:dLblPos val="r"/>
              <c:showLegendKey val="0"/>
              <c:showVal val="1"/>
              <c:showCatName val="0"/>
              <c:showSerName val="0"/>
              <c:showPercent val="0"/>
              <c:showBubbleSize val="1"/>
              <c:separator>; </c:separator>
              <c:extLst>
                <c:ext xmlns:c15="http://schemas.microsoft.com/office/drawing/2012/chart" uri="{CE6537A1-D6FC-4f65-9D91-7224C49458BB}">
                  <c15:layout/>
                </c:ext>
                <c:ext xmlns:c16="http://schemas.microsoft.com/office/drawing/2014/chart" uri="{C3380CC4-5D6E-409C-BE32-E72D297353CC}">
                  <c16:uniqueId val="{00000008-ECE7-423D-B6CD-C6010AD07AE9}"/>
                </c:ext>
              </c:extLst>
            </c:dLbl>
            <c:numFmt formatCode="General" sourceLinked="0"/>
            <c:spPr>
              <a:noFill/>
              <a:ln>
                <a:noFill/>
              </a:ln>
              <a:effectLst/>
            </c:spPr>
            <c:txPr>
              <a:bodyPr wrap="square"/>
              <a:lstStyle/>
              <a:p>
                <a:pPr>
                  <a:defRPr sz="1000" b="0" u="none" strike="noStrike">
                    <a:solidFill>
                      <a:srgbClr val="404040"/>
                    </a:solidFill>
                    <a:uFillTx/>
                    <a:latin typeface="Times New Roman"/>
                    <a:ea typeface="Arial"/>
                  </a:defRPr>
                </a:pPr>
                <a:endParaRPr lang="ru-RU"/>
              </a:p>
            </c:txPr>
            <c:dLblPos val="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15:leaderLines>
                  <c:spPr>
                    <a:ln w="28440">
                      <a:solidFill>
                        <a:srgbClr val="000000"/>
                      </a:solidFill>
                    </a:ln>
                  </c:spPr>
                </c15:leaderLines>
              </c:ext>
            </c:extLst>
          </c:dLbls>
          <c:cat>
            <c:strRef>
              <c:f>categories</c:f>
              <c:strCache>
                <c:ptCount val="5"/>
                <c:pt idx="0">
                  <c:v>2020</c:v>
                </c:pt>
                <c:pt idx="1">
                  <c:v>2021</c:v>
                </c:pt>
                <c:pt idx="2">
                  <c:v>2022</c:v>
                </c:pt>
                <c:pt idx="3">
                  <c:v>2023</c:v>
                </c:pt>
                <c:pt idx="4">
                  <c:v>2024</c:v>
                </c:pt>
              </c:strCache>
            </c:strRef>
          </c:cat>
          <c:val>
            <c:numRef>
              <c:f>2</c:f>
              <c:numCache>
                <c:formatCode>General</c:formatCode>
                <c:ptCount val="5"/>
                <c:pt idx="0">
                  <c:v>207</c:v>
                </c:pt>
                <c:pt idx="1">
                  <c:v>200</c:v>
                </c:pt>
                <c:pt idx="2">
                  <c:v>182</c:v>
                </c:pt>
                <c:pt idx="3">
                  <c:v>189</c:v>
                </c:pt>
                <c:pt idx="4">
                  <c:v>159</c:v>
                </c:pt>
              </c:numCache>
            </c:numRef>
          </c:val>
          <c:smooth val="0"/>
          <c:extLst>
            <c:ext xmlns:c16="http://schemas.microsoft.com/office/drawing/2014/chart" uri="{C3380CC4-5D6E-409C-BE32-E72D297353CC}">
              <c16:uniqueId val="{00000009-ECE7-423D-B6CD-C6010AD07AE9}"/>
            </c:ext>
          </c:extLst>
        </c:ser>
        <c:dLbls>
          <c:showLegendKey val="0"/>
          <c:showVal val="0"/>
          <c:showCatName val="0"/>
          <c:showSerName val="0"/>
          <c:showPercent val="0"/>
          <c:showBubbleSize val="0"/>
        </c:dLbls>
        <c:hiLowLines>
          <c:spPr>
            <a:ln w="0">
              <a:noFill/>
            </a:ln>
          </c:spPr>
        </c:hiLowLines>
        <c:marker val="1"/>
        <c:smooth val="0"/>
        <c:axId val="30851480"/>
        <c:axId val="50573123"/>
      </c:lineChart>
      <c:catAx>
        <c:axId val="92993353"/>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sz="1000" b="1" u="none" strike="noStrike">
                <a:solidFill>
                  <a:srgbClr val="002060"/>
                </a:solidFill>
                <a:uFillTx/>
                <a:latin typeface="Times New Roman"/>
                <a:ea typeface="Arial"/>
              </a:defRPr>
            </a:pPr>
            <a:endParaRPr lang="ru-RU"/>
          </a:p>
        </c:txPr>
        <c:crossAx val="78455181"/>
        <c:crosses val="autoZero"/>
        <c:auto val="1"/>
        <c:lblAlgn val="ctr"/>
        <c:lblOffset val="100"/>
        <c:noMultiLvlLbl val="0"/>
      </c:catAx>
      <c:valAx>
        <c:axId val="78455181"/>
        <c:scaling>
          <c:orientation val="minMax"/>
        </c:scaling>
        <c:delete val="0"/>
        <c:axPos val="l"/>
        <c:numFmt formatCode="&quot;Основной&quot;" sourceLinked="0"/>
        <c:majorTickMark val="none"/>
        <c:minorTickMark val="none"/>
        <c:tickLblPos val="none"/>
        <c:spPr>
          <a:ln w="9360">
            <a:noFill/>
          </a:ln>
        </c:spPr>
        <c:txPr>
          <a:bodyPr/>
          <a:lstStyle/>
          <a:p>
            <a:pPr>
              <a:defRPr sz="1200" b="0" u="none" strike="noStrike">
                <a:solidFill>
                  <a:srgbClr val="595959"/>
                </a:solidFill>
                <a:uFillTx/>
                <a:latin typeface="Times New Roman"/>
                <a:ea typeface="Arial"/>
              </a:defRPr>
            </a:pPr>
            <a:endParaRPr lang="ru-RU"/>
          </a:p>
        </c:txPr>
        <c:crossAx val="92993353"/>
        <c:crosses val="autoZero"/>
        <c:crossBetween val="between"/>
      </c:valAx>
      <c:catAx>
        <c:axId val="30851480"/>
        <c:scaling>
          <c:orientation val="minMax"/>
        </c:scaling>
        <c:delete val="1"/>
        <c:axPos val="b"/>
        <c:numFmt formatCode="General" sourceLinked="1"/>
        <c:majorTickMark val="none"/>
        <c:minorTickMark val="none"/>
        <c:tickLblPos val="nextTo"/>
        <c:crossAx val="50573123"/>
        <c:crosses val="autoZero"/>
        <c:auto val="1"/>
        <c:lblAlgn val="ctr"/>
        <c:lblOffset val="100"/>
        <c:noMultiLvlLbl val="0"/>
      </c:catAx>
      <c:valAx>
        <c:axId val="50573123"/>
        <c:scaling>
          <c:orientation val="minMax"/>
        </c:scaling>
        <c:delete val="0"/>
        <c:axPos val="r"/>
        <c:numFmt formatCode="General" sourceLinked="0"/>
        <c:majorTickMark val="none"/>
        <c:minorTickMark val="none"/>
        <c:tickLblPos val="none"/>
        <c:spPr>
          <a:ln w="9360">
            <a:noFill/>
          </a:ln>
        </c:spPr>
        <c:txPr>
          <a:bodyPr/>
          <a:lstStyle/>
          <a:p>
            <a:pPr>
              <a:defRPr sz="1200" b="0" u="none" strike="noStrike">
                <a:solidFill>
                  <a:srgbClr val="595959"/>
                </a:solidFill>
                <a:uFillTx/>
                <a:latin typeface="Times New Roman"/>
                <a:ea typeface="Arial"/>
              </a:defRPr>
            </a:pPr>
            <a:endParaRPr lang="ru-RU"/>
          </a:p>
        </c:txPr>
        <c:crossAx val="30851480"/>
        <c:crosses val="max"/>
        <c:crossBetween val="between"/>
      </c:valAx>
      <c:spPr>
        <a:noFill/>
        <a:ln w="0">
          <a:noFill/>
        </a:ln>
      </c:spPr>
    </c:plotArea>
    <c:legend>
      <c:legendPos val="b"/>
      <c:layout>
        <c:manualLayout>
          <c:xMode val="edge"/>
          <c:yMode val="edge"/>
          <c:x val="0.1058125"/>
          <c:y val="0.88500000000000001"/>
          <c:w val="0.85492843302706401"/>
          <c:h val="5.4450494499388803E-2"/>
        </c:manualLayout>
      </c:layout>
      <c:overlay val="0"/>
      <c:spPr>
        <a:noFill/>
        <a:ln w="0">
          <a:noFill/>
        </a:ln>
      </c:spPr>
      <c:txPr>
        <a:bodyPr/>
        <a:lstStyle/>
        <a:p>
          <a:pPr>
            <a:defRPr sz="1050" b="1" u="none" strike="noStrike">
              <a:solidFill>
                <a:srgbClr val="002060"/>
              </a:solidFill>
              <a:uFillTx/>
              <a:latin typeface="Times New Roman"/>
              <a:ea typeface="Arial"/>
            </a:defRPr>
          </a:pPr>
          <a:endParaRPr lang="ru-RU"/>
        </a:p>
      </c:txPr>
    </c:legend>
    <c:plotVisOnly val="1"/>
    <c:dispBlanksAs val="gap"/>
    <c:showDLblsOverMax val="1"/>
  </c:chart>
  <c:spPr>
    <a:solidFill>
      <a:srgbClr val="FFFFFF"/>
    </a:solidFill>
    <a:ln w="9360">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0"/>
  <c:style val="2"/>
  <c:chart>
    <c:title>
      <c:tx>
        <c:rich>
          <a:bodyPr rot="0"/>
          <a:lstStyle/>
          <a:p>
            <a:pPr>
              <a:defRPr sz="1300" b="0" u="none" strike="noStrike">
                <a:uFillTx/>
                <a:latin typeface="Arial"/>
              </a:defRPr>
            </a:pPr>
            <a:r>
              <a:rPr lang="ru-RU" sz="1102" b="1" u="none" strike="noStrike">
                <a:solidFill>
                  <a:srgbClr val="000000"/>
                </a:solidFill>
                <a:uFillTx/>
                <a:latin typeface="Times New Roman"/>
                <a:ea typeface="Arial"/>
              </a:rPr>
              <a:t>Стаж работы в Совете директоров</a:t>
            </a:r>
          </a:p>
        </c:rich>
      </c:tx>
      <c:layout>
        <c:manualLayout>
          <c:xMode val="edge"/>
          <c:yMode val="edge"/>
          <c:x val="8.1159420289855094E-2"/>
          <c:y val="6.22018348623853E-2"/>
        </c:manualLayout>
      </c:layout>
      <c:overlay val="0"/>
      <c:spPr>
        <a:noFill/>
        <a:ln w="25560">
          <a:noFill/>
        </a:ln>
      </c:spPr>
    </c:title>
    <c:autoTitleDeleted val="0"/>
    <c:plotArea>
      <c:layout/>
      <c:pieChart>
        <c:varyColors val="1"/>
        <c:ser>
          <c:idx val="0"/>
          <c:order val="0"/>
          <c:tx>
            <c:strRef>
              <c:f>label 0</c:f>
              <c:strCache>
                <c:ptCount val="1"/>
                <c:pt idx="0">
                  <c:v>Столбец1</c:v>
                </c:pt>
              </c:strCache>
            </c:strRef>
          </c:tx>
          <c:spPr>
            <a:solidFill>
              <a:srgbClr val="4F81BD"/>
            </a:solidFill>
            <a:ln w="0">
              <a:noFill/>
            </a:ln>
          </c:spPr>
          <c:dPt>
            <c:idx val="0"/>
            <c:bubble3D val="0"/>
            <c:spPr>
              <a:solidFill>
                <a:srgbClr val="3E6595"/>
              </a:solidFill>
              <a:ln w="0">
                <a:noFill/>
              </a:ln>
            </c:spPr>
            <c:extLst>
              <c:ext xmlns:c16="http://schemas.microsoft.com/office/drawing/2014/chart" uri="{C3380CC4-5D6E-409C-BE32-E72D297353CC}">
                <c16:uniqueId val="{00000001-7CE3-4066-97E1-08585F66D2C9}"/>
              </c:ext>
            </c:extLst>
          </c:dPt>
          <c:dPt>
            <c:idx val="1"/>
            <c:bubble3D val="0"/>
            <c:spPr>
              <a:solidFill>
                <a:srgbClr val="4978B1"/>
              </a:solidFill>
              <a:ln w="0">
                <a:noFill/>
              </a:ln>
            </c:spPr>
            <c:extLst>
              <c:ext xmlns:c16="http://schemas.microsoft.com/office/drawing/2014/chart" uri="{C3380CC4-5D6E-409C-BE32-E72D297353CC}">
                <c16:uniqueId val="{00000003-7CE3-4066-97E1-08585F66D2C9}"/>
              </c:ext>
            </c:extLst>
          </c:dPt>
          <c:dPt>
            <c:idx val="2"/>
            <c:bubble3D val="0"/>
            <c:spPr>
              <a:solidFill>
                <a:srgbClr val="7E9BC7"/>
              </a:solidFill>
              <a:ln w="0">
                <a:noFill/>
              </a:ln>
            </c:spPr>
            <c:extLst>
              <c:ext xmlns:c16="http://schemas.microsoft.com/office/drawing/2014/chart" uri="{C3380CC4-5D6E-409C-BE32-E72D297353CC}">
                <c16:uniqueId val="{00000005-7CE3-4066-97E1-08585F66D2C9}"/>
              </c:ext>
            </c:extLst>
          </c:dPt>
          <c:dPt>
            <c:idx val="3"/>
            <c:bubble3D val="0"/>
            <c:spPr>
              <a:solidFill>
                <a:srgbClr val="B5C3DB"/>
              </a:solidFill>
              <a:ln w="0">
                <a:noFill/>
              </a:ln>
            </c:spPr>
            <c:extLst>
              <c:ext xmlns:c16="http://schemas.microsoft.com/office/drawing/2014/chart" uri="{C3380CC4-5D6E-409C-BE32-E72D297353CC}">
                <c16:uniqueId val="{00000007-7CE3-4066-97E1-08585F66D2C9}"/>
              </c:ext>
            </c:extLst>
          </c:dPt>
          <c:dLbls>
            <c:dLbl>
              <c:idx val="0"/>
              <c:layout/>
              <c:numFmt formatCode="General" sourceLinked="0"/>
              <c:spPr/>
              <c:txPr>
                <a:bodyPr wrap="square"/>
                <a:lstStyle/>
                <a:p>
                  <a:pPr>
                    <a:defRPr sz="902" b="0" u="none" strike="noStrike">
                      <a:solidFill>
                        <a:srgbClr val="FFFFFF"/>
                      </a:solidFill>
                      <a:uFillTx/>
                      <a:latin typeface="Arial"/>
                    </a:defRPr>
                  </a:pPr>
                  <a:endParaRPr lang="ru-RU"/>
                </a:p>
              </c:txPr>
              <c:dLblPos val="ctr"/>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1-7CE3-4066-97E1-08585F66D2C9}"/>
                </c:ext>
              </c:extLst>
            </c:dLbl>
            <c:dLbl>
              <c:idx val="1"/>
              <c:layout/>
              <c:numFmt formatCode="General" sourceLinked="0"/>
              <c:spPr/>
              <c:txPr>
                <a:bodyPr wrap="square"/>
                <a:lstStyle/>
                <a:p>
                  <a:pPr>
                    <a:defRPr sz="902" b="0" u="none" strike="noStrike">
                      <a:solidFill>
                        <a:srgbClr val="FFFFFF"/>
                      </a:solidFill>
                      <a:uFillTx/>
                      <a:latin typeface="Arial"/>
                    </a:defRPr>
                  </a:pPr>
                  <a:endParaRPr lang="ru-RU"/>
                </a:p>
              </c:txPr>
              <c:dLblPos val="ctr"/>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3-7CE3-4066-97E1-08585F66D2C9}"/>
                </c:ext>
              </c:extLst>
            </c:dLbl>
            <c:dLbl>
              <c:idx val="2"/>
              <c:layout/>
              <c:numFmt formatCode="General" sourceLinked="0"/>
              <c:spPr/>
              <c:txPr>
                <a:bodyPr wrap="square"/>
                <a:lstStyle/>
                <a:p>
                  <a:pPr>
                    <a:defRPr sz="902" b="0" u="none" strike="noStrike">
                      <a:solidFill>
                        <a:srgbClr val="FFFFFF"/>
                      </a:solidFill>
                      <a:uFillTx/>
                      <a:latin typeface="Arial"/>
                    </a:defRPr>
                  </a:pPr>
                  <a:endParaRPr lang="ru-RU"/>
                </a:p>
              </c:txPr>
              <c:dLblPos val="ctr"/>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5-7CE3-4066-97E1-08585F66D2C9}"/>
                </c:ext>
              </c:extLst>
            </c:dLbl>
            <c:dLbl>
              <c:idx val="3"/>
              <c:layout/>
              <c:numFmt formatCode="General" sourceLinked="0"/>
              <c:spPr/>
              <c:txPr>
                <a:bodyPr wrap="square"/>
                <a:lstStyle/>
                <a:p>
                  <a:pPr>
                    <a:defRPr sz="902" b="0" u="none" strike="noStrike">
                      <a:solidFill>
                        <a:srgbClr val="FFFFFF"/>
                      </a:solidFill>
                      <a:uFillTx/>
                      <a:latin typeface="Arial"/>
                    </a:defRPr>
                  </a:pPr>
                  <a:endParaRPr lang="ru-RU"/>
                </a:p>
              </c:txPr>
              <c:dLblPos val="ctr"/>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7-7CE3-4066-97E1-08585F66D2C9}"/>
                </c:ext>
              </c:extLst>
            </c:dLbl>
            <c:numFmt formatCode="General" sourceLinked="0"/>
            <c:spPr>
              <a:noFill/>
              <a:ln>
                <a:noFill/>
              </a:ln>
              <a:effectLst/>
            </c:spPr>
            <c:txPr>
              <a:bodyPr wrap="square"/>
              <a:lstStyle/>
              <a:p>
                <a:pPr>
                  <a:defRPr sz="902" b="0" u="none" strike="noStrike">
                    <a:solidFill>
                      <a:srgbClr val="FFFFFF"/>
                    </a:solidFill>
                    <a:uFillTx/>
                    <a:latin typeface="Arial"/>
                    <a:ea typeface="Arial"/>
                  </a:defRPr>
                </a:pPr>
                <a:endParaRPr lang="ru-RU"/>
              </a:p>
            </c:txPr>
            <c:dLblPos val="ctr"/>
            <c:showLegendKey val="0"/>
            <c:showVal val="1"/>
            <c:showCatName val="0"/>
            <c:showSerName val="0"/>
            <c:showPercent val="0"/>
            <c:showBubbleSize val="1"/>
            <c:separator>; </c:separator>
            <c:showLeaderLines val="1"/>
            <c:leaderLines>
              <c:spPr>
                <a:ln>
                  <a:solidFill>
                    <a:srgbClr val="A6A6A6"/>
                  </a:solidFill>
                </a:ln>
              </c:spPr>
            </c:leaderLines>
            <c:extLst>
              <c:ext xmlns:c15="http://schemas.microsoft.com/office/drawing/2012/chart" uri="{CE6537A1-D6FC-4f65-9D91-7224C49458BB}"/>
            </c:extLst>
          </c:dLbls>
          <c:cat>
            <c:strRef>
              <c:f>categories</c:f>
              <c:strCache>
                <c:ptCount val="4"/>
                <c:pt idx="0">
                  <c:v>до 1 года</c:v>
                </c:pt>
                <c:pt idx="1">
                  <c:v>от 1 года до 3 лет</c:v>
                </c:pt>
                <c:pt idx="2">
                  <c:v>от 3 лет до 5 лет</c:v>
                </c:pt>
                <c:pt idx="3">
                  <c:v>свыше 5 лет</c:v>
                </c:pt>
              </c:strCache>
            </c:strRef>
          </c:cat>
          <c:val>
            <c:numRef>
              <c:f>0</c:f>
              <c:numCache>
                <c:formatCode>General</c:formatCode>
                <c:ptCount val="4"/>
                <c:pt idx="0">
                  <c:v>1</c:v>
                </c:pt>
                <c:pt idx="1">
                  <c:v>7</c:v>
                </c:pt>
                <c:pt idx="2">
                  <c:v>2</c:v>
                </c:pt>
                <c:pt idx="3">
                  <c:v>1</c:v>
                </c:pt>
              </c:numCache>
            </c:numRef>
          </c:val>
          <c:extLst>
            <c:ext xmlns:c16="http://schemas.microsoft.com/office/drawing/2014/chart" uri="{C3380CC4-5D6E-409C-BE32-E72D297353CC}">
              <c16:uniqueId val="{00000008-7CE3-4066-97E1-08585F66D2C9}"/>
            </c:ext>
          </c:extLst>
        </c:ser>
        <c:dLbls>
          <c:showLegendKey val="0"/>
          <c:showVal val="0"/>
          <c:showCatName val="0"/>
          <c:showSerName val="0"/>
          <c:showPercent val="0"/>
          <c:showBubbleSize val="0"/>
          <c:showLeaderLines val="1"/>
        </c:dLbls>
        <c:firstSliceAng val="0"/>
      </c:pieChart>
      <c:spPr>
        <a:noFill/>
        <a:ln w="25560">
          <a:noFill/>
        </a:ln>
      </c:spPr>
    </c:plotArea>
    <c:legend>
      <c:legendPos val="r"/>
      <c:layout>
        <c:manualLayout>
          <c:xMode val="edge"/>
          <c:yMode val="edge"/>
          <c:x val="0.59018749999999998"/>
          <c:y val="0.236777777777778"/>
          <c:w val="0.380773798362398"/>
          <c:h val="0.62851427936437398"/>
        </c:manualLayout>
      </c:layout>
      <c:overlay val="0"/>
      <c:spPr>
        <a:noFill/>
        <a:ln w="25560">
          <a:noFill/>
        </a:ln>
      </c:spPr>
      <c:txPr>
        <a:bodyPr/>
        <a:lstStyle/>
        <a:p>
          <a:pPr>
            <a:defRPr sz="1000" b="0" u="none" strike="noStrike">
              <a:solidFill>
                <a:srgbClr val="002060"/>
              </a:solidFill>
              <a:uFillTx/>
              <a:latin typeface="Times New Roman"/>
              <a:ea typeface="Arial"/>
            </a:defRPr>
          </a:pPr>
          <a:endParaRPr lang="ru-RU"/>
        </a:p>
      </c:txPr>
    </c:legend>
    <c:plotVisOnly val="1"/>
    <c:dispBlanksAs val="gap"/>
    <c:showDLblsOverMax val="1"/>
  </c:chart>
  <c:spPr>
    <a:solidFill>
      <a:srgbClr val="FFFFFF"/>
    </a:solidFill>
    <a:ln w="9720">
      <a:noFill/>
    </a:ln>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0"/>
  <c:style val="2"/>
  <c:chart>
    <c:title>
      <c:tx>
        <c:rich>
          <a:bodyPr rot="0"/>
          <a:lstStyle/>
          <a:p>
            <a:pPr>
              <a:defRPr sz="1300" b="0" u="none" strike="noStrike">
                <a:uFillTx/>
                <a:latin typeface="Arial"/>
              </a:defRPr>
            </a:pPr>
            <a:r>
              <a:rPr lang="ru-RU" sz="1100" b="1" u="none" strike="noStrike">
                <a:solidFill>
                  <a:srgbClr val="000000"/>
                </a:solidFill>
                <a:uFillTx/>
                <a:latin typeface="Times New Roman"/>
                <a:ea typeface="Arial"/>
              </a:rPr>
              <a:t>Статус директоров</a:t>
            </a:r>
          </a:p>
        </c:rich>
      </c:tx>
      <c:layout>
        <c:manualLayout>
          <c:xMode val="edge"/>
          <c:yMode val="edge"/>
          <c:x val="8.0133986086060302E-2"/>
          <c:y val="5.2723396006978097E-2"/>
        </c:manualLayout>
      </c:layout>
      <c:overlay val="0"/>
      <c:spPr>
        <a:noFill/>
        <a:ln w="0">
          <a:noFill/>
        </a:ln>
      </c:spPr>
    </c:title>
    <c:autoTitleDeleted val="0"/>
    <c:plotArea>
      <c:layout/>
      <c:pieChart>
        <c:varyColors val="1"/>
        <c:ser>
          <c:idx val="0"/>
          <c:order val="0"/>
          <c:tx>
            <c:strRef>
              <c:f>label 0</c:f>
              <c:strCache>
                <c:ptCount val="1"/>
                <c:pt idx="0">
                  <c:v>Столбец1</c:v>
                </c:pt>
              </c:strCache>
            </c:strRef>
          </c:tx>
          <c:spPr>
            <a:solidFill>
              <a:srgbClr val="4F81BD"/>
            </a:solidFill>
            <a:ln w="0">
              <a:noFill/>
            </a:ln>
          </c:spPr>
          <c:dPt>
            <c:idx val="0"/>
            <c:bubble3D val="0"/>
            <c:spPr>
              <a:solidFill>
                <a:srgbClr val="416A9C"/>
              </a:solidFill>
              <a:ln w="0">
                <a:noFill/>
              </a:ln>
            </c:spPr>
            <c:extLst>
              <c:ext xmlns:c16="http://schemas.microsoft.com/office/drawing/2014/chart" uri="{C3380CC4-5D6E-409C-BE32-E72D297353CC}">
                <c16:uniqueId val="{00000001-0D46-48F0-8F3E-C878F1724698}"/>
              </c:ext>
            </c:extLst>
          </c:dPt>
          <c:dPt>
            <c:idx val="1"/>
            <c:bubble3D val="0"/>
            <c:extLst>
              <c:ext xmlns:c16="http://schemas.microsoft.com/office/drawing/2014/chart" uri="{C3380CC4-5D6E-409C-BE32-E72D297353CC}">
                <c16:uniqueId val="{00000003-0D46-48F0-8F3E-C878F1724698}"/>
              </c:ext>
            </c:extLst>
          </c:dPt>
          <c:dPt>
            <c:idx val="2"/>
            <c:bubble3D val="0"/>
            <c:spPr>
              <a:solidFill>
                <a:srgbClr val="AABAD7"/>
              </a:solidFill>
              <a:ln w="0">
                <a:noFill/>
              </a:ln>
            </c:spPr>
            <c:extLst>
              <c:ext xmlns:c16="http://schemas.microsoft.com/office/drawing/2014/chart" uri="{C3380CC4-5D6E-409C-BE32-E72D297353CC}">
                <c16:uniqueId val="{00000005-0D46-48F0-8F3E-C878F1724698}"/>
              </c:ext>
            </c:extLst>
          </c:dPt>
          <c:dLbls>
            <c:dLbl>
              <c:idx val="0"/>
              <c:layout/>
              <c:numFmt formatCode="General" sourceLinked="0"/>
              <c:spPr/>
              <c:txPr>
                <a:bodyPr wrap="square"/>
                <a:lstStyle/>
                <a:p>
                  <a:pPr>
                    <a:defRPr sz="900" b="0" u="none" strike="noStrike">
                      <a:solidFill>
                        <a:srgbClr val="FFFFFF"/>
                      </a:solidFill>
                      <a:uFillTx/>
                      <a:latin typeface="Times New Roman"/>
                    </a:defRPr>
                  </a:pPr>
                  <a:endParaRPr lang="ru-RU"/>
                </a:p>
              </c:txPr>
              <c:dLblPos val="ctr"/>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1-0D46-48F0-8F3E-C878F1724698}"/>
                </c:ext>
              </c:extLst>
            </c:dLbl>
            <c:dLbl>
              <c:idx val="1"/>
              <c:layout/>
              <c:numFmt formatCode="General" sourceLinked="0"/>
              <c:spPr/>
              <c:txPr>
                <a:bodyPr wrap="square"/>
                <a:lstStyle/>
                <a:p>
                  <a:pPr>
                    <a:defRPr sz="900" b="0" u="none" strike="noStrike">
                      <a:solidFill>
                        <a:srgbClr val="FFFFFF"/>
                      </a:solidFill>
                      <a:uFillTx/>
                      <a:latin typeface="Times New Roman"/>
                    </a:defRPr>
                  </a:pPr>
                  <a:endParaRPr lang="ru-RU"/>
                </a:p>
              </c:txPr>
              <c:dLblPos val="ctr"/>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3-0D46-48F0-8F3E-C878F1724698}"/>
                </c:ext>
              </c:extLst>
            </c:dLbl>
            <c:dLbl>
              <c:idx val="2"/>
              <c:layout/>
              <c:numFmt formatCode="General" sourceLinked="0"/>
              <c:spPr/>
              <c:txPr>
                <a:bodyPr wrap="square"/>
                <a:lstStyle/>
                <a:p>
                  <a:pPr>
                    <a:defRPr sz="900" b="0" u="none" strike="noStrike">
                      <a:solidFill>
                        <a:srgbClr val="FFFFFF"/>
                      </a:solidFill>
                      <a:uFillTx/>
                      <a:latin typeface="Times New Roman"/>
                    </a:defRPr>
                  </a:pPr>
                  <a:endParaRPr lang="ru-RU"/>
                </a:p>
              </c:txPr>
              <c:dLblPos val="ctr"/>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5-0D46-48F0-8F3E-C878F1724698}"/>
                </c:ext>
              </c:extLst>
            </c:dLbl>
            <c:numFmt formatCode="General" sourceLinked="0"/>
            <c:spPr>
              <a:noFill/>
              <a:ln>
                <a:noFill/>
              </a:ln>
              <a:effectLst/>
            </c:spPr>
            <c:txPr>
              <a:bodyPr wrap="square"/>
              <a:lstStyle/>
              <a:p>
                <a:pPr>
                  <a:defRPr sz="900" b="0" u="none" strike="noStrike">
                    <a:solidFill>
                      <a:srgbClr val="FFFFFF"/>
                    </a:solidFill>
                    <a:uFillTx/>
                    <a:latin typeface="Times New Roman"/>
                    <a:ea typeface="Arial"/>
                  </a:defRPr>
                </a:pPr>
                <a:endParaRPr lang="ru-RU"/>
              </a:p>
            </c:txPr>
            <c:dLblPos val="ctr"/>
            <c:showLegendKey val="0"/>
            <c:showVal val="1"/>
            <c:showCatName val="0"/>
            <c:showSerName val="0"/>
            <c:showPercent val="0"/>
            <c:showBubbleSize val="1"/>
            <c:separator>; </c:separator>
            <c:showLeaderLines val="1"/>
            <c:leaderLines>
              <c:spPr>
                <a:ln>
                  <a:solidFill>
                    <a:srgbClr val="A6A6A6"/>
                  </a:solidFill>
                </a:ln>
              </c:spPr>
            </c:leaderLines>
            <c:extLst>
              <c:ext xmlns:c15="http://schemas.microsoft.com/office/drawing/2012/chart" uri="{CE6537A1-D6FC-4f65-9D91-7224C49458BB}"/>
            </c:extLst>
          </c:dLbls>
          <c:cat>
            <c:strRef>
              <c:f>categories</c:f>
              <c:strCache>
                <c:ptCount val="3"/>
                <c:pt idx="0">
                  <c:v>Независимый директор</c:v>
                </c:pt>
                <c:pt idx="1">
                  <c:v>Неисполнительный директор</c:v>
                </c:pt>
                <c:pt idx="2">
                  <c:v>Исполнительный директор</c:v>
                </c:pt>
              </c:strCache>
            </c:strRef>
          </c:cat>
          <c:val>
            <c:numRef>
              <c:f>0</c:f>
              <c:numCache>
                <c:formatCode>General</c:formatCode>
                <c:ptCount val="3"/>
                <c:pt idx="0">
                  <c:v>4</c:v>
                </c:pt>
                <c:pt idx="1">
                  <c:v>6</c:v>
                </c:pt>
                <c:pt idx="2">
                  <c:v>1</c:v>
                </c:pt>
              </c:numCache>
            </c:numRef>
          </c:val>
          <c:extLst>
            <c:ext xmlns:c16="http://schemas.microsoft.com/office/drawing/2014/chart" uri="{C3380CC4-5D6E-409C-BE32-E72D297353CC}">
              <c16:uniqueId val="{00000006-0D46-48F0-8F3E-C878F1724698}"/>
            </c:ext>
          </c:extLst>
        </c:ser>
        <c:dLbls>
          <c:showLegendKey val="0"/>
          <c:showVal val="0"/>
          <c:showCatName val="0"/>
          <c:showSerName val="0"/>
          <c:showPercent val="0"/>
          <c:showBubbleSize val="0"/>
          <c:showLeaderLines val="1"/>
        </c:dLbls>
        <c:firstSliceAng val="0"/>
      </c:pieChart>
      <c:spPr>
        <a:noFill/>
        <a:ln w="25560">
          <a:noFill/>
        </a:ln>
      </c:spPr>
    </c:plotArea>
    <c:legend>
      <c:legendPos val="r"/>
      <c:layout>
        <c:manualLayout>
          <c:xMode val="edge"/>
          <c:yMode val="edge"/>
          <c:x val="0.55437499999999995"/>
          <c:y val="0.27700000000000002"/>
          <c:w val="0.40177511094443402"/>
          <c:h val="0.60817868652072504"/>
        </c:manualLayout>
      </c:layout>
      <c:overlay val="0"/>
      <c:spPr>
        <a:noFill/>
        <a:ln w="0">
          <a:noFill/>
        </a:ln>
      </c:spPr>
      <c:txPr>
        <a:bodyPr/>
        <a:lstStyle/>
        <a:p>
          <a:pPr>
            <a:defRPr sz="900" b="0" u="none" strike="noStrike">
              <a:solidFill>
                <a:srgbClr val="002060"/>
              </a:solidFill>
              <a:uFillTx/>
              <a:latin typeface="Times New Roman"/>
              <a:ea typeface="Arial"/>
            </a:defRPr>
          </a:pPr>
          <a:endParaRPr lang="ru-RU"/>
        </a:p>
      </c:txPr>
    </c:legend>
    <c:plotVisOnly val="1"/>
    <c:dispBlanksAs val="gap"/>
    <c:showDLblsOverMax val="1"/>
  </c:chart>
  <c:spPr>
    <a:solidFill>
      <a:srgbClr val="FFFFFF"/>
    </a:solidFill>
    <a:ln w="9360">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0"/>
  <c:style val="2"/>
  <c:chart>
    <c:title>
      <c:tx>
        <c:rich>
          <a:bodyPr rot="0"/>
          <a:lstStyle/>
          <a:p>
            <a:pPr>
              <a:defRPr sz="1300" b="0" u="none" strike="noStrike">
                <a:uFillTx/>
                <a:latin typeface="Arial"/>
              </a:defRPr>
            </a:pPr>
            <a:r>
              <a:rPr lang="ru-RU" sz="1105" b="1" u="none" strike="noStrike">
                <a:solidFill>
                  <a:srgbClr val="000000"/>
                </a:solidFill>
                <a:uFillTx/>
                <a:latin typeface="Times New Roman"/>
                <a:ea typeface="Arial"/>
              </a:rPr>
              <a:t>Пол директоров</a:t>
            </a:r>
          </a:p>
        </c:rich>
      </c:tx>
      <c:layout>
        <c:manualLayout>
          <c:xMode val="edge"/>
          <c:yMode val="edge"/>
          <c:x val="0.13054092252344901"/>
          <c:y val="3.85244412138833E-2"/>
        </c:manualLayout>
      </c:layout>
      <c:overlay val="0"/>
      <c:spPr>
        <a:noFill/>
        <a:ln w="25560">
          <a:noFill/>
        </a:ln>
      </c:spPr>
    </c:title>
    <c:autoTitleDeleted val="0"/>
    <c:plotArea>
      <c:layout/>
      <c:pieChart>
        <c:varyColors val="1"/>
        <c:ser>
          <c:idx val="0"/>
          <c:order val="0"/>
          <c:tx>
            <c:strRef>
              <c:f>label 0</c:f>
              <c:strCache>
                <c:ptCount val="1"/>
                <c:pt idx="0">
                  <c:v>Ряд1</c:v>
                </c:pt>
              </c:strCache>
            </c:strRef>
          </c:tx>
          <c:spPr>
            <a:solidFill>
              <a:srgbClr val="4F81BD"/>
            </a:solidFill>
            <a:ln w="0">
              <a:noFill/>
            </a:ln>
          </c:spPr>
          <c:dPt>
            <c:idx val="0"/>
            <c:bubble3D val="0"/>
            <c:spPr>
              <a:solidFill>
                <a:srgbClr val="4672A7"/>
              </a:solidFill>
              <a:ln w="0">
                <a:noFill/>
              </a:ln>
            </c:spPr>
            <c:extLst>
              <c:ext xmlns:c16="http://schemas.microsoft.com/office/drawing/2014/chart" uri="{C3380CC4-5D6E-409C-BE32-E72D297353CC}">
                <c16:uniqueId val="{00000001-2D72-4FB6-B16D-D847C2592A99}"/>
              </c:ext>
            </c:extLst>
          </c:dPt>
          <c:dPt>
            <c:idx val="1"/>
            <c:bubble3D val="0"/>
            <c:spPr>
              <a:solidFill>
                <a:srgbClr val="93A9CE"/>
              </a:solidFill>
              <a:ln w="0">
                <a:noFill/>
              </a:ln>
            </c:spPr>
            <c:extLst>
              <c:ext xmlns:c16="http://schemas.microsoft.com/office/drawing/2014/chart" uri="{C3380CC4-5D6E-409C-BE32-E72D297353CC}">
                <c16:uniqueId val="{00000003-2D72-4FB6-B16D-D847C2592A99}"/>
              </c:ext>
            </c:extLst>
          </c:dPt>
          <c:dLbls>
            <c:dLbl>
              <c:idx val="0"/>
              <c:layout/>
              <c:numFmt formatCode="General" sourceLinked="0"/>
              <c:spPr/>
              <c:txPr>
                <a:bodyPr wrap="square"/>
                <a:lstStyle/>
                <a:p>
                  <a:pPr>
                    <a:defRPr sz="904" b="0" u="none" strike="noStrike">
                      <a:solidFill>
                        <a:srgbClr val="FFFFFF"/>
                      </a:solidFill>
                      <a:uFillTx/>
                      <a:latin typeface="Times New Roman"/>
                    </a:defRPr>
                  </a:pPr>
                  <a:endParaRPr lang="ru-RU"/>
                </a:p>
              </c:txPr>
              <c:dLblPos val="ctr"/>
              <c:showLegendKey val="0"/>
              <c:showVal val="1"/>
              <c:showCatName val="0"/>
              <c:showSerName val="0"/>
              <c:showPercent val="0"/>
              <c:showBubbleSize val="1"/>
              <c:separator>; </c:separator>
              <c:extLst>
                <c:ext xmlns:c15="http://schemas.microsoft.com/office/drawing/2012/chart" uri="{CE6537A1-D6FC-4f65-9D91-7224C49458BB}">
                  <c15:layout/>
                </c:ext>
                <c:ext xmlns:c16="http://schemas.microsoft.com/office/drawing/2014/chart" uri="{C3380CC4-5D6E-409C-BE32-E72D297353CC}">
                  <c16:uniqueId val="{00000001-2D72-4FB6-B16D-D847C2592A99}"/>
                </c:ext>
              </c:extLst>
            </c:dLbl>
            <c:dLbl>
              <c:idx val="1"/>
              <c:layout/>
              <c:numFmt formatCode="General" sourceLinked="0"/>
              <c:spPr/>
              <c:txPr>
                <a:bodyPr wrap="square"/>
                <a:lstStyle/>
                <a:p>
                  <a:pPr>
                    <a:defRPr sz="904" b="0" u="none" strike="noStrike">
                      <a:solidFill>
                        <a:srgbClr val="FFFFFF"/>
                      </a:solidFill>
                      <a:uFillTx/>
                      <a:latin typeface="Times New Roman"/>
                    </a:defRPr>
                  </a:pPr>
                  <a:endParaRPr lang="ru-RU"/>
                </a:p>
              </c:txPr>
              <c:dLblPos val="ctr"/>
              <c:showLegendKey val="0"/>
              <c:showVal val="1"/>
              <c:showCatName val="0"/>
              <c:showSerName val="0"/>
              <c:showPercent val="0"/>
              <c:showBubbleSize val="1"/>
              <c:separator>; </c:separator>
              <c:extLst>
                <c:ext xmlns:c15="http://schemas.microsoft.com/office/drawing/2012/chart" uri="{CE6537A1-D6FC-4f65-9D91-7224C49458BB}">
                  <c15:layout/>
                </c:ext>
                <c:ext xmlns:c16="http://schemas.microsoft.com/office/drawing/2014/chart" uri="{C3380CC4-5D6E-409C-BE32-E72D297353CC}">
                  <c16:uniqueId val="{00000003-2D72-4FB6-B16D-D847C2592A99}"/>
                </c:ext>
              </c:extLst>
            </c:dLbl>
            <c:numFmt formatCode="General" sourceLinked="0"/>
            <c:spPr>
              <a:noFill/>
              <a:ln>
                <a:noFill/>
              </a:ln>
              <a:effectLst/>
            </c:spPr>
            <c:txPr>
              <a:bodyPr wrap="square"/>
              <a:lstStyle/>
              <a:p>
                <a:pPr>
                  <a:defRPr sz="904" b="0" u="none" strike="noStrike">
                    <a:solidFill>
                      <a:srgbClr val="FFFFFF"/>
                    </a:solidFill>
                    <a:uFillTx/>
                    <a:latin typeface="Times New Roman"/>
                    <a:ea typeface="Arial"/>
                  </a:defRPr>
                </a:pPr>
                <a:endParaRPr lang="ru-RU"/>
              </a:p>
            </c:txPr>
            <c:dLblPos val="bestFit"/>
            <c:showLegendKey val="0"/>
            <c:showVal val="1"/>
            <c:showCatName val="0"/>
            <c:showSerName val="0"/>
            <c:showPercent val="0"/>
            <c:showBubbleSize val="1"/>
            <c:separator>; </c:separator>
            <c:showLeaderLines val="1"/>
            <c:leaderLines>
              <c:spPr>
                <a:ln>
                  <a:solidFill>
                    <a:srgbClr val="A6A6A6"/>
                  </a:solidFill>
                </a:ln>
              </c:spPr>
            </c:leaderLines>
            <c:extLst>
              <c:ext xmlns:c15="http://schemas.microsoft.com/office/drawing/2012/chart" uri="{CE6537A1-D6FC-4f65-9D91-7224C49458BB}"/>
            </c:extLst>
          </c:dLbls>
          <c:cat>
            <c:strRef>
              <c:f>categories</c:f>
              <c:strCache>
                <c:ptCount val="2"/>
                <c:pt idx="0">
                  <c:v>Мужчина</c:v>
                </c:pt>
                <c:pt idx="1">
                  <c:v>Женщина</c:v>
                </c:pt>
              </c:strCache>
            </c:strRef>
          </c:cat>
          <c:val>
            <c:numRef>
              <c:f>0</c:f>
              <c:numCache>
                <c:formatCode>General</c:formatCode>
                <c:ptCount val="2"/>
                <c:pt idx="0">
                  <c:v>7</c:v>
                </c:pt>
                <c:pt idx="1">
                  <c:v>4</c:v>
                </c:pt>
              </c:numCache>
            </c:numRef>
          </c:val>
          <c:extLst>
            <c:ext xmlns:c16="http://schemas.microsoft.com/office/drawing/2014/chart" uri="{C3380CC4-5D6E-409C-BE32-E72D297353CC}">
              <c16:uniqueId val="{00000004-2D72-4FB6-B16D-D847C2592A99}"/>
            </c:ext>
          </c:extLst>
        </c:ser>
        <c:dLbls>
          <c:showLegendKey val="0"/>
          <c:showVal val="0"/>
          <c:showCatName val="0"/>
          <c:showSerName val="0"/>
          <c:showPercent val="0"/>
          <c:showBubbleSize val="0"/>
          <c:showLeaderLines val="1"/>
        </c:dLbls>
        <c:firstSliceAng val="0"/>
      </c:pieChart>
      <c:spPr>
        <a:noFill/>
        <a:ln w="25560">
          <a:noFill/>
        </a:ln>
      </c:spPr>
    </c:plotArea>
    <c:legend>
      <c:legendPos val="r"/>
      <c:layout>
        <c:manualLayout>
          <c:xMode val="edge"/>
          <c:yMode val="edge"/>
          <c:x val="0.65087499999999998"/>
          <c:y val="0.43"/>
          <c:w val="0.31333208325520301"/>
          <c:h val="0.279808867651961"/>
        </c:manualLayout>
      </c:layout>
      <c:overlay val="0"/>
      <c:spPr>
        <a:noFill/>
        <a:ln w="25560">
          <a:noFill/>
        </a:ln>
      </c:spPr>
      <c:txPr>
        <a:bodyPr/>
        <a:lstStyle/>
        <a:p>
          <a:pPr>
            <a:defRPr sz="1000" b="0" u="none" strike="noStrike">
              <a:solidFill>
                <a:srgbClr val="002060"/>
              </a:solidFill>
              <a:uFillTx/>
              <a:latin typeface="Times New Roman"/>
              <a:ea typeface="Arial"/>
            </a:defRPr>
          </a:pPr>
          <a:endParaRPr lang="ru-RU"/>
        </a:p>
      </c:txPr>
    </c:legend>
    <c:plotVisOnly val="1"/>
    <c:dispBlanksAs val="gap"/>
    <c:showDLblsOverMax val="1"/>
  </c:chart>
  <c:spPr>
    <a:solidFill>
      <a:srgbClr val="FFFFFF"/>
    </a:solidFill>
    <a:ln w="9720">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0"/>
  <c:style val="2"/>
  <c:chart>
    <c:title>
      <c:tx>
        <c:rich>
          <a:bodyPr rot="0"/>
          <a:lstStyle/>
          <a:p>
            <a:pPr>
              <a:defRPr sz="1300" b="0" u="none" strike="noStrike">
                <a:uFillTx/>
                <a:latin typeface="Arial"/>
              </a:defRPr>
            </a:pPr>
            <a:r>
              <a:rPr lang="ru-RU" sz="1104" b="1" u="none" strike="noStrike">
                <a:solidFill>
                  <a:srgbClr val="000000"/>
                </a:solidFill>
                <a:uFillTx/>
                <a:latin typeface="Times New Roman"/>
                <a:ea typeface="Arial"/>
              </a:rPr>
              <a:t>Возраст директоров</a:t>
            </a:r>
          </a:p>
        </c:rich>
      </c:tx>
      <c:layout>
        <c:manualLayout>
          <c:xMode val="edge"/>
          <c:yMode val="edge"/>
          <c:x val="6.9625000000000006E-2"/>
          <c:y val="4.5210302019640498E-2"/>
        </c:manualLayout>
      </c:layout>
      <c:overlay val="0"/>
      <c:spPr>
        <a:noFill/>
        <a:ln w="0">
          <a:noFill/>
        </a:ln>
      </c:spPr>
    </c:title>
    <c:autoTitleDeleted val="0"/>
    <c:plotArea>
      <c:layout/>
      <c:pieChart>
        <c:varyColors val="1"/>
        <c:ser>
          <c:idx val="0"/>
          <c:order val="0"/>
          <c:tx>
            <c:strRef>
              <c:f>label 0</c:f>
              <c:strCache>
                <c:ptCount val="1"/>
                <c:pt idx="0">
                  <c:v>Возраст директоров</c:v>
                </c:pt>
              </c:strCache>
            </c:strRef>
          </c:tx>
          <c:spPr>
            <a:solidFill>
              <a:srgbClr val="4F81BD"/>
            </a:solidFill>
            <a:ln w="0">
              <a:noFill/>
            </a:ln>
          </c:spPr>
          <c:dPt>
            <c:idx val="0"/>
            <c:bubble3D val="0"/>
            <c:spPr>
              <a:solidFill>
                <a:srgbClr val="3E6595"/>
              </a:solidFill>
              <a:ln w="0">
                <a:noFill/>
              </a:ln>
            </c:spPr>
            <c:extLst>
              <c:ext xmlns:c16="http://schemas.microsoft.com/office/drawing/2014/chart" uri="{C3380CC4-5D6E-409C-BE32-E72D297353CC}">
                <c16:uniqueId val="{00000001-2C2A-42F3-97F2-9F77AB8DA146}"/>
              </c:ext>
            </c:extLst>
          </c:dPt>
          <c:dPt>
            <c:idx val="1"/>
            <c:bubble3D val="0"/>
            <c:spPr>
              <a:solidFill>
                <a:srgbClr val="4978B1"/>
              </a:solidFill>
              <a:ln w="0">
                <a:noFill/>
              </a:ln>
            </c:spPr>
            <c:extLst>
              <c:ext xmlns:c16="http://schemas.microsoft.com/office/drawing/2014/chart" uri="{C3380CC4-5D6E-409C-BE32-E72D297353CC}">
                <c16:uniqueId val="{00000003-2C2A-42F3-97F2-9F77AB8DA146}"/>
              </c:ext>
            </c:extLst>
          </c:dPt>
          <c:dPt>
            <c:idx val="2"/>
            <c:bubble3D val="0"/>
            <c:spPr>
              <a:solidFill>
                <a:srgbClr val="7E9BC7"/>
              </a:solidFill>
              <a:ln w="0">
                <a:noFill/>
              </a:ln>
            </c:spPr>
            <c:extLst>
              <c:ext xmlns:c16="http://schemas.microsoft.com/office/drawing/2014/chart" uri="{C3380CC4-5D6E-409C-BE32-E72D297353CC}">
                <c16:uniqueId val="{00000005-2C2A-42F3-97F2-9F77AB8DA146}"/>
              </c:ext>
            </c:extLst>
          </c:dPt>
          <c:dPt>
            <c:idx val="3"/>
            <c:bubble3D val="0"/>
            <c:spPr>
              <a:solidFill>
                <a:srgbClr val="B5C3DB"/>
              </a:solidFill>
              <a:ln w="0">
                <a:noFill/>
              </a:ln>
            </c:spPr>
            <c:extLst>
              <c:ext xmlns:c16="http://schemas.microsoft.com/office/drawing/2014/chart" uri="{C3380CC4-5D6E-409C-BE32-E72D297353CC}">
                <c16:uniqueId val="{00000007-2C2A-42F3-97F2-9F77AB8DA146}"/>
              </c:ext>
            </c:extLst>
          </c:dPt>
          <c:dLbls>
            <c:dLbl>
              <c:idx val="0"/>
              <c:layout/>
              <c:numFmt formatCode="General" sourceLinked="0"/>
              <c:spPr/>
              <c:txPr>
                <a:bodyPr wrap="square"/>
                <a:lstStyle/>
                <a:p>
                  <a:pPr>
                    <a:defRPr sz="903" b="0" u="none" strike="noStrike">
                      <a:solidFill>
                        <a:srgbClr val="FFFFFF"/>
                      </a:solidFill>
                      <a:uFillTx/>
                      <a:latin typeface="Arial"/>
                    </a:defRPr>
                  </a:pPr>
                  <a:endParaRPr lang="ru-RU"/>
                </a:p>
              </c:txPr>
              <c:dLblPos val="ctr"/>
              <c:showLegendKey val="0"/>
              <c:showVal val="1"/>
              <c:showCatName val="0"/>
              <c:showSerName val="0"/>
              <c:showPercent val="0"/>
              <c:showBubbleSize val="1"/>
              <c:separator>; </c:separator>
              <c:extLst>
                <c:ext xmlns:c15="http://schemas.microsoft.com/office/drawing/2012/chart" uri="{CE6537A1-D6FC-4f65-9D91-7224C49458BB}">
                  <c15:layout/>
                </c:ext>
                <c:ext xmlns:c16="http://schemas.microsoft.com/office/drawing/2014/chart" uri="{C3380CC4-5D6E-409C-BE32-E72D297353CC}">
                  <c16:uniqueId val="{00000001-2C2A-42F3-97F2-9F77AB8DA146}"/>
                </c:ext>
              </c:extLst>
            </c:dLbl>
            <c:dLbl>
              <c:idx val="1"/>
              <c:layout/>
              <c:numFmt formatCode="General" sourceLinked="0"/>
              <c:spPr/>
              <c:txPr>
                <a:bodyPr wrap="square"/>
                <a:lstStyle/>
                <a:p>
                  <a:pPr>
                    <a:defRPr sz="903" b="0" u="none" strike="noStrike">
                      <a:solidFill>
                        <a:srgbClr val="FFFFFF"/>
                      </a:solidFill>
                      <a:uFillTx/>
                      <a:latin typeface="Arial"/>
                    </a:defRPr>
                  </a:pPr>
                  <a:endParaRPr lang="ru-RU"/>
                </a:p>
              </c:txPr>
              <c:dLblPos val="ctr"/>
              <c:showLegendKey val="0"/>
              <c:showVal val="1"/>
              <c:showCatName val="0"/>
              <c:showSerName val="0"/>
              <c:showPercent val="0"/>
              <c:showBubbleSize val="1"/>
              <c:separator>; </c:separator>
              <c:extLst>
                <c:ext xmlns:c15="http://schemas.microsoft.com/office/drawing/2012/chart" uri="{CE6537A1-D6FC-4f65-9D91-7224C49458BB}">
                  <c15:layout/>
                </c:ext>
                <c:ext xmlns:c16="http://schemas.microsoft.com/office/drawing/2014/chart" uri="{C3380CC4-5D6E-409C-BE32-E72D297353CC}">
                  <c16:uniqueId val="{00000003-2C2A-42F3-97F2-9F77AB8DA146}"/>
                </c:ext>
              </c:extLst>
            </c:dLbl>
            <c:dLbl>
              <c:idx val="2"/>
              <c:layout/>
              <c:numFmt formatCode="General" sourceLinked="0"/>
              <c:spPr/>
              <c:txPr>
                <a:bodyPr wrap="square"/>
                <a:lstStyle/>
                <a:p>
                  <a:pPr>
                    <a:defRPr sz="903" b="0" u="none" strike="noStrike">
                      <a:solidFill>
                        <a:srgbClr val="FFFFFF"/>
                      </a:solidFill>
                      <a:uFillTx/>
                      <a:latin typeface="Arial"/>
                    </a:defRPr>
                  </a:pPr>
                  <a:endParaRPr lang="ru-RU"/>
                </a:p>
              </c:txPr>
              <c:dLblPos val="ctr"/>
              <c:showLegendKey val="0"/>
              <c:showVal val="1"/>
              <c:showCatName val="0"/>
              <c:showSerName val="0"/>
              <c:showPercent val="0"/>
              <c:showBubbleSize val="1"/>
              <c:separator>; </c:separator>
              <c:extLst>
                <c:ext xmlns:c15="http://schemas.microsoft.com/office/drawing/2012/chart" uri="{CE6537A1-D6FC-4f65-9D91-7224C49458BB}">
                  <c15:layout/>
                </c:ext>
                <c:ext xmlns:c16="http://schemas.microsoft.com/office/drawing/2014/chart" uri="{C3380CC4-5D6E-409C-BE32-E72D297353CC}">
                  <c16:uniqueId val="{00000005-2C2A-42F3-97F2-9F77AB8DA146}"/>
                </c:ext>
              </c:extLst>
            </c:dLbl>
            <c:dLbl>
              <c:idx val="3"/>
              <c:layout/>
              <c:numFmt formatCode="General" sourceLinked="0"/>
              <c:spPr/>
              <c:txPr>
                <a:bodyPr wrap="square"/>
                <a:lstStyle/>
                <a:p>
                  <a:pPr>
                    <a:defRPr sz="903" b="0" u="none" strike="noStrike">
                      <a:solidFill>
                        <a:srgbClr val="FFFFFF"/>
                      </a:solidFill>
                      <a:uFillTx/>
                      <a:latin typeface="Arial"/>
                    </a:defRPr>
                  </a:pPr>
                  <a:endParaRPr lang="ru-RU"/>
                </a:p>
              </c:txPr>
              <c:dLblPos val="ctr"/>
              <c:showLegendKey val="0"/>
              <c:showVal val="1"/>
              <c:showCatName val="0"/>
              <c:showSerName val="0"/>
              <c:showPercent val="0"/>
              <c:showBubbleSize val="1"/>
              <c:separator>; </c:separator>
              <c:extLst>
                <c:ext xmlns:c15="http://schemas.microsoft.com/office/drawing/2012/chart" uri="{CE6537A1-D6FC-4f65-9D91-7224C49458BB}">
                  <c15:layout/>
                </c:ext>
                <c:ext xmlns:c16="http://schemas.microsoft.com/office/drawing/2014/chart" uri="{C3380CC4-5D6E-409C-BE32-E72D297353CC}">
                  <c16:uniqueId val="{00000007-2C2A-42F3-97F2-9F77AB8DA146}"/>
                </c:ext>
              </c:extLst>
            </c:dLbl>
            <c:spPr>
              <a:noFill/>
              <a:ln>
                <a:noFill/>
              </a:ln>
              <a:effectLst/>
            </c:spPr>
            <c:txPr>
              <a:bodyPr wrap="square"/>
              <a:lstStyle/>
              <a:p>
                <a:pPr>
                  <a:defRPr sz="1000" b="0" u="none" strike="noStrike">
                    <a:solidFill>
                      <a:srgbClr val="000000"/>
                    </a:solidFill>
                    <a:uFillTx/>
                    <a:latin typeface="Arial"/>
                    <a:ea typeface="Arial"/>
                  </a:defRPr>
                </a:pPr>
                <a:endParaRPr lang="ru-RU"/>
              </a:p>
            </c:txPr>
            <c:dLblPos val="bestFit"/>
            <c:showLegendKey val="0"/>
            <c:showVal val="0"/>
            <c:showCatName val="0"/>
            <c:showSerName val="0"/>
            <c:showPercent val="0"/>
            <c:showBubbleSize val="1"/>
            <c:separator>; </c:separator>
            <c:showLeaderLines val="1"/>
            <c:extLst>
              <c:ext xmlns:c15="http://schemas.microsoft.com/office/drawing/2012/chart" uri="{CE6537A1-D6FC-4f65-9D91-7224C49458BB}"/>
            </c:extLst>
          </c:dLbls>
          <c:cat>
            <c:strRef>
              <c:f>categories</c:f>
              <c:strCache>
                <c:ptCount val="4"/>
                <c:pt idx="0">
                  <c:v>До 40 лет</c:v>
                </c:pt>
                <c:pt idx="1">
                  <c:v>От 40 до 50 лет</c:v>
                </c:pt>
                <c:pt idx="2">
                  <c:v>От 50 до 60 лет</c:v>
                </c:pt>
                <c:pt idx="3">
                  <c:v>Старше 60 лет</c:v>
                </c:pt>
              </c:strCache>
            </c:strRef>
          </c:cat>
          <c:val>
            <c:numRef>
              <c:f>0</c:f>
              <c:numCache>
                <c:formatCode>General</c:formatCode>
                <c:ptCount val="4"/>
                <c:pt idx="0">
                  <c:v>2</c:v>
                </c:pt>
                <c:pt idx="1">
                  <c:v>6</c:v>
                </c:pt>
                <c:pt idx="2">
                  <c:v>2</c:v>
                </c:pt>
                <c:pt idx="3">
                  <c:v>1</c:v>
                </c:pt>
              </c:numCache>
            </c:numRef>
          </c:val>
          <c:extLst>
            <c:ext xmlns:c16="http://schemas.microsoft.com/office/drawing/2014/chart" uri="{C3380CC4-5D6E-409C-BE32-E72D297353CC}">
              <c16:uniqueId val="{00000008-2C2A-42F3-97F2-9F77AB8DA146}"/>
            </c:ext>
          </c:extLst>
        </c:ser>
        <c:dLbls>
          <c:showLegendKey val="0"/>
          <c:showVal val="0"/>
          <c:showCatName val="0"/>
          <c:showSerName val="0"/>
          <c:showPercent val="0"/>
          <c:showBubbleSize val="0"/>
          <c:showLeaderLines val="1"/>
        </c:dLbls>
        <c:firstSliceAng val="0"/>
      </c:pieChart>
      <c:spPr>
        <a:noFill/>
        <a:ln w="25560">
          <a:noFill/>
        </a:ln>
      </c:spPr>
    </c:plotArea>
    <c:legend>
      <c:legendPos val="r"/>
      <c:layout>
        <c:manualLayout>
          <c:xMode val="edge"/>
          <c:yMode val="edge"/>
          <c:x val="0.59025000000000005"/>
          <c:y val="0.27400000000000002"/>
          <c:w val="0.35527220451278202"/>
          <c:h val="0.58350927880875703"/>
        </c:manualLayout>
      </c:layout>
      <c:overlay val="0"/>
      <c:spPr>
        <a:noFill/>
        <a:ln w="0">
          <a:noFill/>
        </a:ln>
      </c:spPr>
      <c:txPr>
        <a:bodyPr/>
        <a:lstStyle/>
        <a:p>
          <a:pPr>
            <a:defRPr sz="1000" b="0" u="none" strike="noStrike">
              <a:solidFill>
                <a:srgbClr val="002060"/>
              </a:solidFill>
              <a:uFillTx/>
              <a:latin typeface="Times New Roman"/>
              <a:ea typeface="Arial"/>
            </a:defRPr>
          </a:pPr>
          <a:endParaRPr lang="ru-RU"/>
        </a:p>
      </c:txPr>
    </c:legend>
    <c:plotVisOnly val="1"/>
    <c:dispBlanksAs val="gap"/>
    <c:showDLblsOverMax val="1"/>
  </c:chart>
  <c:spPr>
    <a:solidFill>
      <a:srgbClr val="FFFFFF"/>
    </a:solidFill>
    <a:ln w="9720">
      <a:no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0"/>
  <c:style val="2"/>
  <c:chart>
    <c:title>
      <c:tx>
        <c:rich>
          <a:bodyPr rot="0"/>
          <a:lstStyle/>
          <a:p>
            <a:pPr>
              <a:defRPr sz="1300" b="0" u="none" strike="noStrike">
                <a:uFillTx/>
                <a:latin typeface="Arial"/>
              </a:defRPr>
            </a:pPr>
            <a:r>
              <a:rPr lang="ru-RU" sz="1400" b="0" u="none" strike="noStrike">
                <a:solidFill>
                  <a:srgbClr val="595959"/>
                </a:solidFill>
                <a:uFillTx/>
                <a:latin typeface="Arial"/>
                <a:ea typeface="Arial"/>
              </a:rPr>
              <a:t>Тематика вопросов, рассмотренных Правлением, %</a:t>
            </a:r>
          </a:p>
        </c:rich>
      </c:tx>
      <c:layout/>
      <c:overlay val="0"/>
      <c:spPr>
        <a:noFill/>
        <a:ln w="0">
          <a:noFill/>
        </a:ln>
      </c:spPr>
    </c:title>
    <c:autoTitleDeleted val="0"/>
    <c:plotArea>
      <c:layout>
        <c:manualLayout>
          <c:layoutTarget val="inner"/>
          <c:xMode val="edge"/>
          <c:yMode val="edge"/>
          <c:x val="7.5874999999999998E-2"/>
          <c:y val="0.123444444444444"/>
          <c:w val="0.41525000000000001"/>
          <c:h val="0.85266666666666702"/>
        </c:manualLayout>
      </c:layout>
      <c:doughnutChart>
        <c:varyColors val="1"/>
        <c:ser>
          <c:idx val="0"/>
          <c:order val="0"/>
          <c:tx>
            <c:strRef>
              <c:f>label 0</c:f>
              <c:strCache>
                <c:ptCount val="1"/>
                <c:pt idx="0">
                  <c:v>Тематика вопросов, рассмотренных Правлением, %</c:v>
                </c:pt>
              </c:strCache>
            </c:strRef>
          </c:tx>
          <c:spPr>
            <a:solidFill>
              <a:srgbClr val="4F81BD"/>
            </a:solidFill>
            <a:ln w="0">
              <a:noFill/>
            </a:ln>
          </c:spPr>
          <c:dPt>
            <c:idx val="0"/>
            <c:bubble3D val="0"/>
            <c:spPr>
              <a:solidFill>
                <a:srgbClr val="4F81BD"/>
              </a:solidFill>
              <a:ln w="19080">
                <a:solidFill>
                  <a:srgbClr val="FFFFFF"/>
                </a:solidFill>
                <a:round/>
              </a:ln>
            </c:spPr>
            <c:extLst>
              <c:ext xmlns:c16="http://schemas.microsoft.com/office/drawing/2014/chart" uri="{C3380CC4-5D6E-409C-BE32-E72D297353CC}">
                <c16:uniqueId val="{00000001-78CF-49C1-8A2C-AF3B948E1CD9}"/>
              </c:ext>
            </c:extLst>
          </c:dPt>
          <c:dPt>
            <c:idx val="1"/>
            <c:bubble3D val="0"/>
            <c:spPr>
              <a:solidFill>
                <a:srgbClr val="C0504D"/>
              </a:solidFill>
              <a:ln w="19080">
                <a:solidFill>
                  <a:srgbClr val="FFFFFF"/>
                </a:solidFill>
                <a:round/>
              </a:ln>
            </c:spPr>
            <c:extLst>
              <c:ext xmlns:c16="http://schemas.microsoft.com/office/drawing/2014/chart" uri="{C3380CC4-5D6E-409C-BE32-E72D297353CC}">
                <c16:uniqueId val="{00000003-78CF-49C1-8A2C-AF3B948E1CD9}"/>
              </c:ext>
            </c:extLst>
          </c:dPt>
          <c:dPt>
            <c:idx val="2"/>
            <c:bubble3D val="0"/>
            <c:spPr>
              <a:solidFill>
                <a:srgbClr val="9BBB59"/>
              </a:solidFill>
              <a:ln w="19080">
                <a:solidFill>
                  <a:srgbClr val="FFFFFF"/>
                </a:solidFill>
                <a:round/>
              </a:ln>
            </c:spPr>
            <c:extLst>
              <c:ext xmlns:c16="http://schemas.microsoft.com/office/drawing/2014/chart" uri="{C3380CC4-5D6E-409C-BE32-E72D297353CC}">
                <c16:uniqueId val="{00000005-78CF-49C1-8A2C-AF3B948E1CD9}"/>
              </c:ext>
            </c:extLst>
          </c:dPt>
          <c:dPt>
            <c:idx val="3"/>
            <c:bubble3D val="0"/>
            <c:spPr>
              <a:solidFill>
                <a:srgbClr val="8064A2"/>
              </a:solidFill>
              <a:ln w="19080">
                <a:solidFill>
                  <a:srgbClr val="FFFFFF"/>
                </a:solidFill>
                <a:round/>
              </a:ln>
            </c:spPr>
            <c:extLst>
              <c:ext xmlns:c16="http://schemas.microsoft.com/office/drawing/2014/chart" uri="{C3380CC4-5D6E-409C-BE32-E72D297353CC}">
                <c16:uniqueId val="{00000007-78CF-49C1-8A2C-AF3B948E1CD9}"/>
              </c:ext>
            </c:extLst>
          </c:dPt>
          <c:dPt>
            <c:idx val="4"/>
            <c:bubble3D val="0"/>
            <c:spPr>
              <a:solidFill>
                <a:srgbClr val="4BACC6"/>
              </a:solidFill>
              <a:ln w="19080">
                <a:solidFill>
                  <a:srgbClr val="FFFFFF"/>
                </a:solidFill>
                <a:round/>
              </a:ln>
            </c:spPr>
            <c:extLst>
              <c:ext xmlns:c16="http://schemas.microsoft.com/office/drawing/2014/chart" uri="{C3380CC4-5D6E-409C-BE32-E72D297353CC}">
                <c16:uniqueId val="{00000009-78CF-49C1-8A2C-AF3B948E1CD9}"/>
              </c:ext>
            </c:extLst>
          </c:dPt>
          <c:dPt>
            <c:idx val="5"/>
            <c:bubble3D val="0"/>
            <c:spPr>
              <a:solidFill>
                <a:srgbClr val="F79646"/>
              </a:solidFill>
              <a:ln w="19080">
                <a:solidFill>
                  <a:srgbClr val="FFFFFF"/>
                </a:solidFill>
                <a:round/>
              </a:ln>
            </c:spPr>
            <c:extLst>
              <c:ext xmlns:c16="http://schemas.microsoft.com/office/drawing/2014/chart" uri="{C3380CC4-5D6E-409C-BE32-E72D297353CC}">
                <c16:uniqueId val="{0000000B-78CF-49C1-8A2C-AF3B948E1CD9}"/>
              </c:ext>
            </c:extLst>
          </c:dPt>
          <c:dPt>
            <c:idx val="6"/>
            <c:bubble3D val="0"/>
            <c:spPr>
              <a:solidFill>
                <a:srgbClr val="2C4D75"/>
              </a:solidFill>
              <a:ln w="19080">
                <a:solidFill>
                  <a:srgbClr val="FFFFFF"/>
                </a:solidFill>
                <a:round/>
              </a:ln>
            </c:spPr>
            <c:extLst>
              <c:ext xmlns:c16="http://schemas.microsoft.com/office/drawing/2014/chart" uri="{C3380CC4-5D6E-409C-BE32-E72D297353CC}">
                <c16:uniqueId val="{0000000D-78CF-49C1-8A2C-AF3B948E1CD9}"/>
              </c:ext>
            </c:extLst>
          </c:dPt>
          <c:dLbls>
            <c:dLbl>
              <c:idx val="0"/>
              <c:layout/>
              <c:numFmt formatCode="General" sourceLinked="0"/>
              <c:spPr/>
              <c:txPr>
                <a:bodyPr wrap="square"/>
                <a:lstStyle/>
                <a:p>
                  <a:pPr>
                    <a:defRPr sz="900" b="0" u="none" strike="noStrike">
                      <a:solidFill>
                        <a:srgbClr val="404040"/>
                      </a:solidFill>
                      <a:uFillTx/>
                      <a:latin typeface="Arial"/>
                    </a:defRPr>
                  </a:pPr>
                  <a:endParaRPr lang="ru-RU"/>
                </a:p>
              </c:txPr>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1-78CF-49C1-8A2C-AF3B948E1CD9}"/>
                </c:ext>
              </c:extLst>
            </c:dLbl>
            <c:dLbl>
              <c:idx val="1"/>
              <c:layout/>
              <c:numFmt formatCode="General" sourceLinked="0"/>
              <c:spPr/>
              <c:txPr>
                <a:bodyPr wrap="square"/>
                <a:lstStyle/>
                <a:p>
                  <a:pPr>
                    <a:defRPr sz="900" b="0" u="none" strike="noStrike">
                      <a:solidFill>
                        <a:srgbClr val="404040"/>
                      </a:solidFill>
                      <a:uFillTx/>
                      <a:latin typeface="Arial"/>
                    </a:defRPr>
                  </a:pPr>
                  <a:endParaRPr lang="ru-RU"/>
                </a:p>
              </c:txPr>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3-78CF-49C1-8A2C-AF3B948E1CD9}"/>
                </c:ext>
              </c:extLst>
            </c:dLbl>
            <c:dLbl>
              <c:idx val="2"/>
              <c:layout/>
              <c:numFmt formatCode="General" sourceLinked="0"/>
              <c:spPr/>
              <c:txPr>
                <a:bodyPr wrap="square"/>
                <a:lstStyle/>
                <a:p>
                  <a:pPr>
                    <a:defRPr sz="900" b="0" u="none" strike="noStrike">
                      <a:solidFill>
                        <a:srgbClr val="404040"/>
                      </a:solidFill>
                      <a:uFillTx/>
                      <a:latin typeface="Arial"/>
                    </a:defRPr>
                  </a:pPr>
                  <a:endParaRPr lang="ru-RU"/>
                </a:p>
              </c:txPr>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5-78CF-49C1-8A2C-AF3B948E1CD9}"/>
                </c:ext>
              </c:extLst>
            </c:dLbl>
            <c:dLbl>
              <c:idx val="3"/>
              <c:layout/>
              <c:numFmt formatCode="General" sourceLinked="0"/>
              <c:spPr/>
              <c:txPr>
                <a:bodyPr wrap="square"/>
                <a:lstStyle/>
                <a:p>
                  <a:pPr>
                    <a:defRPr sz="900" b="0" u="none" strike="noStrike">
                      <a:solidFill>
                        <a:srgbClr val="404040"/>
                      </a:solidFill>
                      <a:uFillTx/>
                      <a:latin typeface="Arial"/>
                    </a:defRPr>
                  </a:pPr>
                  <a:endParaRPr lang="ru-RU"/>
                </a:p>
              </c:txPr>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7-78CF-49C1-8A2C-AF3B948E1CD9}"/>
                </c:ext>
              </c:extLst>
            </c:dLbl>
            <c:dLbl>
              <c:idx val="4"/>
              <c:layout/>
              <c:numFmt formatCode="General" sourceLinked="0"/>
              <c:spPr/>
              <c:txPr>
                <a:bodyPr wrap="square"/>
                <a:lstStyle/>
                <a:p>
                  <a:pPr>
                    <a:defRPr sz="900" b="0" u="none" strike="noStrike">
                      <a:solidFill>
                        <a:srgbClr val="404040"/>
                      </a:solidFill>
                      <a:uFillTx/>
                      <a:latin typeface="Arial"/>
                    </a:defRPr>
                  </a:pPr>
                  <a:endParaRPr lang="ru-RU"/>
                </a:p>
              </c:txPr>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9-78CF-49C1-8A2C-AF3B948E1CD9}"/>
                </c:ext>
              </c:extLst>
            </c:dLbl>
            <c:dLbl>
              <c:idx val="5"/>
              <c:layout/>
              <c:numFmt formatCode="General" sourceLinked="0"/>
              <c:spPr/>
              <c:txPr>
                <a:bodyPr wrap="square"/>
                <a:lstStyle/>
                <a:p>
                  <a:pPr>
                    <a:defRPr sz="900" b="0" u="none" strike="noStrike">
                      <a:solidFill>
                        <a:srgbClr val="404040"/>
                      </a:solidFill>
                      <a:uFillTx/>
                      <a:latin typeface="Arial"/>
                    </a:defRPr>
                  </a:pPr>
                  <a:endParaRPr lang="ru-RU"/>
                </a:p>
              </c:txPr>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B-78CF-49C1-8A2C-AF3B948E1CD9}"/>
                </c:ext>
              </c:extLst>
            </c:dLbl>
            <c:dLbl>
              <c:idx val="6"/>
              <c:layout/>
              <c:numFmt formatCode="General" sourceLinked="0"/>
              <c:spPr/>
              <c:txPr>
                <a:bodyPr wrap="square"/>
                <a:lstStyle/>
                <a:p>
                  <a:pPr>
                    <a:defRPr sz="900" b="0" u="none" strike="noStrike">
                      <a:solidFill>
                        <a:srgbClr val="404040"/>
                      </a:solidFill>
                      <a:uFillTx/>
                      <a:latin typeface="Arial"/>
                    </a:defRPr>
                  </a:pPr>
                  <a:endParaRPr lang="ru-RU"/>
                </a:p>
              </c:txPr>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D-78CF-49C1-8A2C-AF3B948E1CD9}"/>
                </c:ext>
              </c:extLst>
            </c:dLbl>
            <c:numFmt formatCode="General" sourceLinked="0"/>
            <c:spPr>
              <a:noFill/>
              <a:ln>
                <a:noFill/>
              </a:ln>
              <a:effectLst/>
            </c:spPr>
            <c:txPr>
              <a:bodyPr wrap="square"/>
              <a:lstStyle/>
              <a:p>
                <a:pPr>
                  <a:defRPr sz="900" b="0" u="none" strike="noStrike">
                    <a:solidFill>
                      <a:srgbClr val="404040"/>
                    </a:solidFill>
                    <a:uFillTx/>
                    <a:latin typeface="Arial"/>
                    <a:ea typeface="Arial"/>
                  </a:defRPr>
                </a:pPr>
                <a:endParaRPr lang="ru-RU"/>
              </a:p>
            </c:txPr>
            <c:showLegendKey val="0"/>
            <c:showVal val="1"/>
            <c:showCatName val="0"/>
            <c:showSerName val="0"/>
            <c:showPercent val="0"/>
            <c:showBubbleSize val="1"/>
            <c:separator>; </c:separator>
            <c:showLeaderLines val="1"/>
            <c:leaderLines>
              <c:spPr>
                <a:ln>
                  <a:solidFill>
                    <a:srgbClr val="A6A6A6"/>
                  </a:solidFill>
                </a:ln>
              </c:spPr>
            </c:leaderLines>
            <c:extLst>
              <c:ext xmlns:c15="http://schemas.microsoft.com/office/drawing/2012/chart" uri="{CE6537A1-D6FC-4f65-9D91-7224C49458BB}"/>
            </c:extLst>
          </c:dLbls>
          <c:cat>
            <c:strRef>
              <c:f>categories</c:f>
              <c:strCache>
                <c:ptCount val="7"/>
                <c:pt idx="0">
                  <c:v>Отчеты</c:v>
                </c:pt>
                <c:pt idx="1">
                  <c:v>Рекомендации СД</c:v>
                </c:pt>
                <c:pt idx="2">
                  <c:v>Управление ДЗО</c:v>
                </c:pt>
                <c:pt idx="3">
                  <c:v>Сделки</c:v>
                </c:pt>
                <c:pt idx="4">
                  <c:v>Стратегия развития</c:v>
                </c:pt>
                <c:pt idx="5">
                  <c:v>Управление коммерческими организациями</c:v>
                </c:pt>
                <c:pt idx="6">
                  <c:v>Иные вопросы </c:v>
                </c:pt>
              </c:strCache>
            </c:strRef>
          </c:cat>
          <c:val>
            <c:numRef>
              <c:f>0</c:f>
              <c:numCache>
                <c:formatCode>General</c:formatCode>
                <c:ptCount val="7"/>
                <c:pt idx="0">
                  <c:v>15</c:v>
                </c:pt>
                <c:pt idx="1">
                  <c:v>66</c:v>
                </c:pt>
                <c:pt idx="2">
                  <c:v>5</c:v>
                </c:pt>
                <c:pt idx="3">
                  <c:v>3</c:v>
                </c:pt>
                <c:pt idx="4">
                  <c:v>3</c:v>
                </c:pt>
                <c:pt idx="5">
                  <c:v>5</c:v>
                </c:pt>
                <c:pt idx="6">
                  <c:v>3</c:v>
                </c:pt>
              </c:numCache>
            </c:numRef>
          </c:val>
          <c:extLst>
            <c:ext xmlns:c16="http://schemas.microsoft.com/office/drawing/2014/chart" uri="{C3380CC4-5D6E-409C-BE32-E72D297353CC}">
              <c16:uniqueId val="{0000000E-78CF-49C1-8A2C-AF3B948E1CD9}"/>
            </c:ext>
          </c:extLst>
        </c:ser>
        <c:dLbls>
          <c:showLegendKey val="0"/>
          <c:showVal val="0"/>
          <c:showCatName val="0"/>
          <c:showSerName val="0"/>
          <c:showPercent val="0"/>
          <c:showBubbleSize val="0"/>
          <c:showLeaderLines val="1"/>
        </c:dLbls>
        <c:firstSliceAng val="0"/>
        <c:holeSize val="50"/>
      </c:doughnutChart>
      <c:spPr>
        <a:noFill/>
        <a:ln w="0">
          <a:noFill/>
        </a:ln>
      </c:spPr>
    </c:plotArea>
    <c:legend>
      <c:legendPos val="b"/>
      <c:layout>
        <c:manualLayout>
          <c:xMode val="edge"/>
          <c:yMode val="edge"/>
          <c:x val="0.59256249999999999"/>
          <c:y val="0.12577777777777799"/>
          <c:w val="0.40615038439902501"/>
          <c:h val="0.83453717079675505"/>
        </c:manualLayout>
      </c:layout>
      <c:overlay val="0"/>
      <c:spPr>
        <a:noFill/>
        <a:ln w="0">
          <a:noFill/>
        </a:ln>
      </c:spPr>
      <c:txPr>
        <a:bodyPr/>
        <a:lstStyle/>
        <a:p>
          <a:pPr>
            <a:defRPr sz="900" b="0" u="none" strike="noStrike">
              <a:solidFill>
                <a:srgbClr val="595959"/>
              </a:solidFill>
              <a:uFillTx/>
              <a:latin typeface="Arial"/>
              <a:ea typeface="Arial"/>
            </a:defRPr>
          </a:pPr>
          <a:endParaRPr lang="ru-RU"/>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49475245081544295"/>
          <c:y val="3.7117317882434497E-2"/>
        </c:manualLayout>
      </c:layout>
      <c:overlay val="0"/>
      <c:spPr>
        <a:noFill/>
        <a:ln>
          <a:noFill/>
        </a:ln>
        <a:effectLst/>
      </c:spPr>
      <c:txPr>
        <a:bodyPr rot="0" spcFirstLastPara="1" vertOverflow="ellipsis" vert="horz" wrap="square" anchor="ctr" anchorCtr="1"/>
        <a:lstStyle/>
        <a:p>
          <a:pPr>
            <a:defRPr sz="1000" b="1" i="0" u="none" strike="noStrike" kern="1200" spc="0" baseline="0">
              <a:solidFill>
                <a:schemeClr val="tx1"/>
              </a:solidFill>
              <a:latin typeface="Arial Narrow" panose="020B0606020202030204" pitchFamily="34" charset="0"/>
              <a:ea typeface="+mn-ea"/>
              <a:cs typeface="+mn-cs"/>
            </a:defRPr>
          </a:pPr>
          <a:endParaRPr lang="ru-RU"/>
        </a:p>
      </c:txPr>
    </c:title>
    <c:autoTitleDeleted val="0"/>
    <c:plotArea>
      <c:layout>
        <c:manualLayout>
          <c:layoutTarget val="inner"/>
          <c:xMode val="edge"/>
          <c:yMode val="edge"/>
          <c:x val="0.29453330052493437"/>
          <c:y val="0.13631357401079583"/>
          <c:w val="0.52373600735805459"/>
          <c:h val="0.57808597038577725"/>
        </c:manualLayout>
      </c:layout>
      <c:pieChart>
        <c:varyColors val="1"/>
        <c:ser>
          <c:idx val="0"/>
          <c:order val="0"/>
          <c:tx>
            <c:strRef>
              <c:f>Лист1!$D$9</c:f>
              <c:strCache>
                <c:ptCount val="1"/>
                <c:pt idx="0">
                  <c:v>2023</c:v>
                </c:pt>
              </c:strCache>
            </c:strRef>
          </c:tx>
          <c:spPr>
            <a:solidFill>
              <a:srgbClr val="2E75B6">
                <a:alpha val="80000"/>
              </a:srgbClr>
            </a:solidFill>
            <a:ln>
              <a:noFill/>
            </a:ln>
          </c:spPr>
          <c:dPt>
            <c:idx val="0"/>
            <c:bubble3D val="0"/>
            <c:spPr>
              <a:solidFill>
                <a:srgbClr val="2E75B6">
                  <a:alpha val="80000"/>
                </a:srgbClr>
              </a:solidFill>
              <a:ln w="19050">
                <a:noFill/>
              </a:ln>
              <a:effectLst/>
            </c:spPr>
            <c:extLst>
              <c:ext xmlns:c16="http://schemas.microsoft.com/office/drawing/2014/chart" uri="{C3380CC4-5D6E-409C-BE32-E72D297353CC}">
                <c16:uniqueId val="{00000001-CAB9-4D8B-99C5-8EA6F45481B4}"/>
              </c:ext>
            </c:extLst>
          </c:dPt>
          <c:dPt>
            <c:idx val="1"/>
            <c:bubble3D val="0"/>
            <c:spPr>
              <a:solidFill>
                <a:srgbClr val="C00000">
                  <a:alpha val="69804"/>
                </a:srgbClr>
              </a:solidFill>
              <a:ln w="19050">
                <a:noFill/>
              </a:ln>
              <a:effectLst/>
            </c:spPr>
            <c:extLst>
              <c:ext xmlns:c16="http://schemas.microsoft.com/office/drawing/2014/chart" uri="{C3380CC4-5D6E-409C-BE32-E72D297353CC}">
                <c16:uniqueId val="{00000003-CAB9-4D8B-99C5-8EA6F45481B4}"/>
              </c:ext>
            </c:extLst>
          </c:dPt>
          <c:dLbls>
            <c:dLbl>
              <c:idx val="0"/>
              <c:layout>
                <c:manualLayout>
                  <c:x val="-0.20256746752809746"/>
                  <c:y val="-0.1149969912297548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AB9-4D8B-99C5-8EA6F45481B4}"/>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Arial Narrow" panose="020B0606020202030204" pitchFamily="34" charset="0"/>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Лист1!$C$10:$C$11</c:f>
              <c:strCache>
                <c:ptCount val="2"/>
                <c:pt idx="0">
                  <c:v>Группа ПАО "Россети Юг"</c:v>
                </c:pt>
                <c:pt idx="1">
                  <c:v>ПРОЧИЕ ТСО</c:v>
                </c:pt>
              </c:strCache>
            </c:strRef>
          </c:cat>
          <c:val>
            <c:numRef>
              <c:f>Лист1!$D$10:$D$11</c:f>
              <c:numCache>
                <c:formatCode>0.0%</c:formatCode>
                <c:ptCount val="2"/>
                <c:pt idx="0">
                  <c:v>0.70499999999999996</c:v>
                </c:pt>
                <c:pt idx="1">
                  <c:v>0.29500000000000004</c:v>
                </c:pt>
              </c:numCache>
            </c:numRef>
          </c:val>
          <c:extLst>
            <c:ext xmlns:c16="http://schemas.microsoft.com/office/drawing/2014/chart" uri="{C3380CC4-5D6E-409C-BE32-E72D297353CC}">
              <c16:uniqueId val="{00000004-CAB9-4D8B-99C5-8EA6F45481B4}"/>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12569412356389584"/>
          <c:y val="0.78104771739598111"/>
          <c:w val="0.80198982939632557"/>
          <c:h val="0.186165427238261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Arial Narrow" panose="020B0606020202030204" pitchFamily="34"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0"/>
  <c:style val="2"/>
  <c:chart>
    <c:title>
      <c:tx>
        <c:rich>
          <a:bodyPr rot="0"/>
          <a:lstStyle/>
          <a:p>
            <a:pPr>
              <a:defRPr sz="1300" b="0" u="none" strike="noStrike">
                <a:uFillTx/>
                <a:latin typeface="Arial"/>
              </a:defRPr>
            </a:pPr>
            <a:r>
              <a:rPr lang="ru-RU" sz="1000" b="1" u="none" strike="noStrike">
                <a:solidFill>
                  <a:srgbClr val="000000"/>
                </a:solidFill>
                <a:uFillTx/>
                <a:latin typeface="Arial Narrow"/>
                <a:ea typeface="Arial"/>
              </a:rPr>
              <a:t>2024</a:t>
            </a:r>
          </a:p>
        </c:rich>
      </c:tx>
      <c:layout>
        <c:manualLayout>
          <c:xMode val="edge"/>
          <c:yMode val="edge"/>
          <c:x val="0.45994313430339501"/>
          <c:y val="2.6737967914438499E-2"/>
        </c:manualLayout>
      </c:layout>
      <c:overlay val="0"/>
      <c:spPr>
        <a:noFill/>
        <a:ln w="0">
          <a:noFill/>
        </a:ln>
      </c:spPr>
    </c:title>
    <c:autoTitleDeleted val="0"/>
    <c:plotArea>
      <c:layout>
        <c:manualLayout>
          <c:layoutTarget val="inner"/>
          <c:xMode val="edge"/>
          <c:yMode val="edge"/>
          <c:x val="0.28081250000000002"/>
          <c:y val="0.13888888888888901"/>
          <c:w val="0.53868749999999999"/>
          <c:h val="0.59388888888888902"/>
        </c:manualLayout>
      </c:layout>
      <c:pieChart>
        <c:varyColors val="1"/>
        <c:ser>
          <c:idx val="0"/>
          <c:order val="0"/>
          <c:tx>
            <c:strRef>
              <c:f>label 0</c:f>
              <c:strCache>
                <c:ptCount val="1"/>
                <c:pt idx="0">
                  <c:v>2024</c:v>
                </c:pt>
              </c:strCache>
            </c:strRef>
          </c:tx>
          <c:spPr>
            <a:solidFill>
              <a:srgbClr val="2E75B6">
                <a:alpha val="80000"/>
              </a:srgbClr>
            </a:solidFill>
            <a:ln w="0">
              <a:noFill/>
            </a:ln>
          </c:spPr>
          <c:dPt>
            <c:idx val="0"/>
            <c:bubble3D val="0"/>
            <c:spPr>
              <a:solidFill>
                <a:srgbClr val="2E75B6">
                  <a:alpha val="80000"/>
                </a:srgbClr>
              </a:solidFill>
              <a:ln w="19080">
                <a:noFill/>
              </a:ln>
            </c:spPr>
            <c:extLst>
              <c:ext xmlns:c16="http://schemas.microsoft.com/office/drawing/2014/chart" uri="{C3380CC4-5D6E-409C-BE32-E72D297353CC}">
                <c16:uniqueId val="{00000001-F7DC-4F90-AF83-1D5F3BFED02E}"/>
              </c:ext>
            </c:extLst>
          </c:dPt>
          <c:dPt>
            <c:idx val="1"/>
            <c:bubble3D val="0"/>
            <c:spPr>
              <a:solidFill>
                <a:srgbClr val="CC0000">
                  <a:alpha val="70000"/>
                </a:srgbClr>
              </a:solidFill>
              <a:ln w="19080">
                <a:noFill/>
              </a:ln>
            </c:spPr>
            <c:extLst>
              <c:ext xmlns:c16="http://schemas.microsoft.com/office/drawing/2014/chart" uri="{C3380CC4-5D6E-409C-BE32-E72D297353CC}">
                <c16:uniqueId val="{00000003-F7DC-4F90-AF83-1D5F3BFED02E}"/>
              </c:ext>
            </c:extLst>
          </c:dPt>
          <c:dLbls>
            <c:dLbl>
              <c:idx val="0"/>
              <c:layout>
                <c:manualLayout>
                  <c:x val="-0.195755928738996"/>
                  <c:y val="-9.7678765764035599E-2"/>
                </c:manualLayout>
              </c:layout>
              <c:numFmt formatCode="0.0%" sourceLinked="0"/>
              <c:spPr/>
              <c:txPr>
                <a:bodyPr wrap="square"/>
                <a:lstStyle/>
                <a:p>
                  <a:pPr>
                    <a:defRPr sz="900" b="1" u="none" strike="noStrike">
                      <a:solidFill>
                        <a:srgbClr val="000000"/>
                      </a:solidFill>
                      <a:uFillTx/>
                      <a:latin typeface="Arial Narrow"/>
                    </a:defRPr>
                  </a:pPr>
                  <a:endParaRPr lang="ru-RU"/>
                </a:p>
              </c:txPr>
              <c:dLblPos val="outEnd"/>
              <c:showLegendKey val="0"/>
              <c:showVal val="1"/>
              <c:showCatName val="0"/>
              <c:showSerName val="0"/>
              <c:showPercent val="0"/>
              <c:showBubbleSize val="1"/>
              <c:separator>; </c:separator>
              <c:extLst>
                <c:ext xmlns:c15="http://schemas.microsoft.com/office/drawing/2012/chart" uri="{CE6537A1-D6FC-4f65-9D91-7224C49458BB}">
                  <c15:layout/>
                </c:ext>
                <c:ext xmlns:c16="http://schemas.microsoft.com/office/drawing/2014/chart" uri="{C3380CC4-5D6E-409C-BE32-E72D297353CC}">
                  <c16:uniqueId val="{00000001-F7DC-4F90-AF83-1D5F3BFED02E}"/>
                </c:ext>
              </c:extLst>
            </c:dLbl>
            <c:dLbl>
              <c:idx val="1"/>
              <c:layout>
                <c:manualLayout>
                  <c:x val="0.18270155389868301"/>
                  <c:y val="0.12176198706869"/>
                </c:manualLayout>
              </c:layout>
              <c:numFmt formatCode="0.0%" sourceLinked="0"/>
              <c:spPr/>
              <c:txPr>
                <a:bodyPr wrap="square"/>
                <a:lstStyle/>
                <a:p>
                  <a:pPr>
                    <a:defRPr sz="900" b="1" u="none" strike="noStrike">
                      <a:solidFill>
                        <a:srgbClr val="000000"/>
                      </a:solidFill>
                      <a:uFillTx/>
                      <a:latin typeface="Arial Narrow"/>
                    </a:defRPr>
                  </a:pPr>
                  <a:endParaRPr lang="ru-RU"/>
                </a:p>
              </c:txPr>
              <c:dLblPos val="outEnd"/>
              <c:showLegendKey val="0"/>
              <c:showVal val="1"/>
              <c:showCatName val="0"/>
              <c:showSerName val="0"/>
              <c:showPercent val="0"/>
              <c:showBubbleSize val="1"/>
              <c:separator>; </c:separator>
              <c:extLst>
                <c:ext xmlns:c15="http://schemas.microsoft.com/office/drawing/2012/chart" uri="{CE6537A1-D6FC-4f65-9D91-7224C49458BB}">
                  <c15:layout/>
                </c:ext>
                <c:ext xmlns:c16="http://schemas.microsoft.com/office/drawing/2014/chart" uri="{C3380CC4-5D6E-409C-BE32-E72D297353CC}">
                  <c16:uniqueId val="{00000003-F7DC-4F90-AF83-1D5F3BFED02E}"/>
                </c:ext>
              </c:extLst>
            </c:dLbl>
            <c:numFmt formatCode="0.0%" sourceLinked="0"/>
            <c:spPr>
              <a:noFill/>
              <a:ln>
                <a:noFill/>
              </a:ln>
              <a:effectLst/>
            </c:spPr>
            <c:txPr>
              <a:bodyPr wrap="square"/>
              <a:lstStyle/>
              <a:p>
                <a:pPr>
                  <a:defRPr sz="900" b="1" u="none" strike="noStrike">
                    <a:solidFill>
                      <a:srgbClr val="000000"/>
                    </a:solidFill>
                    <a:uFillTx/>
                    <a:latin typeface="Arial Narrow"/>
                    <a:ea typeface="Arial"/>
                  </a:defRPr>
                </a:pPr>
                <a:endParaRPr lang="ru-RU"/>
              </a:p>
            </c:txPr>
            <c:dLblPos val="bestFit"/>
            <c:showLegendKey val="0"/>
            <c:showVal val="1"/>
            <c:showCatName val="0"/>
            <c:showSerName val="0"/>
            <c:showPercent val="0"/>
            <c:showBubbleSize val="1"/>
            <c:separator>; </c:separator>
            <c:showLeaderLines val="1"/>
            <c:leaderLines>
              <c:spPr>
                <a:ln>
                  <a:solidFill>
                    <a:srgbClr val="A6A6A6"/>
                  </a:solidFill>
                </a:ln>
              </c:spPr>
            </c:leaderLines>
            <c:extLst>
              <c:ext xmlns:c15="http://schemas.microsoft.com/office/drawing/2012/chart" uri="{CE6537A1-D6FC-4f65-9D91-7224C49458BB}"/>
            </c:extLst>
          </c:dLbls>
          <c:cat>
            <c:strRef>
              <c:f>categories</c:f>
              <c:strCache>
                <c:ptCount val="2"/>
                <c:pt idx="0">
                  <c:v>Группа ПАО "Россети Юг"</c:v>
                </c:pt>
                <c:pt idx="1">
                  <c:v>ПРОЧИЕ ТСО</c:v>
                </c:pt>
              </c:strCache>
            </c:strRef>
          </c:cat>
          <c:val>
            <c:numRef>
              <c:f>0</c:f>
              <c:numCache>
                <c:formatCode>General</c:formatCode>
                <c:ptCount val="2"/>
                <c:pt idx="0">
                  <c:v>0.69</c:v>
                </c:pt>
                <c:pt idx="1">
                  <c:v>0.31</c:v>
                </c:pt>
              </c:numCache>
            </c:numRef>
          </c:val>
          <c:extLst>
            <c:ext xmlns:c16="http://schemas.microsoft.com/office/drawing/2014/chart" uri="{C3380CC4-5D6E-409C-BE32-E72D297353CC}">
              <c16:uniqueId val="{00000004-F7DC-4F90-AF83-1D5F3BFED02E}"/>
            </c:ext>
          </c:extLst>
        </c:ser>
        <c:dLbls>
          <c:showLegendKey val="0"/>
          <c:showVal val="0"/>
          <c:showCatName val="0"/>
          <c:showSerName val="0"/>
          <c:showPercent val="0"/>
          <c:showBubbleSize val="0"/>
          <c:showLeaderLines val="1"/>
        </c:dLbls>
        <c:firstSliceAng val="0"/>
      </c:pieChart>
      <c:spPr>
        <a:noFill/>
        <a:ln w="0">
          <a:noFill/>
        </a:ln>
      </c:spPr>
    </c:plotArea>
    <c:legend>
      <c:legendPos val="b"/>
      <c:layout>
        <c:manualLayout>
          <c:xMode val="edge"/>
          <c:yMode val="edge"/>
          <c:x val="0.14093749999999999"/>
          <c:y val="0.76588888888888895"/>
          <c:w val="0.76092255765985395"/>
          <c:h val="0.18613179242138"/>
        </c:manualLayout>
      </c:layout>
      <c:overlay val="0"/>
      <c:spPr>
        <a:noFill/>
        <a:ln w="0">
          <a:noFill/>
        </a:ln>
      </c:spPr>
      <c:txPr>
        <a:bodyPr/>
        <a:lstStyle/>
        <a:p>
          <a:pPr>
            <a:defRPr sz="1000" b="0" u="none" strike="noStrike">
              <a:solidFill>
                <a:srgbClr val="000000"/>
              </a:solidFill>
              <a:uFillTx/>
              <a:latin typeface="Arial Narrow"/>
              <a:ea typeface="Arial"/>
            </a:defRPr>
          </a:pPr>
          <a:endParaRPr lang="ru-RU"/>
        </a:p>
      </c:txPr>
    </c:legend>
    <c:plotVisOnly val="1"/>
    <c:dispBlanksAs val="gap"/>
    <c:showDLblsOverMax val="1"/>
  </c:chart>
  <c:spPr>
    <a:solidFill>
      <a:srgbClr val="FFFFFF"/>
    </a:solidFill>
    <a:ln w="9360">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0"/>
  <c:style val="2"/>
  <c:chart>
    <c:title>
      <c:tx>
        <c:rich>
          <a:bodyPr rot="0"/>
          <a:lstStyle/>
          <a:p>
            <a:pPr>
              <a:defRPr sz="1300" b="0" u="none" strike="noStrike">
                <a:uFillTx/>
                <a:latin typeface="Arial"/>
              </a:defRPr>
            </a:pPr>
            <a:r>
              <a:rPr lang="ru-RU" sz="1400" b="0" u="none" strike="noStrike">
                <a:solidFill>
                  <a:srgbClr val="333333"/>
                </a:solidFill>
                <a:uFillTx/>
                <a:latin typeface="Calibri"/>
                <a:ea typeface="Calibri"/>
              </a:rPr>
              <a:t>Структура выручки за оказанные услуги по передаче электрической энергии в 2024 году</a:t>
            </a:r>
          </a:p>
        </c:rich>
      </c:tx>
      <c:layout/>
      <c:overlay val="0"/>
      <c:spPr>
        <a:noFill/>
        <a:ln w="25560">
          <a:noFill/>
        </a:ln>
      </c:spPr>
    </c:title>
    <c:autoTitleDeleted val="0"/>
    <c:view3D>
      <c:rotX val="30"/>
      <c:rotY val="0"/>
      <c:rAngAx val="0"/>
      <c:perspective val="0"/>
    </c:view3D>
    <c:floor>
      <c:thickness val="0"/>
      <c:spPr>
        <a:solidFill>
          <a:srgbClr val="D9D9D9"/>
        </a:solidFill>
        <a:ln w="0">
          <a:noFill/>
        </a:ln>
      </c:spPr>
    </c:floor>
    <c:sideWall>
      <c:thickness val="0"/>
      <c:spPr>
        <a:solidFill>
          <a:srgbClr val="D9D9D9"/>
        </a:solidFill>
        <a:ln w="0">
          <a:noFill/>
        </a:ln>
      </c:spPr>
    </c:sideWall>
    <c:backWall>
      <c:thickness val="0"/>
      <c:spPr>
        <a:solidFill>
          <a:srgbClr val="D9D9D9"/>
        </a:solidFill>
        <a:ln w="0">
          <a:noFill/>
        </a:ln>
      </c:spPr>
    </c:backWall>
    <c:plotArea>
      <c:layout/>
      <c:pie3DChart>
        <c:varyColors val="1"/>
        <c:ser>
          <c:idx val="0"/>
          <c:order val="0"/>
          <c:tx>
            <c:strRef>
              <c:f>label 0</c:f>
              <c:strCache>
                <c:ptCount val="1"/>
                <c:pt idx="0">
                  <c:v>Ряд1</c:v>
                </c:pt>
              </c:strCache>
            </c:strRef>
          </c:tx>
          <c:spPr>
            <a:solidFill>
              <a:srgbClr val="4F81BD"/>
            </a:solidFill>
            <a:ln w="0">
              <a:noFill/>
            </a:ln>
          </c:spPr>
          <c:dPt>
            <c:idx val="0"/>
            <c:bubble3D val="0"/>
            <c:spPr>
              <a:solidFill>
                <a:srgbClr val="4F81BD"/>
              </a:solidFill>
              <a:ln w="25560">
                <a:solidFill>
                  <a:srgbClr val="FFFFFF"/>
                </a:solidFill>
                <a:round/>
              </a:ln>
            </c:spPr>
            <c:extLst>
              <c:ext xmlns:c16="http://schemas.microsoft.com/office/drawing/2014/chart" uri="{C3380CC4-5D6E-409C-BE32-E72D297353CC}">
                <c16:uniqueId val="{00000001-FCB1-4EE9-AA25-374AA3CA99D6}"/>
              </c:ext>
            </c:extLst>
          </c:dPt>
          <c:dPt>
            <c:idx val="1"/>
            <c:bubble3D val="0"/>
            <c:spPr>
              <a:solidFill>
                <a:srgbClr val="C0504D"/>
              </a:solidFill>
              <a:ln w="25560">
                <a:solidFill>
                  <a:srgbClr val="FFFFFF"/>
                </a:solidFill>
                <a:round/>
              </a:ln>
            </c:spPr>
            <c:extLst>
              <c:ext xmlns:c16="http://schemas.microsoft.com/office/drawing/2014/chart" uri="{C3380CC4-5D6E-409C-BE32-E72D297353CC}">
                <c16:uniqueId val="{00000003-FCB1-4EE9-AA25-374AA3CA99D6}"/>
              </c:ext>
            </c:extLst>
          </c:dPt>
          <c:dPt>
            <c:idx val="2"/>
            <c:bubble3D val="0"/>
            <c:spPr>
              <a:solidFill>
                <a:srgbClr val="9BBB59"/>
              </a:solidFill>
              <a:ln w="25560">
                <a:solidFill>
                  <a:srgbClr val="FFFFFF"/>
                </a:solidFill>
                <a:round/>
              </a:ln>
            </c:spPr>
            <c:extLst>
              <c:ext xmlns:c16="http://schemas.microsoft.com/office/drawing/2014/chart" uri="{C3380CC4-5D6E-409C-BE32-E72D297353CC}">
                <c16:uniqueId val="{00000005-FCB1-4EE9-AA25-374AA3CA99D6}"/>
              </c:ext>
            </c:extLst>
          </c:dPt>
          <c:dPt>
            <c:idx val="3"/>
            <c:bubble3D val="0"/>
            <c:spPr>
              <a:solidFill>
                <a:srgbClr val="8064A2"/>
              </a:solidFill>
              <a:ln w="25560">
                <a:solidFill>
                  <a:srgbClr val="FFFFFF"/>
                </a:solidFill>
                <a:round/>
              </a:ln>
            </c:spPr>
            <c:extLst>
              <c:ext xmlns:c16="http://schemas.microsoft.com/office/drawing/2014/chart" uri="{C3380CC4-5D6E-409C-BE32-E72D297353CC}">
                <c16:uniqueId val="{00000007-FCB1-4EE9-AA25-374AA3CA99D6}"/>
              </c:ext>
            </c:extLst>
          </c:dPt>
          <c:dLbls>
            <c:dLbl>
              <c:idx val="0"/>
              <c:layout/>
              <c:numFmt formatCode="0%" sourceLinked="0"/>
              <c:spPr/>
              <c:txPr>
                <a:bodyPr wrap="square"/>
                <a:lstStyle/>
                <a:p>
                  <a:pPr>
                    <a:defRPr sz="900" b="0" u="none" strike="noStrike">
                      <a:solidFill>
                        <a:srgbClr val="000000"/>
                      </a:solidFill>
                      <a:uFillTx/>
                      <a:latin typeface="Calibri"/>
                      <a:ea typeface="Arial"/>
                    </a:defRPr>
                  </a:pPr>
                  <a:endParaRPr lang="ru-RU"/>
                </a:p>
              </c:txPr>
              <c:dLblPos val="bestFit"/>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1-FCB1-4EE9-AA25-374AA3CA99D6}"/>
                </c:ext>
              </c:extLst>
            </c:dLbl>
            <c:dLbl>
              <c:idx val="1"/>
              <c:layout/>
              <c:numFmt formatCode="0%" sourceLinked="0"/>
              <c:spPr/>
              <c:txPr>
                <a:bodyPr wrap="square"/>
                <a:lstStyle/>
                <a:p>
                  <a:pPr>
                    <a:defRPr sz="900" b="0" u="none" strike="noStrike">
                      <a:solidFill>
                        <a:srgbClr val="000000"/>
                      </a:solidFill>
                      <a:uFillTx/>
                      <a:latin typeface="Calibri"/>
                      <a:ea typeface="Arial"/>
                    </a:defRPr>
                  </a:pPr>
                  <a:endParaRPr lang="ru-RU"/>
                </a:p>
              </c:txPr>
              <c:dLblPos val="bestFit"/>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3-FCB1-4EE9-AA25-374AA3CA99D6}"/>
                </c:ext>
              </c:extLst>
            </c:dLbl>
            <c:dLbl>
              <c:idx val="2"/>
              <c:layout/>
              <c:numFmt formatCode="0%" sourceLinked="0"/>
              <c:spPr/>
              <c:txPr>
                <a:bodyPr wrap="square"/>
                <a:lstStyle/>
                <a:p>
                  <a:pPr>
                    <a:defRPr sz="900" b="0" u="none" strike="noStrike">
                      <a:solidFill>
                        <a:srgbClr val="000000"/>
                      </a:solidFill>
                      <a:uFillTx/>
                      <a:latin typeface="Calibri"/>
                      <a:ea typeface="Arial"/>
                    </a:defRPr>
                  </a:pPr>
                  <a:endParaRPr lang="ru-RU"/>
                </a:p>
              </c:txPr>
              <c:dLblPos val="bestFit"/>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5-FCB1-4EE9-AA25-374AA3CA99D6}"/>
                </c:ext>
              </c:extLst>
            </c:dLbl>
            <c:dLbl>
              <c:idx val="3"/>
              <c:layout/>
              <c:numFmt formatCode="0%" sourceLinked="0"/>
              <c:spPr/>
              <c:txPr>
                <a:bodyPr wrap="square"/>
                <a:lstStyle/>
                <a:p>
                  <a:pPr>
                    <a:defRPr sz="900" b="0" u="none" strike="noStrike">
                      <a:solidFill>
                        <a:srgbClr val="000000"/>
                      </a:solidFill>
                      <a:uFillTx/>
                      <a:latin typeface="Calibri"/>
                      <a:ea typeface="Arial"/>
                    </a:defRPr>
                  </a:pPr>
                  <a:endParaRPr lang="ru-RU"/>
                </a:p>
              </c:txPr>
              <c:dLblPos val="bestFit"/>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7-FCB1-4EE9-AA25-374AA3CA99D6}"/>
                </c:ext>
              </c:extLst>
            </c:dLbl>
            <c:numFmt formatCode="0%" sourceLinked="0"/>
            <c:spPr>
              <a:noFill/>
              <a:ln>
                <a:noFill/>
              </a:ln>
              <a:effectLst/>
            </c:spPr>
            <c:txPr>
              <a:bodyPr wrap="square"/>
              <a:lstStyle/>
              <a:p>
                <a:pPr>
                  <a:defRPr sz="900" b="0" u="none" strike="noStrike">
                    <a:solidFill>
                      <a:srgbClr val="000000"/>
                    </a:solidFill>
                    <a:uFillTx/>
                    <a:latin typeface="Calibri"/>
                    <a:ea typeface="Calibri"/>
                  </a:defRPr>
                </a:pPr>
                <a:endParaRPr lang="ru-RU"/>
              </a:p>
            </c:txPr>
            <c:dLblPos val="bestFit"/>
            <c:showLegendKey val="0"/>
            <c:showVal val="1"/>
            <c:showCatName val="0"/>
            <c:showSerName val="0"/>
            <c:showPercent val="0"/>
            <c:showBubbleSize val="1"/>
            <c:separator>; </c:separator>
            <c:showLeaderLines val="1"/>
            <c:leaderLines>
              <c:spPr>
                <a:ln>
                  <a:solidFill>
                    <a:srgbClr val="A6A6A6"/>
                  </a:solidFill>
                </a:ln>
              </c:spPr>
            </c:leaderLines>
            <c:extLst>
              <c:ext xmlns:c15="http://schemas.microsoft.com/office/drawing/2012/chart" uri="{CE6537A1-D6FC-4f65-9D91-7224C49458BB}"/>
            </c:extLst>
          </c:dLbls>
          <c:cat>
            <c:strRef>
              <c:f>categories</c:f>
              <c:strCache>
                <c:ptCount val="4"/>
                <c:pt idx="0">
                  <c:v>Гарантирующие поставщики</c:v>
                </c:pt>
                <c:pt idx="1">
                  <c:v>Энергосбытовые компании</c:v>
                </c:pt>
                <c:pt idx="2">
                  <c:v>ТСО</c:v>
                </c:pt>
                <c:pt idx="3">
                  <c:v>Прямые потребители</c:v>
                </c:pt>
              </c:strCache>
            </c:strRef>
          </c:cat>
          <c:val>
            <c:numRef>
              <c:f>0</c:f>
              <c:numCache>
                <c:formatCode>General</c:formatCode>
                <c:ptCount val="4"/>
                <c:pt idx="0">
                  <c:v>0.53569999999999995</c:v>
                </c:pt>
                <c:pt idx="1">
                  <c:v>0.2495</c:v>
                </c:pt>
                <c:pt idx="2">
                  <c:v>0.15440000000000001</c:v>
                </c:pt>
                <c:pt idx="3">
                  <c:v>6.0400000000000002E-2</c:v>
                </c:pt>
              </c:numCache>
            </c:numRef>
          </c:val>
          <c:extLst>
            <c:ext xmlns:c16="http://schemas.microsoft.com/office/drawing/2014/chart" uri="{C3380CC4-5D6E-409C-BE32-E72D297353CC}">
              <c16:uniqueId val="{00000008-FCB1-4EE9-AA25-374AA3CA99D6}"/>
            </c:ext>
          </c:extLst>
        </c:ser>
        <c:dLbls>
          <c:showLegendKey val="0"/>
          <c:showVal val="0"/>
          <c:showCatName val="0"/>
          <c:showSerName val="0"/>
          <c:showPercent val="0"/>
          <c:showBubbleSize val="0"/>
          <c:showLeaderLines val="1"/>
        </c:dLbls>
      </c:pie3DChart>
    </c:plotArea>
    <c:legend>
      <c:legendPos val="b"/>
      <c:layout/>
      <c:overlay val="0"/>
      <c:spPr>
        <a:noFill/>
        <a:ln w="25560">
          <a:noFill/>
        </a:ln>
      </c:spPr>
      <c:txPr>
        <a:bodyPr/>
        <a:lstStyle/>
        <a:p>
          <a:pPr>
            <a:defRPr sz="690" b="0" u="none" strike="noStrike">
              <a:solidFill>
                <a:srgbClr val="333333"/>
              </a:solidFill>
              <a:uFillTx/>
              <a:latin typeface="Calibri"/>
              <a:ea typeface="Calibri"/>
            </a:defRPr>
          </a:pPr>
          <a:endParaRPr lang="ru-RU"/>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0"/>
  <c:style val="2"/>
  <c:chart>
    <c:title>
      <c:tx>
        <c:rich>
          <a:bodyPr rot="0"/>
          <a:lstStyle/>
          <a:p>
            <a:pPr>
              <a:defRPr sz="1300" b="0" u="none" strike="noStrike">
                <a:uFillTx/>
                <a:latin typeface="Arial"/>
              </a:defRPr>
            </a:pPr>
            <a:r>
              <a:rPr lang="ru-RU" sz="1400" b="0" u="none" strike="noStrike">
                <a:solidFill>
                  <a:srgbClr val="595959"/>
                </a:solidFill>
                <a:uFillTx/>
                <a:latin typeface="Arial"/>
                <a:ea typeface="Arial"/>
              </a:rPr>
              <a:t>Распределение по способам проведения закупок</a:t>
            </a:r>
          </a:p>
        </c:rich>
      </c:tx>
      <c:layout/>
      <c:overlay val="0"/>
      <c:spPr>
        <a:noFill/>
        <a:ln w="0">
          <a:noFill/>
        </a:ln>
      </c:spPr>
    </c:title>
    <c:autoTitleDeleted val="0"/>
    <c:plotArea>
      <c:layout/>
      <c:pieChart>
        <c:varyColors val="1"/>
        <c:ser>
          <c:idx val="0"/>
          <c:order val="0"/>
          <c:tx>
            <c:strRef>
              <c:f>label 0</c:f>
              <c:strCache>
                <c:ptCount val="1"/>
                <c:pt idx="0">
                  <c:v>Ряд1</c:v>
                </c:pt>
              </c:strCache>
            </c:strRef>
          </c:tx>
          <c:spPr>
            <a:solidFill>
              <a:srgbClr val="4F81BD"/>
            </a:solidFill>
            <a:ln w="0">
              <a:noFill/>
            </a:ln>
          </c:spPr>
          <c:dPt>
            <c:idx val="0"/>
            <c:bubble3D val="0"/>
            <c:spPr>
              <a:solidFill>
                <a:srgbClr val="3B618F"/>
              </a:solidFill>
              <a:ln w="19080">
                <a:solidFill>
                  <a:srgbClr val="FFFFFF"/>
                </a:solidFill>
                <a:round/>
              </a:ln>
            </c:spPr>
            <c:extLst>
              <c:ext xmlns:c16="http://schemas.microsoft.com/office/drawing/2014/chart" uri="{C3380CC4-5D6E-409C-BE32-E72D297353CC}">
                <c16:uniqueId val="{00000001-77EF-43A6-A23F-142C358638B6}"/>
              </c:ext>
            </c:extLst>
          </c:dPt>
          <c:dPt>
            <c:idx val="1"/>
            <c:bubble3D val="0"/>
            <c:spPr>
              <a:solidFill>
                <a:srgbClr val="4672A7"/>
              </a:solidFill>
              <a:ln w="19080">
                <a:solidFill>
                  <a:srgbClr val="FFFFFF"/>
                </a:solidFill>
                <a:round/>
              </a:ln>
            </c:spPr>
            <c:extLst>
              <c:ext xmlns:c16="http://schemas.microsoft.com/office/drawing/2014/chart" uri="{C3380CC4-5D6E-409C-BE32-E72D297353CC}">
                <c16:uniqueId val="{00000003-77EF-43A6-A23F-142C358638B6}"/>
              </c:ext>
            </c:extLst>
          </c:dPt>
          <c:dPt>
            <c:idx val="2"/>
            <c:bubble3D val="0"/>
            <c:spPr>
              <a:solidFill>
                <a:srgbClr val="4F81BD"/>
              </a:solidFill>
              <a:ln w="19080">
                <a:solidFill>
                  <a:srgbClr val="FFFFFF"/>
                </a:solidFill>
                <a:round/>
              </a:ln>
            </c:spPr>
            <c:extLst>
              <c:ext xmlns:c16="http://schemas.microsoft.com/office/drawing/2014/chart" uri="{C3380CC4-5D6E-409C-BE32-E72D297353CC}">
                <c16:uniqueId val="{00000005-77EF-43A6-A23F-142C358638B6}"/>
              </c:ext>
            </c:extLst>
          </c:dPt>
          <c:dPt>
            <c:idx val="3"/>
            <c:bubble3D val="0"/>
            <c:spPr>
              <a:solidFill>
                <a:srgbClr val="93A9CE"/>
              </a:solidFill>
              <a:ln w="19080">
                <a:solidFill>
                  <a:srgbClr val="FFFFFF"/>
                </a:solidFill>
                <a:round/>
              </a:ln>
            </c:spPr>
            <c:extLst>
              <c:ext xmlns:c16="http://schemas.microsoft.com/office/drawing/2014/chart" uri="{C3380CC4-5D6E-409C-BE32-E72D297353CC}">
                <c16:uniqueId val="{00000007-77EF-43A6-A23F-142C358638B6}"/>
              </c:ext>
            </c:extLst>
          </c:dPt>
          <c:dPt>
            <c:idx val="4"/>
            <c:bubble3D val="0"/>
            <c:spPr>
              <a:solidFill>
                <a:srgbClr val="BCC8DE"/>
              </a:solidFill>
              <a:ln w="19080">
                <a:solidFill>
                  <a:srgbClr val="FFFFFF"/>
                </a:solidFill>
                <a:round/>
              </a:ln>
            </c:spPr>
            <c:extLst>
              <c:ext xmlns:c16="http://schemas.microsoft.com/office/drawing/2014/chart" uri="{C3380CC4-5D6E-409C-BE32-E72D297353CC}">
                <c16:uniqueId val="{00000009-77EF-43A6-A23F-142C358638B6}"/>
              </c:ext>
            </c:extLst>
          </c:dPt>
          <c:dLbls>
            <c:dLbl>
              <c:idx val="0"/>
              <c:layout/>
              <c:numFmt formatCode="0.00%" sourceLinked="0"/>
              <c:spPr/>
              <c:txPr>
                <a:bodyPr wrap="square"/>
                <a:lstStyle/>
                <a:p>
                  <a:pPr>
                    <a:defRPr sz="900" b="0" u="none" strike="noStrike">
                      <a:solidFill>
                        <a:srgbClr val="404040"/>
                      </a:solidFill>
                      <a:uFillTx/>
                      <a:latin typeface="Arial"/>
                    </a:defRPr>
                  </a:pPr>
                  <a:endParaRPr lang="ru-RU"/>
                </a:p>
              </c:txPr>
              <c:dLblPos val="bestFit"/>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1-77EF-43A6-A23F-142C358638B6}"/>
                </c:ext>
              </c:extLst>
            </c:dLbl>
            <c:dLbl>
              <c:idx val="1"/>
              <c:layout/>
              <c:numFmt formatCode="0.00%" sourceLinked="0"/>
              <c:spPr/>
              <c:txPr>
                <a:bodyPr wrap="square"/>
                <a:lstStyle/>
                <a:p>
                  <a:pPr>
                    <a:defRPr sz="900" b="0" u="none" strike="noStrike">
                      <a:solidFill>
                        <a:srgbClr val="404040"/>
                      </a:solidFill>
                      <a:uFillTx/>
                      <a:latin typeface="Arial"/>
                    </a:defRPr>
                  </a:pPr>
                  <a:endParaRPr lang="ru-RU"/>
                </a:p>
              </c:txPr>
              <c:dLblPos val="bestFit"/>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3-77EF-43A6-A23F-142C358638B6}"/>
                </c:ext>
              </c:extLst>
            </c:dLbl>
            <c:dLbl>
              <c:idx val="2"/>
              <c:layout/>
              <c:numFmt formatCode="0.00%" sourceLinked="0"/>
              <c:spPr/>
              <c:txPr>
                <a:bodyPr wrap="square"/>
                <a:lstStyle/>
                <a:p>
                  <a:pPr>
                    <a:defRPr sz="900" b="0" u="none" strike="noStrike">
                      <a:solidFill>
                        <a:srgbClr val="404040"/>
                      </a:solidFill>
                      <a:uFillTx/>
                      <a:latin typeface="Arial"/>
                    </a:defRPr>
                  </a:pPr>
                  <a:endParaRPr lang="ru-RU"/>
                </a:p>
              </c:txPr>
              <c:dLblPos val="bestFit"/>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5-77EF-43A6-A23F-142C358638B6}"/>
                </c:ext>
              </c:extLst>
            </c:dLbl>
            <c:dLbl>
              <c:idx val="3"/>
              <c:layout/>
              <c:numFmt formatCode="0.00%" sourceLinked="0"/>
              <c:spPr/>
              <c:txPr>
                <a:bodyPr wrap="square"/>
                <a:lstStyle/>
                <a:p>
                  <a:pPr>
                    <a:defRPr sz="900" b="0" u="none" strike="noStrike">
                      <a:solidFill>
                        <a:srgbClr val="404040"/>
                      </a:solidFill>
                      <a:uFillTx/>
                      <a:latin typeface="Arial"/>
                    </a:defRPr>
                  </a:pPr>
                  <a:endParaRPr lang="ru-RU"/>
                </a:p>
              </c:txPr>
              <c:dLblPos val="bestFit"/>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7-77EF-43A6-A23F-142C358638B6}"/>
                </c:ext>
              </c:extLst>
            </c:dLbl>
            <c:dLbl>
              <c:idx val="4"/>
              <c:layout/>
              <c:numFmt formatCode="0.00%" sourceLinked="0"/>
              <c:spPr/>
              <c:txPr>
                <a:bodyPr wrap="square"/>
                <a:lstStyle/>
                <a:p>
                  <a:pPr>
                    <a:defRPr sz="900" b="0" u="none" strike="noStrike">
                      <a:solidFill>
                        <a:srgbClr val="404040"/>
                      </a:solidFill>
                      <a:uFillTx/>
                      <a:latin typeface="Arial"/>
                    </a:defRPr>
                  </a:pPr>
                  <a:endParaRPr lang="ru-RU"/>
                </a:p>
              </c:txPr>
              <c:dLblPos val="bestFit"/>
              <c:showLegendKey val="0"/>
              <c:showVal val="1"/>
              <c:showCatName val="0"/>
              <c:showSerName val="0"/>
              <c:showPercent val="0"/>
              <c:showBubbleSize val="1"/>
              <c:extLst>
                <c:ext xmlns:c15="http://schemas.microsoft.com/office/drawing/2012/chart" uri="{CE6537A1-D6FC-4f65-9D91-7224C49458BB}">
                  <c15:layout/>
                </c:ext>
                <c:ext xmlns:c16="http://schemas.microsoft.com/office/drawing/2014/chart" uri="{C3380CC4-5D6E-409C-BE32-E72D297353CC}">
                  <c16:uniqueId val="{00000009-77EF-43A6-A23F-142C358638B6}"/>
                </c:ext>
              </c:extLst>
            </c:dLbl>
            <c:numFmt formatCode="0.00%" sourceLinked="0"/>
            <c:spPr>
              <a:noFill/>
              <a:ln>
                <a:noFill/>
              </a:ln>
              <a:effectLst/>
            </c:spPr>
            <c:txPr>
              <a:bodyPr wrap="square"/>
              <a:lstStyle/>
              <a:p>
                <a:pPr>
                  <a:defRPr sz="900" b="0" u="none" strike="noStrike">
                    <a:solidFill>
                      <a:srgbClr val="404040"/>
                    </a:solidFill>
                    <a:uFillTx/>
                    <a:latin typeface="Arial"/>
                    <a:ea typeface="Arial"/>
                  </a:defRPr>
                </a:pPr>
                <a:endParaRPr lang="ru-RU"/>
              </a:p>
            </c:txPr>
            <c:dLblPos val="bestFit"/>
            <c:showLegendKey val="0"/>
            <c:showVal val="1"/>
            <c:showCatName val="0"/>
            <c:showSerName val="0"/>
            <c:showPercent val="0"/>
            <c:showBubbleSize val="1"/>
            <c:separator>; </c:separator>
            <c:showLeaderLines val="1"/>
            <c:leaderLines>
              <c:spPr>
                <a:ln>
                  <a:solidFill>
                    <a:srgbClr val="A6A6A6"/>
                  </a:solidFill>
                </a:ln>
              </c:spPr>
            </c:leaderLines>
            <c:extLst>
              <c:ext xmlns:c15="http://schemas.microsoft.com/office/drawing/2012/chart" uri="{CE6537A1-D6FC-4f65-9D91-7224C49458BB}"/>
            </c:extLst>
          </c:dLbls>
          <c:cat>
            <c:strRef>
              <c:f>categories</c:f>
              <c:strCache>
                <c:ptCount val="5"/>
                <c:pt idx="0">
                  <c:v>Конкурс</c:v>
                </c:pt>
                <c:pt idx="1">
                  <c:v>Запрос предложений</c:v>
                </c:pt>
                <c:pt idx="2">
                  <c:v>Электронный магазин</c:v>
                </c:pt>
                <c:pt idx="3">
                  <c:v>Аукцион</c:v>
                </c:pt>
                <c:pt idx="4">
                  <c:v>Единственный поставщик</c:v>
                </c:pt>
              </c:strCache>
            </c:strRef>
          </c:cat>
          <c:val>
            <c:numRef>
              <c:f>0</c:f>
              <c:numCache>
                <c:formatCode>General</c:formatCode>
                <c:ptCount val="5"/>
                <c:pt idx="0">
                  <c:v>0.31363479690540402</c:v>
                </c:pt>
                <c:pt idx="1">
                  <c:v>1.18098615600112E-2</c:v>
                </c:pt>
                <c:pt idx="2">
                  <c:v>1.15515453540306E-3</c:v>
                </c:pt>
                <c:pt idx="3">
                  <c:v>0.64141210029194995</c:v>
                </c:pt>
                <c:pt idx="4">
                  <c:v>3.1988086707232397E-2</c:v>
                </c:pt>
              </c:numCache>
            </c:numRef>
          </c:val>
          <c:extLst>
            <c:ext xmlns:c16="http://schemas.microsoft.com/office/drawing/2014/chart" uri="{C3380CC4-5D6E-409C-BE32-E72D297353CC}">
              <c16:uniqueId val="{0000000A-77EF-43A6-A23F-142C358638B6}"/>
            </c:ext>
          </c:extLst>
        </c:ser>
        <c:dLbls>
          <c:showLegendKey val="0"/>
          <c:showVal val="0"/>
          <c:showCatName val="0"/>
          <c:showSerName val="0"/>
          <c:showPercent val="0"/>
          <c:showBubbleSize val="0"/>
          <c:showLeaderLines val="1"/>
        </c:dLbls>
        <c:firstSliceAng val="0"/>
      </c:pieChart>
      <c:spPr>
        <a:noFill/>
        <a:ln w="0">
          <a:noFill/>
        </a:ln>
      </c:spPr>
    </c:plotArea>
    <c:legend>
      <c:legendPos val="b"/>
      <c:layout/>
      <c:overlay val="0"/>
      <c:spPr>
        <a:noFill/>
        <a:ln w="0">
          <a:noFill/>
        </a:ln>
      </c:spPr>
      <c:txPr>
        <a:bodyPr/>
        <a:lstStyle/>
        <a:p>
          <a:pPr>
            <a:defRPr sz="900" b="0" u="none" strike="noStrike">
              <a:solidFill>
                <a:srgbClr val="595959"/>
              </a:solidFill>
              <a:uFillTx/>
              <a:latin typeface="Arial"/>
              <a:ea typeface="Arial"/>
            </a:defRPr>
          </a:pPr>
          <a:endParaRPr lang="ru-RU"/>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0"/>
  <c:style val="2"/>
  <c:chart>
    <c:title>
      <c:tx>
        <c:rich>
          <a:bodyPr rot="0"/>
          <a:lstStyle/>
          <a:p>
            <a:pPr>
              <a:defRPr sz="1300" b="0" u="none" strike="noStrike">
                <a:uFillTx/>
                <a:latin typeface="Arial"/>
              </a:defRPr>
            </a:pPr>
            <a:r>
              <a:rPr lang="ru-RU" sz="999" b="0" u="none" strike="noStrike">
                <a:solidFill>
                  <a:srgbClr val="4F81BD"/>
                </a:solidFill>
                <a:uFillTx/>
                <a:latin typeface="Times New Roman"/>
                <a:ea typeface="Arial"/>
              </a:rPr>
              <a:t>Доля закупок у субъектов МСП, %</a:t>
            </a:r>
          </a:p>
        </c:rich>
      </c:tx>
      <c:layout>
        <c:manualLayout>
          <c:xMode val="edge"/>
          <c:yMode val="edge"/>
          <c:x val="3.2171581769436998E-2"/>
          <c:y val="1.49947201689546E-2"/>
        </c:manualLayout>
      </c:layout>
      <c:overlay val="0"/>
      <c:spPr>
        <a:noFill/>
        <a:ln w="0">
          <a:noFill/>
        </a:ln>
      </c:spPr>
    </c:title>
    <c:autoTitleDeleted val="0"/>
    <c:plotArea>
      <c:layout>
        <c:manualLayout>
          <c:layoutTarget val="inner"/>
          <c:xMode val="edge"/>
          <c:yMode val="edge"/>
          <c:x val="4.7500000000000001E-2"/>
          <c:y val="0.25911111111111101"/>
          <c:w val="0.94437499999999996"/>
          <c:h val="0.53477777777777802"/>
        </c:manualLayout>
      </c:layout>
      <c:barChart>
        <c:barDir val="col"/>
        <c:grouping val="clustered"/>
        <c:varyColors val="0"/>
        <c:ser>
          <c:idx val="0"/>
          <c:order val="0"/>
          <c:tx>
            <c:strRef>
              <c:f>label 0</c:f>
              <c:strCache>
                <c:ptCount val="1"/>
                <c:pt idx="0">
                  <c:v>Объем закупок у субъектов МСП, %</c:v>
                </c:pt>
              </c:strCache>
            </c:strRef>
          </c:tx>
          <c:spPr>
            <a:solidFill>
              <a:srgbClr val="376092"/>
            </a:solidFill>
            <a:ln w="0">
              <a:noFill/>
            </a:ln>
          </c:spPr>
          <c:invertIfNegative val="0"/>
          <c:dPt>
            <c:idx val="0"/>
            <c:invertIfNegative val="0"/>
            <c:bubble3D val="0"/>
            <c:extLst>
              <c:ext xmlns:c16="http://schemas.microsoft.com/office/drawing/2014/chart" uri="{C3380CC4-5D6E-409C-BE32-E72D297353CC}">
                <c16:uniqueId val="{00000001-7E85-45B7-98C0-76628E2DBB44}"/>
              </c:ext>
            </c:extLst>
          </c:dPt>
          <c:dLbls>
            <c:dLbl>
              <c:idx val="0"/>
              <c:layout/>
              <c:tx>
                <c:rich>
                  <a:bodyPr/>
                  <a:lstStyle/>
                  <a:p>
                    <a:r>
                      <a:rPr lang="en-US" sz="1000" b="0" u="none" strike="noStrike">
                        <a:solidFill>
                          <a:srgbClr val="000000"/>
                        </a:solidFill>
                        <a:uFillTx/>
                        <a:latin typeface="Arial"/>
                        <a:ea typeface="Arial"/>
                      </a:rPr>
                      <a:t>72,4</a:t>
                    </a:r>
                  </a:p>
                </c:rich>
              </c:tx>
              <c:spPr/>
              <c:dLblPos val="outEnd"/>
              <c:showLegendKey val="0"/>
              <c:showVal val="0"/>
              <c:showCatName val="0"/>
              <c:showSerName val="0"/>
              <c:showPercent val="0"/>
              <c:showBubbleSize val="1"/>
              <c:separator>; </c:separator>
              <c:extLst>
                <c:ext xmlns:c15="http://schemas.microsoft.com/office/drawing/2012/chart" uri="{CE6537A1-D6FC-4f65-9D91-7224C49458BB}">
                  <c15:layout/>
                </c:ext>
                <c:ext xmlns:c16="http://schemas.microsoft.com/office/drawing/2014/chart" uri="{C3380CC4-5D6E-409C-BE32-E72D297353CC}">
                  <c16:uniqueId val="{00000001-7E85-45B7-98C0-76628E2DBB44}"/>
                </c:ext>
              </c:extLst>
            </c:dLbl>
            <c:numFmt formatCode="General" sourceLinked="0"/>
            <c:spPr>
              <a:noFill/>
              <a:ln>
                <a:noFill/>
              </a:ln>
              <a:effectLst/>
            </c:spPr>
            <c:txPr>
              <a:bodyPr wrap="square"/>
              <a:lstStyle/>
              <a:p>
                <a:pPr>
                  <a:defRPr sz="999" b="0" u="none" strike="noStrike">
                    <a:solidFill>
                      <a:srgbClr val="000000"/>
                    </a:solidFill>
                    <a:uFillTx/>
                    <a:latin typeface="Times New Roman"/>
                    <a:ea typeface="Arial"/>
                  </a:defRPr>
                </a:pPr>
                <a:endParaRPr lang="ru-RU"/>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layout/>
                <c15:showLeaderLines val="0"/>
              </c:ext>
            </c:extLst>
          </c:dLbls>
          <c:cat>
            <c:strRef>
              <c:f>categories</c:f>
              <c:strCache>
                <c:ptCount val="2"/>
                <c:pt idx="0">
                  <c:v>2023</c:v>
                </c:pt>
                <c:pt idx="1">
                  <c:v>2024</c:v>
                </c:pt>
              </c:strCache>
            </c:strRef>
          </c:cat>
          <c:val>
            <c:numRef>
              <c:f>0</c:f>
              <c:numCache>
                <c:formatCode>General</c:formatCode>
                <c:ptCount val="2"/>
                <c:pt idx="0">
                  <c:v>72.400000000000006</c:v>
                </c:pt>
                <c:pt idx="1">
                  <c:v>79.400000000000006</c:v>
                </c:pt>
              </c:numCache>
            </c:numRef>
          </c:val>
          <c:extLst>
            <c:ext xmlns:c16="http://schemas.microsoft.com/office/drawing/2014/chart" uri="{C3380CC4-5D6E-409C-BE32-E72D297353CC}">
              <c16:uniqueId val="{00000002-7E85-45B7-98C0-76628E2DBB44}"/>
            </c:ext>
          </c:extLst>
        </c:ser>
        <c:dLbls>
          <c:showLegendKey val="0"/>
          <c:showVal val="0"/>
          <c:showCatName val="0"/>
          <c:showSerName val="0"/>
          <c:showPercent val="0"/>
          <c:showBubbleSize val="0"/>
        </c:dLbls>
        <c:gapWidth val="219"/>
        <c:overlap val="-27"/>
        <c:axId val="94402339"/>
        <c:axId val="86118045"/>
      </c:barChart>
      <c:catAx>
        <c:axId val="94402339"/>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sz="999" b="0" u="none" strike="noStrike">
                <a:solidFill>
                  <a:srgbClr val="000000"/>
                </a:solidFill>
                <a:uFillTx/>
                <a:latin typeface="Times New Roman"/>
                <a:ea typeface="Arial"/>
              </a:defRPr>
            </a:pPr>
            <a:endParaRPr lang="ru-RU"/>
          </a:p>
        </c:txPr>
        <c:crossAx val="86118045"/>
        <c:crosses val="autoZero"/>
        <c:auto val="1"/>
        <c:lblAlgn val="ctr"/>
        <c:lblOffset val="100"/>
        <c:noMultiLvlLbl val="0"/>
      </c:catAx>
      <c:valAx>
        <c:axId val="86118045"/>
        <c:scaling>
          <c:orientation val="minMax"/>
        </c:scaling>
        <c:delete val="1"/>
        <c:axPos val="l"/>
        <c:majorGridlines>
          <c:spPr>
            <a:ln w="9360">
              <a:solidFill>
                <a:srgbClr val="D9D9D9"/>
              </a:solidFill>
              <a:round/>
            </a:ln>
          </c:spPr>
        </c:majorGridlines>
        <c:numFmt formatCode="General" sourceLinked="1"/>
        <c:majorTickMark val="out"/>
        <c:minorTickMark val="none"/>
        <c:tickLblPos val="nextTo"/>
        <c:crossAx val="94402339"/>
        <c:crosses val="autoZero"/>
        <c:crossBetween val="between"/>
      </c:valAx>
      <c:spPr>
        <a:noFill/>
        <a:ln w="25200">
          <a:noFill/>
        </a:ln>
      </c:spPr>
    </c:plotArea>
    <c:plotVisOnly val="1"/>
    <c:dispBlanksAs val="gap"/>
    <c:showDLblsOverMax val="1"/>
  </c:chart>
  <c:spPr>
    <a:solidFill>
      <a:srgbClr val="FFFFFF"/>
    </a:solidFill>
    <a:ln w="9360">
      <a:solidFill>
        <a:srgbClr val="D9D9D9"/>
      </a:solidFill>
      <a:round/>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0"/>
  <c:style val="2"/>
  <c:chart>
    <c:title>
      <c:tx>
        <c:rich>
          <a:bodyPr rot="0"/>
          <a:lstStyle/>
          <a:p>
            <a:pPr>
              <a:defRPr sz="1300" b="0" u="none" strike="noStrike">
                <a:uFillTx/>
                <a:latin typeface="Arial"/>
              </a:defRPr>
            </a:pPr>
            <a:r>
              <a:rPr lang="ru-RU" sz="997" b="0" u="none" strike="noStrike">
                <a:solidFill>
                  <a:srgbClr val="4F81BD"/>
                </a:solidFill>
                <a:uFillTx/>
                <a:latin typeface="Times New Roman"/>
                <a:ea typeface="Arial"/>
              </a:rPr>
              <a:t>Доля закупок исключительно у субъектов МСП, %</a:t>
            </a:r>
          </a:p>
        </c:rich>
      </c:tx>
      <c:layout>
        <c:manualLayout>
          <c:xMode val="edge"/>
          <c:yMode val="edge"/>
          <c:x val="0.187366570388045"/>
          <c:y val="1.49947201689546E-2"/>
        </c:manualLayout>
      </c:layout>
      <c:overlay val="0"/>
      <c:spPr>
        <a:noFill/>
        <a:ln w="0">
          <a:noFill/>
        </a:ln>
      </c:spPr>
    </c:title>
    <c:autoTitleDeleted val="0"/>
    <c:plotArea>
      <c:layout>
        <c:manualLayout>
          <c:layoutTarget val="inner"/>
          <c:xMode val="edge"/>
          <c:yMode val="edge"/>
          <c:x val="4.7500000000000001E-2"/>
          <c:y val="0.25911111111111101"/>
          <c:w val="0.94437499999999996"/>
          <c:h val="0.53477777777777802"/>
        </c:manualLayout>
      </c:layout>
      <c:barChart>
        <c:barDir val="col"/>
        <c:grouping val="clustered"/>
        <c:varyColors val="0"/>
        <c:ser>
          <c:idx val="0"/>
          <c:order val="0"/>
          <c:tx>
            <c:strRef>
              <c:f>label 0</c:f>
              <c:strCache>
                <c:ptCount val="1"/>
                <c:pt idx="0">
                  <c:v>Доля закупок исключительно у субъектов МСП, % </c:v>
                </c:pt>
              </c:strCache>
            </c:strRef>
          </c:tx>
          <c:spPr>
            <a:solidFill>
              <a:srgbClr val="376092"/>
            </a:solidFill>
            <a:ln w="0">
              <a:noFill/>
            </a:ln>
          </c:spPr>
          <c:invertIfNegative val="0"/>
          <c:dPt>
            <c:idx val="0"/>
            <c:invertIfNegative val="0"/>
            <c:bubble3D val="0"/>
            <c:extLst>
              <c:ext xmlns:c16="http://schemas.microsoft.com/office/drawing/2014/chart" uri="{C3380CC4-5D6E-409C-BE32-E72D297353CC}">
                <c16:uniqueId val="{00000001-7E3B-4983-B595-78F29A05E119}"/>
              </c:ext>
            </c:extLst>
          </c:dPt>
          <c:dLbls>
            <c:dLbl>
              <c:idx val="0"/>
              <c:layout/>
              <c:tx>
                <c:rich>
                  <a:bodyPr/>
                  <a:lstStyle/>
                  <a:p>
                    <a:r>
                      <a:rPr lang="en-US" sz="1000" b="0" u="none" strike="noStrike">
                        <a:solidFill>
                          <a:srgbClr val="000000"/>
                        </a:solidFill>
                        <a:uFillTx/>
                        <a:latin typeface="Arial"/>
                        <a:ea typeface="Arial"/>
                      </a:rPr>
                      <a:t>31,7</a:t>
                    </a:r>
                  </a:p>
                </c:rich>
              </c:tx>
              <c:spPr/>
              <c:dLblPos val="outEnd"/>
              <c:showLegendKey val="0"/>
              <c:showVal val="0"/>
              <c:showCatName val="0"/>
              <c:showSerName val="0"/>
              <c:showPercent val="0"/>
              <c:showBubbleSize val="1"/>
              <c:separator>; </c:separator>
              <c:extLst>
                <c:ext xmlns:c15="http://schemas.microsoft.com/office/drawing/2012/chart" uri="{CE6537A1-D6FC-4f65-9D91-7224C49458BB}">
                  <c15:layout/>
                </c:ext>
                <c:ext xmlns:c16="http://schemas.microsoft.com/office/drawing/2014/chart" uri="{C3380CC4-5D6E-409C-BE32-E72D297353CC}">
                  <c16:uniqueId val="{00000001-7E3B-4983-B595-78F29A05E119}"/>
                </c:ext>
              </c:extLst>
            </c:dLbl>
            <c:numFmt formatCode="General" sourceLinked="0"/>
            <c:spPr>
              <a:noFill/>
              <a:ln>
                <a:noFill/>
              </a:ln>
              <a:effectLst/>
            </c:spPr>
            <c:txPr>
              <a:bodyPr wrap="square"/>
              <a:lstStyle/>
              <a:p>
                <a:pPr>
                  <a:defRPr sz="997" b="0" u="none" strike="noStrike">
                    <a:solidFill>
                      <a:srgbClr val="000000"/>
                    </a:solidFill>
                    <a:uFillTx/>
                    <a:latin typeface="Times New Roman"/>
                    <a:ea typeface="Arial"/>
                  </a:defRPr>
                </a:pPr>
                <a:endParaRPr lang="ru-RU"/>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layout/>
                <c15:showLeaderLines val="0"/>
              </c:ext>
            </c:extLst>
          </c:dLbls>
          <c:cat>
            <c:strRef>
              <c:f>categories</c:f>
              <c:strCache>
                <c:ptCount val="2"/>
                <c:pt idx="0">
                  <c:v>2023</c:v>
                </c:pt>
                <c:pt idx="1">
                  <c:v>2024</c:v>
                </c:pt>
              </c:strCache>
            </c:strRef>
          </c:cat>
          <c:val>
            <c:numRef>
              <c:f>0</c:f>
              <c:numCache>
                <c:formatCode>General</c:formatCode>
                <c:ptCount val="2"/>
                <c:pt idx="0">
                  <c:v>31.7</c:v>
                </c:pt>
                <c:pt idx="1">
                  <c:v>48.6</c:v>
                </c:pt>
              </c:numCache>
            </c:numRef>
          </c:val>
          <c:extLst>
            <c:ext xmlns:c16="http://schemas.microsoft.com/office/drawing/2014/chart" uri="{C3380CC4-5D6E-409C-BE32-E72D297353CC}">
              <c16:uniqueId val="{00000002-7E3B-4983-B595-78F29A05E119}"/>
            </c:ext>
          </c:extLst>
        </c:ser>
        <c:dLbls>
          <c:showLegendKey val="0"/>
          <c:showVal val="0"/>
          <c:showCatName val="0"/>
          <c:showSerName val="0"/>
          <c:showPercent val="0"/>
          <c:showBubbleSize val="0"/>
        </c:dLbls>
        <c:gapWidth val="219"/>
        <c:overlap val="-27"/>
        <c:axId val="23017874"/>
        <c:axId val="84556909"/>
      </c:barChart>
      <c:catAx>
        <c:axId val="23017874"/>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sz="997" b="0" u="none" strike="noStrike">
                <a:solidFill>
                  <a:srgbClr val="000000"/>
                </a:solidFill>
                <a:uFillTx/>
                <a:latin typeface="Times New Roman"/>
                <a:ea typeface="Arial"/>
              </a:defRPr>
            </a:pPr>
            <a:endParaRPr lang="ru-RU"/>
          </a:p>
        </c:txPr>
        <c:crossAx val="84556909"/>
        <c:crosses val="autoZero"/>
        <c:auto val="1"/>
        <c:lblAlgn val="ctr"/>
        <c:lblOffset val="100"/>
        <c:noMultiLvlLbl val="0"/>
      </c:catAx>
      <c:valAx>
        <c:axId val="84556909"/>
        <c:scaling>
          <c:orientation val="minMax"/>
        </c:scaling>
        <c:delete val="1"/>
        <c:axPos val="l"/>
        <c:majorGridlines>
          <c:spPr>
            <a:ln w="9360">
              <a:solidFill>
                <a:srgbClr val="D9D9D9"/>
              </a:solidFill>
              <a:round/>
            </a:ln>
          </c:spPr>
        </c:majorGridlines>
        <c:numFmt formatCode="General" sourceLinked="1"/>
        <c:majorTickMark val="out"/>
        <c:minorTickMark val="none"/>
        <c:tickLblPos val="nextTo"/>
        <c:crossAx val="23017874"/>
        <c:crosses val="autoZero"/>
        <c:crossBetween val="between"/>
      </c:valAx>
      <c:spPr>
        <a:noFill/>
        <a:ln w="25200">
          <a:noFill/>
        </a:ln>
      </c:spPr>
    </c:plotArea>
    <c:plotVisOnly val="1"/>
    <c:dispBlanksAs val="gap"/>
    <c:showDLblsOverMax val="1"/>
  </c:chart>
  <c:spPr>
    <a:solidFill>
      <a:srgbClr val="FFFFFF"/>
    </a:solidFill>
    <a:ln w="9360">
      <a:solidFill>
        <a:srgbClr val="D9D9D9"/>
      </a:solidFill>
      <a:round/>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0"/>
  <c:style val="2"/>
  <c:chart>
    <c:title>
      <c:tx>
        <c:rich>
          <a:bodyPr rot="0"/>
          <a:lstStyle/>
          <a:p>
            <a:pPr>
              <a:defRPr sz="1300" b="0" u="none" strike="noStrike">
                <a:uFillTx/>
                <a:latin typeface="Arial"/>
              </a:defRPr>
            </a:pPr>
            <a:r>
              <a:rPr lang="ru-RU" sz="997" b="0" u="none" strike="noStrike">
                <a:solidFill>
                  <a:srgbClr val="4F81BD"/>
                </a:solidFill>
                <a:uFillTx/>
                <a:latin typeface="Times New Roman"/>
                <a:ea typeface="Arial"/>
              </a:rPr>
              <a:t>Объем закупок у субъектов МСП, млн руб. </a:t>
            </a:r>
          </a:p>
        </c:rich>
      </c:tx>
      <c:layout>
        <c:manualLayout>
          <c:xMode val="edge"/>
          <c:yMode val="edge"/>
          <c:x val="0.15936426116838501"/>
          <c:y val="5.1505711318795402E-2"/>
        </c:manualLayout>
      </c:layout>
      <c:overlay val="0"/>
      <c:spPr>
        <a:noFill/>
        <a:ln w="25200">
          <a:noFill/>
        </a:ln>
      </c:spPr>
    </c:title>
    <c:autoTitleDeleted val="0"/>
    <c:plotArea>
      <c:layout/>
      <c:barChart>
        <c:barDir val="col"/>
        <c:grouping val="clustered"/>
        <c:varyColors val="0"/>
        <c:ser>
          <c:idx val="0"/>
          <c:order val="0"/>
          <c:tx>
            <c:strRef>
              <c:f>label 0</c:f>
              <c:strCache>
                <c:ptCount val="1"/>
                <c:pt idx="0">
                  <c:v>Объем торгов исключительно для МСП, млрд. рублей</c:v>
                </c:pt>
              </c:strCache>
            </c:strRef>
          </c:tx>
          <c:spPr>
            <a:solidFill>
              <a:srgbClr val="376092"/>
            </a:solidFill>
            <a:ln w="0">
              <a:noFill/>
            </a:ln>
          </c:spPr>
          <c:invertIfNegative val="0"/>
          <c:dLbls>
            <c:numFmt formatCode="#\ ##0.0" sourceLinked="0"/>
            <c:spPr>
              <a:noFill/>
              <a:ln>
                <a:noFill/>
              </a:ln>
              <a:effectLst/>
            </c:spPr>
            <c:txPr>
              <a:bodyPr wrap="square"/>
              <a:lstStyle/>
              <a:p>
                <a:pPr>
                  <a:defRPr sz="997" b="0" u="none" strike="noStrike">
                    <a:solidFill>
                      <a:srgbClr val="000000"/>
                    </a:solidFill>
                    <a:uFillTx/>
                    <a:latin typeface="Times New Roman"/>
                    <a:ea typeface="Arial"/>
                  </a:defRPr>
                </a:pPr>
                <a:endParaRPr lang="ru-RU"/>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layout/>
                <c15:showLeaderLines val="0"/>
              </c:ext>
            </c:extLst>
          </c:dLbls>
          <c:cat>
            <c:strRef>
              <c:f>categories</c:f>
              <c:strCache>
                <c:ptCount val="2"/>
                <c:pt idx="0">
                  <c:v>2023</c:v>
                </c:pt>
                <c:pt idx="1">
                  <c:v>2024</c:v>
                </c:pt>
              </c:strCache>
            </c:strRef>
          </c:cat>
          <c:val>
            <c:numRef>
              <c:f>0</c:f>
              <c:numCache>
                <c:formatCode>General</c:formatCode>
                <c:ptCount val="2"/>
                <c:pt idx="0">
                  <c:v>3292.63</c:v>
                </c:pt>
                <c:pt idx="1">
                  <c:v>8592.9</c:v>
                </c:pt>
              </c:numCache>
            </c:numRef>
          </c:val>
          <c:extLst>
            <c:ext xmlns:c16="http://schemas.microsoft.com/office/drawing/2014/chart" uri="{C3380CC4-5D6E-409C-BE32-E72D297353CC}">
              <c16:uniqueId val="{00000000-04B1-41AF-B513-90FAF9D505EE}"/>
            </c:ext>
          </c:extLst>
        </c:ser>
        <c:dLbls>
          <c:showLegendKey val="0"/>
          <c:showVal val="0"/>
          <c:showCatName val="0"/>
          <c:showSerName val="0"/>
          <c:showPercent val="0"/>
          <c:showBubbleSize val="0"/>
        </c:dLbls>
        <c:gapWidth val="219"/>
        <c:overlap val="-27"/>
        <c:axId val="78683252"/>
        <c:axId val="65225979"/>
      </c:barChart>
      <c:catAx>
        <c:axId val="78683252"/>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sz="997" b="0" u="none" strike="noStrike">
                <a:solidFill>
                  <a:srgbClr val="000000"/>
                </a:solidFill>
                <a:uFillTx/>
                <a:latin typeface="Times New Roman"/>
                <a:ea typeface="Arial"/>
              </a:defRPr>
            </a:pPr>
            <a:endParaRPr lang="ru-RU"/>
          </a:p>
        </c:txPr>
        <c:crossAx val="65225979"/>
        <c:crosses val="autoZero"/>
        <c:auto val="1"/>
        <c:lblAlgn val="ctr"/>
        <c:lblOffset val="100"/>
        <c:noMultiLvlLbl val="0"/>
      </c:catAx>
      <c:valAx>
        <c:axId val="65225979"/>
        <c:scaling>
          <c:orientation val="minMax"/>
        </c:scaling>
        <c:delete val="1"/>
        <c:axPos val="l"/>
        <c:majorGridlines>
          <c:spPr>
            <a:ln w="9360">
              <a:solidFill>
                <a:srgbClr val="D9D9D9"/>
              </a:solidFill>
              <a:round/>
            </a:ln>
          </c:spPr>
        </c:majorGridlines>
        <c:numFmt formatCode="General" sourceLinked="1"/>
        <c:majorTickMark val="out"/>
        <c:minorTickMark val="none"/>
        <c:tickLblPos val="nextTo"/>
        <c:crossAx val="78683252"/>
        <c:crosses val="autoZero"/>
        <c:crossBetween val="between"/>
      </c:valAx>
      <c:spPr>
        <a:noFill/>
        <a:ln w="25200">
          <a:noFill/>
        </a:ln>
      </c:spPr>
    </c:plotArea>
    <c:plotVisOnly val="1"/>
    <c:dispBlanksAs val="gap"/>
    <c:showDLblsOverMax val="1"/>
  </c:chart>
  <c:spPr>
    <a:solidFill>
      <a:srgbClr val="FFFFFF"/>
    </a:solidFill>
    <a:ln w="9360">
      <a:solidFill>
        <a:srgbClr val="D9D9D9"/>
      </a:solidFill>
      <a:round/>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0"/>
  <c:style val="2"/>
  <c:chart>
    <c:title>
      <c:tx>
        <c:rich>
          <a:bodyPr rot="0"/>
          <a:lstStyle/>
          <a:p>
            <a:pPr>
              <a:defRPr sz="1300" b="0" u="none" strike="noStrike">
                <a:uFillTx/>
                <a:latin typeface="Arial"/>
              </a:defRPr>
            </a:pPr>
            <a:r>
              <a:rPr lang="ru-RU" sz="997" b="0" u="none" strike="noStrike">
                <a:solidFill>
                  <a:srgbClr val="4F81BD"/>
                </a:solidFill>
                <a:uFillTx/>
                <a:latin typeface="Times New Roman"/>
                <a:ea typeface="Arial"/>
              </a:rPr>
              <a:t>Объем закупок исключительно у субъектов МСП, млн руб. </a:t>
            </a:r>
          </a:p>
        </c:rich>
      </c:tx>
      <c:layout>
        <c:manualLayout>
          <c:xMode val="edge"/>
          <c:yMode val="edge"/>
          <c:x val="0.15893470790378"/>
          <c:y val="5.1505711318795402E-2"/>
        </c:manualLayout>
      </c:layout>
      <c:overlay val="0"/>
      <c:spPr>
        <a:noFill/>
        <a:ln w="25200">
          <a:noFill/>
        </a:ln>
      </c:spPr>
    </c:title>
    <c:autoTitleDeleted val="0"/>
    <c:plotArea>
      <c:layout/>
      <c:barChart>
        <c:barDir val="col"/>
        <c:grouping val="clustered"/>
        <c:varyColors val="0"/>
        <c:ser>
          <c:idx val="0"/>
          <c:order val="0"/>
          <c:tx>
            <c:strRef>
              <c:f>label 0</c:f>
              <c:strCache>
                <c:ptCount val="1"/>
                <c:pt idx="0">
                  <c:v>Объем торгов исключительно для МСП, млрд. рублей</c:v>
                </c:pt>
              </c:strCache>
            </c:strRef>
          </c:tx>
          <c:spPr>
            <a:solidFill>
              <a:srgbClr val="376092"/>
            </a:solidFill>
            <a:ln w="0">
              <a:noFill/>
            </a:ln>
          </c:spPr>
          <c:invertIfNegative val="0"/>
          <c:dLbls>
            <c:numFmt formatCode="#\ ##0.0" sourceLinked="0"/>
            <c:spPr>
              <a:noFill/>
              <a:ln>
                <a:noFill/>
              </a:ln>
              <a:effectLst/>
            </c:spPr>
            <c:txPr>
              <a:bodyPr wrap="square"/>
              <a:lstStyle/>
              <a:p>
                <a:pPr>
                  <a:defRPr sz="997" b="0" u="none" strike="noStrike">
                    <a:solidFill>
                      <a:srgbClr val="000000"/>
                    </a:solidFill>
                    <a:uFillTx/>
                    <a:latin typeface="Times New Roman"/>
                    <a:ea typeface="Arial"/>
                  </a:defRPr>
                </a:pPr>
                <a:endParaRPr lang="ru-RU"/>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layout/>
                <c15:showLeaderLines val="0"/>
              </c:ext>
            </c:extLst>
          </c:dLbls>
          <c:cat>
            <c:strRef>
              <c:f>categories</c:f>
              <c:strCache>
                <c:ptCount val="2"/>
                <c:pt idx="0">
                  <c:v>2023</c:v>
                </c:pt>
                <c:pt idx="1">
                  <c:v>2024</c:v>
                </c:pt>
              </c:strCache>
            </c:strRef>
          </c:cat>
          <c:val>
            <c:numRef>
              <c:f>0</c:f>
              <c:numCache>
                <c:formatCode>General</c:formatCode>
                <c:ptCount val="2"/>
                <c:pt idx="0">
                  <c:v>2558.2800000000002</c:v>
                </c:pt>
                <c:pt idx="1">
                  <c:v>5258.1</c:v>
                </c:pt>
              </c:numCache>
            </c:numRef>
          </c:val>
          <c:extLst>
            <c:ext xmlns:c16="http://schemas.microsoft.com/office/drawing/2014/chart" uri="{C3380CC4-5D6E-409C-BE32-E72D297353CC}">
              <c16:uniqueId val="{00000000-04C6-432C-A965-490BA101A846}"/>
            </c:ext>
          </c:extLst>
        </c:ser>
        <c:dLbls>
          <c:showLegendKey val="0"/>
          <c:showVal val="0"/>
          <c:showCatName val="0"/>
          <c:showSerName val="0"/>
          <c:showPercent val="0"/>
          <c:showBubbleSize val="0"/>
        </c:dLbls>
        <c:gapWidth val="219"/>
        <c:overlap val="-27"/>
        <c:axId val="87285033"/>
        <c:axId val="45291330"/>
      </c:barChart>
      <c:catAx>
        <c:axId val="87285033"/>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sz="997" b="0" u="none" strike="noStrike">
                <a:solidFill>
                  <a:srgbClr val="000000"/>
                </a:solidFill>
                <a:uFillTx/>
                <a:latin typeface="Times New Roman"/>
                <a:ea typeface="Arial"/>
              </a:defRPr>
            </a:pPr>
            <a:endParaRPr lang="ru-RU"/>
          </a:p>
        </c:txPr>
        <c:crossAx val="45291330"/>
        <c:crosses val="autoZero"/>
        <c:auto val="1"/>
        <c:lblAlgn val="ctr"/>
        <c:lblOffset val="100"/>
        <c:noMultiLvlLbl val="0"/>
      </c:catAx>
      <c:valAx>
        <c:axId val="45291330"/>
        <c:scaling>
          <c:orientation val="minMax"/>
        </c:scaling>
        <c:delete val="1"/>
        <c:axPos val="l"/>
        <c:majorGridlines>
          <c:spPr>
            <a:ln w="9360">
              <a:solidFill>
                <a:srgbClr val="D9D9D9"/>
              </a:solidFill>
              <a:round/>
            </a:ln>
          </c:spPr>
        </c:majorGridlines>
        <c:numFmt formatCode="General" sourceLinked="1"/>
        <c:majorTickMark val="out"/>
        <c:minorTickMark val="none"/>
        <c:tickLblPos val="nextTo"/>
        <c:crossAx val="87285033"/>
        <c:crosses val="autoZero"/>
        <c:crossBetween val="between"/>
      </c:valAx>
      <c:spPr>
        <a:noFill/>
        <a:ln w="25200">
          <a:noFill/>
        </a:ln>
      </c:spPr>
    </c:plotArea>
    <c:plotVisOnly val="1"/>
    <c:dispBlanksAs val="gap"/>
    <c:showDLblsOverMax val="1"/>
  </c:chart>
  <c:spPr>
    <a:solidFill>
      <a:srgbClr val="FFFFFF"/>
    </a:solidFill>
    <a:ln w="9360">
      <a:solidFill>
        <a:srgbClr val="D9D9D9"/>
      </a:solidFill>
      <a:round/>
    </a:ln>
  </c:sp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a:themeElements>
    <a:clrScheme nam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
      <a:majorFont>
        <a:latin typeface="Arial"/>
        <a:ea typeface="Arial"/>
        <a:cs typeface="Arial"/>
      </a:majorFont>
      <a:minorFont>
        <a:latin typeface="Arial"/>
        <a:ea typeface="Arial"/>
        <a:cs typeface="Arial"/>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a:ln w="25400"/>
        <a:ln w="38100"/>
      </a:lnStyleLst>
      <a:effectStyleLst>
        <a:effectStyle>
          <a:effectLst/>
        </a:effectStyle>
        <a:effectStyle>
          <a:effectLst/>
        </a:effectStyle>
        <a:effectStyle>
          <a:effectLst/>
        </a:effectStyle>
      </a:effectStyleLst>
      <a:bgFillStyleLst>
        <a:solidFill>
          <a:schemeClr val="phClr"/>
        </a:solidFill>
        <a:solidFill>
          <a:srgbClr val="000000"/>
        </a:solidFill>
        <a:solidFill>
          <a:srgbClr val="000000"/>
        </a:soli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17E1E1-CA66-4061-8123-62A05733B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336</TotalTime>
  <Pages>257</Pages>
  <Words>83704</Words>
  <Characters>477119</Characters>
  <Application>Microsoft Office Word</Application>
  <DocSecurity>0</DocSecurity>
  <Lines>3975</Lines>
  <Paragraphs>1119</Paragraphs>
  <ScaleCrop>false</ScaleCrop>
  <HeadingPairs>
    <vt:vector size="2" baseType="variant">
      <vt:variant>
        <vt:lpstr>Название</vt:lpstr>
      </vt:variant>
      <vt:variant>
        <vt:i4>1</vt:i4>
      </vt:variant>
    </vt:vector>
  </HeadingPairs>
  <TitlesOfParts>
    <vt:vector size="1" baseType="lpstr">
      <vt:lpstr/>
    </vt:vector>
  </TitlesOfParts>
  <Company>MRSK-Yuga</Company>
  <LinksUpToDate>false</LinksUpToDate>
  <CharactersWithSpaces>559704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Peredkova N.S.</dc:creator>
  <dc:description/>
  <cp:lastModifiedBy>Кузнецова Лариса Николаевна</cp:lastModifiedBy>
  <cp:revision>56</cp:revision>
  <cp:lastPrinted>2025-04-10T09:57:00Z</cp:lastPrinted>
  <dcterms:created xsi:type="dcterms:W3CDTF">2025-04-14T06:59:00Z</dcterms:created>
  <dcterms:modified xsi:type="dcterms:W3CDTF">2025-04-21T13:43:00Z</dcterms:modified>
  <dc:language>ru-RU</dc:language>
  <cp:version>1048576</cp:version>
</cp:coreProperties>
</file>